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F9CF" w14:textId="77777777" w:rsidR="00D64467" w:rsidRDefault="00D64467" w:rsidP="00D64467">
      <w:pPr>
        <w:spacing w:line="240" w:lineRule="auto"/>
        <w:ind w:left="2124" w:firstLine="708"/>
        <w:rPr>
          <w:rFonts w:ascii="Arial" w:hAnsi="Arial" w:cs="Arial"/>
          <w:noProof/>
        </w:rPr>
      </w:pPr>
    </w:p>
    <w:p w14:paraId="61C0B832" w14:textId="77777777" w:rsidR="00B42E43" w:rsidRPr="006B5B9F" w:rsidRDefault="00B42E43" w:rsidP="00D64467">
      <w:pPr>
        <w:spacing w:line="240" w:lineRule="auto"/>
        <w:ind w:left="2124" w:firstLine="708"/>
        <w:rPr>
          <w:rFonts w:ascii="Arial" w:hAnsi="Arial" w:cs="Arial"/>
          <w:noProof/>
        </w:rPr>
      </w:pPr>
    </w:p>
    <w:p w14:paraId="2521E5A8" w14:textId="77777777" w:rsidR="009B4D63" w:rsidRPr="006B5B9F" w:rsidRDefault="009B4D63" w:rsidP="00D64467">
      <w:pPr>
        <w:spacing w:line="240" w:lineRule="auto"/>
        <w:ind w:left="2124" w:firstLine="708"/>
        <w:rPr>
          <w:rFonts w:ascii="Arial" w:hAnsi="Arial" w:cs="Arial"/>
          <w:noProof/>
        </w:rPr>
      </w:pPr>
    </w:p>
    <w:p w14:paraId="20773266" w14:textId="77777777" w:rsidR="009B4D63" w:rsidRPr="006B5B9F" w:rsidRDefault="009B4D63" w:rsidP="00D64467">
      <w:pPr>
        <w:spacing w:line="240" w:lineRule="auto"/>
        <w:ind w:left="2124" w:firstLine="708"/>
        <w:rPr>
          <w:rFonts w:ascii="Arial" w:hAnsi="Arial" w:cs="Arial"/>
          <w:noProof/>
        </w:rPr>
      </w:pPr>
    </w:p>
    <w:p w14:paraId="6B8F4EE6" w14:textId="77777777" w:rsidR="009B4D63" w:rsidRDefault="009B4D63" w:rsidP="00D64467">
      <w:pPr>
        <w:spacing w:line="240" w:lineRule="auto"/>
        <w:ind w:left="2124" w:firstLine="708"/>
        <w:rPr>
          <w:rFonts w:ascii="Arial" w:hAnsi="Arial" w:cs="Arial"/>
          <w:noProof/>
        </w:rPr>
      </w:pPr>
    </w:p>
    <w:p w14:paraId="146DEC66" w14:textId="77777777" w:rsidR="00B34490" w:rsidRPr="006B5B9F" w:rsidRDefault="00B34490" w:rsidP="00D64467">
      <w:pPr>
        <w:spacing w:line="240" w:lineRule="auto"/>
        <w:ind w:left="2124" w:firstLine="708"/>
        <w:rPr>
          <w:rFonts w:ascii="Arial" w:hAnsi="Arial" w:cs="Arial"/>
          <w:noProof/>
        </w:rPr>
      </w:pPr>
    </w:p>
    <w:p w14:paraId="7532CB00" w14:textId="77777777" w:rsidR="009B4D63" w:rsidRPr="006B5B9F" w:rsidRDefault="009B4D63" w:rsidP="00D64467">
      <w:pPr>
        <w:spacing w:line="240" w:lineRule="auto"/>
        <w:ind w:left="2124" w:firstLine="708"/>
        <w:rPr>
          <w:rFonts w:ascii="Arial" w:hAnsi="Arial" w:cs="Arial"/>
          <w:noProof/>
        </w:rPr>
      </w:pPr>
    </w:p>
    <w:p w14:paraId="099E8EFC" w14:textId="77777777" w:rsidR="009B4D63" w:rsidRPr="006B5B9F" w:rsidRDefault="009B4D63" w:rsidP="00D747D0">
      <w:pPr>
        <w:spacing w:line="240" w:lineRule="auto"/>
        <w:rPr>
          <w:rFonts w:ascii="Arial" w:hAnsi="Arial" w:cs="Arial"/>
          <w:noProof/>
        </w:rPr>
      </w:pPr>
    </w:p>
    <w:p w14:paraId="1C2068A1" w14:textId="77777777" w:rsidR="00531A47" w:rsidRPr="006B5B9F" w:rsidRDefault="00531A47" w:rsidP="00D64467">
      <w:pPr>
        <w:spacing w:line="240" w:lineRule="auto"/>
        <w:ind w:left="2124" w:firstLine="708"/>
        <w:rPr>
          <w:rFonts w:ascii="Arial" w:hAnsi="Arial" w:cs="Arial"/>
          <w:noProof/>
        </w:rPr>
      </w:pPr>
    </w:p>
    <w:p w14:paraId="0993FF1B" w14:textId="77777777" w:rsidR="00531A47" w:rsidRPr="006B5B9F" w:rsidRDefault="00531A47" w:rsidP="00D64467">
      <w:pPr>
        <w:spacing w:line="240" w:lineRule="auto"/>
        <w:ind w:left="2124" w:firstLine="708"/>
        <w:rPr>
          <w:rFonts w:ascii="Arial" w:hAnsi="Arial" w:cs="Arial"/>
          <w:noProof/>
        </w:rPr>
      </w:pPr>
    </w:p>
    <w:p w14:paraId="6E9A70B8" w14:textId="6B5E6D97" w:rsidR="00D64467" w:rsidRPr="006B5B9F" w:rsidRDefault="00B52B6B" w:rsidP="00D747D0">
      <w:pPr>
        <w:spacing w:line="240" w:lineRule="auto"/>
        <w:jc w:val="center"/>
        <w:rPr>
          <w:rFonts w:ascii="Arial" w:hAnsi="Arial" w:cs="Arial"/>
          <w:noProof/>
        </w:rPr>
      </w:pPr>
      <w:r w:rsidRPr="006B5B9F">
        <w:rPr>
          <w:rFonts w:ascii="Arial" w:hAnsi="Arial" w:cs="Arial"/>
          <w:noProof/>
        </w:rPr>
        <w:drawing>
          <wp:inline distT="0" distB="0" distL="0" distR="0" wp14:anchorId="5BAA5318" wp14:editId="1C86A6DF">
            <wp:extent cx="2857500" cy="962025"/>
            <wp:effectExtent l="152400" t="0" r="38100" b="857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62025"/>
                    </a:xfrm>
                    <a:prstGeom prst="rect">
                      <a:avLst/>
                    </a:prstGeom>
                    <a:noFill/>
                    <a:effectLst>
                      <a:outerShdw blurRad="76200" dir="13500000" sy="23000" kx="1200000" algn="br" rotWithShape="0">
                        <a:prstClr val="black">
                          <a:alpha val="20000"/>
                        </a:prstClr>
                      </a:outerShdw>
                    </a:effectLst>
                  </pic:spPr>
                </pic:pic>
              </a:graphicData>
            </a:graphic>
          </wp:inline>
        </w:drawing>
      </w:r>
    </w:p>
    <w:p w14:paraId="04DCE2A2" w14:textId="225E7F30" w:rsidR="00D64467" w:rsidRPr="006B5B9F" w:rsidRDefault="00D64467" w:rsidP="00D64467">
      <w:pPr>
        <w:spacing w:line="240" w:lineRule="auto"/>
        <w:ind w:left="2124" w:firstLine="708"/>
        <w:rPr>
          <w:rFonts w:ascii="Arial" w:hAnsi="Arial" w:cs="Arial"/>
        </w:rPr>
      </w:pPr>
      <w:r w:rsidRPr="006B5B9F">
        <w:rPr>
          <w:rFonts w:ascii="Arial" w:hAnsi="Arial" w:cs="Arial"/>
        </w:rPr>
        <w:t xml:space="preserve"> </w:t>
      </w:r>
    </w:p>
    <w:p w14:paraId="16B6A07E" w14:textId="77777777" w:rsidR="009B4D63" w:rsidRPr="006B5B9F" w:rsidRDefault="009B4D63" w:rsidP="00D64467">
      <w:pPr>
        <w:spacing w:line="240" w:lineRule="auto"/>
        <w:ind w:left="2124" w:firstLine="708"/>
        <w:rPr>
          <w:rFonts w:ascii="Arial" w:hAnsi="Arial" w:cs="Arial"/>
        </w:rPr>
      </w:pPr>
    </w:p>
    <w:p w14:paraId="1FDB3D4D" w14:textId="77777777" w:rsidR="009B4D63" w:rsidRPr="00AA7D9F" w:rsidRDefault="009B4D63" w:rsidP="00D64467">
      <w:pPr>
        <w:spacing w:line="240" w:lineRule="auto"/>
        <w:ind w:left="2124" w:firstLine="708"/>
        <w:rPr>
          <w:rFonts w:ascii="Times New Roman" w:hAnsi="Times New Roman" w:cs="Times New Roman"/>
          <w:sz w:val="24"/>
          <w:szCs w:val="24"/>
        </w:rPr>
      </w:pPr>
    </w:p>
    <w:p w14:paraId="7C3F45A3" w14:textId="225F6D7C" w:rsidR="00D747D0" w:rsidRPr="00AA7D9F" w:rsidRDefault="00D64467" w:rsidP="00D747D0">
      <w:pPr>
        <w:spacing w:after="0" w:line="240" w:lineRule="auto"/>
        <w:jc w:val="center"/>
        <w:rPr>
          <w:rFonts w:ascii="Times New Roman" w:hAnsi="Times New Roman" w:cs="Times New Roman"/>
          <w:b/>
          <w:bCs/>
          <w:sz w:val="24"/>
          <w:szCs w:val="24"/>
        </w:rPr>
      </w:pPr>
      <w:r w:rsidRPr="00AA7D9F">
        <w:rPr>
          <w:rFonts w:ascii="Times New Roman" w:hAnsi="Times New Roman" w:cs="Times New Roman"/>
          <w:b/>
          <w:bCs/>
          <w:sz w:val="24"/>
          <w:szCs w:val="24"/>
        </w:rPr>
        <w:t>NOTAS A LOS ESTADOS FINANCIEROS</w:t>
      </w:r>
    </w:p>
    <w:p w14:paraId="7EEF2B19" w14:textId="0A643FF9" w:rsidR="001D5CE7" w:rsidRPr="00AA7D9F" w:rsidRDefault="001D5CE7" w:rsidP="00D747D0">
      <w:pPr>
        <w:spacing w:after="0" w:line="240" w:lineRule="auto"/>
        <w:jc w:val="center"/>
        <w:rPr>
          <w:rFonts w:ascii="Times New Roman" w:hAnsi="Times New Roman" w:cs="Times New Roman"/>
          <w:sz w:val="24"/>
          <w:szCs w:val="24"/>
        </w:rPr>
      </w:pPr>
      <w:r w:rsidRPr="00AA7D9F">
        <w:rPr>
          <w:rFonts w:ascii="Times New Roman" w:hAnsi="Times New Roman" w:cs="Times New Roman"/>
          <w:sz w:val="24"/>
          <w:szCs w:val="24"/>
        </w:rPr>
        <w:t>De</w:t>
      </w:r>
      <w:r w:rsidR="00D64467" w:rsidRPr="00AA7D9F">
        <w:rPr>
          <w:rFonts w:ascii="Times New Roman" w:hAnsi="Times New Roman" w:cs="Times New Roman"/>
          <w:sz w:val="24"/>
          <w:szCs w:val="24"/>
        </w:rPr>
        <w:t xml:space="preserve">l </w:t>
      </w:r>
      <w:r w:rsidR="00C128C4">
        <w:rPr>
          <w:rFonts w:ascii="Times New Roman" w:hAnsi="Times New Roman" w:cs="Times New Roman"/>
          <w:sz w:val="24"/>
          <w:szCs w:val="24"/>
        </w:rPr>
        <w:t>1</w:t>
      </w:r>
      <w:r w:rsidRPr="00AA7D9F">
        <w:rPr>
          <w:rFonts w:ascii="Times New Roman" w:hAnsi="Times New Roman" w:cs="Times New Roman"/>
          <w:sz w:val="24"/>
          <w:szCs w:val="24"/>
        </w:rPr>
        <w:t xml:space="preserve"> </w:t>
      </w:r>
      <w:r w:rsidR="00D64467" w:rsidRPr="00AA7D9F">
        <w:rPr>
          <w:rFonts w:ascii="Times New Roman" w:hAnsi="Times New Roman" w:cs="Times New Roman"/>
          <w:sz w:val="24"/>
          <w:szCs w:val="24"/>
        </w:rPr>
        <w:t xml:space="preserve">de </w:t>
      </w:r>
      <w:r w:rsidR="00C128C4">
        <w:rPr>
          <w:rFonts w:ascii="Times New Roman" w:hAnsi="Times New Roman" w:cs="Times New Roman"/>
          <w:sz w:val="24"/>
          <w:szCs w:val="24"/>
        </w:rPr>
        <w:t>enero</w:t>
      </w:r>
      <w:r w:rsidR="00D64467" w:rsidRPr="00AA7D9F">
        <w:rPr>
          <w:rFonts w:ascii="Times New Roman" w:hAnsi="Times New Roman" w:cs="Times New Roman"/>
          <w:sz w:val="24"/>
          <w:szCs w:val="24"/>
        </w:rPr>
        <w:t xml:space="preserve"> al </w:t>
      </w:r>
      <w:r w:rsidR="00B70C36" w:rsidRPr="00C128C4">
        <w:rPr>
          <w:rFonts w:ascii="Times New Roman" w:hAnsi="Times New Roman" w:cs="Times New Roman"/>
          <w:sz w:val="24"/>
          <w:szCs w:val="24"/>
        </w:rPr>
        <w:t>3</w:t>
      </w:r>
      <w:r w:rsidR="00C128C4" w:rsidRPr="00C128C4">
        <w:rPr>
          <w:rFonts w:ascii="Times New Roman" w:hAnsi="Times New Roman" w:cs="Times New Roman"/>
          <w:sz w:val="24"/>
          <w:szCs w:val="24"/>
        </w:rPr>
        <w:t>1</w:t>
      </w:r>
      <w:r w:rsidR="00B70C36">
        <w:rPr>
          <w:rFonts w:ascii="Times New Roman" w:hAnsi="Times New Roman" w:cs="Times New Roman"/>
          <w:sz w:val="24"/>
          <w:szCs w:val="24"/>
        </w:rPr>
        <w:t xml:space="preserve"> de </w:t>
      </w:r>
      <w:r w:rsidR="00C128C4">
        <w:rPr>
          <w:rFonts w:ascii="Times New Roman" w:hAnsi="Times New Roman" w:cs="Times New Roman"/>
          <w:sz w:val="24"/>
          <w:szCs w:val="24"/>
        </w:rPr>
        <w:t xml:space="preserve">marzo </w:t>
      </w:r>
      <w:r w:rsidR="00D64467" w:rsidRPr="00AA7D9F">
        <w:rPr>
          <w:rFonts w:ascii="Times New Roman" w:hAnsi="Times New Roman" w:cs="Times New Roman"/>
          <w:sz w:val="24"/>
          <w:szCs w:val="24"/>
        </w:rPr>
        <w:t>de 20</w:t>
      </w:r>
      <w:r w:rsidR="00C128C4">
        <w:rPr>
          <w:rFonts w:ascii="Times New Roman" w:hAnsi="Times New Roman" w:cs="Times New Roman"/>
          <w:sz w:val="24"/>
          <w:szCs w:val="24"/>
        </w:rPr>
        <w:t>26</w:t>
      </w:r>
    </w:p>
    <w:p w14:paraId="7444E11E" w14:textId="6A885847" w:rsidR="00D64467" w:rsidRPr="00AA7D9F" w:rsidRDefault="00CA6471" w:rsidP="00CA6471">
      <w:pPr>
        <w:spacing w:after="0" w:line="240" w:lineRule="auto"/>
        <w:jc w:val="center"/>
        <w:rPr>
          <w:rFonts w:ascii="Times New Roman" w:hAnsi="Times New Roman" w:cs="Times New Roman"/>
          <w:sz w:val="24"/>
          <w:szCs w:val="24"/>
        </w:rPr>
      </w:pPr>
      <w:r w:rsidRPr="00AA7D9F">
        <w:rPr>
          <w:rFonts w:ascii="Times New Roman" w:hAnsi="Times New Roman" w:cs="Times New Roman"/>
          <w:sz w:val="24"/>
          <w:szCs w:val="24"/>
        </w:rPr>
        <w:t>(Cifras expresadas en pesos</w:t>
      </w:r>
      <w:r w:rsidR="00D22D7D">
        <w:rPr>
          <w:rFonts w:ascii="Times New Roman" w:hAnsi="Times New Roman" w:cs="Times New Roman"/>
          <w:sz w:val="24"/>
          <w:szCs w:val="24"/>
        </w:rPr>
        <w:t xml:space="preserve"> colombianos</w:t>
      </w:r>
      <w:r w:rsidRPr="00AA7D9F">
        <w:rPr>
          <w:rFonts w:ascii="Times New Roman" w:hAnsi="Times New Roman" w:cs="Times New Roman"/>
          <w:sz w:val="24"/>
          <w:szCs w:val="24"/>
        </w:rPr>
        <w:t>)</w:t>
      </w:r>
    </w:p>
    <w:p w14:paraId="0C88C26B" w14:textId="77777777" w:rsidR="00D64467" w:rsidRPr="00AA7D9F" w:rsidRDefault="00D64467" w:rsidP="00D64467">
      <w:pPr>
        <w:spacing w:line="240" w:lineRule="auto"/>
        <w:ind w:left="2124" w:firstLine="708"/>
        <w:rPr>
          <w:rFonts w:ascii="Times New Roman" w:hAnsi="Times New Roman" w:cs="Times New Roman"/>
          <w:sz w:val="24"/>
          <w:szCs w:val="24"/>
        </w:rPr>
      </w:pPr>
    </w:p>
    <w:p w14:paraId="6ED6D772" w14:textId="77777777" w:rsidR="00D64467" w:rsidRPr="00AA7D9F" w:rsidRDefault="00D64467" w:rsidP="00D64467">
      <w:pPr>
        <w:spacing w:line="240" w:lineRule="auto"/>
        <w:ind w:left="2124" w:firstLine="708"/>
        <w:rPr>
          <w:rFonts w:ascii="Times New Roman" w:hAnsi="Times New Roman" w:cs="Times New Roman"/>
          <w:sz w:val="24"/>
          <w:szCs w:val="24"/>
        </w:rPr>
      </w:pPr>
    </w:p>
    <w:p w14:paraId="53A2342A" w14:textId="77777777" w:rsidR="009B4D63" w:rsidRPr="00AA7D9F" w:rsidRDefault="009B4D63" w:rsidP="00D64467">
      <w:pPr>
        <w:spacing w:line="240" w:lineRule="auto"/>
        <w:ind w:left="2124" w:firstLine="708"/>
        <w:rPr>
          <w:rFonts w:ascii="Times New Roman" w:hAnsi="Times New Roman" w:cs="Times New Roman"/>
          <w:sz w:val="24"/>
          <w:szCs w:val="24"/>
        </w:rPr>
      </w:pPr>
    </w:p>
    <w:p w14:paraId="68F6F08D" w14:textId="77777777" w:rsidR="00B52B6B" w:rsidRPr="00AA7D9F" w:rsidRDefault="00B52B6B" w:rsidP="00D64467">
      <w:pPr>
        <w:spacing w:line="240" w:lineRule="auto"/>
        <w:ind w:left="2124" w:firstLine="708"/>
        <w:rPr>
          <w:rFonts w:ascii="Times New Roman" w:hAnsi="Times New Roman" w:cs="Times New Roman"/>
          <w:sz w:val="24"/>
          <w:szCs w:val="24"/>
        </w:rPr>
      </w:pPr>
    </w:p>
    <w:p w14:paraId="61D23277" w14:textId="77777777" w:rsidR="00D747D0" w:rsidRPr="00AA7D9F" w:rsidRDefault="00D747D0" w:rsidP="00D64467">
      <w:pPr>
        <w:spacing w:line="240" w:lineRule="auto"/>
        <w:ind w:left="2124" w:firstLine="708"/>
        <w:rPr>
          <w:rFonts w:ascii="Times New Roman" w:hAnsi="Times New Roman" w:cs="Times New Roman"/>
          <w:sz w:val="24"/>
          <w:szCs w:val="24"/>
        </w:rPr>
      </w:pPr>
    </w:p>
    <w:p w14:paraId="78F0A66D" w14:textId="77777777" w:rsidR="004C276E" w:rsidRPr="00AA7D9F" w:rsidRDefault="004C276E" w:rsidP="00D64467">
      <w:pPr>
        <w:spacing w:line="240" w:lineRule="auto"/>
        <w:ind w:left="2124" w:firstLine="708"/>
        <w:rPr>
          <w:rFonts w:ascii="Times New Roman" w:hAnsi="Times New Roman" w:cs="Times New Roman"/>
          <w:sz w:val="24"/>
          <w:szCs w:val="24"/>
        </w:rPr>
      </w:pPr>
    </w:p>
    <w:p w14:paraId="5055BFDD" w14:textId="77777777" w:rsidR="00D747D0" w:rsidRPr="00AA7D9F" w:rsidRDefault="00D747D0" w:rsidP="00D64467">
      <w:pPr>
        <w:spacing w:line="240" w:lineRule="auto"/>
        <w:ind w:left="2124" w:firstLine="708"/>
        <w:rPr>
          <w:rFonts w:ascii="Times New Roman" w:hAnsi="Times New Roman" w:cs="Times New Roman"/>
          <w:sz w:val="24"/>
          <w:szCs w:val="24"/>
        </w:rPr>
      </w:pPr>
    </w:p>
    <w:p w14:paraId="2F88F0B2" w14:textId="77777777" w:rsidR="00D747D0" w:rsidRPr="00AA7D9F" w:rsidRDefault="00D747D0" w:rsidP="00D64467">
      <w:pPr>
        <w:spacing w:line="240" w:lineRule="auto"/>
        <w:ind w:left="2124" w:firstLine="708"/>
        <w:rPr>
          <w:rFonts w:ascii="Times New Roman" w:hAnsi="Times New Roman" w:cs="Times New Roman"/>
          <w:sz w:val="24"/>
          <w:szCs w:val="24"/>
        </w:rPr>
      </w:pPr>
    </w:p>
    <w:p w14:paraId="50035C55" w14:textId="77777777" w:rsidR="00D747D0" w:rsidRPr="00AA7D9F" w:rsidRDefault="00D747D0" w:rsidP="00D64467">
      <w:pPr>
        <w:spacing w:line="240" w:lineRule="auto"/>
        <w:ind w:left="2124" w:firstLine="708"/>
        <w:rPr>
          <w:rFonts w:ascii="Times New Roman" w:hAnsi="Times New Roman" w:cs="Times New Roman"/>
          <w:sz w:val="24"/>
          <w:szCs w:val="24"/>
        </w:rPr>
      </w:pPr>
    </w:p>
    <w:p w14:paraId="2FDCEED0" w14:textId="77777777" w:rsidR="00D747D0" w:rsidRPr="00AA7D9F" w:rsidRDefault="00D747D0" w:rsidP="00D64467">
      <w:pPr>
        <w:spacing w:line="240" w:lineRule="auto"/>
        <w:ind w:left="2124" w:firstLine="708"/>
        <w:rPr>
          <w:rFonts w:ascii="Times New Roman" w:hAnsi="Times New Roman" w:cs="Times New Roman"/>
          <w:sz w:val="24"/>
          <w:szCs w:val="24"/>
        </w:rPr>
      </w:pPr>
    </w:p>
    <w:p w14:paraId="42478FA5" w14:textId="77777777" w:rsidR="00D747D0" w:rsidRPr="00AA7D9F" w:rsidRDefault="00D747D0" w:rsidP="00D64467">
      <w:pPr>
        <w:spacing w:line="240" w:lineRule="auto"/>
        <w:ind w:left="2124" w:firstLine="708"/>
        <w:rPr>
          <w:rFonts w:ascii="Times New Roman" w:hAnsi="Times New Roman" w:cs="Times New Roman"/>
          <w:sz w:val="24"/>
          <w:szCs w:val="24"/>
        </w:rPr>
      </w:pPr>
    </w:p>
    <w:p w14:paraId="72DC4E6A" w14:textId="77777777" w:rsidR="009B4D63" w:rsidRDefault="009B4D63" w:rsidP="00D64467">
      <w:pPr>
        <w:spacing w:line="240" w:lineRule="auto"/>
        <w:ind w:left="2124" w:firstLine="708"/>
        <w:rPr>
          <w:rFonts w:ascii="Times New Roman" w:hAnsi="Times New Roman" w:cs="Times New Roman"/>
          <w:sz w:val="24"/>
          <w:szCs w:val="24"/>
        </w:rPr>
      </w:pPr>
    </w:p>
    <w:p w14:paraId="6C58AE05" w14:textId="77777777" w:rsidR="009E437A" w:rsidRDefault="009E437A" w:rsidP="00D64467">
      <w:pPr>
        <w:spacing w:line="240" w:lineRule="auto"/>
        <w:ind w:left="2124" w:firstLine="708"/>
        <w:rPr>
          <w:rFonts w:ascii="Times New Roman" w:hAnsi="Times New Roman" w:cs="Times New Roman"/>
          <w:sz w:val="24"/>
          <w:szCs w:val="24"/>
        </w:rPr>
      </w:pPr>
    </w:p>
    <w:p w14:paraId="554CB371" w14:textId="77777777" w:rsidR="009E437A" w:rsidRDefault="009E437A" w:rsidP="00D64467">
      <w:pPr>
        <w:spacing w:line="240" w:lineRule="auto"/>
        <w:ind w:left="2124" w:firstLine="708"/>
        <w:rPr>
          <w:rFonts w:ascii="Times New Roman" w:hAnsi="Times New Roman" w:cs="Times New Roman"/>
          <w:sz w:val="24"/>
          <w:szCs w:val="24"/>
        </w:rPr>
      </w:pPr>
    </w:p>
    <w:p w14:paraId="0951F582" w14:textId="77777777" w:rsidR="009E437A" w:rsidRDefault="009E437A" w:rsidP="00D64467">
      <w:pPr>
        <w:spacing w:line="240" w:lineRule="auto"/>
        <w:ind w:left="2124" w:firstLine="708"/>
        <w:rPr>
          <w:rFonts w:ascii="Times New Roman" w:hAnsi="Times New Roman" w:cs="Times New Roman"/>
          <w:sz w:val="24"/>
          <w:szCs w:val="24"/>
        </w:rPr>
      </w:pPr>
    </w:p>
    <w:sdt>
      <w:sdtPr>
        <w:rPr>
          <w:rFonts w:ascii="Arial" w:hAnsi="Arial"/>
          <w:color w:val="000000" w:themeColor="text1"/>
          <w:kern w:val="2"/>
          <w:sz w:val="20"/>
          <w:szCs w:val="24"/>
          <w:lang w:val="es-ES" w:eastAsia="en-US"/>
          <w14:ligatures w14:val="standardContextual"/>
        </w:rPr>
        <w:id w:val="-575274852"/>
        <w:docPartObj>
          <w:docPartGallery w:val="Table of Contents"/>
          <w:docPartUnique/>
        </w:docPartObj>
      </w:sdtPr>
      <w:sdtEndPr/>
      <w:sdtContent>
        <w:p w14:paraId="472E5A10" w14:textId="6D6198CD" w:rsidR="0000218F" w:rsidRDefault="0000218F">
          <w:pPr>
            <w:pStyle w:val="TtuloTDC"/>
          </w:pPr>
          <w:r>
            <w:rPr>
              <w:lang w:val="es-ES"/>
            </w:rPr>
            <w:t>Tabla de contenido</w:t>
          </w:r>
        </w:p>
        <w:p w14:paraId="1ECF1495" w14:textId="3BF2372C" w:rsidR="00B60A0F" w:rsidRDefault="0000218F">
          <w:pPr>
            <w:pStyle w:val="TDC3"/>
            <w:tabs>
              <w:tab w:val="right" w:leader="dot" w:pos="8828"/>
            </w:tabs>
            <w:rPr>
              <w:rFonts w:eastAsiaTheme="minorEastAsia"/>
              <w:noProof/>
              <w:sz w:val="24"/>
              <w:szCs w:val="24"/>
              <w:lang w:eastAsia="es-CO"/>
            </w:rPr>
          </w:pPr>
          <w:r>
            <w:fldChar w:fldCharType="begin"/>
          </w:r>
          <w:r>
            <w:instrText xml:space="preserve"> TOC \o "1-3" \h \z \u </w:instrText>
          </w:r>
          <w:r>
            <w:fldChar w:fldCharType="separate"/>
          </w:r>
          <w:hyperlink w:anchor="_Toc230185815" w:history="1">
            <w:r w:rsidR="00B60A0F" w:rsidRPr="00886353">
              <w:rPr>
                <w:rStyle w:val="Hipervnculo"/>
                <w:rFonts w:ascii="Times New Roman" w:hAnsi="Times New Roman" w:cs="Times New Roman"/>
                <w:b/>
                <w:bCs/>
                <w:noProof/>
              </w:rPr>
              <w:t>Nota 1. ACTIVOS</w:t>
            </w:r>
            <w:r w:rsidR="00B60A0F">
              <w:rPr>
                <w:noProof/>
                <w:webHidden/>
              </w:rPr>
              <w:tab/>
            </w:r>
            <w:r w:rsidR="00B60A0F">
              <w:rPr>
                <w:noProof/>
                <w:webHidden/>
              </w:rPr>
              <w:fldChar w:fldCharType="begin"/>
            </w:r>
            <w:r w:rsidR="00B60A0F">
              <w:rPr>
                <w:noProof/>
                <w:webHidden/>
              </w:rPr>
              <w:instrText xml:space="preserve"> PAGEREF _Toc230185815 \h </w:instrText>
            </w:r>
            <w:r w:rsidR="00B60A0F">
              <w:rPr>
                <w:noProof/>
                <w:webHidden/>
              </w:rPr>
            </w:r>
            <w:r w:rsidR="00B60A0F">
              <w:rPr>
                <w:noProof/>
                <w:webHidden/>
              </w:rPr>
              <w:fldChar w:fldCharType="separate"/>
            </w:r>
            <w:r w:rsidR="00C42C82">
              <w:rPr>
                <w:noProof/>
                <w:webHidden/>
              </w:rPr>
              <w:t>3</w:t>
            </w:r>
            <w:r w:rsidR="00B60A0F">
              <w:rPr>
                <w:noProof/>
                <w:webHidden/>
              </w:rPr>
              <w:fldChar w:fldCharType="end"/>
            </w:r>
          </w:hyperlink>
        </w:p>
        <w:p w14:paraId="09554A42" w14:textId="29CFD940" w:rsidR="00B60A0F" w:rsidRDefault="00B60A0F">
          <w:pPr>
            <w:pStyle w:val="TDC3"/>
            <w:tabs>
              <w:tab w:val="right" w:leader="dot" w:pos="8828"/>
            </w:tabs>
            <w:rPr>
              <w:rFonts w:eastAsiaTheme="minorEastAsia"/>
              <w:noProof/>
              <w:sz w:val="24"/>
              <w:szCs w:val="24"/>
              <w:lang w:eastAsia="es-CO"/>
            </w:rPr>
          </w:pPr>
          <w:hyperlink w:anchor="_Toc230185816" w:history="1">
            <w:r w:rsidRPr="00886353">
              <w:rPr>
                <w:rStyle w:val="Hipervnculo"/>
                <w:rFonts w:ascii="Times New Roman" w:hAnsi="Times New Roman" w:cs="Times New Roman"/>
                <w:b/>
                <w:bCs/>
                <w:noProof/>
              </w:rPr>
              <w:t>Efectivo y equivalentes al efectivo</w:t>
            </w:r>
            <w:r>
              <w:rPr>
                <w:noProof/>
                <w:webHidden/>
              </w:rPr>
              <w:tab/>
            </w:r>
            <w:r>
              <w:rPr>
                <w:noProof/>
                <w:webHidden/>
              </w:rPr>
              <w:fldChar w:fldCharType="begin"/>
            </w:r>
            <w:r>
              <w:rPr>
                <w:noProof/>
                <w:webHidden/>
              </w:rPr>
              <w:instrText xml:space="preserve"> PAGEREF _Toc230185816 \h </w:instrText>
            </w:r>
            <w:r>
              <w:rPr>
                <w:noProof/>
                <w:webHidden/>
              </w:rPr>
            </w:r>
            <w:r>
              <w:rPr>
                <w:noProof/>
                <w:webHidden/>
              </w:rPr>
              <w:fldChar w:fldCharType="separate"/>
            </w:r>
            <w:r w:rsidR="00C42C82">
              <w:rPr>
                <w:noProof/>
                <w:webHidden/>
              </w:rPr>
              <w:t>3</w:t>
            </w:r>
            <w:r>
              <w:rPr>
                <w:noProof/>
                <w:webHidden/>
              </w:rPr>
              <w:fldChar w:fldCharType="end"/>
            </w:r>
          </w:hyperlink>
        </w:p>
        <w:p w14:paraId="280E8D4F" w14:textId="703C4D63" w:rsidR="00B60A0F" w:rsidRDefault="00B60A0F">
          <w:pPr>
            <w:pStyle w:val="TDC3"/>
            <w:tabs>
              <w:tab w:val="right" w:leader="dot" w:pos="8828"/>
            </w:tabs>
            <w:rPr>
              <w:rFonts w:eastAsiaTheme="minorEastAsia"/>
              <w:noProof/>
              <w:sz w:val="24"/>
              <w:szCs w:val="24"/>
              <w:lang w:eastAsia="es-CO"/>
            </w:rPr>
          </w:pPr>
          <w:hyperlink w:anchor="_Toc230185817" w:history="1">
            <w:r w:rsidRPr="00886353">
              <w:rPr>
                <w:rStyle w:val="Hipervnculo"/>
                <w:rFonts w:ascii="Times New Roman" w:hAnsi="Times New Roman" w:cs="Times New Roman"/>
                <w:b/>
                <w:bCs/>
                <w:noProof/>
              </w:rPr>
              <w:t>Cuentas por cobrar</w:t>
            </w:r>
            <w:r>
              <w:rPr>
                <w:noProof/>
                <w:webHidden/>
              </w:rPr>
              <w:tab/>
            </w:r>
            <w:r>
              <w:rPr>
                <w:noProof/>
                <w:webHidden/>
              </w:rPr>
              <w:fldChar w:fldCharType="begin"/>
            </w:r>
            <w:r>
              <w:rPr>
                <w:noProof/>
                <w:webHidden/>
              </w:rPr>
              <w:instrText xml:space="preserve"> PAGEREF _Toc230185817 \h </w:instrText>
            </w:r>
            <w:r>
              <w:rPr>
                <w:noProof/>
                <w:webHidden/>
              </w:rPr>
            </w:r>
            <w:r>
              <w:rPr>
                <w:noProof/>
                <w:webHidden/>
              </w:rPr>
              <w:fldChar w:fldCharType="separate"/>
            </w:r>
            <w:r w:rsidR="00C42C82">
              <w:rPr>
                <w:noProof/>
                <w:webHidden/>
              </w:rPr>
              <w:t>4</w:t>
            </w:r>
            <w:r>
              <w:rPr>
                <w:noProof/>
                <w:webHidden/>
              </w:rPr>
              <w:fldChar w:fldCharType="end"/>
            </w:r>
          </w:hyperlink>
        </w:p>
        <w:p w14:paraId="514FE68A" w14:textId="2917C522" w:rsidR="00B60A0F" w:rsidRDefault="00B60A0F">
          <w:pPr>
            <w:pStyle w:val="TDC3"/>
            <w:tabs>
              <w:tab w:val="right" w:leader="dot" w:pos="8828"/>
            </w:tabs>
            <w:rPr>
              <w:rFonts w:eastAsiaTheme="minorEastAsia"/>
              <w:noProof/>
              <w:sz w:val="24"/>
              <w:szCs w:val="24"/>
              <w:lang w:eastAsia="es-CO"/>
            </w:rPr>
          </w:pPr>
          <w:hyperlink w:anchor="_Toc230185818" w:history="1">
            <w:r w:rsidRPr="00886353">
              <w:rPr>
                <w:rStyle w:val="Hipervnculo"/>
                <w:rFonts w:ascii="Times New Roman" w:hAnsi="Times New Roman" w:cs="Times New Roman"/>
                <w:b/>
                <w:bCs/>
                <w:noProof/>
              </w:rPr>
              <w:t>Propiedades, planta y equipo</w:t>
            </w:r>
            <w:r>
              <w:rPr>
                <w:noProof/>
                <w:webHidden/>
              </w:rPr>
              <w:tab/>
            </w:r>
            <w:r>
              <w:rPr>
                <w:noProof/>
                <w:webHidden/>
              </w:rPr>
              <w:fldChar w:fldCharType="begin"/>
            </w:r>
            <w:r>
              <w:rPr>
                <w:noProof/>
                <w:webHidden/>
              </w:rPr>
              <w:instrText xml:space="preserve"> PAGEREF _Toc230185818 \h </w:instrText>
            </w:r>
            <w:r>
              <w:rPr>
                <w:noProof/>
                <w:webHidden/>
              </w:rPr>
            </w:r>
            <w:r>
              <w:rPr>
                <w:noProof/>
                <w:webHidden/>
              </w:rPr>
              <w:fldChar w:fldCharType="separate"/>
            </w:r>
            <w:r w:rsidR="00C42C82">
              <w:rPr>
                <w:noProof/>
                <w:webHidden/>
              </w:rPr>
              <w:t>4</w:t>
            </w:r>
            <w:r>
              <w:rPr>
                <w:noProof/>
                <w:webHidden/>
              </w:rPr>
              <w:fldChar w:fldCharType="end"/>
            </w:r>
          </w:hyperlink>
        </w:p>
        <w:p w14:paraId="014C29FB" w14:textId="60A09A05" w:rsidR="00B60A0F" w:rsidRDefault="00B60A0F">
          <w:pPr>
            <w:pStyle w:val="TDC3"/>
            <w:tabs>
              <w:tab w:val="right" w:leader="dot" w:pos="8828"/>
            </w:tabs>
            <w:rPr>
              <w:rFonts w:eastAsiaTheme="minorEastAsia"/>
              <w:noProof/>
              <w:sz w:val="24"/>
              <w:szCs w:val="24"/>
              <w:lang w:eastAsia="es-CO"/>
            </w:rPr>
          </w:pPr>
          <w:hyperlink w:anchor="_Toc230185819" w:history="1">
            <w:r w:rsidRPr="00886353">
              <w:rPr>
                <w:rStyle w:val="Hipervnculo"/>
                <w:rFonts w:ascii="Times New Roman" w:hAnsi="Times New Roman" w:cs="Times New Roman"/>
                <w:b/>
                <w:bCs/>
                <w:noProof/>
              </w:rPr>
              <w:t>Bienes de uso público e históricos y culturales</w:t>
            </w:r>
            <w:r>
              <w:rPr>
                <w:noProof/>
                <w:webHidden/>
              </w:rPr>
              <w:tab/>
            </w:r>
            <w:r>
              <w:rPr>
                <w:noProof/>
                <w:webHidden/>
              </w:rPr>
              <w:fldChar w:fldCharType="begin"/>
            </w:r>
            <w:r>
              <w:rPr>
                <w:noProof/>
                <w:webHidden/>
              </w:rPr>
              <w:instrText xml:space="preserve"> PAGEREF _Toc230185819 \h </w:instrText>
            </w:r>
            <w:r>
              <w:rPr>
                <w:noProof/>
                <w:webHidden/>
              </w:rPr>
            </w:r>
            <w:r>
              <w:rPr>
                <w:noProof/>
                <w:webHidden/>
              </w:rPr>
              <w:fldChar w:fldCharType="separate"/>
            </w:r>
            <w:r w:rsidR="00C42C82">
              <w:rPr>
                <w:noProof/>
                <w:webHidden/>
              </w:rPr>
              <w:t>4</w:t>
            </w:r>
            <w:r>
              <w:rPr>
                <w:noProof/>
                <w:webHidden/>
              </w:rPr>
              <w:fldChar w:fldCharType="end"/>
            </w:r>
          </w:hyperlink>
        </w:p>
        <w:p w14:paraId="61F34099" w14:textId="4E23A953" w:rsidR="00B60A0F" w:rsidRDefault="00B60A0F">
          <w:pPr>
            <w:pStyle w:val="TDC3"/>
            <w:tabs>
              <w:tab w:val="right" w:leader="dot" w:pos="8828"/>
            </w:tabs>
            <w:rPr>
              <w:rFonts w:eastAsiaTheme="minorEastAsia"/>
              <w:noProof/>
              <w:sz w:val="24"/>
              <w:szCs w:val="24"/>
              <w:lang w:eastAsia="es-CO"/>
            </w:rPr>
          </w:pPr>
          <w:hyperlink w:anchor="_Toc230185820" w:history="1">
            <w:r w:rsidRPr="00886353">
              <w:rPr>
                <w:rStyle w:val="Hipervnculo"/>
                <w:rFonts w:ascii="Times New Roman" w:hAnsi="Times New Roman" w:cs="Times New Roman"/>
                <w:b/>
                <w:bCs/>
                <w:noProof/>
              </w:rPr>
              <w:t>Otros activos</w:t>
            </w:r>
            <w:r>
              <w:rPr>
                <w:noProof/>
                <w:webHidden/>
              </w:rPr>
              <w:tab/>
            </w:r>
            <w:r>
              <w:rPr>
                <w:noProof/>
                <w:webHidden/>
              </w:rPr>
              <w:fldChar w:fldCharType="begin"/>
            </w:r>
            <w:r>
              <w:rPr>
                <w:noProof/>
                <w:webHidden/>
              </w:rPr>
              <w:instrText xml:space="preserve"> PAGEREF _Toc230185820 \h </w:instrText>
            </w:r>
            <w:r>
              <w:rPr>
                <w:noProof/>
                <w:webHidden/>
              </w:rPr>
            </w:r>
            <w:r>
              <w:rPr>
                <w:noProof/>
                <w:webHidden/>
              </w:rPr>
              <w:fldChar w:fldCharType="separate"/>
            </w:r>
            <w:r w:rsidR="00C42C82">
              <w:rPr>
                <w:noProof/>
                <w:webHidden/>
              </w:rPr>
              <w:t>9</w:t>
            </w:r>
            <w:r>
              <w:rPr>
                <w:noProof/>
                <w:webHidden/>
              </w:rPr>
              <w:fldChar w:fldCharType="end"/>
            </w:r>
          </w:hyperlink>
        </w:p>
        <w:p w14:paraId="4C021330" w14:textId="7BC31800" w:rsidR="00B60A0F" w:rsidRDefault="00B60A0F">
          <w:pPr>
            <w:pStyle w:val="TDC3"/>
            <w:tabs>
              <w:tab w:val="right" w:leader="dot" w:pos="8828"/>
            </w:tabs>
            <w:rPr>
              <w:rFonts w:eastAsiaTheme="minorEastAsia"/>
              <w:noProof/>
              <w:sz w:val="24"/>
              <w:szCs w:val="24"/>
              <w:lang w:eastAsia="es-CO"/>
            </w:rPr>
          </w:pPr>
          <w:hyperlink w:anchor="_Toc230185821" w:history="1">
            <w:r w:rsidRPr="00886353">
              <w:rPr>
                <w:rStyle w:val="Hipervnculo"/>
                <w:rFonts w:ascii="Times New Roman" w:hAnsi="Times New Roman" w:cs="Times New Roman"/>
                <w:b/>
                <w:bCs/>
                <w:noProof/>
              </w:rPr>
              <w:t>Nota 2. PASIVOS</w:t>
            </w:r>
            <w:r>
              <w:rPr>
                <w:noProof/>
                <w:webHidden/>
              </w:rPr>
              <w:tab/>
            </w:r>
            <w:r>
              <w:rPr>
                <w:noProof/>
                <w:webHidden/>
              </w:rPr>
              <w:fldChar w:fldCharType="begin"/>
            </w:r>
            <w:r>
              <w:rPr>
                <w:noProof/>
                <w:webHidden/>
              </w:rPr>
              <w:instrText xml:space="preserve"> PAGEREF _Toc230185821 \h </w:instrText>
            </w:r>
            <w:r>
              <w:rPr>
                <w:noProof/>
                <w:webHidden/>
              </w:rPr>
            </w:r>
            <w:r>
              <w:rPr>
                <w:noProof/>
                <w:webHidden/>
              </w:rPr>
              <w:fldChar w:fldCharType="separate"/>
            </w:r>
            <w:r w:rsidR="00C42C82">
              <w:rPr>
                <w:noProof/>
                <w:webHidden/>
              </w:rPr>
              <w:t>19</w:t>
            </w:r>
            <w:r>
              <w:rPr>
                <w:noProof/>
                <w:webHidden/>
              </w:rPr>
              <w:fldChar w:fldCharType="end"/>
            </w:r>
          </w:hyperlink>
        </w:p>
        <w:p w14:paraId="06A6E312" w14:textId="769178A4" w:rsidR="00B60A0F" w:rsidRDefault="00B60A0F">
          <w:pPr>
            <w:pStyle w:val="TDC3"/>
            <w:tabs>
              <w:tab w:val="right" w:leader="dot" w:pos="8828"/>
            </w:tabs>
            <w:rPr>
              <w:rFonts w:eastAsiaTheme="minorEastAsia"/>
              <w:noProof/>
              <w:sz w:val="24"/>
              <w:szCs w:val="24"/>
              <w:lang w:eastAsia="es-CO"/>
            </w:rPr>
          </w:pPr>
          <w:hyperlink w:anchor="_Toc230185822" w:history="1">
            <w:r w:rsidRPr="00886353">
              <w:rPr>
                <w:rStyle w:val="Hipervnculo"/>
                <w:rFonts w:ascii="Times New Roman" w:hAnsi="Times New Roman" w:cs="Times New Roman"/>
                <w:b/>
                <w:bCs/>
                <w:noProof/>
              </w:rPr>
              <w:t>Nota 3. PATRIMONIO</w:t>
            </w:r>
            <w:r>
              <w:rPr>
                <w:noProof/>
                <w:webHidden/>
              </w:rPr>
              <w:tab/>
            </w:r>
            <w:r>
              <w:rPr>
                <w:noProof/>
                <w:webHidden/>
              </w:rPr>
              <w:fldChar w:fldCharType="begin"/>
            </w:r>
            <w:r>
              <w:rPr>
                <w:noProof/>
                <w:webHidden/>
              </w:rPr>
              <w:instrText xml:space="preserve"> PAGEREF _Toc230185822 \h </w:instrText>
            </w:r>
            <w:r>
              <w:rPr>
                <w:noProof/>
                <w:webHidden/>
              </w:rPr>
            </w:r>
            <w:r>
              <w:rPr>
                <w:noProof/>
                <w:webHidden/>
              </w:rPr>
              <w:fldChar w:fldCharType="separate"/>
            </w:r>
            <w:r w:rsidR="00C42C82">
              <w:rPr>
                <w:noProof/>
                <w:webHidden/>
              </w:rPr>
              <w:t>21</w:t>
            </w:r>
            <w:r>
              <w:rPr>
                <w:noProof/>
                <w:webHidden/>
              </w:rPr>
              <w:fldChar w:fldCharType="end"/>
            </w:r>
          </w:hyperlink>
        </w:p>
        <w:p w14:paraId="4B61D9B8" w14:textId="11360C32" w:rsidR="00B60A0F" w:rsidRDefault="00B60A0F">
          <w:pPr>
            <w:pStyle w:val="TDC3"/>
            <w:tabs>
              <w:tab w:val="right" w:leader="dot" w:pos="8828"/>
            </w:tabs>
            <w:rPr>
              <w:rFonts w:eastAsiaTheme="minorEastAsia"/>
              <w:noProof/>
              <w:sz w:val="24"/>
              <w:szCs w:val="24"/>
              <w:lang w:eastAsia="es-CO"/>
            </w:rPr>
          </w:pPr>
          <w:hyperlink w:anchor="_Toc230185823" w:history="1">
            <w:r w:rsidRPr="00886353">
              <w:rPr>
                <w:rStyle w:val="Hipervnculo"/>
                <w:rFonts w:ascii="Times New Roman" w:hAnsi="Times New Roman" w:cs="Times New Roman"/>
                <w:b/>
                <w:bCs/>
                <w:noProof/>
              </w:rPr>
              <w:t>Nota 4. INGRESOS</w:t>
            </w:r>
            <w:r>
              <w:rPr>
                <w:noProof/>
                <w:webHidden/>
              </w:rPr>
              <w:tab/>
            </w:r>
            <w:r>
              <w:rPr>
                <w:noProof/>
                <w:webHidden/>
              </w:rPr>
              <w:fldChar w:fldCharType="begin"/>
            </w:r>
            <w:r>
              <w:rPr>
                <w:noProof/>
                <w:webHidden/>
              </w:rPr>
              <w:instrText xml:space="preserve"> PAGEREF _Toc230185823 \h </w:instrText>
            </w:r>
            <w:r>
              <w:rPr>
                <w:noProof/>
                <w:webHidden/>
              </w:rPr>
            </w:r>
            <w:r>
              <w:rPr>
                <w:noProof/>
                <w:webHidden/>
              </w:rPr>
              <w:fldChar w:fldCharType="separate"/>
            </w:r>
            <w:r w:rsidR="00C42C82">
              <w:rPr>
                <w:noProof/>
                <w:webHidden/>
              </w:rPr>
              <w:t>23</w:t>
            </w:r>
            <w:r>
              <w:rPr>
                <w:noProof/>
                <w:webHidden/>
              </w:rPr>
              <w:fldChar w:fldCharType="end"/>
            </w:r>
          </w:hyperlink>
        </w:p>
        <w:p w14:paraId="03EA39D2" w14:textId="528A9607" w:rsidR="00B60A0F" w:rsidRDefault="00B60A0F">
          <w:pPr>
            <w:pStyle w:val="TDC3"/>
            <w:tabs>
              <w:tab w:val="right" w:leader="dot" w:pos="8828"/>
            </w:tabs>
            <w:rPr>
              <w:rFonts w:eastAsiaTheme="minorEastAsia"/>
              <w:noProof/>
              <w:sz w:val="24"/>
              <w:szCs w:val="24"/>
              <w:lang w:eastAsia="es-CO"/>
            </w:rPr>
          </w:pPr>
          <w:hyperlink w:anchor="_Toc230185824" w:history="1">
            <w:r w:rsidRPr="00886353">
              <w:rPr>
                <w:rStyle w:val="Hipervnculo"/>
                <w:b/>
                <w:bCs/>
                <w:noProof/>
              </w:rPr>
              <w:t>Operaciones Interinstitucionales</w:t>
            </w:r>
            <w:r>
              <w:rPr>
                <w:noProof/>
                <w:webHidden/>
              </w:rPr>
              <w:tab/>
            </w:r>
            <w:r>
              <w:rPr>
                <w:noProof/>
                <w:webHidden/>
              </w:rPr>
              <w:fldChar w:fldCharType="begin"/>
            </w:r>
            <w:r>
              <w:rPr>
                <w:noProof/>
                <w:webHidden/>
              </w:rPr>
              <w:instrText xml:space="preserve"> PAGEREF _Toc230185824 \h </w:instrText>
            </w:r>
            <w:r>
              <w:rPr>
                <w:noProof/>
                <w:webHidden/>
              </w:rPr>
            </w:r>
            <w:r>
              <w:rPr>
                <w:noProof/>
                <w:webHidden/>
              </w:rPr>
              <w:fldChar w:fldCharType="separate"/>
            </w:r>
            <w:r w:rsidR="00C42C82">
              <w:rPr>
                <w:noProof/>
                <w:webHidden/>
              </w:rPr>
              <w:t>24</w:t>
            </w:r>
            <w:r>
              <w:rPr>
                <w:noProof/>
                <w:webHidden/>
              </w:rPr>
              <w:fldChar w:fldCharType="end"/>
            </w:r>
          </w:hyperlink>
        </w:p>
        <w:p w14:paraId="4BB8D5D3" w14:textId="0C2F8EDE" w:rsidR="00B60A0F" w:rsidRDefault="00B60A0F">
          <w:pPr>
            <w:pStyle w:val="TDC3"/>
            <w:tabs>
              <w:tab w:val="right" w:leader="dot" w:pos="8828"/>
            </w:tabs>
            <w:rPr>
              <w:rFonts w:eastAsiaTheme="minorEastAsia"/>
              <w:noProof/>
              <w:sz w:val="24"/>
              <w:szCs w:val="24"/>
              <w:lang w:eastAsia="es-CO"/>
            </w:rPr>
          </w:pPr>
          <w:hyperlink w:anchor="_Toc230185825" w:history="1">
            <w:r w:rsidRPr="00886353">
              <w:rPr>
                <w:rStyle w:val="Hipervnculo"/>
                <w:b/>
                <w:bCs/>
                <w:noProof/>
              </w:rPr>
              <w:t>Otros ingresos</w:t>
            </w:r>
            <w:r>
              <w:rPr>
                <w:noProof/>
                <w:webHidden/>
              </w:rPr>
              <w:tab/>
            </w:r>
            <w:r>
              <w:rPr>
                <w:noProof/>
                <w:webHidden/>
              </w:rPr>
              <w:fldChar w:fldCharType="begin"/>
            </w:r>
            <w:r>
              <w:rPr>
                <w:noProof/>
                <w:webHidden/>
              </w:rPr>
              <w:instrText xml:space="preserve"> PAGEREF _Toc230185825 \h </w:instrText>
            </w:r>
            <w:r>
              <w:rPr>
                <w:noProof/>
                <w:webHidden/>
              </w:rPr>
            </w:r>
            <w:r>
              <w:rPr>
                <w:noProof/>
                <w:webHidden/>
              </w:rPr>
              <w:fldChar w:fldCharType="separate"/>
            </w:r>
            <w:r w:rsidR="00C42C82">
              <w:rPr>
                <w:noProof/>
                <w:webHidden/>
              </w:rPr>
              <w:t>25</w:t>
            </w:r>
            <w:r>
              <w:rPr>
                <w:noProof/>
                <w:webHidden/>
              </w:rPr>
              <w:fldChar w:fldCharType="end"/>
            </w:r>
          </w:hyperlink>
        </w:p>
        <w:p w14:paraId="0CEFE3C3" w14:textId="6D3CCDBC" w:rsidR="00B60A0F" w:rsidRDefault="00B60A0F">
          <w:pPr>
            <w:pStyle w:val="TDC3"/>
            <w:tabs>
              <w:tab w:val="right" w:leader="dot" w:pos="8828"/>
            </w:tabs>
            <w:rPr>
              <w:rFonts w:eastAsiaTheme="minorEastAsia"/>
              <w:noProof/>
              <w:sz w:val="24"/>
              <w:szCs w:val="24"/>
              <w:lang w:eastAsia="es-CO"/>
            </w:rPr>
          </w:pPr>
          <w:hyperlink w:anchor="_Toc230185826" w:history="1">
            <w:r w:rsidRPr="00886353">
              <w:rPr>
                <w:rStyle w:val="Hipervnculo"/>
                <w:rFonts w:ascii="Times New Roman" w:hAnsi="Times New Roman" w:cs="Times New Roman"/>
                <w:b/>
                <w:bCs/>
                <w:noProof/>
              </w:rPr>
              <w:t>Ingresos Fiscales</w:t>
            </w:r>
            <w:r>
              <w:rPr>
                <w:noProof/>
                <w:webHidden/>
              </w:rPr>
              <w:tab/>
            </w:r>
            <w:r>
              <w:rPr>
                <w:noProof/>
                <w:webHidden/>
              </w:rPr>
              <w:fldChar w:fldCharType="begin"/>
            </w:r>
            <w:r>
              <w:rPr>
                <w:noProof/>
                <w:webHidden/>
              </w:rPr>
              <w:instrText xml:space="preserve"> PAGEREF _Toc230185826 \h </w:instrText>
            </w:r>
            <w:r>
              <w:rPr>
                <w:noProof/>
                <w:webHidden/>
              </w:rPr>
            </w:r>
            <w:r>
              <w:rPr>
                <w:noProof/>
                <w:webHidden/>
              </w:rPr>
              <w:fldChar w:fldCharType="separate"/>
            </w:r>
            <w:r w:rsidR="00C42C82">
              <w:rPr>
                <w:noProof/>
                <w:webHidden/>
              </w:rPr>
              <w:t>25</w:t>
            </w:r>
            <w:r>
              <w:rPr>
                <w:noProof/>
                <w:webHidden/>
              </w:rPr>
              <w:fldChar w:fldCharType="end"/>
            </w:r>
          </w:hyperlink>
        </w:p>
        <w:p w14:paraId="6A0156BA" w14:textId="2D127AF2" w:rsidR="00B60A0F" w:rsidRDefault="00B60A0F">
          <w:pPr>
            <w:pStyle w:val="TDC3"/>
            <w:tabs>
              <w:tab w:val="right" w:leader="dot" w:pos="8828"/>
            </w:tabs>
            <w:rPr>
              <w:rFonts w:eastAsiaTheme="minorEastAsia"/>
              <w:noProof/>
              <w:sz w:val="24"/>
              <w:szCs w:val="24"/>
              <w:lang w:eastAsia="es-CO"/>
            </w:rPr>
          </w:pPr>
          <w:hyperlink w:anchor="_Toc230185827" w:history="1">
            <w:r w:rsidRPr="00886353">
              <w:rPr>
                <w:rStyle w:val="Hipervnculo"/>
                <w:rFonts w:ascii="Times New Roman" w:hAnsi="Times New Roman" w:cs="Times New Roman"/>
                <w:b/>
                <w:bCs/>
                <w:noProof/>
              </w:rPr>
              <w:t>Nota 5. GASTOS</w:t>
            </w:r>
            <w:r>
              <w:rPr>
                <w:noProof/>
                <w:webHidden/>
              </w:rPr>
              <w:tab/>
            </w:r>
            <w:r>
              <w:rPr>
                <w:noProof/>
                <w:webHidden/>
              </w:rPr>
              <w:fldChar w:fldCharType="begin"/>
            </w:r>
            <w:r>
              <w:rPr>
                <w:noProof/>
                <w:webHidden/>
              </w:rPr>
              <w:instrText xml:space="preserve"> PAGEREF _Toc230185827 \h </w:instrText>
            </w:r>
            <w:r>
              <w:rPr>
                <w:noProof/>
                <w:webHidden/>
              </w:rPr>
            </w:r>
            <w:r>
              <w:rPr>
                <w:noProof/>
                <w:webHidden/>
              </w:rPr>
              <w:fldChar w:fldCharType="separate"/>
            </w:r>
            <w:r w:rsidR="00C42C82">
              <w:rPr>
                <w:noProof/>
                <w:webHidden/>
              </w:rPr>
              <w:t>32</w:t>
            </w:r>
            <w:r>
              <w:rPr>
                <w:noProof/>
                <w:webHidden/>
              </w:rPr>
              <w:fldChar w:fldCharType="end"/>
            </w:r>
          </w:hyperlink>
        </w:p>
        <w:p w14:paraId="506901D3" w14:textId="5214459B" w:rsidR="00B60A0F" w:rsidRDefault="00B60A0F">
          <w:pPr>
            <w:pStyle w:val="TDC3"/>
            <w:tabs>
              <w:tab w:val="right" w:leader="dot" w:pos="8828"/>
            </w:tabs>
            <w:rPr>
              <w:rFonts w:eastAsiaTheme="minorEastAsia"/>
              <w:noProof/>
              <w:sz w:val="24"/>
              <w:szCs w:val="24"/>
              <w:lang w:eastAsia="es-CO"/>
            </w:rPr>
          </w:pPr>
          <w:hyperlink w:anchor="_Toc230185828" w:history="1">
            <w:r w:rsidRPr="00886353">
              <w:rPr>
                <w:rStyle w:val="Hipervnculo"/>
                <w:rFonts w:ascii="Times New Roman" w:hAnsi="Times New Roman" w:cs="Times New Roman"/>
                <w:b/>
                <w:bCs/>
                <w:noProof/>
              </w:rPr>
              <w:t>Nota 6. CUENTAS DE ORDEN DEUDORAS</w:t>
            </w:r>
            <w:r>
              <w:rPr>
                <w:noProof/>
                <w:webHidden/>
              </w:rPr>
              <w:tab/>
            </w:r>
            <w:r>
              <w:rPr>
                <w:noProof/>
                <w:webHidden/>
              </w:rPr>
              <w:fldChar w:fldCharType="begin"/>
            </w:r>
            <w:r>
              <w:rPr>
                <w:noProof/>
                <w:webHidden/>
              </w:rPr>
              <w:instrText xml:space="preserve"> PAGEREF _Toc230185828 \h </w:instrText>
            </w:r>
            <w:r>
              <w:rPr>
                <w:noProof/>
                <w:webHidden/>
              </w:rPr>
            </w:r>
            <w:r>
              <w:rPr>
                <w:noProof/>
                <w:webHidden/>
              </w:rPr>
              <w:fldChar w:fldCharType="separate"/>
            </w:r>
            <w:r w:rsidR="00C42C82">
              <w:rPr>
                <w:noProof/>
                <w:webHidden/>
              </w:rPr>
              <w:t>34</w:t>
            </w:r>
            <w:r>
              <w:rPr>
                <w:noProof/>
                <w:webHidden/>
              </w:rPr>
              <w:fldChar w:fldCharType="end"/>
            </w:r>
          </w:hyperlink>
        </w:p>
        <w:p w14:paraId="6777D6D7" w14:textId="37A1C1BA" w:rsidR="00B60A0F" w:rsidRDefault="00B60A0F">
          <w:pPr>
            <w:pStyle w:val="TDC3"/>
            <w:tabs>
              <w:tab w:val="right" w:leader="dot" w:pos="8828"/>
            </w:tabs>
            <w:rPr>
              <w:rFonts w:eastAsiaTheme="minorEastAsia"/>
              <w:noProof/>
              <w:sz w:val="24"/>
              <w:szCs w:val="24"/>
              <w:lang w:eastAsia="es-CO"/>
            </w:rPr>
          </w:pPr>
          <w:hyperlink w:anchor="_Toc230185829" w:history="1">
            <w:r w:rsidRPr="00886353">
              <w:rPr>
                <w:rStyle w:val="Hipervnculo"/>
                <w:rFonts w:ascii="Times New Roman" w:hAnsi="Times New Roman" w:cs="Times New Roman"/>
                <w:b/>
                <w:bCs/>
                <w:noProof/>
              </w:rPr>
              <w:t>Deudoras</w:t>
            </w:r>
            <w:r>
              <w:rPr>
                <w:noProof/>
                <w:webHidden/>
              </w:rPr>
              <w:tab/>
            </w:r>
            <w:r>
              <w:rPr>
                <w:noProof/>
                <w:webHidden/>
              </w:rPr>
              <w:fldChar w:fldCharType="begin"/>
            </w:r>
            <w:r>
              <w:rPr>
                <w:noProof/>
                <w:webHidden/>
              </w:rPr>
              <w:instrText xml:space="preserve"> PAGEREF _Toc230185829 \h </w:instrText>
            </w:r>
            <w:r>
              <w:rPr>
                <w:noProof/>
                <w:webHidden/>
              </w:rPr>
            </w:r>
            <w:r>
              <w:rPr>
                <w:noProof/>
                <w:webHidden/>
              </w:rPr>
              <w:fldChar w:fldCharType="separate"/>
            </w:r>
            <w:r w:rsidR="00C42C82">
              <w:rPr>
                <w:noProof/>
                <w:webHidden/>
              </w:rPr>
              <w:t>34</w:t>
            </w:r>
            <w:r>
              <w:rPr>
                <w:noProof/>
                <w:webHidden/>
              </w:rPr>
              <w:fldChar w:fldCharType="end"/>
            </w:r>
          </w:hyperlink>
        </w:p>
        <w:p w14:paraId="7B79D21D" w14:textId="197CF29E" w:rsidR="00B60A0F" w:rsidRDefault="00B60A0F">
          <w:pPr>
            <w:pStyle w:val="TDC3"/>
            <w:tabs>
              <w:tab w:val="right" w:leader="dot" w:pos="8828"/>
            </w:tabs>
            <w:rPr>
              <w:rFonts w:eastAsiaTheme="minorEastAsia"/>
              <w:noProof/>
              <w:sz w:val="24"/>
              <w:szCs w:val="24"/>
              <w:lang w:eastAsia="es-CO"/>
            </w:rPr>
          </w:pPr>
          <w:hyperlink w:anchor="_Toc230185830" w:history="1">
            <w:r w:rsidRPr="00886353">
              <w:rPr>
                <w:rStyle w:val="Hipervnculo"/>
                <w:rFonts w:ascii="Times New Roman" w:hAnsi="Times New Roman" w:cs="Times New Roman"/>
                <w:b/>
                <w:bCs/>
                <w:noProof/>
              </w:rPr>
              <w:t>Nota 7. CUENTAS DE ORDEN ACREEDORAS</w:t>
            </w:r>
            <w:r>
              <w:rPr>
                <w:noProof/>
                <w:webHidden/>
              </w:rPr>
              <w:tab/>
            </w:r>
            <w:r>
              <w:rPr>
                <w:noProof/>
                <w:webHidden/>
              </w:rPr>
              <w:fldChar w:fldCharType="begin"/>
            </w:r>
            <w:r>
              <w:rPr>
                <w:noProof/>
                <w:webHidden/>
              </w:rPr>
              <w:instrText xml:space="preserve"> PAGEREF _Toc230185830 \h </w:instrText>
            </w:r>
            <w:r>
              <w:rPr>
                <w:noProof/>
                <w:webHidden/>
              </w:rPr>
            </w:r>
            <w:r>
              <w:rPr>
                <w:noProof/>
                <w:webHidden/>
              </w:rPr>
              <w:fldChar w:fldCharType="separate"/>
            </w:r>
            <w:r w:rsidR="00C42C82">
              <w:rPr>
                <w:noProof/>
                <w:webHidden/>
              </w:rPr>
              <w:t>35</w:t>
            </w:r>
            <w:r>
              <w:rPr>
                <w:noProof/>
                <w:webHidden/>
              </w:rPr>
              <w:fldChar w:fldCharType="end"/>
            </w:r>
          </w:hyperlink>
        </w:p>
        <w:p w14:paraId="0B7EA4D7" w14:textId="2EA576D3" w:rsidR="00B60A0F" w:rsidRDefault="00B60A0F">
          <w:pPr>
            <w:pStyle w:val="TDC3"/>
            <w:tabs>
              <w:tab w:val="right" w:leader="dot" w:pos="8828"/>
            </w:tabs>
            <w:rPr>
              <w:rFonts w:eastAsiaTheme="minorEastAsia"/>
              <w:noProof/>
              <w:sz w:val="24"/>
              <w:szCs w:val="24"/>
              <w:lang w:eastAsia="es-CO"/>
            </w:rPr>
          </w:pPr>
          <w:hyperlink w:anchor="_Toc230185831" w:history="1">
            <w:r w:rsidRPr="00886353">
              <w:rPr>
                <w:rStyle w:val="Hipervnculo"/>
                <w:rFonts w:ascii="Times New Roman" w:hAnsi="Times New Roman" w:cs="Times New Roman"/>
                <w:b/>
                <w:bCs/>
                <w:noProof/>
              </w:rPr>
              <w:t>Acreedoras</w:t>
            </w:r>
            <w:r>
              <w:rPr>
                <w:noProof/>
                <w:webHidden/>
              </w:rPr>
              <w:tab/>
            </w:r>
            <w:r>
              <w:rPr>
                <w:noProof/>
                <w:webHidden/>
              </w:rPr>
              <w:fldChar w:fldCharType="begin"/>
            </w:r>
            <w:r>
              <w:rPr>
                <w:noProof/>
                <w:webHidden/>
              </w:rPr>
              <w:instrText xml:space="preserve"> PAGEREF _Toc230185831 \h </w:instrText>
            </w:r>
            <w:r>
              <w:rPr>
                <w:noProof/>
                <w:webHidden/>
              </w:rPr>
            </w:r>
            <w:r>
              <w:rPr>
                <w:noProof/>
                <w:webHidden/>
              </w:rPr>
              <w:fldChar w:fldCharType="separate"/>
            </w:r>
            <w:r w:rsidR="00C42C82">
              <w:rPr>
                <w:noProof/>
                <w:webHidden/>
              </w:rPr>
              <w:t>35</w:t>
            </w:r>
            <w:r>
              <w:rPr>
                <w:noProof/>
                <w:webHidden/>
              </w:rPr>
              <w:fldChar w:fldCharType="end"/>
            </w:r>
          </w:hyperlink>
        </w:p>
        <w:p w14:paraId="5841EBF5" w14:textId="14867ACA" w:rsidR="0000218F" w:rsidRDefault="0000218F" w:rsidP="00972F60">
          <w:pPr>
            <w:pStyle w:val="Ttulo3"/>
          </w:pPr>
          <w:r>
            <w:rPr>
              <w:lang w:val="es-ES"/>
            </w:rPr>
            <w:fldChar w:fldCharType="end"/>
          </w:r>
        </w:p>
      </w:sdtContent>
    </w:sdt>
    <w:p w14:paraId="5D3143AE" w14:textId="019CA118" w:rsidR="009E437A" w:rsidRPr="00AA7D9F" w:rsidRDefault="009E437A" w:rsidP="009E437A">
      <w:pPr>
        <w:spacing w:line="240" w:lineRule="auto"/>
        <w:rPr>
          <w:rFonts w:ascii="Times New Roman" w:hAnsi="Times New Roman" w:cs="Times New Roman"/>
          <w:sz w:val="24"/>
          <w:szCs w:val="24"/>
        </w:rPr>
      </w:pPr>
    </w:p>
    <w:p w14:paraId="44EC8E00" w14:textId="77777777" w:rsidR="009B4D63" w:rsidRDefault="009B4D63" w:rsidP="00D64467">
      <w:pPr>
        <w:spacing w:line="240" w:lineRule="auto"/>
        <w:ind w:left="2124" w:firstLine="708"/>
        <w:rPr>
          <w:rFonts w:ascii="Times New Roman" w:hAnsi="Times New Roman" w:cs="Times New Roman"/>
          <w:sz w:val="24"/>
          <w:szCs w:val="24"/>
        </w:rPr>
      </w:pPr>
    </w:p>
    <w:p w14:paraId="498C1435" w14:textId="77777777" w:rsidR="00A76DF2" w:rsidRDefault="00A76DF2" w:rsidP="00D64467">
      <w:pPr>
        <w:spacing w:line="240" w:lineRule="auto"/>
        <w:ind w:left="2124" w:firstLine="708"/>
        <w:rPr>
          <w:rFonts w:ascii="Times New Roman" w:hAnsi="Times New Roman" w:cs="Times New Roman"/>
          <w:sz w:val="24"/>
          <w:szCs w:val="24"/>
        </w:rPr>
      </w:pPr>
    </w:p>
    <w:p w14:paraId="3E304769" w14:textId="77777777" w:rsidR="007A49D9" w:rsidRDefault="007A49D9" w:rsidP="00D64467">
      <w:pPr>
        <w:spacing w:line="240" w:lineRule="auto"/>
        <w:ind w:left="2124" w:firstLine="708"/>
        <w:rPr>
          <w:rFonts w:ascii="Times New Roman" w:hAnsi="Times New Roman" w:cs="Times New Roman"/>
          <w:sz w:val="24"/>
          <w:szCs w:val="24"/>
        </w:rPr>
      </w:pPr>
    </w:p>
    <w:p w14:paraId="25FC7E97" w14:textId="77777777" w:rsidR="007A49D9" w:rsidRDefault="007A49D9" w:rsidP="00D64467">
      <w:pPr>
        <w:spacing w:line="240" w:lineRule="auto"/>
        <w:ind w:left="2124" w:firstLine="708"/>
        <w:rPr>
          <w:rFonts w:ascii="Times New Roman" w:hAnsi="Times New Roman" w:cs="Times New Roman"/>
          <w:sz w:val="24"/>
          <w:szCs w:val="24"/>
        </w:rPr>
      </w:pPr>
    </w:p>
    <w:p w14:paraId="74C2D401" w14:textId="77777777" w:rsidR="007A49D9" w:rsidRDefault="007A49D9" w:rsidP="00D64467">
      <w:pPr>
        <w:spacing w:line="240" w:lineRule="auto"/>
        <w:ind w:left="2124" w:firstLine="708"/>
        <w:rPr>
          <w:rFonts w:ascii="Times New Roman" w:hAnsi="Times New Roman" w:cs="Times New Roman"/>
          <w:sz w:val="24"/>
          <w:szCs w:val="24"/>
        </w:rPr>
      </w:pPr>
    </w:p>
    <w:p w14:paraId="1C29CCC8" w14:textId="77777777" w:rsidR="00A76DF2" w:rsidRDefault="00A76DF2" w:rsidP="00D64467">
      <w:pPr>
        <w:spacing w:line="240" w:lineRule="auto"/>
        <w:ind w:left="2124" w:firstLine="708"/>
        <w:rPr>
          <w:rFonts w:ascii="Times New Roman" w:hAnsi="Times New Roman" w:cs="Times New Roman"/>
          <w:sz w:val="24"/>
          <w:szCs w:val="24"/>
        </w:rPr>
      </w:pPr>
    </w:p>
    <w:p w14:paraId="7FF6FEF0" w14:textId="77777777" w:rsidR="00A76DF2" w:rsidRPr="00AA7D9F" w:rsidRDefault="00A76DF2" w:rsidP="00D64467">
      <w:pPr>
        <w:spacing w:line="240" w:lineRule="auto"/>
        <w:ind w:left="2124" w:firstLine="708"/>
        <w:rPr>
          <w:rFonts w:ascii="Times New Roman" w:hAnsi="Times New Roman" w:cs="Times New Roman"/>
          <w:sz w:val="24"/>
          <w:szCs w:val="24"/>
        </w:rPr>
      </w:pPr>
    </w:p>
    <w:p w14:paraId="704A2610" w14:textId="77777777" w:rsidR="006B5B9F" w:rsidRPr="00E01924" w:rsidRDefault="006B5B9F" w:rsidP="00D64467">
      <w:pPr>
        <w:spacing w:line="240" w:lineRule="auto"/>
        <w:ind w:left="2124" w:firstLine="708"/>
        <w:rPr>
          <w:rFonts w:ascii="Times New Roman" w:hAnsi="Times New Roman" w:cs="Times New Roman"/>
          <w:sz w:val="24"/>
          <w:szCs w:val="24"/>
        </w:rPr>
      </w:pPr>
    </w:p>
    <w:p w14:paraId="0B14A86B" w14:textId="77777777" w:rsidR="00D747D0" w:rsidRPr="00E01924" w:rsidRDefault="00D747D0" w:rsidP="00D747D0">
      <w:pPr>
        <w:spacing w:after="0" w:line="240" w:lineRule="auto"/>
        <w:jc w:val="center"/>
        <w:rPr>
          <w:rStyle w:val="Ttulodellibro"/>
          <w:rFonts w:ascii="Times New Roman" w:hAnsi="Times New Roman" w:cs="Times New Roman"/>
          <w:sz w:val="24"/>
          <w:szCs w:val="24"/>
        </w:rPr>
      </w:pPr>
      <w:r w:rsidRPr="00E01924">
        <w:rPr>
          <w:rStyle w:val="Ttulodellibro"/>
          <w:rFonts w:ascii="Times New Roman" w:hAnsi="Times New Roman" w:cs="Times New Roman"/>
          <w:sz w:val="24"/>
          <w:szCs w:val="24"/>
        </w:rPr>
        <w:lastRenderedPageBreak/>
        <w:t>NOTAS DE CARACTER ESPECÍFICO</w:t>
      </w:r>
    </w:p>
    <w:p w14:paraId="7A825EDA" w14:textId="77777777" w:rsidR="00B502A6" w:rsidRPr="00E01924" w:rsidRDefault="00D747D0" w:rsidP="00D747D0">
      <w:pPr>
        <w:spacing w:after="0" w:line="240" w:lineRule="auto"/>
        <w:jc w:val="center"/>
        <w:rPr>
          <w:rStyle w:val="Ttulodellibro"/>
          <w:rFonts w:ascii="Times New Roman" w:hAnsi="Times New Roman" w:cs="Times New Roman"/>
          <w:sz w:val="24"/>
          <w:szCs w:val="24"/>
        </w:rPr>
      </w:pPr>
      <w:r w:rsidRPr="00E01924">
        <w:rPr>
          <w:rStyle w:val="Ttulodellibro"/>
          <w:rFonts w:ascii="Times New Roman" w:hAnsi="Times New Roman" w:cs="Times New Roman"/>
          <w:sz w:val="24"/>
          <w:szCs w:val="24"/>
        </w:rPr>
        <w:t>RELATIVAS A SITUACIONES PARTICULARES DE LAS CLASES, GRUPOS, CUENTAS Y SUBCUENTAS</w:t>
      </w:r>
    </w:p>
    <w:p w14:paraId="37A4B8C2" w14:textId="60F38E3B" w:rsidR="00D747D0" w:rsidRPr="00E01924" w:rsidRDefault="00D747D0" w:rsidP="00D747D0">
      <w:pPr>
        <w:spacing w:after="0" w:line="240" w:lineRule="auto"/>
        <w:jc w:val="center"/>
        <w:rPr>
          <w:rStyle w:val="Ttulodellibro"/>
          <w:rFonts w:ascii="Times New Roman" w:hAnsi="Times New Roman" w:cs="Times New Roman"/>
          <w:sz w:val="24"/>
          <w:szCs w:val="24"/>
        </w:rPr>
      </w:pPr>
    </w:p>
    <w:p w14:paraId="2BE33D5F" w14:textId="6E3ED6E2" w:rsidR="001A75C0" w:rsidRPr="00E01924" w:rsidRDefault="001A75C0" w:rsidP="001A75C0">
      <w:pPr>
        <w:spacing w:after="0" w:line="240" w:lineRule="auto"/>
        <w:jc w:val="both"/>
        <w:rPr>
          <w:rFonts w:ascii="Times New Roman" w:hAnsi="Times New Roman" w:cs="Times New Roman"/>
          <w:sz w:val="24"/>
          <w:szCs w:val="24"/>
        </w:rPr>
      </w:pPr>
      <w:r w:rsidRPr="00E01924">
        <w:rPr>
          <w:rFonts w:ascii="Times New Roman" w:hAnsi="Times New Roman" w:cs="Times New Roman"/>
          <w:sz w:val="24"/>
          <w:szCs w:val="24"/>
        </w:rPr>
        <w:t xml:space="preserve">A continuación, se presentan los principales hechos económicos no recurrentes </w:t>
      </w:r>
      <w:r w:rsidR="000A083E">
        <w:rPr>
          <w:rFonts w:ascii="Times New Roman" w:hAnsi="Times New Roman" w:cs="Times New Roman"/>
          <w:sz w:val="24"/>
          <w:szCs w:val="24"/>
        </w:rPr>
        <w:t xml:space="preserve">registrados </w:t>
      </w:r>
      <w:r w:rsidRPr="00E01924">
        <w:rPr>
          <w:rFonts w:ascii="Times New Roman" w:hAnsi="Times New Roman" w:cs="Times New Roman"/>
          <w:sz w:val="24"/>
          <w:szCs w:val="24"/>
        </w:rPr>
        <w:t>a</w:t>
      </w:r>
      <w:r w:rsidR="000A083E">
        <w:rPr>
          <w:rFonts w:ascii="Times New Roman" w:hAnsi="Times New Roman" w:cs="Times New Roman"/>
          <w:sz w:val="24"/>
          <w:szCs w:val="24"/>
        </w:rPr>
        <w:t>l</w:t>
      </w:r>
      <w:r w:rsidRPr="00E01924">
        <w:rPr>
          <w:rFonts w:ascii="Times New Roman" w:hAnsi="Times New Roman" w:cs="Times New Roman"/>
          <w:sz w:val="24"/>
          <w:szCs w:val="24"/>
        </w:rPr>
        <w:t xml:space="preserve"> </w:t>
      </w:r>
      <w:r w:rsidR="00AA36D9" w:rsidRPr="00E01924">
        <w:rPr>
          <w:rFonts w:ascii="Times New Roman" w:hAnsi="Times New Roman" w:cs="Times New Roman"/>
          <w:sz w:val="24"/>
          <w:szCs w:val="24"/>
        </w:rPr>
        <w:t>31</w:t>
      </w:r>
      <w:r w:rsidRPr="00E01924">
        <w:rPr>
          <w:rFonts w:ascii="Times New Roman" w:hAnsi="Times New Roman" w:cs="Times New Roman"/>
          <w:sz w:val="24"/>
          <w:szCs w:val="24"/>
        </w:rPr>
        <w:t xml:space="preserve"> de</w:t>
      </w:r>
      <w:r w:rsidR="00AA36D9" w:rsidRPr="00E01924">
        <w:rPr>
          <w:rFonts w:ascii="Times New Roman" w:hAnsi="Times New Roman" w:cs="Times New Roman"/>
          <w:sz w:val="24"/>
          <w:szCs w:val="24"/>
        </w:rPr>
        <w:t xml:space="preserve"> marzo</w:t>
      </w:r>
      <w:r w:rsidRPr="00E01924">
        <w:rPr>
          <w:rFonts w:ascii="Times New Roman" w:hAnsi="Times New Roman" w:cs="Times New Roman"/>
          <w:sz w:val="24"/>
          <w:szCs w:val="24"/>
        </w:rPr>
        <w:t xml:space="preserve"> de 20</w:t>
      </w:r>
      <w:r w:rsidR="00AA36D9" w:rsidRPr="00E01924">
        <w:rPr>
          <w:rFonts w:ascii="Times New Roman" w:hAnsi="Times New Roman" w:cs="Times New Roman"/>
          <w:sz w:val="24"/>
          <w:szCs w:val="24"/>
        </w:rPr>
        <w:t>26</w:t>
      </w:r>
      <w:r w:rsidR="000A083E">
        <w:rPr>
          <w:rFonts w:ascii="Times New Roman" w:hAnsi="Times New Roman" w:cs="Times New Roman"/>
          <w:sz w:val="24"/>
          <w:szCs w:val="24"/>
        </w:rPr>
        <w:t>, que afectaron</w:t>
      </w:r>
      <w:r w:rsidRPr="00E01924">
        <w:rPr>
          <w:rFonts w:ascii="Times New Roman" w:hAnsi="Times New Roman" w:cs="Times New Roman"/>
          <w:sz w:val="24"/>
          <w:szCs w:val="24"/>
        </w:rPr>
        <w:t xml:space="preserve"> la </w:t>
      </w:r>
      <w:r w:rsidR="000A083E">
        <w:rPr>
          <w:rFonts w:ascii="Times New Roman" w:hAnsi="Times New Roman" w:cs="Times New Roman"/>
          <w:sz w:val="24"/>
          <w:szCs w:val="24"/>
        </w:rPr>
        <w:t>s</w:t>
      </w:r>
      <w:r w:rsidRPr="00E01924">
        <w:rPr>
          <w:rFonts w:ascii="Times New Roman" w:hAnsi="Times New Roman" w:cs="Times New Roman"/>
          <w:sz w:val="24"/>
          <w:szCs w:val="24"/>
        </w:rPr>
        <w:t xml:space="preserve">ituación </w:t>
      </w:r>
      <w:r w:rsidR="000A083E">
        <w:rPr>
          <w:rFonts w:ascii="Times New Roman" w:hAnsi="Times New Roman" w:cs="Times New Roman"/>
          <w:sz w:val="24"/>
          <w:szCs w:val="24"/>
        </w:rPr>
        <w:t>f</w:t>
      </w:r>
      <w:r w:rsidRPr="00E01924">
        <w:rPr>
          <w:rFonts w:ascii="Times New Roman" w:hAnsi="Times New Roman" w:cs="Times New Roman"/>
          <w:sz w:val="24"/>
          <w:szCs w:val="24"/>
        </w:rPr>
        <w:t>inanciera</w:t>
      </w:r>
      <w:r w:rsidR="000A083E">
        <w:rPr>
          <w:rFonts w:ascii="Times New Roman" w:hAnsi="Times New Roman" w:cs="Times New Roman"/>
          <w:sz w:val="24"/>
          <w:szCs w:val="24"/>
        </w:rPr>
        <w:t xml:space="preserve">, estado de resultados y las cuentas de orden de la </w:t>
      </w:r>
      <w:r w:rsidRPr="00E01924">
        <w:rPr>
          <w:rFonts w:ascii="Times New Roman" w:hAnsi="Times New Roman" w:cs="Times New Roman"/>
          <w:sz w:val="24"/>
          <w:szCs w:val="24"/>
        </w:rPr>
        <w:t>Agencia Nacional de Infraestructura:</w:t>
      </w:r>
    </w:p>
    <w:p w14:paraId="7D2DBC5E" w14:textId="77777777" w:rsidR="00D747D0" w:rsidRPr="00E01924" w:rsidRDefault="00D747D0" w:rsidP="00D747D0">
      <w:pPr>
        <w:spacing w:after="0" w:line="240" w:lineRule="auto"/>
        <w:rPr>
          <w:rFonts w:ascii="Times New Roman" w:hAnsi="Times New Roman" w:cs="Times New Roman"/>
          <w:b/>
          <w:bCs/>
          <w:sz w:val="24"/>
          <w:szCs w:val="24"/>
        </w:rPr>
      </w:pPr>
    </w:p>
    <w:p w14:paraId="460942A4" w14:textId="77777777" w:rsidR="004C276E" w:rsidRPr="00E01924" w:rsidRDefault="004C276E" w:rsidP="00161CDC">
      <w:pPr>
        <w:pStyle w:val="Ttulo2"/>
        <w:rPr>
          <w:rFonts w:ascii="Times New Roman" w:hAnsi="Times New Roman" w:cs="Times New Roman"/>
          <w:sz w:val="24"/>
          <w:szCs w:val="24"/>
        </w:rPr>
      </w:pPr>
    </w:p>
    <w:p w14:paraId="6904D724" w14:textId="5E6403DB" w:rsidR="003F7005" w:rsidRPr="00E01924" w:rsidRDefault="00191221" w:rsidP="00972F60">
      <w:pPr>
        <w:pStyle w:val="Ttulo3"/>
        <w:rPr>
          <w:rFonts w:ascii="Times New Roman" w:hAnsi="Times New Roman" w:cs="Times New Roman"/>
          <w:b/>
          <w:bCs/>
          <w:sz w:val="24"/>
        </w:rPr>
      </w:pPr>
      <w:bookmarkStart w:id="0" w:name="_Toc230185815"/>
      <w:r w:rsidRPr="00E01924">
        <w:rPr>
          <w:rFonts w:ascii="Times New Roman" w:hAnsi="Times New Roman" w:cs="Times New Roman"/>
          <w:b/>
          <w:bCs/>
          <w:sz w:val="24"/>
        </w:rPr>
        <w:t xml:space="preserve">Nota 1. </w:t>
      </w:r>
      <w:r w:rsidR="00161CDC" w:rsidRPr="00E01924">
        <w:rPr>
          <w:rFonts w:ascii="Times New Roman" w:hAnsi="Times New Roman" w:cs="Times New Roman"/>
          <w:b/>
          <w:bCs/>
          <w:sz w:val="24"/>
        </w:rPr>
        <w:t>ACTIVOS</w:t>
      </w:r>
      <w:bookmarkEnd w:id="0"/>
    </w:p>
    <w:p w14:paraId="650CB5E0" w14:textId="77777777" w:rsidR="00161CDC" w:rsidRPr="00CB48F7" w:rsidRDefault="00161CDC" w:rsidP="00CB48F7">
      <w:pPr>
        <w:rPr>
          <w:b/>
          <w:bCs/>
        </w:rPr>
      </w:pPr>
    </w:p>
    <w:tbl>
      <w:tblPr>
        <w:tblW w:w="5000" w:type="pct"/>
        <w:tblLayout w:type="fixed"/>
        <w:tblCellMar>
          <w:left w:w="70" w:type="dxa"/>
          <w:right w:w="70" w:type="dxa"/>
        </w:tblCellMar>
        <w:tblLook w:val="04A0" w:firstRow="1" w:lastRow="0" w:firstColumn="1" w:lastColumn="0" w:noHBand="0" w:noVBand="1"/>
      </w:tblPr>
      <w:tblGrid>
        <w:gridCol w:w="2404"/>
        <w:gridCol w:w="1986"/>
        <w:gridCol w:w="1842"/>
        <w:gridCol w:w="1561"/>
        <w:gridCol w:w="1035"/>
      </w:tblGrid>
      <w:tr w:rsidR="00AA36D9" w:rsidRPr="00AA36D9" w14:paraId="3988AD5A" w14:textId="77777777" w:rsidTr="00AD55B4">
        <w:trPr>
          <w:trHeight w:val="300"/>
        </w:trPr>
        <w:tc>
          <w:tcPr>
            <w:tcW w:w="1362"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3EBABA24" w14:textId="77777777" w:rsidR="00AA36D9" w:rsidRPr="00AA36D9" w:rsidRDefault="00AA36D9" w:rsidP="00AA36D9">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AA36D9">
              <w:rPr>
                <w:rFonts w:ascii="Times New Roman" w:eastAsia="Times New Roman" w:hAnsi="Times New Roman" w:cs="Times New Roman"/>
                <w:b/>
                <w:bCs/>
                <w:color w:val="FFFFFF"/>
                <w:kern w:val="0"/>
                <w:sz w:val="18"/>
                <w:szCs w:val="18"/>
                <w:lang w:eastAsia="es-CO"/>
                <w14:ligatures w14:val="none"/>
              </w:rPr>
              <w:t>Descripción</w:t>
            </w:r>
          </w:p>
        </w:tc>
        <w:tc>
          <w:tcPr>
            <w:tcW w:w="1125" w:type="pct"/>
            <w:tcBorders>
              <w:top w:val="single" w:sz="4" w:space="0" w:color="auto"/>
              <w:left w:val="nil"/>
              <w:bottom w:val="single" w:sz="4" w:space="0" w:color="auto"/>
              <w:right w:val="single" w:sz="4" w:space="0" w:color="auto"/>
            </w:tcBorders>
            <w:shd w:val="clear" w:color="000000" w:fill="0070C0"/>
            <w:vAlign w:val="center"/>
            <w:hideMark/>
          </w:tcPr>
          <w:p w14:paraId="1C83DFE8" w14:textId="77777777" w:rsidR="00AA36D9" w:rsidRPr="00AA36D9" w:rsidRDefault="00AA36D9" w:rsidP="00AA36D9">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AA36D9">
              <w:rPr>
                <w:rFonts w:ascii="Times New Roman" w:eastAsia="Times New Roman" w:hAnsi="Times New Roman" w:cs="Times New Roman"/>
                <w:b/>
                <w:bCs/>
                <w:color w:val="FFFFFF"/>
                <w:kern w:val="0"/>
                <w:sz w:val="18"/>
                <w:szCs w:val="18"/>
                <w:lang w:eastAsia="es-CO"/>
                <w14:ligatures w14:val="none"/>
              </w:rPr>
              <w:t xml:space="preserve"> Activos</w:t>
            </w:r>
          </w:p>
        </w:tc>
        <w:tc>
          <w:tcPr>
            <w:tcW w:w="1043" w:type="pct"/>
            <w:tcBorders>
              <w:top w:val="single" w:sz="4" w:space="0" w:color="auto"/>
              <w:left w:val="nil"/>
              <w:bottom w:val="single" w:sz="4" w:space="0" w:color="auto"/>
              <w:right w:val="single" w:sz="4" w:space="0" w:color="auto"/>
            </w:tcBorders>
            <w:shd w:val="clear" w:color="000000" w:fill="0070C0"/>
            <w:vAlign w:val="center"/>
            <w:hideMark/>
          </w:tcPr>
          <w:p w14:paraId="0A317F2E" w14:textId="77777777" w:rsidR="00AA36D9" w:rsidRPr="00AA36D9" w:rsidRDefault="00AA36D9" w:rsidP="00AA36D9">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AA36D9">
              <w:rPr>
                <w:rFonts w:ascii="Times New Roman" w:eastAsia="Times New Roman" w:hAnsi="Times New Roman" w:cs="Times New Roman"/>
                <w:b/>
                <w:bCs/>
                <w:color w:val="FFFFFF"/>
                <w:kern w:val="0"/>
                <w:sz w:val="18"/>
                <w:szCs w:val="18"/>
                <w:lang w:eastAsia="es-CO"/>
                <w14:ligatures w14:val="none"/>
              </w:rPr>
              <w:t xml:space="preserve"> Activos</w:t>
            </w:r>
          </w:p>
        </w:tc>
        <w:tc>
          <w:tcPr>
            <w:tcW w:w="884"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27E8CE85" w14:textId="77777777" w:rsidR="00AA36D9" w:rsidRPr="00AA36D9" w:rsidRDefault="00AA36D9" w:rsidP="00AA36D9">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AA36D9">
              <w:rPr>
                <w:rFonts w:ascii="Times New Roman" w:eastAsia="Times New Roman" w:hAnsi="Times New Roman" w:cs="Times New Roman"/>
                <w:b/>
                <w:bCs/>
                <w:color w:val="FFFFFF"/>
                <w:kern w:val="0"/>
                <w:sz w:val="18"/>
                <w:szCs w:val="18"/>
                <w:lang w:eastAsia="es-CO"/>
                <w14:ligatures w14:val="none"/>
              </w:rPr>
              <w:t>Variaciones</w:t>
            </w:r>
          </w:p>
        </w:tc>
        <w:tc>
          <w:tcPr>
            <w:tcW w:w="586"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294790BF" w14:textId="77777777" w:rsidR="00AA36D9" w:rsidRPr="00AA36D9" w:rsidRDefault="00AA36D9" w:rsidP="00AA36D9">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AA36D9">
              <w:rPr>
                <w:rFonts w:ascii="Times New Roman" w:eastAsia="Times New Roman" w:hAnsi="Times New Roman" w:cs="Times New Roman"/>
                <w:b/>
                <w:bCs/>
                <w:color w:val="FFFFFF"/>
                <w:kern w:val="0"/>
                <w:sz w:val="18"/>
                <w:szCs w:val="18"/>
                <w:lang w:eastAsia="es-CO"/>
                <w14:ligatures w14:val="none"/>
              </w:rPr>
              <w:t>Porcentaje</w:t>
            </w:r>
          </w:p>
        </w:tc>
      </w:tr>
      <w:tr w:rsidR="00AA36D9" w:rsidRPr="00AA36D9" w14:paraId="56A89573" w14:textId="77777777" w:rsidTr="00AD55B4">
        <w:trPr>
          <w:trHeight w:val="48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4B6F37DA" w14:textId="77777777" w:rsidR="00AA36D9" w:rsidRPr="00AA36D9" w:rsidRDefault="00AA36D9" w:rsidP="00AA36D9">
            <w:pPr>
              <w:spacing w:after="0" w:line="240" w:lineRule="auto"/>
              <w:rPr>
                <w:rFonts w:ascii="Times New Roman" w:eastAsia="Times New Roman" w:hAnsi="Times New Roman" w:cs="Times New Roman"/>
                <w:b/>
                <w:bCs/>
                <w:color w:val="FFFFFF"/>
                <w:kern w:val="0"/>
                <w:sz w:val="18"/>
                <w:szCs w:val="18"/>
                <w:lang w:eastAsia="es-CO"/>
                <w14:ligatures w14:val="none"/>
              </w:rPr>
            </w:pPr>
          </w:p>
        </w:tc>
        <w:tc>
          <w:tcPr>
            <w:tcW w:w="1125" w:type="pct"/>
            <w:tcBorders>
              <w:top w:val="nil"/>
              <w:left w:val="nil"/>
              <w:bottom w:val="single" w:sz="4" w:space="0" w:color="auto"/>
              <w:right w:val="single" w:sz="4" w:space="0" w:color="auto"/>
            </w:tcBorders>
            <w:shd w:val="clear" w:color="000000" w:fill="0070C0"/>
            <w:vAlign w:val="center"/>
            <w:hideMark/>
          </w:tcPr>
          <w:p w14:paraId="04BE7E17" w14:textId="77777777" w:rsidR="00AA36D9" w:rsidRPr="00AA36D9" w:rsidRDefault="00AA36D9" w:rsidP="00AA36D9">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AA36D9">
              <w:rPr>
                <w:rFonts w:ascii="Times New Roman" w:eastAsia="Times New Roman" w:hAnsi="Times New Roman" w:cs="Times New Roman"/>
                <w:b/>
                <w:bCs/>
                <w:color w:val="FFFFFF"/>
                <w:kern w:val="0"/>
                <w:sz w:val="18"/>
                <w:szCs w:val="18"/>
                <w:lang w:eastAsia="es-CO"/>
                <w14:ligatures w14:val="none"/>
              </w:rPr>
              <w:t xml:space="preserve">marzo de 2026 ($) </w:t>
            </w:r>
          </w:p>
        </w:tc>
        <w:tc>
          <w:tcPr>
            <w:tcW w:w="1043" w:type="pct"/>
            <w:tcBorders>
              <w:top w:val="nil"/>
              <w:left w:val="nil"/>
              <w:bottom w:val="single" w:sz="4" w:space="0" w:color="auto"/>
              <w:right w:val="single" w:sz="4" w:space="0" w:color="auto"/>
            </w:tcBorders>
            <w:shd w:val="clear" w:color="000000" w:fill="0070C0"/>
            <w:vAlign w:val="center"/>
            <w:hideMark/>
          </w:tcPr>
          <w:p w14:paraId="1AF7EE4E" w14:textId="77777777" w:rsidR="00AA36D9" w:rsidRPr="00AA36D9" w:rsidRDefault="00AA36D9" w:rsidP="00AA36D9">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AA36D9">
              <w:rPr>
                <w:rFonts w:ascii="Times New Roman" w:eastAsia="Times New Roman" w:hAnsi="Times New Roman" w:cs="Times New Roman"/>
                <w:b/>
                <w:bCs/>
                <w:color w:val="FFFFFF"/>
                <w:kern w:val="0"/>
                <w:sz w:val="18"/>
                <w:szCs w:val="18"/>
                <w:lang w:eastAsia="es-CO"/>
                <w14:ligatures w14:val="none"/>
              </w:rPr>
              <w:t>diciembre de 2025 ($)</w:t>
            </w:r>
          </w:p>
        </w:tc>
        <w:tc>
          <w:tcPr>
            <w:tcW w:w="884" w:type="pct"/>
            <w:vMerge/>
            <w:tcBorders>
              <w:top w:val="single" w:sz="4" w:space="0" w:color="auto"/>
              <w:left w:val="single" w:sz="4" w:space="0" w:color="auto"/>
              <w:bottom w:val="single" w:sz="4" w:space="0" w:color="auto"/>
              <w:right w:val="single" w:sz="4" w:space="0" w:color="auto"/>
            </w:tcBorders>
            <w:vAlign w:val="center"/>
            <w:hideMark/>
          </w:tcPr>
          <w:p w14:paraId="347DF7C9" w14:textId="77777777" w:rsidR="00AA36D9" w:rsidRPr="00AA36D9" w:rsidRDefault="00AA36D9" w:rsidP="00AA36D9">
            <w:pPr>
              <w:spacing w:after="0" w:line="240" w:lineRule="auto"/>
              <w:rPr>
                <w:rFonts w:ascii="Times New Roman" w:eastAsia="Times New Roman" w:hAnsi="Times New Roman" w:cs="Times New Roman"/>
                <w:b/>
                <w:bCs/>
                <w:color w:val="FFFFFF"/>
                <w:kern w:val="0"/>
                <w:sz w:val="18"/>
                <w:szCs w:val="18"/>
                <w:lang w:eastAsia="es-CO"/>
                <w14:ligatures w14:val="none"/>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5F979E81" w14:textId="77777777" w:rsidR="00AA36D9" w:rsidRPr="00AA36D9" w:rsidRDefault="00AA36D9" w:rsidP="00AA36D9">
            <w:pPr>
              <w:spacing w:after="0" w:line="240" w:lineRule="auto"/>
              <w:rPr>
                <w:rFonts w:ascii="Times New Roman" w:eastAsia="Times New Roman" w:hAnsi="Times New Roman" w:cs="Times New Roman"/>
                <w:b/>
                <w:bCs/>
                <w:color w:val="FFFFFF"/>
                <w:kern w:val="0"/>
                <w:sz w:val="18"/>
                <w:szCs w:val="18"/>
                <w:lang w:eastAsia="es-CO"/>
                <w14:ligatures w14:val="none"/>
              </w:rPr>
            </w:pPr>
          </w:p>
        </w:tc>
      </w:tr>
      <w:tr w:rsidR="00AA36D9" w:rsidRPr="00AA36D9" w14:paraId="1B6F4F5F" w14:textId="77777777" w:rsidTr="00AD55B4">
        <w:trPr>
          <w:trHeight w:val="300"/>
        </w:trPr>
        <w:tc>
          <w:tcPr>
            <w:tcW w:w="1362" w:type="pct"/>
            <w:tcBorders>
              <w:top w:val="nil"/>
              <w:left w:val="single" w:sz="4" w:space="0" w:color="auto"/>
              <w:bottom w:val="single" w:sz="4" w:space="0" w:color="auto"/>
              <w:right w:val="single" w:sz="4" w:space="0" w:color="auto"/>
            </w:tcBorders>
            <w:noWrap/>
            <w:vAlign w:val="center"/>
            <w:hideMark/>
          </w:tcPr>
          <w:p w14:paraId="1C7A4DC6" w14:textId="77777777" w:rsidR="00AA36D9" w:rsidRPr="00AA36D9" w:rsidRDefault="00AA36D9" w:rsidP="00AA36D9">
            <w:pPr>
              <w:spacing w:after="0" w:line="240" w:lineRule="auto"/>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Efectivo y equivalentes al efectivo</w:t>
            </w:r>
          </w:p>
        </w:tc>
        <w:tc>
          <w:tcPr>
            <w:tcW w:w="1125" w:type="pct"/>
            <w:tcBorders>
              <w:top w:val="nil"/>
              <w:left w:val="nil"/>
              <w:bottom w:val="single" w:sz="4" w:space="0" w:color="auto"/>
              <w:right w:val="single" w:sz="4" w:space="0" w:color="auto"/>
            </w:tcBorders>
            <w:noWrap/>
            <w:vAlign w:val="center"/>
            <w:hideMark/>
          </w:tcPr>
          <w:p w14:paraId="1B06551C"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 xml:space="preserve">3.491.474.029 </w:t>
            </w:r>
          </w:p>
        </w:tc>
        <w:tc>
          <w:tcPr>
            <w:tcW w:w="1043" w:type="pct"/>
            <w:tcBorders>
              <w:top w:val="nil"/>
              <w:left w:val="nil"/>
              <w:bottom w:val="single" w:sz="4" w:space="0" w:color="auto"/>
              <w:right w:val="single" w:sz="4" w:space="0" w:color="auto"/>
            </w:tcBorders>
            <w:noWrap/>
            <w:vAlign w:val="center"/>
            <w:hideMark/>
          </w:tcPr>
          <w:p w14:paraId="5CFBE524"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 xml:space="preserve">735.804.049 </w:t>
            </w:r>
          </w:p>
        </w:tc>
        <w:tc>
          <w:tcPr>
            <w:tcW w:w="884" w:type="pct"/>
            <w:tcBorders>
              <w:top w:val="nil"/>
              <w:left w:val="nil"/>
              <w:bottom w:val="single" w:sz="4" w:space="0" w:color="auto"/>
              <w:right w:val="single" w:sz="4" w:space="0" w:color="auto"/>
            </w:tcBorders>
            <w:noWrap/>
            <w:vAlign w:val="center"/>
            <w:hideMark/>
          </w:tcPr>
          <w:p w14:paraId="46928B57"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 xml:space="preserve">2.755.669.980 </w:t>
            </w:r>
          </w:p>
        </w:tc>
        <w:tc>
          <w:tcPr>
            <w:tcW w:w="586" w:type="pct"/>
            <w:tcBorders>
              <w:top w:val="nil"/>
              <w:left w:val="nil"/>
              <w:bottom w:val="single" w:sz="4" w:space="0" w:color="auto"/>
              <w:right w:val="single" w:sz="4" w:space="0" w:color="auto"/>
            </w:tcBorders>
            <w:noWrap/>
            <w:vAlign w:val="center"/>
            <w:hideMark/>
          </w:tcPr>
          <w:p w14:paraId="7EF86CB5"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374,51%</w:t>
            </w:r>
          </w:p>
        </w:tc>
      </w:tr>
      <w:tr w:rsidR="00AA36D9" w:rsidRPr="00AA36D9" w14:paraId="597B3C34" w14:textId="77777777" w:rsidTr="00AD55B4">
        <w:trPr>
          <w:trHeight w:val="300"/>
        </w:trPr>
        <w:tc>
          <w:tcPr>
            <w:tcW w:w="1362" w:type="pct"/>
            <w:tcBorders>
              <w:top w:val="single" w:sz="4" w:space="0" w:color="auto"/>
              <w:left w:val="single" w:sz="4" w:space="0" w:color="auto"/>
              <w:bottom w:val="single" w:sz="4" w:space="0" w:color="auto"/>
              <w:right w:val="single" w:sz="4" w:space="0" w:color="auto"/>
            </w:tcBorders>
            <w:noWrap/>
            <w:vAlign w:val="center"/>
            <w:hideMark/>
          </w:tcPr>
          <w:p w14:paraId="1844AD7B" w14:textId="77777777" w:rsidR="00AA36D9" w:rsidRPr="00AA36D9" w:rsidRDefault="00AA36D9" w:rsidP="00AA36D9">
            <w:pPr>
              <w:spacing w:after="0" w:line="240" w:lineRule="auto"/>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Cuentas por cobrar</w:t>
            </w:r>
          </w:p>
        </w:tc>
        <w:tc>
          <w:tcPr>
            <w:tcW w:w="1125" w:type="pct"/>
            <w:tcBorders>
              <w:top w:val="single" w:sz="4" w:space="0" w:color="auto"/>
              <w:left w:val="nil"/>
              <w:bottom w:val="single" w:sz="4" w:space="0" w:color="auto"/>
              <w:right w:val="single" w:sz="4" w:space="0" w:color="auto"/>
            </w:tcBorders>
            <w:noWrap/>
            <w:vAlign w:val="center"/>
            <w:hideMark/>
          </w:tcPr>
          <w:p w14:paraId="1DC0037B"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 xml:space="preserve">229.310.705.896 </w:t>
            </w:r>
          </w:p>
        </w:tc>
        <w:tc>
          <w:tcPr>
            <w:tcW w:w="1043" w:type="pct"/>
            <w:tcBorders>
              <w:top w:val="single" w:sz="4" w:space="0" w:color="auto"/>
              <w:left w:val="nil"/>
              <w:bottom w:val="single" w:sz="4" w:space="0" w:color="auto"/>
              <w:right w:val="single" w:sz="4" w:space="0" w:color="auto"/>
            </w:tcBorders>
            <w:noWrap/>
            <w:vAlign w:val="center"/>
            <w:hideMark/>
          </w:tcPr>
          <w:p w14:paraId="6A523735"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 xml:space="preserve">227.852.272.797 </w:t>
            </w:r>
          </w:p>
        </w:tc>
        <w:tc>
          <w:tcPr>
            <w:tcW w:w="884" w:type="pct"/>
            <w:tcBorders>
              <w:top w:val="single" w:sz="4" w:space="0" w:color="auto"/>
              <w:left w:val="nil"/>
              <w:bottom w:val="single" w:sz="4" w:space="0" w:color="auto"/>
              <w:right w:val="single" w:sz="4" w:space="0" w:color="auto"/>
            </w:tcBorders>
            <w:noWrap/>
            <w:vAlign w:val="center"/>
            <w:hideMark/>
          </w:tcPr>
          <w:p w14:paraId="6F1CEEED"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 xml:space="preserve">1.458.433.099 </w:t>
            </w:r>
          </w:p>
        </w:tc>
        <w:tc>
          <w:tcPr>
            <w:tcW w:w="586" w:type="pct"/>
            <w:tcBorders>
              <w:top w:val="single" w:sz="4" w:space="0" w:color="auto"/>
              <w:left w:val="nil"/>
              <w:bottom w:val="single" w:sz="4" w:space="0" w:color="auto"/>
              <w:right w:val="single" w:sz="4" w:space="0" w:color="auto"/>
            </w:tcBorders>
            <w:noWrap/>
            <w:vAlign w:val="center"/>
            <w:hideMark/>
          </w:tcPr>
          <w:p w14:paraId="4406F1E8"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0,64%</w:t>
            </w:r>
          </w:p>
        </w:tc>
      </w:tr>
      <w:tr w:rsidR="00AA36D9" w:rsidRPr="00AA36D9" w14:paraId="357991A4" w14:textId="77777777" w:rsidTr="00AD55B4">
        <w:trPr>
          <w:trHeight w:val="300"/>
        </w:trPr>
        <w:tc>
          <w:tcPr>
            <w:tcW w:w="1362" w:type="pct"/>
            <w:tcBorders>
              <w:top w:val="single" w:sz="4" w:space="0" w:color="auto"/>
              <w:left w:val="single" w:sz="4" w:space="0" w:color="auto"/>
              <w:bottom w:val="single" w:sz="4" w:space="0" w:color="auto"/>
              <w:right w:val="single" w:sz="4" w:space="0" w:color="auto"/>
            </w:tcBorders>
            <w:noWrap/>
            <w:vAlign w:val="center"/>
            <w:hideMark/>
          </w:tcPr>
          <w:p w14:paraId="67C17872" w14:textId="77777777" w:rsidR="00AA36D9" w:rsidRPr="00AA36D9" w:rsidRDefault="00AA36D9" w:rsidP="00AA36D9">
            <w:pPr>
              <w:spacing w:after="0" w:line="240" w:lineRule="auto"/>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Propiedades, planta y equipo</w:t>
            </w:r>
          </w:p>
        </w:tc>
        <w:tc>
          <w:tcPr>
            <w:tcW w:w="1125" w:type="pct"/>
            <w:tcBorders>
              <w:top w:val="single" w:sz="4" w:space="0" w:color="auto"/>
              <w:left w:val="nil"/>
              <w:bottom w:val="single" w:sz="4" w:space="0" w:color="auto"/>
              <w:right w:val="single" w:sz="4" w:space="0" w:color="auto"/>
            </w:tcBorders>
            <w:noWrap/>
            <w:vAlign w:val="center"/>
            <w:hideMark/>
          </w:tcPr>
          <w:p w14:paraId="04369A4A"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 xml:space="preserve">3.476.295.633.863 </w:t>
            </w:r>
          </w:p>
        </w:tc>
        <w:tc>
          <w:tcPr>
            <w:tcW w:w="1043" w:type="pct"/>
            <w:tcBorders>
              <w:top w:val="single" w:sz="4" w:space="0" w:color="auto"/>
              <w:left w:val="nil"/>
              <w:bottom w:val="single" w:sz="4" w:space="0" w:color="auto"/>
              <w:right w:val="single" w:sz="4" w:space="0" w:color="auto"/>
            </w:tcBorders>
            <w:noWrap/>
            <w:vAlign w:val="center"/>
            <w:hideMark/>
          </w:tcPr>
          <w:p w14:paraId="3DC9B970"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 xml:space="preserve">3.479.117.839.527 </w:t>
            </w:r>
          </w:p>
        </w:tc>
        <w:tc>
          <w:tcPr>
            <w:tcW w:w="884" w:type="pct"/>
            <w:tcBorders>
              <w:top w:val="single" w:sz="4" w:space="0" w:color="auto"/>
              <w:left w:val="nil"/>
              <w:bottom w:val="single" w:sz="4" w:space="0" w:color="auto"/>
              <w:right w:val="single" w:sz="4" w:space="0" w:color="auto"/>
            </w:tcBorders>
            <w:noWrap/>
            <w:vAlign w:val="center"/>
            <w:hideMark/>
          </w:tcPr>
          <w:p w14:paraId="7EDBCC22"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 xml:space="preserve">-2.822.205.664 </w:t>
            </w:r>
          </w:p>
        </w:tc>
        <w:tc>
          <w:tcPr>
            <w:tcW w:w="586" w:type="pct"/>
            <w:tcBorders>
              <w:top w:val="single" w:sz="4" w:space="0" w:color="auto"/>
              <w:left w:val="nil"/>
              <w:bottom w:val="single" w:sz="4" w:space="0" w:color="auto"/>
              <w:right w:val="single" w:sz="4" w:space="0" w:color="auto"/>
            </w:tcBorders>
            <w:noWrap/>
            <w:vAlign w:val="center"/>
            <w:hideMark/>
          </w:tcPr>
          <w:p w14:paraId="51333B5F"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-0,08%</w:t>
            </w:r>
          </w:p>
        </w:tc>
      </w:tr>
      <w:tr w:rsidR="00AA36D9" w:rsidRPr="00AA36D9" w14:paraId="7A17475D" w14:textId="77777777" w:rsidTr="00AD55B4">
        <w:trPr>
          <w:trHeight w:val="300"/>
        </w:trPr>
        <w:tc>
          <w:tcPr>
            <w:tcW w:w="1362" w:type="pct"/>
            <w:tcBorders>
              <w:top w:val="single" w:sz="4" w:space="0" w:color="auto"/>
              <w:left w:val="single" w:sz="4" w:space="0" w:color="auto"/>
              <w:bottom w:val="single" w:sz="4" w:space="0" w:color="auto"/>
              <w:right w:val="single" w:sz="4" w:space="0" w:color="auto"/>
            </w:tcBorders>
            <w:noWrap/>
            <w:vAlign w:val="center"/>
            <w:hideMark/>
          </w:tcPr>
          <w:p w14:paraId="13D50A29" w14:textId="77777777" w:rsidR="00AA36D9" w:rsidRPr="00AA36D9" w:rsidRDefault="00AA36D9" w:rsidP="00AA36D9">
            <w:pPr>
              <w:spacing w:after="0" w:line="240" w:lineRule="auto"/>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Bienes de uso público e históricos y culturales</w:t>
            </w:r>
          </w:p>
        </w:tc>
        <w:tc>
          <w:tcPr>
            <w:tcW w:w="1125" w:type="pct"/>
            <w:tcBorders>
              <w:top w:val="single" w:sz="4" w:space="0" w:color="auto"/>
              <w:left w:val="nil"/>
              <w:bottom w:val="single" w:sz="4" w:space="0" w:color="auto"/>
              <w:right w:val="single" w:sz="4" w:space="0" w:color="auto"/>
            </w:tcBorders>
            <w:noWrap/>
            <w:vAlign w:val="center"/>
            <w:hideMark/>
          </w:tcPr>
          <w:p w14:paraId="6EF3889B"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 xml:space="preserve">76.153.575.978.933 </w:t>
            </w:r>
          </w:p>
        </w:tc>
        <w:tc>
          <w:tcPr>
            <w:tcW w:w="1043" w:type="pct"/>
            <w:tcBorders>
              <w:top w:val="single" w:sz="4" w:space="0" w:color="auto"/>
              <w:left w:val="nil"/>
              <w:bottom w:val="single" w:sz="4" w:space="0" w:color="auto"/>
              <w:right w:val="single" w:sz="4" w:space="0" w:color="auto"/>
            </w:tcBorders>
            <w:noWrap/>
            <w:vAlign w:val="center"/>
            <w:hideMark/>
          </w:tcPr>
          <w:p w14:paraId="0FCC879D"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 xml:space="preserve">77.017.157.326.025 </w:t>
            </w:r>
          </w:p>
        </w:tc>
        <w:tc>
          <w:tcPr>
            <w:tcW w:w="884" w:type="pct"/>
            <w:tcBorders>
              <w:top w:val="single" w:sz="4" w:space="0" w:color="auto"/>
              <w:left w:val="nil"/>
              <w:bottom w:val="single" w:sz="4" w:space="0" w:color="auto"/>
              <w:right w:val="single" w:sz="4" w:space="0" w:color="auto"/>
            </w:tcBorders>
            <w:noWrap/>
            <w:vAlign w:val="center"/>
            <w:hideMark/>
          </w:tcPr>
          <w:p w14:paraId="347B5BB1"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 xml:space="preserve">-863.581.347.092 </w:t>
            </w:r>
          </w:p>
        </w:tc>
        <w:tc>
          <w:tcPr>
            <w:tcW w:w="586" w:type="pct"/>
            <w:tcBorders>
              <w:top w:val="single" w:sz="4" w:space="0" w:color="auto"/>
              <w:left w:val="nil"/>
              <w:bottom w:val="single" w:sz="4" w:space="0" w:color="auto"/>
              <w:right w:val="single" w:sz="4" w:space="0" w:color="auto"/>
            </w:tcBorders>
            <w:noWrap/>
            <w:vAlign w:val="center"/>
            <w:hideMark/>
          </w:tcPr>
          <w:p w14:paraId="7B795DFA"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-1,12%</w:t>
            </w:r>
          </w:p>
        </w:tc>
      </w:tr>
      <w:tr w:rsidR="00AA36D9" w:rsidRPr="00AA36D9" w14:paraId="7433D23E" w14:textId="77777777" w:rsidTr="00AD55B4">
        <w:trPr>
          <w:trHeight w:val="300"/>
        </w:trPr>
        <w:tc>
          <w:tcPr>
            <w:tcW w:w="1362" w:type="pct"/>
            <w:tcBorders>
              <w:top w:val="single" w:sz="4" w:space="0" w:color="auto"/>
              <w:left w:val="single" w:sz="4" w:space="0" w:color="auto"/>
              <w:bottom w:val="single" w:sz="4" w:space="0" w:color="auto"/>
              <w:right w:val="single" w:sz="4" w:space="0" w:color="auto"/>
            </w:tcBorders>
            <w:noWrap/>
            <w:vAlign w:val="center"/>
            <w:hideMark/>
          </w:tcPr>
          <w:p w14:paraId="6A19AB40" w14:textId="77777777" w:rsidR="00AA36D9" w:rsidRPr="00AA36D9" w:rsidRDefault="00AA36D9" w:rsidP="00AA36D9">
            <w:pPr>
              <w:spacing w:after="0" w:line="240" w:lineRule="auto"/>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Otros activos</w:t>
            </w:r>
          </w:p>
        </w:tc>
        <w:tc>
          <w:tcPr>
            <w:tcW w:w="1125" w:type="pct"/>
            <w:tcBorders>
              <w:top w:val="single" w:sz="4" w:space="0" w:color="auto"/>
              <w:left w:val="nil"/>
              <w:bottom w:val="single" w:sz="4" w:space="0" w:color="auto"/>
              <w:right w:val="single" w:sz="4" w:space="0" w:color="auto"/>
            </w:tcBorders>
            <w:noWrap/>
            <w:vAlign w:val="center"/>
            <w:hideMark/>
          </w:tcPr>
          <w:p w14:paraId="75CBA8D0"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 xml:space="preserve">21.534.717.800.658 </w:t>
            </w:r>
          </w:p>
        </w:tc>
        <w:tc>
          <w:tcPr>
            <w:tcW w:w="1043" w:type="pct"/>
            <w:tcBorders>
              <w:top w:val="single" w:sz="4" w:space="0" w:color="auto"/>
              <w:left w:val="nil"/>
              <w:bottom w:val="single" w:sz="4" w:space="0" w:color="auto"/>
              <w:right w:val="single" w:sz="4" w:space="0" w:color="auto"/>
            </w:tcBorders>
            <w:noWrap/>
            <w:vAlign w:val="center"/>
            <w:hideMark/>
          </w:tcPr>
          <w:p w14:paraId="2118295A"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 xml:space="preserve">16.794.886.545.345 </w:t>
            </w:r>
          </w:p>
        </w:tc>
        <w:tc>
          <w:tcPr>
            <w:tcW w:w="884" w:type="pct"/>
            <w:tcBorders>
              <w:top w:val="single" w:sz="4" w:space="0" w:color="auto"/>
              <w:left w:val="nil"/>
              <w:bottom w:val="single" w:sz="4" w:space="0" w:color="auto"/>
              <w:right w:val="single" w:sz="4" w:space="0" w:color="auto"/>
            </w:tcBorders>
            <w:noWrap/>
            <w:vAlign w:val="center"/>
            <w:hideMark/>
          </w:tcPr>
          <w:p w14:paraId="36F729DA"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 xml:space="preserve">4.739.831.255.313 </w:t>
            </w:r>
          </w:p>
        </w:tc>
        <w:tc>
          <w:tcPr>
            <w:tcW w:w="586" w:type="pct"/>
            <w:tcBorders>
              <w:top w:val="single" w:sz="4" w:space="0" w:color="auto"/>
              <w:left w:val="nil"/>
              <w:bottom w:val="single" w:sz="4" w:space="0" w:color="auto"/>
              <w:right w:val="single" w:sz="4" w:space="0" w:color="auto"/>
            </w:tcBorders>
            <w:noWrap/>
            <w:vAlign w:val="center"/>
            <w:hideMark/>
          </w:tcPr>
          <w:p w14:paraId="430D66F6" w14:textId="77777777" w:rsidR="00AA36D9" w:rsidRPr="00AA36D9" w:rsidRDefault="00AA36D9" w:rsidP="00AA36D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A36D9">
              <w:rPr>
                <w:rFonts w:ascii="Times New Roman" w:eastAsia="Times New Roman" w:hAnsi="Times New Roman" w:cs="Times New Roman"/>
                <w:color w:val="000000"/>
                <w:kern w:val="0"/>
                <w:sz w:val="18"/>
                <w:szCs w:val="18"/>
                <w:lang w:eastAsia="es-CO"/>
                <w14:ligatures w14:val="none"/>
              </w:rPr>
              <w:t>28,22%</w:t>
            </w:r>
          </w:p>
        </w:tc>
      </w:tr>
      <w:tr w:rsidR="00AA36D9" w:rsidRPr="00AA36D9" w14:paraId="2C30F1BB" w14:textId="77777777" w:rsidTr="00AD55B4">
        <w:trPr>
          <w:trHeight w:val="300"/>
        </w:trPr>
        <w:tc>
          <w:tcPr>
            <w:tcW w:w="1362" w:type="pct"/>
            <w:tcBorders>
              <w:top w:val="single" w:sz="4" w:space="0" w:color="auto"/>
              <w:left w:val="single" w:sz="4" w:space="0" w:color="auto"/>
              <w:bottom w:val="single" w:sz="4" w:space="0" w:color="auto"/>
              <w:right w:val="single" w:sz="4" w:space="0" w:color="auto"/>
            </w:tcBorders>
            <w:noWrap/>
            <w:vAlign w:val="center"/>
            <w:hideMark/>
          </w:tcPr>
          <w:p w14:paraId="03157D6D" w14:textId="77777777" w:rsidR="00AA36D9" w:rsidRPr="00AA36D9" w:rsidRDefault="00AA36D9" w:rsidP="00AA36D9">
            <w:pPr>
              <w:spacing w:after="0" w:line="240" w:lineRule="auto"/>
              <w:jc w:val="center"/>
              <w:rPr>
                <w:rFonts w:ascii="Times New Roman" w:eastAsia="Times New Roman" w:hAnsi="Times New Roman" w:cs="Times New Roman"/>
                <w:b/>
                <w:bCs/>
                <w:color w:val="000000"/>
                <w:kern w:val="0"/>
                <w:sz w:val="18"/>
                <w:szCs w:val="18"/>
                <w:lang w:eastAsia="es-CO"/>
                <w14:ligatures w14:val="none"/>
              </w:rPr>
            </w:pPr>
            <w:proofErr w:type="gramStart"/>
            <w:r w:rsidRPr="00AA36D9">
              <w:rPr>
                <w:rFonts w:ascii="Times New Roman" w:eastAsia="Times New Roman" w:hAnsi="Times New Roman" w:cs="Times New Roman"/>
                <w:b/>
                <w:bCs/>
                <w:color w:val="000000"/>
                <w:kern w:val="0"/>
                <w:sz w:val="18"/>
                <w:szCs w:val="18"/>
                <w:lang w:eastAsia="es-CO"/>
                <w14:ligatures w14:val="none"/>
              </w:rPr>
              <w:t>Total</w:t>
            </w:r>
            <w:proofErr w:type="gramEnd"/>
            <w:r w:rsidRPr="00AA36D9">
              <w:rPr>
                <w:rFonts w:ascii="Times New Roman" w:eastAsia="Times New Roman" w:hAnsi="Times New Roman" w:cs="Times New Roman"/>
                <w:b/>
                <w:bCs/>
                <w:color w:val="000000"/>
                <w:kern w:val="0"/>
                <w:sz w:val="18"/>
                <w:szCs w:val="18"/>
                <w:lang w:eastAsia="es-CO"/>
                <w14:ligatures w14:val="none"/>
              </w:rPr>
              <w:t xml:space="preserve"> Activos</w:t>
            </w:r>
          </w:p>
        </w:tc>
        <w:tc>
          <w:tcPr>
            <w:tcW w:w="1125" w:type="pct"/>
            <w:tcBorders>
              <w:top w:val="single" w:sz="4" w:space="0" w:color="auto"/>
              <w:left w:val="nil"/>
              <w:bottom w:val="single" w:sz="4" w:space="0" w:color="auto"/>
              <w:right w:val="single" w:sz="4" w:space="0" w:color="auto"/>
            </w:tcBorders>
            <w:shd w:val="clear" w:color="000000" w:fill="D9D9D9"/>
            <w:noWrap/>
            <w:vAlign w:val="center"/>
            <w:hideMark/>
          </w:tcPr>
          <w:p w14:paraId="6A797D76" w14:textId="77777777" w:rsidR="00AA36D9" w:rsidRPr="00AA36D9" w:rsidRDefault="00AA36D9" w:rsidP="00AA36D9">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A36D9">
              <w:rPr>
                <w:rFonts w:ascii="Times New Roman" w:eastAsia="Times New Roman" w:hAnsi="Times New Roman" w:cs="Times New Roman"/>
                <w:b/>
                <w:bCs/>
                <w:color w:val="000000"/>
                <w:kern w:val="0"/>
                <w:sz w:val="18"/>
                <w:szCs w:val="18"/>
                <w:lang w:eastAsia="es-CO"/>
                <w14:ligatures w14:val="none"/>
              </w:rPr>
              <w:t>101.397.391.593.379</w:t>
            </w:r>
          </w:p>
        </w:tc>
        <w:tc>
          <w:tcPr>
            <w:tcW w:w="1043" w:type="pct"/>
            <w:tcBorders>
              <w:top w:val="single" w:sz="4" w:space="0" w:color="auto"/>
              <w:left w:val="nil"/>
              <w:bottom w:val="single" w:sz="4" w:space="0" w:color="auto"/>
              <w:right w:val="single" w:sz="4" w:space="0" w:color="auto"/>
            </w:tcBorders>
            <w:shd w:val="clear" w:color="000000" w:fill="D9D9D9"/>
            <w:noWrap/>
            <w:vAlign w:val="center"/>
            <w:hideMark/>
          </w:tcPr>
          <w:p w14:paraId="51CF00EB" w14:textId="77777777" w:rsidR="00AA36D9" w:rsidRPr="00AA36D9" w:rsidRDefault="00AA36D9" w:rsidP="00AA36D9">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A36D9">
              <w:rPr>
                <w:rFonts w:ascii="Times New Roman" w:eastAsia="Times New Roman" w:hAnsi="Times New Roman" w:cs="Times New Roman"/>
                <w:b/>
                <w:bCs/>
                <w:color w:val="000000"/>
                <w:kern w:val="0"/>
                <w:sz w:val="18"/>
                <w:szCs w:val="18"/>
                <w:lang w:eastAsia="es-CO"/>
                <w14:ligatures w14:val="none"/>
              </w:rPr>
              <w:t>97.519.749.787.743</w:t>
            </w:r>
          </w:p>
        </w:tc>
        <w:tc>
          <w:tcPr>
            <w:tcW w:w="884" w:type="pct"/>
            <w:tcBorders>
              <w:top w:val="single" w:sz="4" w:space="0" w:color="auto"/>
              <w:left w:val="nil"/>
              <w:bottom w:val="single" w:sz="4" w:space="0" w:color="auto"/>
              <w:right w:val="single" w:sz="4" w:space="0" w:color="auto"/>
            </w:tcBorders>
            <w:shd w:val="clear" w:color="000000" w:fill="D9D9D9"/>
            <w:noWrap/>
            <w:vAlign w:val="center"/>
            <w:hideMark/>
          </w:tcPr>
          <w:p w14:paraId="0D631B2E" w14:textId="77777777" w:rsidR="00AA36D9" w:rsidRPr="00AA36D9" w:rsidRDefault="00AA36D9" w:rsidP="00AA36D9">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A36D9">
              <w:rPr>
                <w:rFonts w:ascii="Times New Roman" w:eastAsia="Times New Roman" w:hAnsi="Times New Roman" w:cs="Times New Roman"/>
                <w:b/>
                <w:bCs/>
                <w:color w:val="000000"/>
                <w:kern w:val="0"/>
                <w:sz w:val="18"/>
                <w:szCs w:val="18"/>
                <w:lang w:eastAsia="es-CO"/>
                <w14:ligatures w14:val="none"/>
              </w:rPr>
              <w:t>3.877.641.805.636</w:t>
            </w:r>
          </w:p>
        </w:tc>
        <w:tc>
          <w:tcPr>
            <w:tcW w:w="586" w:type="pct"/>
            <w:tcBorders>
              <w:top w:val="single" w:sz="4" w:space="0" w:color="auto"/>
              <w:left w:val="nil"/>
              <w:bottom w:val="single" w:sz="4" w:space="0" w:color="auto"/>
              <w:right w:val="single" w:sz="4" w:space="0" w:color="auto"/>
            </w:tcBorders>
            <w:shd w:val="clear" w:color="000000" w:fill="D0D0D0"/>
            <w:noWrap/>
            <w:vAlign w:val="center"/>
            <w:hideMark/>
          </w:tcPr>
          <w:p w14:paraId="2E166517" w14:textId="77777777" w:rsidR="00AA36D9" w:rsidRPr="00AA36D9" w:rsidRDefault="00AA36D9" w:rsidP="00AA36D9">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A36D9">
              <w:rPr>
                <w:rFonts w:ascii="Times New Roman" w:eastAsia="Times New Roman" w:hAnsi="Times New Roman" w:cs="Times New Roman"/>
                <w:b/>
                <w:bCs/>
                <w:color w:val="000000"/>
                <w:kern w:val="0"/>
                <w:sz w:val="18"/>
                <w:szCs w:val="18"/>
                <w:lang w:eastAsia="es-CO"/>
                <w14:ligatures w14:val="none"/>
              </w:rPr>
              <w:t>3,98%</w:t>
            </w:r>
          </w:p>
        </w:tc>
      </w:tr>
    </w:tbl>
    <w:p w14:paraId="740E50C2" w14:textId="77777777" w:rsidR="004C276E" w:rsidRPr="00AA7D9F" w:rsidRDefault="004C276E" w:rsidP="00D747D0">
      <w:pPr>
        <w:spacing w:after="0" w:line="240" w:lineRule="auto"/>
        <w:rPr>
          <w:rFonts w:ascii="Times New Roman" w:hAnsi="Times New Roman" w:cs="Times New Roman"/>
          <w:b/>
          <w:bCs/>
          <w:sz w:val="24"/>
          <w:szCs w:val="24"/>
        </w:rPr>
      </w:pPr>
    </w:p>
    <w:p w14:paraId="44180A05" w14:textId="142AFD85" w:rsidR="000E5615" w:rsidRDefault="000E5615" w:rsidP="00340DFA">
      <w:pPr>
        <w:spacing w:after="0" w:line="240" w:lineRule="auto"/>
        <w:jc w:val="both"/>
      </w:pPr>
    </w:p>
    <w:p w14:paraId="5B408376" w14:textId="0CB5324A" w:rsidR="00585EB2" w:rsidRPr="00E01924" w:rsidRDefault="00585EB2" w:rsidP="00340DFA">
      <w:pPr>
        <w:spacing w:after="0" w:line="240" w:lineRule="auto"/>
        <w:jc w:val="both"/>
        <w:rPr>
          <w:rFonts w:ascii="Times New Roman" w:hAnsi="Times New Roman" w:cs="Times New Roman"/>
          <w:sz w:val="24"/>
          <w:szCs w:val="24"/>
        </w:rPr>
      </w:pPr>
      <w:r w:rsidRPr="00E01924">
        <w:rPr>
          <w:rFonts w:ascii="Times New Roman" w:hAnsi="Times New Roman" w:cs="Times New Roman"/>
          <w:sz w:val="24"/>
          <w:szCs w:val="24"/>
        </w:rPr>
        <w:t xml:space="preserve">A continuación, se presenta la información con un mayor nivel de detalle para </w:t>
      </w:r>
      <w:r w:rsidR="001120AA" w:rsidRPr="00E01924">
        <w:rPr>
          <w:rFonts w:ascii="Times New Roman" w:hAnsi="Times New Roman" w:cs="Times New Roman"/>
          <w:sz w:val="24"/>
          <w:szCs w:val="24"/>
        </w:rPr>
        <w:t>algunas variaciones</w:t>
      </w:r>
      <w:r w:rsidRPr="00E01924">
        <w:rPr>
          <w:rFonts w:ascii="Times New Roman" w:hAnsi="Times New Roman" w:cs="Times New Roman"/>
          <w:sz w:val="24"/>
          <w:szCs w:val="24"/>
        </w:rPr>
        <w:t>:</w:t>
      </w:r>
    </w:p>
    <w:p w14:paraId="2607564E" w14:textId="7E60ECF1" w:rsidR="006202D6" w:rsidRPr="00E01924" w:rsidRDefault="006202D6" w:rsidP="008820F8">
      <w:pPr>
        <w:spacing w:after="0" w:line="240" w:lineRule="auto"/>
        <w:rPr>
          <w:rFonts w:ascii="Times New Roman" w:hAnsi="Times New Roman" w:cs="Times New Roman"/>
          <w:b/>
          <w:bCs/>
          <w:sz w:val="24"/>
          <w:szCs w:val="24"/>
        </w:rPr>
      </w:pPr>
    </w:p>
    <w:p w14:paraId="4A627D30" w14:textId="06D4B7FD" w:rsidR="008820F8" w:rsidRPr="000B03EE" w:rsidRDefault="008820F8" w:rsidP="00A370A4">
      <w:pPr>
        <w:pStyle w:val="Ttulo3"/>
        <w:rPr>
          <w:rFonts w:ascii="Times New Roman" w:hAnsi="Times New Roman" w:cs="Times New Roman"/>
          <w:b/>
          <w:bCs/>
          <w:sz w:val="24"/>
        </w:rPr>
      </w:pPr>
      <w:bookmarkStart w:id="1" w:name="_Toc230185816"/>
      <w:r w:rsidRPr="000B03EE">
        <w:rPr>
          <w:rFonts w:ascii="Times New Roman" w:hAnsi="Times New Roman" w:cs="Times New Roman"/>
          <w:b/>
          <w:bCs/>
          <w:sz w:val="24"/>
        </w:rPr>
        <w:t>Efectivo y equivalentes al efectivo</w:t>
      </w:r>
      <w:bookmarkEnd w:id="1"/>
    </w:p>
    <w:p w14:paraId="3C2AE321" w14:textId="77777777" w:rsidR="00A13F2C" w:rsidRPr="000B03EE" w:rsidRDefault="00A13F2C" w:rsidP="00A13F2C">
      <w:pPr>
        <w:rPr>
          <w:rFonts w:ascii="Times New Roman" w:hAnsi="Times New Roman" w:cs="Times New Roman"/>
          <w:sz w:val="24"/>
          <w:szCs w:val="24"/>
        </w:rPr>
      </w:pPr>
    </w:p>
    <w:p w14:paraId="0733DDF2" w14:textId="77777777" w:rsidR="00A13F2C" w:rsidRPr="000B03EE" w:rsidRDefault="00A13F2C" w:rsidP="00151741">
      <w:pPr>
        <w:jc w:val="both"/>
        <w:rPr>
          <w:rFonts w:ascii="Times New Roman" w:hAnsi="Times New Roman" w:cs="Times New Roman"/>
          <w:sz w:val="24"/>
          <w:szCs w:val="24"/>
        </w:rPr>
      </w:pPr>
      <w:r w:rsidRPr="000B03EE">
        <w:rPr>
          <w:rFonts w:ascii="Times New Roman" w:hAnsi="Times New Roman" w:cs="Times New Roman"/>
          <w:sz w:val="24"/>
          <w:szCs w:val="24"/>
        </w:rPr>
        <w:t>Comprende los saldos en la cuenta corriente y de ahorro titularidad de la ANI, los cuales integran flujos provenientes de:</w:t>
      </w:r>
    </w:p>
    <w:p w14:paraId="6BD65298" w14:textId="20CA4E88" w:rsidR="00A13F2C" w:rsidRPr="000B03EE" w:rsidRDefault="00A13F2C" w:rsidP="00A13F2C">
      <w:pPr>
        <w:pStyle w:val="Prrafodelista"/>
        <w:numPr>
          <w:ilvl w:val="0"/>
          <w:numId w:val="27"/>
        </w:numPr>
      </w:pPr>
      <w:r w:rsidRPr="000B03EE">
        <w:t>Administración: Recursos gestionados bajo contratos o convenios vigentes.</w:t>
      </w:r>
    </w:p>
    <w:p w14:paraId="182B8E94" w14:textId="548D478D" w:rsidR="00A13F2C" w:rsidRPr="000B03EE" w:rsidRDefault="00A13F2C" w:rsidP="00A13F2C">
      <w:pPr>
        <w:pStyle w:val="Prrafodelista"/>
        <w:numPr>
          <w:ilvl w:val="0"/>
          <w:numId w:val="27"/>
        </w:numPr>
      </w:pPr>
      <w:r w:rsidRPr="000B03EE">
        <w:t>Retenciones y aportes: Retenciones de ICA, descuentos a nómina/contratistas para cuentas AFC y aportes parafiscales.</w:t>
      </w:r>
    </w:p>
    <w:p w14:paraId="5A0972E5" w14:textId="190E14E7" w:rsidR="00A13F2C" w:rsidRPr="000B03EE" w:rsidRDefault="00A13F2C" w:rsidP="00A13F2C">
      <w:pPr>
        <w:pStyle w:val="Prrafodelista"/>
        <w:numPr>
          <w:ilvl w:val="0"/>
          <w:numId w:val="27"/>
        </w:numPr>
      </w:pPr>
      <w:r w:rsidRPr="000B03EE">
        <w:t>Seguridad social: Reembolsos de EPS por concepto de incapacidades.</w:t>
      </w:r>
    </w:p>
    <w:p w14:paraId="37899EB2" w14:textId="2A60FC72" w:rsidR="00A13F2C" w:rsidRPr="000B03EE" w:rsidRDefault="00A13F2C" w:rsidP="00A13F2C">
      <w:pPr>
        <w:pStyle w:val="Prrafodelista"/>
        <w:numPr>
          <w:ilvl w:val="0"/>
          <w:numId w:val="27"/>
        </w:numPr>
      </w:pPr>
      <w:r w:rsidRPr="000B03EE">
        <w:t>Infraestructura: Contraprestaciones por contratos de la red férrea y explotación de activos en concesión.</w:t>
      </w:r>
    </w:p>
    <w:p w14:paraId="3599F4E5" w14:textId="60390D84" w:rsidR="00A13F2C" w:rsidRPr="000B03EE" w:rsidRDefault="00A13F2C" w:rsidP="00A13F2C">
      <w:pPr>
        <w:pStyle w:val="Prrafodelista"/>
        <w:numPr>
          <w:ilvl w:val="0"/>
          <w:numId w:val="27"/>
        </w:numPr>
      </w:pPr>
      <w:r w:rsidRPr="000B03EE">
        <w:t>Gestión interna: Traslados de fondos entre cuentas de la misma entidad.</w:t>
      </w:r>
    </w:p>
    <w:p w14:paraId="6E54D40C" w14:textId="1BFDAF5A" w:rsidR="00A13F2C" w:rsidRPr="000B03EE" w:rsidRDefault="00A13F2C" w:rsidP="00A13F2C">
      <w:pPr>
        <w:pStyle w:val="Prrafodelista"/>
        <w:numPr>
          <w:ilvl w:val="0"/>
          <w:numId w:val="27"/>
        </w:numPr>
      </w:pPr>
      <w:r w:rsidRPr="000B03EE">
        <w:t>Financieros: Rendimientos generados por saldos bancarios.</w:t>
      </w:r>
    </w:p>
    <w:p w14:paraId="4757CEEA" w14:textId="050C4083" w:rsidR="00A13F2C" w:rsidRPr="000B03EE" w:rsidRDefault="00A13F2C" w:rsidP="00A13F2C">
      <w:pPr>
        <w:pStyle w:val="Prrafodelista"/>
        <w:numPr>
          <w:ilvl w:val="0"/>
          <w:numId w:val="27"/>
        </w:numPr>
      </w:pPr>
      <w:r w:rsidRPr="000B03EE">
        <w:t>Otros ingresos: Recuperaciones de cartera y devoluciones de costos de estructuración</w:t>
      </w:r>
    </w:p>
    <w:p w14:paraId="0EA9B8E8" w14:textId="77777777" w:rsidR="00A13F2C" w:rsidRPr="000B03EE" w:rsidRDefault="00A13F2C" w:rsidP="00A13F2C">
      <w:pPr>
        <w:rPr>
          <w:rFonts w:ascii="Times New Roman" w:hAnsi="Times New Roman" w:cs="Times New Roman"/>
          <w:sz w:val="24"/>
          <w:szCs w:val="24"/>
        </w:rPr>
      </w:pPr>
    </w:p>
    <w:p w14:paraId="5A2523E2" w14:textId="20276437" w:rsidR="00A13F2C" w:rsidRPr="000B03EE" w:rsidRDefault="00A13F2C" w:rsidP="00151741">
      <w:pPr>
        <w:jc w:val="both"/>
        <w:rPr>
          <w:rFonts w:ascii="Times New Roman" w:hAnsi="Times New Roman" w:cs="Times New Roman"/>
          <w:sz w:val="24"/>
          <w:szCs w:val="24"/>
        </w:rPr>
      </w:pPr>
      <w:r w:rsidRPr="000B03EE">
        <w:rPr>
          <w:rFonts w:ascii="Times New Roman" w:hAnsi="Times New Roman" w:cs="Times New Roman"/>
          <w:sz w:val="24"/>
          <w:szCs w:val="24"/>
        </w:rPr>
        <w:t xml:space="preserve">Se destaca un incremento de $2.755.669.980 en la cuenta de ahorros (Efectivo y equivalentes de efectivo) en comparación con diciembre de 2025. Dicha variación responde a ingresos </w:t>
      </w:r>
      <w:r w:rsidRPr="000B03EE">
        <w:rPr>
          <w:rFonts w:ascii="Times New Roman" w:hAnsi="Times New Roman" w:cs="Times New Roman"/>
          <w:sz w:val="24"/>
          <w:szCs w:val="24"/>
        </w:rPr>
        <w:lastRenderedPageBreak/>
        <w:t>consignados por INVIAS por concepto de contraprestación portuaria en los últimos días del primer trimestre del 2026, situación que postergó su transferencia oportuna a la Cuenta Única Nacional (CUN).</w:t>
      </w:r>
    </w:p>
    <w:p w14:paraId="7A0ACB89" w14:textId="77777777" w:rsidR="008820F8" w:rsidRPr="000B03EE" w:rsidRDefault="008820F8" w:rsidP="00D747D0">
      <w:pPr>
        <w:spacing w:after="0" w:line="240" w:lineRule="auto"/>
        <w:rPr>
          <w:rFonts w:ascii="Times New Roman" w:hAnsi="Times New Roman" w:cs="Times New Roman"/>
          <w:b/>
          <w:bCs/>
          <w:sz w:val="24"/>
          <w:szCs w:val="24"/>
        </w:rPr>
      </w:pPr>
    </w:p>
    <w:p w14:paraId="76AC00C0" w14:textId="77777777" w:rsidR="006119D8" w:rsidRPr="000B03EE" w:rsidRDefault="006119D8" w:rsidP="008820F8">
      <w:pPr>
        <w:spacing w:after="0" w:line="240" w:lineRule="auto"/>
        <w:jc w:val="both"/>
        <w:rPr>
          <w:rFonts w:ascii="Times New Roman" w:hAnsi="Times New Roman" w:cs="Times New Roman"/>
          <w:sz w:val="24"/>
          <w:szCs w:val="24"/>
        </w:rPr>
      </w:pPr>
    </w:p>
    <w:p w14:paraId="542F6441" w14:textId="4B240D2B" w:rsidR="006119D8" w:rsidRPr="000B03EE" w:rsidRDefault="006119D8" w:rsidP="009C22D1">
      <w:pPr>
        <w:pStyle w:val="Ttulo3"/>
        <w:jc w:val="both"/>
        <w:rPr>
          <w:rFonts w:ascii="Times New Roman" w:hAnsi="Times New Roman" w:cs="Times New Roman"/>
          <w:b/>
          <w:bCs/>
          <w:sz w:val="24"/>
        </w:rPr>
      </w:pPr>
      <w:bookmarkStart w:id="2" w:name="_Toc230185817"/>
      <w:r w:rsidRPr="000B03EE">
        <w:rPr>
          <w:rFonts w:ascii="Times New Roman" w:hAnsi="Times New Roman" w:cs="Times New Roman"/>
          <w:b/>
          <w:bCs/>
          <w:sz w:val="24"/>
        </w:rPr>
        <w:t xml:space="preserve">Cuentas por </w:t>
      </w:r>
      <w:r w:rsidR="00EC7BE4" w:rsidRPr="000B03EE">
        <w:rPr>
          <w:rFonts w:ascii="Times New Roman" w:hAnsi="Times New Roman" w:cs="Times New Roman"/>
          <w:b/>
          <w:bCs/>
          <w:sz w:val="24"/>
        </w:rPr>
        <w:t>c</w:t>
      </w:r>
      <w:r w:rsidRPr="000B03EE">
        <w:rPr>
          <w:rFonts w:ascii="Times New Roman" w:hAnsi="Times New Roman" w:cs="Times New Roman"/>
          <w:b/>
          <w:bCs/>
          <w:sz w:val="24"/>
        </w:rPr>
        <w:t>obrar</w:t>
      </w:r>
      <w:bookmarkEnd w:id="2"/>
    </w:p>
    <w:p w14:paraId="7504F1E6" w14:textId="77777777" w:rsidR="006119D8" w:rsidRPr="000B03EE" w:rsidRDefault="006119D8" w:rsidP="009C22D1">
      <w:pPr>
        <w:spacing w:after="0" w:line="240" w:lineRule="auto"/>
        <w:jc w:val="both"/>
        <w:rPr>
          <w:rFonts w:ascii="Times New Roman" w:hAnsi="Times New Roman" w:cs="Times New Roman"/>
          <w:sz w:val="24"/>
          <w:szCs w:val="24"/>
        </w:rPr>
      </w:pPr>
    </w:p>
    <w:p w14:paraId="2EF19389" w14:textId="0E3CE59B" w:rsidR="000B03EE" w:rsidRPr="000B03EE" w:rsidRDefault="000B03EE" w:rsidP="009C22D1">
      <w:pPr>
        <w:jc w:val="both"/>
        <w:rPr>
          <w:rFonts w:ascii="Times New Roman" w:hAnsi="Times New Roman" w:cs="Times New Roman"/>
          <w:sz w:val="24"/>
          <w:szCs w:val="24"/>
        </w:rPr>
      </w:pPr>
      <w:r w:rsidRPr="000B03EE">
        <w:rPr>
          <w:rFonts w:ascii="Times New Roman" w:hAnsi="Times New Roman" w:cs="Times New Roman"/>
          <w:sz w:val="24"/>
          <w:szCs w:val="24"/>
        </w:rPr>
        <w:t>Se</w:t>
      </w:r>
      <w:r>
        <w:rPr>
          <w:rFonts w:ascii="Times New Roman" w:hAnsi="Times New Roman" w:cs="Times New Roman"/>
          <w:sz w:val="24"/>
          <w:szCs w:val="24"/>
        </w:rPr>
        <w:t xml:space="preserve"> presenta una variación por valor de $</w:t>
      </w:r>
      <w:r w:rsidRPr="000B03EE">
        <w:rPr>
          <w:rFonts w:ascii="Times New Roman" w:hAnsi="Times New Roman" w:cs="Times New Roman"/>
          <w:sz w:val="24"/>
          <w:szCs w:val="24"/>
        </w:rPr>
        <w:t>1.458.433.099</w:t>
      </w:r>
      <w:r>
        <w:rPr>
          <w:rFonts w:ascii="Times New Roman" w:hAnsi="Times New Roman" w:cs="Times New Roman"/>
          <w:sz w:val="24"/>
          <w:szCs w:val="24"/>
        </w:rPr>
        <w:t>, de</w:t>
      </w:r>
      <w:r w:rsidR="009C22D1">
        <w:rPr>
          <w:rFonts w:ascii="Times New Roman" w:hAnsi="Times New Roman" w:cs="Times New Roman"/>
          <w:sz w:val="24"/>
          <w:szCs w:val="24"/>
        </w:rPr>
        <w:t>l saldo a</w:t>
      </w:r>
      <w:r>
        <w:rPr>
          <w:rFonts w:ascii="Times New Roman" w:hAnsi="Times New Roman" w:cs="Times New Roman"/>
          <w:sz w:val="24"/>
          <w:szCs w:val="24"/>
        </w:rPr>
        <w:t xml:space="preserve"> marzo de 2026 frente a</w:t>
      </w:r>
      <w:r w:rsidR="009C22D1">
        <w:rPr>
          <w:rFonts w:ascii="Times New Roman" w:hAnsi="Times New Roman" w:cs="Times New Roman"/>
          <w:sz w:val="24"/>
          <w:szCs w:val="24"/>
        </w:rPr>
        <w:t xml:space="preserve">l saldo de </w:t>
      </w:r>
      <w:r>
        <w:rPr>
          <w:rFonts w:ascii="Times New Roman" w:hAnsi="Times New Roman" w:cs="Times New Roman"/>
          <w:sz w:val="24"/>
          <w:szCs w:val="24"/>
        </w:rPr>
        <w:t xml:space="preserve">diciembre de 2025, </w:t>
      </w:r>
      <w:r w:rsidR="009C22D1">
        <w:rPr>
          <w:rFonts w:ascii="Times New Roman" w:hAnsi="Times New Roman" w:cs="Times New Roman"/>
          <w:sz w:val="24"/>
          <w:szCs w:val="24"/>
        </w:rPr>
        <w:t xml:space="preserve">originada </w:t>
      </w:r>
      <w:r>
        <w:rPr>
          <w:rFonts w:ascii="Times New Roman" w:hAnsi="Times New Roman" w:cs="Times New Roman"/>
          <w:sz w:val="24"/>
          <w:szCs w:val="24"/>
        </w:rPr>
        <w:t>principalmente por</w:t>
      </w:r>
      <w:r w:rsidR="009C22D1">
        <w:rPr>
          <w:rFonts w:ascii="Times New Roman" w:hAnsi="Times New Roman" w:cs="Times New Roman"/>
          <w:sz w:val="24"/>
          <w:szCs w:val="24"/>
        </w:rPr>
        <w:t xml:space="preserve"> el incremento en la subcuenta</w:t>
      </w:r>
      <w:r>
        <w:rPr>
          <w:rFonts w:ascii="Times New Roman" w:hAnsi="Times New Roman" w:cs="Times New Roman"/>
          <w:sz w:val="24"/>
          <w:szCs w:val="24"/>
        </w:rPr>
        <w:t xml:space="preserve"> Derechos de Tránsito por valor de $</w:t>
      </w:r>
      <w:r w:rsidRPr="000B03EE">
        <w:rPr>
          <w:rFonts w:ascii="Times New Roman" w:hAnsi="Times New Roman" w:cs="Times New Roman"/>
          <w:sz w:val="24"/>
          <w:szCs w:val="24"/>
        </w:rPr>
        <w:t>1.982.243.366</w:t>
      </w:r>
      <w:r w:rsidR="00827347">
        <w:rPr>
          <w:rFonts w:ascii="Times New Roman" w:hAnsi="Times New Roman" w:cs="Times New Roman"/>
          <w:sz w:val="24"/>
          <w:szCs w:val="24"/>
        </w:rPr>
        <w:t xml:space="preserve">, </w:t>
      </w:r>
      <w:r w:rsidR="009C22D1">
        <w:rPr>
          <w:rFonts w:ascii="Times New Roman" w:hAnsi="Times New Roman" w:cs="Times New Roman"/>
          <w:sz w:val="24"/>
          <w:szCs w:val="24"/>
        </w:rPr>
        <w:t>En esta</w:t>
      </w:r>
      <w:r w:rsidR="00827347">
        <w:rPr>
          <w:rFonts w:ascii="Times New Roman" w:hAnsi="Times New Roman" w:cs="Times New Roman"/>
          <w:sz w:val="24"/>
          <w:szCs w:val="24"/>
        </w:rPr>
        <w:t xml:space="preserve"> subcuenta se registran los ingresos y recaudos percibidos por la Agencia, </w:t>
      </w:r>
      <w:r w:rsidR="009C22D1">
        <w:rPr>
          <w:rFonts w:ascii="Times New Roman" w:hAnsi="Times New Roman" w:cs="Times New Roman"/>
          <w:sz w:val="24"/>
          <w:szCs w:val="24"/>
        </w:rPr>
        <w:t>provenientes de</w:t>
      </w:r>
      <w:r w:rsidR="00827347">
        <w:rPr>
          <w:rFonts w:ascii="Times New Roman" w:hAnsi="Times New Roman" w:cs="Times New Roman"/>
          <w:sz w:val="24"/>
          <w:szCs w:val="24"/>
        </w:rPr>
        <w:t xml:space="preserve"> los operadores</w:t>
      </w:r>
      <w:r w:rsidR="009C22D1">
        <w:rPr>
          <w:rFonts w:ascii="Times New Roman" w:hAnsi="Times New Roman" w:cs="Times New Roman"/>
          <w:sz w:val="24"/>
          <w:szCs w:val="24"/>
        </w:rPr>
        <w:t>,</w:t>
      </w:r>
      <w:r w:rsidR="00827347">
        <w:rPr>
          <w:rFonts w:ascii="Times New Roman" w:hAnsi="Times New Roman" w:cs="Times New Roman"/>
          <w:sz w:val="24"/>
          <w:szCs w:val="24"/>
        </w:rPr>
        <w:t xml:space="preserve"> de conformidad con las tarifas </w:t>
      </w:r>
      <w:r w:rsidR="009C22D1">
        <w:rPr>
          <w:rFonts w:ascii="Times New Roman" w:hAnsi="Times New Roman" w:cs="Times New Roman"/>
          <w:sz w:val="24"/>
          <w:szCs w:val="24"/>
        </w:rPr>
        <w:t>establecidas</w:t>
      </w:r>
      <w:r w:rsidR="00827347">
        <w:rPr>
          <w:rFonts w:ascii="Times New Roman" w:hAnsi="Times New Roman" w:cs="Times New Roman"/>
          <w:sz w:val="24"/>
          <w:szCs w:val="24"/>
        </w:rPr>
        <w:t xml:space="preserve"> para el uso de las vías férreas </w:t>
      </w:r>
      <w:r w:rsidR="009C22D1">
        <w:rPr>
          <w:rFonts w:ascii="Times New Roman" w:hAnsi="Times New Roman" w:cs="Times New Roman"/>
          <w:sz w:val="24"/>
          <w:szCs w:val="24"/>
        </w:rPr>
        <w:t xml:space="preserve">destinadas </w:t>
      </w:r>
      <w:r w:rsidR="00827347">
        <w:rPr>
          <w:rFonts w:ascii="Times New Roman" w:hAnsi="Times New Roman" w:cs="Times New Roman"/>
          <w:sz w:val="24"/>
          <w:szCs w:val="24"/>
        </w:rPr>
        <w:t>para el transporte de carga de carbón.</w:t>
      </w:r>
    </w:p>
    <w:p w14:paraId="25036236" w14:textId="77777777" w:rsidR="000B03EE" w:rsidRPr="000B03EE" w:rsidRDefault="000B03EE" w:rsidP="000B03EE">
      <w:pPr>
        <w:rPr>
          <w:rFonts w:ascii="Times New Roman" w:hAnsi="Times New Roman" w:cs="Times New Roman"/>
          <w:sz w:val="24"/>
          <w:szCs w:val="24"/>
        </w:rPr>
      </w:pPr>
    </w:p>
    <w:p w14:paraId="76F8C3CC" w14:textId="421347AC" w:rsidR="00EE0013" w:rsidRPr="000B03EE" w:rsidRDefault="00EE0013" w:rsidP="006119D8">
      <w:pPr>
        <w:pStyle w:val="Ttulo3"/>
        <w:rPr>
          <w:rFonts w:ascii="Times New Roman" w:hAnsi="Times New Roman" w:cs="Times New Roman"/>
          <w:b/>
          <w:bCs/>
          <w:sz w:val="24"/>
        </w:rPr>
      </w:pPr>
      <w:bookmarkStart w:id="3" w:name="_Toc230185818"/>
      <w:r w:rsidRPr="000B03EE">
        <w:rPr>
          <w:rFonts w:ascii="Times New Roman" w:hAnsi="Times New Roman" w:cs="Times New Roman"/>
          <w:b/>
          <w:bCs/>
          <w:sz w:val="24"/>
        </w:rPr>
        <w:t>Propiedades</w:t>
      </w:r>
      <w:r w:rsidR="00EC7BE4" w:rsidRPr="000B03EE">
        <w:rPr>
          <w:rFonts w:ascii="Times New Roman" w:hAnsi="Times New Roman" w:cs="Times New Roman"/>
          <w:b/>
          <w:bCs/>
          <w:sz w:val="24"/>
        </w:rPr>
        <w:t>,</w:t>
      </w:r>
      <w:r w:rsidRPr="000B03EE">
        <w:rPr>
          <w:rFonts w:ascii="Times New Roman" w:hAnsi="Times New Roman" w:cs="Times New Roman"/>
          <w:b/>
          <w:bCs/>
          <w:sz w:val="24"/>
        </w:rPr>
        <w:t xml:space="preserve"> </w:t>
      </w:r>
      <w:r w:rsidR="00EC7BE4" w:rsidRPr="000B03EE">
        <w:rPr>
          <w:rFonts w:ascii="Times New Roman" w:hAnsi="Times New Roman" w:cs="Times New Roman"/>
          <w:b/>
          <w:bCs/>
          <w:sz w:val="24"/>
        </w:rPr>
        <w:t>p</w:t>
      </w:r>
      <w:r w:rsidRPr="000B03EE">
        <w:rPr>
          <w:rFonts w:ascii="Times New Roman" w:hAnsi="Times New Roman" w:cs="Times New Roman"/>
          <w:b/>
          <w:bCs/>
          <w:sz w:val="24"/>
        </w:rPr>
        <w:t>lanta y equipo</w:t>
      </w:r>
      <w:bookmarkEnd w:id="3"/>
      <w:r w:rsidR="00134D50" w:rsidRPr="000B03EE">
        <w:rPr>
          <w:rFonts w:ascii="Times New Roman" w:hAnsi="Times New Roman" w:cs="Times New Roman"/>
          <w:b/>
          <w:bCs/>
          <w:sz w:val="24"/>
        </w:rPr>
        <w:t xml:space="preserve">  </w:t>
      </w:r>
    </w:p>
    <w:p w14:paraId="17B17BB7" w14:textId="77777777" w:rsidR="00C04E0B" w:rsidRPr="000B03EE" w:rsidRDefault="00C04E0B" w:rsidP="00C04E0B">
      <w:pPr>
        <w:rPr>
          <w:rFonts w:ascii="Times New Roman" w:hAnsi="Times New Roman" w:cs="Times New Roman"/>
          <w:sz w:val="24"/>
          <w:szCs w:val="24"/>
        </w:rPr>
      </w:pPr>
    </w:p>
    <w:p w14:paraId="33E9813D" w14:textId="15C00CEE" w:rsidR="00346D3B" w:rsidRPr="00346D3B" w:rsidRDefault="00346D3B" w:rsidP="00295B01">
      <w:pPr>
        <w:jc w:val="both"/>
        <w:rPr>
          <w:rFonts w:ascii="Times New Roman" w:hAnsi="Times New Roman" w:cs="Times New Roman"/>
          <w:sz w:val="24"/>
          <w:szCs w:val="24"/>
        </w:rPr>
      </w:pPr>
      <w:r>
        <w:rPr>
          <w:rFonts w:ascii="Times New Roman" w:hAnsi="Times New Roman" w:cs="Times New Roman"/>
          <w:sz w:val="24"/>
          <w:szCs w:val="24"/>
        </w:rPr>
        <w:t xml:space="preserve">La </w:t>
      </w:r>
      <w:r w:rsidRPr="00346D3B">
        <w:rPr>
          <w:rFonts w:ascii="Times New Roman" w:hAnsi="Times New Roman" w:cs="Times New Roman"/>
          <w:sz w:val="24"/>
          <w:szCs w:val="24"/>
        </w:rPr>
        <w:t>Propiedad, planta y equipo</w:t>
      </w:r>
      <w:r w:rsidR="00E14DD6">
        <w:rPr>
          <w:rFonts w:ascii="Times New Roman" w:hAnsi="Times New Roman" w:cs="Times New Roman"/>
          <w:sz w:val="24"/>
          <w:szCs w:val="24"/>
        </w:rPr>
        <w:t xml:space="preserve"> de uso administrativo no presentó</w:t>
      </w:r>
      <w:r w:rsidR="00341C6C">
        <w:rPr>
          <w:rFonts w:ascii="Times New Roman" w:hAnsi="Times New Roman" w:cs="Times New Roman"/>
          <w:sz w:val="24"/>
          <w:szCs w:val="24"/>
        </w:rPr>
        <w:t xml:space="preserve"> registros contables por cuanto</w:t>
      </w:r>
      <w:r w:rsidR="00E14DD6">
        <w:rPr>
          <w:rFonts w:ascii="Times New Roman" w:hAnsi="Times New Roman" w:cs="Times New Roman"/>
          <w:sz w:val="24"/>
          <w:szCs w:val="24"/>
        </w:rPr>
        <w:t xml:space="preserve"> la Agencia se encontraba en la implementación de un nuevo software para </w:t>
      </w:r>
      <w:r w:rsidR="002A61E0">
        <w:rPr>
          <w:rFonts w:ascii="Times New Roman" w:hAnsi="Times New Roman" w:cs="Times New Roman"/>
          <w:sz w:val="24"/>
          <w:szCs w:val="24"/>
        </w:rPr>
        <w:t xml:space="preserve">el </w:t>
      </w:r>
      <w:r w:rsidR="00E14DD6">
        <w:rPr>
          <w:rFonts w:ascii="Times New Roman" w:hAnsi="Times New Roman" w:cs="Times New Roman"/>
          <w:sz w:val="24"/>
          <w:szCs w:val="24"/>
        </w:rPr>
        <w:t>control, administración y manejo</w:t>
      </w:r>
      <w:r w:rsidR="002A61E0">
        <w:rPr>
          <w:rFonts w:ascii="Times New Roman" w:hAnsi="Times New Roman" w:cs="Times New Roman"/>
          <w:sz w:val="24"/>
          <w:szCs w:val="24"/>
        </w:rPr>
        <w:t xml:space="preserve"> de los inventarios</w:t>
      </w:r>
      <w:r w:rsidR="00341C6C">
        <w:rPr>
          <w:rFonts w:ascii="Times New Roman" w:hAnsi="Times New Roman" w:cs="Times New Roman"/>
          <w:sz w:val="24"/>
          <w:szCs w:val="24"/>
        </w:rPr>
        <w:t>. Por esta razón</w:t>
      </w:r>
      <w:r w:rsidR="006A6379">
        <w:rPr>
          <w:rFonts w:ascii="Times New Roman" w:hAnsi="Times New Roman" w:cs="Times New Roman"/>
          <w:sz w:val="24"/>
          <w:szCs w:val="24"/>
        </w:rPr>
        <w:t xml:space="preserve"> no </w:t>
      </w:r>
      <w:r w:rsidR="00341C6C">
        <w:rPr>
          <w:rFonts w:ascii="Times New Roman" w:hAnsi="Times New Roman" w:cs="Times New Roman"/>
          <w:sz w:val="24"/>
          <w:szCs w:val="24"/>
        </w:rPr>
        <w:t>hay movimientos de</w:t>
      </w:r>
      <w:r w:rsidR="006A6379" w:rsidRPr="006A6379">
        <w:t xml:space="preserve"> </w:t>
      </w:r>
      <w:r w:rsidR="006A6379" w:rsidRPr="006A6379">
        <w:rPr>
          <w:rFonts w:ascii="Times New Roman" w:hAnsi="Times New Roman" w:cs="Times New Roman"/>
          <w:sz w:val="24"/>
          <w:szCs w:val="24"/>
        </w:rPr>
        <w:t>adquisiciones</w:t>
      </w:r>
      <w:r w:rsidR="006A6379">
        <w:rPr>
          <w:rFonts w:ascii="Times New Roman" w:hAnsi="Times New Roman" w:cs="Times New Roman"/>
          <w:sz w:val="24"/>
          <w:szCs w:val="24"/>
        </w:rPr>
        <w:t>,</w:t>
      </w:r>
      <w:r w:rsidR="00520427" w:rsidRPr="00520427">
        <w:t xml:space="preserve"> </w:t>
      </w:r>
      <w:r w:rsidR="00520427" w:rsidRPr="00520427">
        <w:rPr>
          <w:rFonts w:ascii="Times New Roman" w:hAnsi="Times New Roman" w:cs="Times New Roman"/>
          <w:sz w:val="24"/>
          <w:szCs w:val="24"/>
        </w:rPr>
        <w:t>reclasificaciones por cambios de uso</w:t>
      </w:r>
      <w:r w:rsidR="00520427">
        <w:rPr>
          <w:rFonts w:ascii="Times New Roman" w:hAnsi="Times New Roman" w:cs="Times New Roman"/>
          <w:sz w:val="24"/>
          <w:szCs w:val="24"/>
        </w:rPr>
        <w:t>, o bajas de los bienes</w:t>
      </w:r>
      <w:r w:rsidR="00295B01">
        <w:rPr>
          <w:rFonts w:ascii="Times New Roman" w:hAnsi="Times New Roman" w:cs="Times New Roman"/>
          <w:sz w:val="24"/>
          <w:szCs w:val="24"/>
        </w:rPr>
        <w:t>.</w:t>
      </w:r>
    </w:p>
    <w:p w14:paraId="1B823E7A" w14:textId="77777777" w:rsidR="00346D3B" w:rsidRDefault="00346D3B" w:rsidP="00C04E0B">
      <w:pPr>
        <w:rPr>
          <w:rFonts w:ascii="Times New Roman" w:hAnsi="Times New Roman" w:cs="Times New Roman"/>
          <w:i/>
          <w:iCs/>
          <w:sz w:val="24"/>
          <w:szCs w:val="24"/>
        </w:rPr>
      </w:pPr>
    </w:p>
    <w:p w14:paraId="17952BFC" w14:textId="5380231C" w:rsidR="00F22F0D" w:rsidRPr="00E01924" w:rsidRDefault="0044171B" w:rsidP="00520427">
      <w:pPr>
        <w:jc w:val="both"/>
        <w:rPr>
          <w:rFonts w:ascii="Times New Roman" w:hAnsi="Times New Roman" w:cs="Times New Roman"/>
          <w:sz w:val="24"/>
          <w:szCs w:val="24"/>
        </w:rPr>
      </w:pPr>
      <w:r w:rsidRPr="00520427">
        <w:rPr>
          <w:rFonts w:ascii="Times New Roman" w:hAnsi="Times New Roman" w:cs="Times New Roman"/>
          <w:sz w:val="24"/>
          <w:szCs w:val="24"/>
        </w:rPr>
        <w:t xml:space="preserve">En </w:t>
      </w:r>
      <w:r w:rsidR="00520427">
        <w:rPr>
          <w:rFonts w:ascii="Times New Roman" w:hAnsi="Times New Roman" w:cs="Times New Roman"/>
          <w:sz w:val="24"/>
          <w:szCs w:val="24"/>
        </w:rPr>
        <w:t>cuanto l</w:t>
      </w:r>
      <w:r w:rsidR="00520427" w:rsidRPr="00520427">
        <w:rPr>
          <w:rFonts w:ascii="Times New Roman" w:hAnsi="Times New Roman" w:cs="Times New Roman"/>
          <w:sz w:val="24"/>
          <w:szCs w:val="24"/>
        </w:rPr>
        <w:t>a Propiedad, planta y equipo</w:t>
      </w:r>
      <w:r w:rsidR="00520427">
        <w:rPr>
          <w:rFonts w:ascii="Times New Roman" w:hAnsi="Times New Roman" w:cs="Times New Roman"/>
          <w:sz w:val="24"/>
          <w:szCs w:val="24"/>
        </w:rPr>
        <w:t xml:space="preserve"> en</w:t>
      </w:r>
      <w:r w:rsidR="00520427" w:rsidRPr="00520427">
        <w:rPr>
          <w:rFonts w:ascii="Times New Roman" w:hAnsi="Times New Roman" w:cs="Times New Roman"/>
          <w:sz w:val="24"/>
          <w:szCs w:val="24"/>
        </w:rPr>
        <w:t xml:space="preserve"> </w:t>
      </w:r>
      <w:r w:rsidRPr="00520427">
        <w:rPr>
          <w:rFonts w:ascii="Times New Roman" w:hAnsi="Times New Roman" w:cs="Times New Roman"/>
          <w:sz w:val="24"/>
          <w:szCs w:val="24"/>
        </w:rPr>
        <w:t>concesión</w:t>
      </w:r>
      <w:r w:rsidR="00520427">
        <w:rPr>
          <w:rFonts w:ascii="Times New Roman" w:hAnsi="Times New Roman" w:cs="Times New Roman"/>
          <w:sz w:val="24"/>
          <w:szCs w:val="24"/>
        </w:rPr>
        <w:t xml:space="preserve">, </w:t>
      </w:r>
      <w:r w:rsidR="000F7A0F">
        <w:rPr>
          <w:rFonts w:ascii="Times New Roman" w:hAnsi="Times New Roman" w:cs="Times New Roman"/>
          <w:sz w:val="24"/>
          <w:szCs w:val="24"/>
        </w:rPr>
        <w:t xml:space="preserve">generalmente esta se afecta al final del periodo contable, no obstante, </w:t>
      </w:r>
      <w:r w:rsidR="00520427">
        <w:rPr>
          <w:rFonts w:ascii="Times New Roman" w:hAnsi="Times New Roman" w:cs="Times New Roman"/>
          <w:sz w:val="24"/>
          <w:szCs w:val="24"/>
        </w:rPr>
        <w:t>se hizo necesario realizar</w:t>
      </w:r>
      <w:r w:rsidR="00FB10B9" w:rsidRPr="00E01924">
        <w:rPr>
          <w:rFonts w:ascii="Times New Roman" w:hAnsi="Times New Roman" w:cs="Times New Roman"/>
          <w:sz w:val="24"/>
          <w:szCs w:val="24"/>
        </w:rPr>
        <w:t xml:space="preserve"> </w:t>
      </w:r>
      <w:r w:rsidR="00FB10B9">
        <w:rPr>
          <w:rFonts w:ascii="Times New Roman" w:hAnsi="Times New Roman" w:cs="Times New Roman"/>
          <w:sz w:val="24"/>
          <w:szCs w:val="24"/>
        </w:rPr>
        <w:t xml:space="preserve">un </w:t>
      </w:r>
      <w:r w:rsidR="00072137">
        <w:rPr>
          <w:rFonts w:ascii="Times New Roman" w:hAnsi="Times New Roman" w:cs="Times New Roman"/>
          <w:sz w:val="24"/>
          <w:szCs w:val="24"/>
        </w:rPr>
        <w:t xml:space="preserve">ajuste al </w:t>
      </w:r>
      <w:r w:rsidR="00FB10B9" w:rsidRPr="00E01924">
        <w:rPr>
          <w:rFonts w:ascii="Times New Roman" w:hAnsi="Times New Roman" w:cs="Times New Roman"/>
          <w:sz w:val="24"/>
          <w:szCs w:val="24"/>
        </w:rPr>
        <w:t>comprobante contable re</w:t>
      </w:r>
      <w:r w:rsidR="00FB10B9">
        <w:rPr>
          <w:rFonts w:ascii="Times New Roman" w:hAnsi="Times New Roman" w:cs="Times New Roman"/>
          <w:sz w:val="24"/>
          <w:szCs w:val="24"/>
        </w:rPr>
        <w:t>gistrado</w:t>
      </w:r>
      <w:r w:rsidR="00FB10B9" w:rsidRPr="00E01924">
        <w:rPr>
          <w:rFonts w:ascii="Times New Roman" w:hAnsi="Times New Roman" w:cs="Times New Roman"/>
          <w:sz w:val="24"/>
          <w:szCs w:val="24"/>
        </w:rPr>
        <w:t xml:space="preserve"> en diciembre de 2025 </w:t>
      </w:r>
      <w:r w:rsidR="00652308">
        <w:rPr>
          <w:rFonts w:ascii="Times New Roman" w:hAnsi="Times New Roman" w:cs="Times New Roman"/>
          <w:sz w:val="24"/>
          <w:szCs w:val="24"/>
        </w:rPr>
        <w:t>por</w:t>
      </w:r>
      <w:r w:rsidR="00FB10B9" w:rsidRPr="00E01924">
        <w:rPr>
          <w:rFonts w:ascii="Times New Roman" w:hAnsi="Times New Roman" w:cs="Times New Roman"/>
          <w:sz w:val="24"/>
          <w:szCs w:val="24"/>
        </w:rPr>
        <w:t xml:space="preserve"> error en digitación </w:t>
      </w:r>
      <w:r w:rsidR="00652308">
        <w:rPr>
          <w:rFonts w:ascii="Times New Roman" w:hAnsi="Times New Roman" w:cs="Times New Roman"/>
          <w:sz w:val="24"/>
          <w:szCs w:val="24"/>
        </w:rPr>
        <w:t>d</w:t>
      </w:r>
      <w:r w:rsidR="00FB10B9" w:rsidRPr="00E01924">
        <w:rPr>
          <w:rFonts w:ascii="Times New Roman" w:hAnsi="Times New Roman" w:cs="Times New Roman"/>
          <w:sz w:val="24"/>
          <w:szCs w:val="24"/>
        </w:rPr>
        <w:t>el proyecto carretero Pamplona</w:t>
      </w:r>
      <w:r w:rsidR="00FB10B9">
        <w:rPr>
          <w:rFonts w:ascii="Times New Roman" w:hAnsi="Times New Roman" w:cs="Times New Roman"/>
          <w:sz w:val="24"/>
          <w:szCs w:val="24"/>
        </w:rPr>
        <w:t xml:space="preserve"> - </w:t>
      </w:r>
      <w:r w:rsidR="00FB10B9" w:rsidRPr="00E01924">
        <w:rPr>
          <w:rFonts w:ascii="Times New Roman" w:hAnsi="Times New Roman" w:cs="Times New Roman"/>
          <w:sz w:val="24"/>
          <w:szCs w:val="24"/>
        </w:rPr>
        <w:t>Cúcuta</w:t>
      </w:r>
      <w:r w:rsidR="00FB10B9">
        <w:rPr>
          <w:rFonts w:ascii="Times New Roman" w:hAnsi="Times New Roman" w:cs="Times New Roman"/>
          <w:sz w:val="24"/>
          <w:szCs w:val="24"/>
        </w:rPr>
        <w:t>, c</w:t>
      </w:r>
      <w:r w:rsidR="00FB10B9" w:rsidRPr="00E01924">
        <w:rPr>
          <w:rFonts w:ascii="Times New Roman" w:hAnsi="Times New Roman" w:cs="Times New Roman"/>
          <w:sz w:val="24"/>
          <w:szCs w:val="24"/>
        </w:rPr>
        <w:t>oncesionario</w:t>
      </w:r>
      <w:r w:rsidR="00FB10B9">
        <w:rPr>
          <w:rFonts w:ascii="Times New Roman" w:hAnsi="Times New Roman" w:cs="Times New Roman"/>
          <w:sz w:val="24"/>
          <w:szCs w:val="24"/>
        </w:rPr>
        <w:t xml:space="preserve"> </w:t>
      </w:r>
      <w:r w:rsidR="004070C5" w:rsidRPr="00E01924">
        <w:rPr>
          <w:rFonts w:ascii="Times New Roman" w:hAnsi="Times New Roman" w:cs="Times New Roman"/>
          <w:sz w:val="24"/>
          <w:szCs w:val="24"/>
        </w:rPr>
        <w:t xml:space="preserve">Union Vial Rio Pamplonita </w:t>
      </w:r>
      <w:r w:rsidR="00FB10B9" w:rsidRPr="00E01924">
        <w:rPr>
          <w:rFonts w:ascii="Times New Roman" w:hAnsi="Times New Roman" w:cs="Times New Roman"/>
          <w:sz w:val="24"/>
          <w:szCs w:val="24"/>
        </w:rPr>
        <w:t>SAS</w:t>
      </w:r>
      <w:r w:rsidR="00072137">
        <w:rPr>
          <w:rFonts w:ascii="Times New Roman" w:hAnsi="Times New Roman" w:cs="Times New Roman"/>
          <w:sz w:val="24"/>
          <w:szCs w:val="24"/>
        </w:rPr>
        <w:t>;</w:t>
      </w:r>
      <w:r w:rsidR="00FB10B9" w:rsidRPr="00E01924">
        <w:rPr>
          <w:rFonts w:ascii="Times New Roman" w:hAnsi="Times New Roman" w:cs="Times New Roman"/>
          <w:sz w:val="24"/>
          <w:szCs w:val="24"/>
        </w:rPr>
        <w:t xml:space="preserve"> </w:t>
      </w:r>
      <w:r w:rsidR="00FB10B9">
        <w:rPr>
          <w:rFonts w:ascii="Times New Roman" w:hAnsi="Times New Roman" w:cs="Times New Roman"/>
          <w:sz w:val="24"/>
          <w:szCs w:val="24"/>
        </w:rPr>
        <w:t>donde se había aumentado la propiedad, planta y equipo</w:t>
      </w:r>
      <w:r w:rsidR="00652308" w:rsidRPr="00652308">
        <w:rPr>
          <w:rFonts w:ascii="Times New Roman" w:hAnsi="Times New Roman" w:cs="Times New Roman"/>
          <w:sz w:val="24"/>
          <w:szCs w:val="24"/>
        </w:rPr>
        <w:t xml:space="preserve"> </w:t>
      </w:r>
      <w:r w:rsidR="00652308" w:rsidRPr="00E01924">
        <w:rPr>
          <w:rFonts w:ascii="Times New Roman" w:hAnsi="Times New Roman" w:cs="Times New Roman"/>
          <w:sz w:val="24"/>
          <w:szCs w:val="24"/>
        </w:rPr>
        <w:t>por valor de</w:t>
      </w:r>
      <w:r w:rsidR="00652308">
        <w:rPr>
          <w:rFonts w:ascii="Times New Roman" w:hAnsi="Times New Roman" w:cs="Times New Roman"/>
          <w:sz w:val="24"/>
          <w:szCs w:val="24"/>
        </w:rPr>
        <w:t xml:space="preserve"> $</w:t>
      </w:r>
      <w:r w:rsidR="00652308" w:rsidRPr="00E01924">
        <w:rPr>
          <w:rFonts w:ascii="Times New Roman" w:hAnsi="Times New Roman" w:cs="Times New Roman"/>
          <w:sz w:val="24"/>
          <w:szCs w:val="24"/>
        </w:rPr>
        <w:t>2.822.205.664</w:t>
      </w:r>
      <w:r w:rsidR="006A15ED">
        <w:rPr>
          <w:rFonts w:ascii="Times New Roman" w:hAnsi="Times New Roman" w:cs="Times New Roman"/>
          <w:sz w:val="24"/>
          <w:szCs w:val="24"/>
        </w:rPr>
        <w:t>, disminuyéndola de</w:t>
      </w:r>
      <w:r w:rsidR="00FB10B9">
        <w:rPr>
          <w:rFonts w:ascii="Times New Roman" w:hAnsi="Times New Roman" w:cs="Times New Roman"/>
          <w:sz w:val="24"/>
          <w:szCs w:val="24"/>
        </w:rPr>
        <w:t xml:space="preserve"> </w:t>
      </w:r>
      <w:r w:rsidR="006A15ED">
        <w:rPr>
          <w:rFonts w:ascii="Times New Roman" w:hAnsi="Times New Roman" w:cs="Times New Roman"/>
          <w:sz w:val="24"/>
          <w:szCs w:val="24"/>
        </w:rPr>
        <w:t xml:space="preserve">la red carretera según </w:t>
      </w:r>
      <w:r w:rsidR="00E50996">
        <w:rPr>
          <w:rFonts w:ascii="Times New Roman" w:hAnsi="Times New Roman" w:cs="Times New Roman"/>
          <w:sz w:val="24"/>
          <w:szCs w:val="24"/>
        </w:rPr>
        <w:t xml:space="preserve">lo establecido en </w:t>
      </w:r>
      <w:r w:rsidR="006A15ED">
        <w:rPr>
          <w:rFonts w:ascii="Times New Roman" w:hAnsi="Times New Roman" w:cs="Times New Roman"/>
          <w:sz w:val="24"/>
          <w:szCs w:val="24"/>
        </w:rPr>
        <w:t>la política contable</w:t>
      </w:r>
      <w:r w:rsidR="00E50996">
        <w:rPr>
          <w:rFonts w:ascii="Times New Roman" w:hAnsi="Times New Roman" w:cs="Times New Roman"/>
          <w:sz w:val="24"/>
          <w:szCs w:val="24"/>
        </w:rPr>
        <w:t xml:space="preserve">. En atención a ello, en el primer trimestre del 2026 se </w:t>
      </w:r>
      <w:r w:rsidR="004070C5">
        <w:rPr>
          <w:rFonts w:ascii="Times New Roman" w:hAnsi="Times New Roman" w:cs="Times New Roman"/>
          <w:sz w:val="24"/>
          <w:szCs w:val="24"/>
        </w:rPr>
        <w:t>realiz</w:t>
      </w:r>
      <w:r w:rsidR="00E50996">
        <w:rPr>
          <w:rFonts w:ascii="Times New Roman" w:hAnsi="Times New Roman" w:cs="Times New Roman"/>
          <w:sz w:val="24"/>
          <w:szCs w:val="24"/>
        </w:rPr>
        <w:t xml:space="preserve">ó </w:t>
      </w:r>
      <w:r w:rsidR="00BA7F8C">
        <w:rPr>
          <w:rFonts w:ascii="Times New Roman" w:hAnsi="Times New Roman" w:cs="Times New Roman"/>
          <w:sz w:val="24"/>
          <w:szCs w:val="24"/>
        </w:rPr>
        <w:t xml:space="preserve">la </w:t>
      </w:r>
      <w:r w:rsidR="00F22F0D" w:rsidRPr="00E01924">
        <w:rPr>
          <w:rFonts w:ascii="Times New Roman" w:hAnsi="Times New Roman" w:cs="Times New Roman"/>
          <w:sz w:val="24"/>
          <w:szCs w:val="24"/>
        </w:rPr>
        <w:t>reclasificación</w:t>
      </w:r>
      <w:r w:rsidR="00E50996">
        <w:rPr>
          <w:rFonts w:ascii="Times New Roman" w:hAnsi="Times New Roman" w:cs="Times New Roman"/>
          <w:sz w:val="24"/>
          <w:szCs w:val="24"/>
        </w:rPr>
        <w:t>, disminuyendo</w:t>
      </w:r>
      <w:r w:rsidR="00F22F0D" w:rsidRPr="00E01924">
        <w:rPr>
          <w:rFonts w:ascii="Times New Roman" w:hAnsi="Times New Roman" w:cs="Times New Roman"/>
          <w:sz w:val="24"/>
          <w:szCs w:val="24"/>
        </w:rPr>
        <w:t xml:space="preserve"> la subcuenta 168308 </w:t>
      </w:r>
      <w:r w:rsidR="00F22F0D" w:rsidRPr="00E01924">
        <w:rPr>
          <w:rFonts w:ascii="Times New Roman" w:hAnsi="Times New Roman" w:cs="Times New Roman"/>
          <w:i/>
          <w:iCs/>
          <w:sz w:val="24"/>
          <w:szCs w:val="24"/>
        </w:rPr>
        <w:t>Equipos de comunicación y computación</w:t>
      </w:r>
      <w:r w:rsidR="00E50996">
        <w:rPr>
          <w:rFonts w:ascii="Times New Roman" w:hAnsi="Times New Roman" w:cs="Times New Roman"/>
          <w:sz w:val="24"/>
          <w:szCs w:val="24"/>
        </w:rPr>
        <w:t xml:space="preserve">, </w:t>
      </w:r>
      <w:r w:rsidR="004070C5">
        <w:rPr>
          <w:rFonts w:ascii="Times New Roman" w:hAnsi="Times New Roman" w:cs="Times New Roman"/>
          <w:sz w:val="24"/>
          <w:szCs w:val="24"/>
        </w:rPr>
        <w:t>e</w:t>
      </w:r>
      <w:r w:rsidR="00E50996">
        <w:rPr>
          <w:rFonts w:ascii="Times New Roman" w:hAnsi="Times New Roman" w:cs="Times New Roman"/>
          <w:sz w:val="24"/>
          <w:szCs w:val="24"/>
        </w:rPr>
        <w:t xml:space="preserve"> incrementa</w:t>
      </w:r>
      <w:r w:rsidR="004070C5">
        <w:rPr>
          <w:rFonts w:ascii="Times New Roman" w:hAnsi="Times New Roman" w:cs="Times New Roman"/>
          <w:sz w:val="24"/>
          <w:szCs w:val="24"/>
        </w:rPr>
        <w:t>ndo</w:t>
      </w:r>
      <w:r w:rsidR="00E50996">
        <w:rPr>
          <w:rFonts w:ascii="Times New Roman" w:hAnsi="Times New Roman" w:cs="Times New Roman"/>
          <w:sz w:val="24"/>
          <w:szCs w:val="24"/>
        </w:rPr>
        <w:t xml:space="preserve"> </w:t>
      </w:r>
      <w:r w:rsidR="00F22F0D" w:rsidRPr="00E01924">
        <w:rPr>
          <w:rFonts w:ascii="Times New Roman" w:hAnsi="Times New Roman" w:cs="Times New Roman"/>
          <w:sz w:val="24"/>
          <w:szCs w:val="24"/>
        </w:rPr>
        <w:t xml:space="preserve">la subcuenta 171101 </w:t>
      </w:r>
      <w:r w:rsidR="00F22F0D" w:rsidRPr="00E01924">
        <w:rPr>
          <w:rFonts w:ascii="Times New Roman" w:hAnsi="Times New Roman" w:cs="Times New Roman"/>
          <w:i/>
          <w:iCs/>
          <w:sz w:val="24"/>
          <w:szCs w:val="24"/>
        </w:rPr>
        <w:t>Red carretera (servicio)</w:t>
      </w:r>
      <w:r w:rsidR="00BA7F8C">
        <w:rPr>
          <w:rFonts w:ascii="Times New Roman" w:hAnsi="Times New Roman" w:cs="Times New Roman"/>
          <w:sz w:val="24"/>
          <w:szCs w:val="24"/>
        </w:rPr>
        <w:t>.</w:t>
      </w:r>
    </w:p>
    <w:p w14:paraId="758D754B" w14:textId="77777777" w:rsidR="00C70094" w:rsidRPr="00E01924" w:rsidRDefault="00C70094" w:rsidP="00875878">
      <w:pPr>
        <w:autoSpaceDE w:val="0"/>
        <w:autoSpaceDN w:val="0"/>
        <w:adjustRightInd w:val="0"/>
        <w:spacing w:after="0" w:line="240" w:lineRule="auto"/>
        <w:ind w:left="708"/>
        <w:rPr>
          <w:rFonts w:ascii="Times New Roman" w:eastAsia="Times New Roman" w:hAnsi="Times New Roman" w:cs="Times New Roman"/>
          <w:kern w:val="0"/>
          <w:sz w:val="24"/>
          <w:szCs w:val="24"/>
          <w:lang w:val="es-ES" w:eastAsia="es-ES" w:bidi="es-ES"/>
          <w14:ligatures w14:val="none"/>
        </w:rPr>
      </w:pPr>
    </w:p>
    <w:p w14:paraId="1FB98547" w14:textId="77777777" w:rsidR="00C70094" w:rsidRPr="00E01924" w:rsidRDefault="00C70094" w:rsidP="008820F8">
      <w:pPr>
        <w:spacing w:after="0" w:line="240" w:lineRule="auto"/>
        <w:jc w:val="both"/>
        <w:rPr>
          <w:rFonts w:ascii="Times New Roman" w:hAnsi="Times New Roman" w:cs="Times New Roman"/>
          <w:b/>
          <w:bCs/>
          <w:sz w:val="24"/>
          <w:szCs w:val="24"/>
          <w:lang w:val="es-ES"/>
        </w:rPr>
      </w:pPr>
    </w:p>
    <w:p w14:paraId="73D695E8" w14:textId="60D43635" w:rsidR="003924EC" w:rsidRPr="00E01924" w:rsidRDefault="00A110C4" w:rsidP="00C70094">
      <w:pPr>
        <w:pStyle w:val="Ttulo3"/>
        <w:rPr>
          <w:rFonts w:ascii="Times New Roman" w:hAnsi="Times New Roman" w:cs="Times New Roman"/>
          <w:b/>
          <w:bCs/>
          <w:sz w:val="24"/>
        </w:rPr>
      </w:pPr>
      <w:bookmarkStart w:id="4" w:name="_Toc230185819"/>
      <w:r w:rsidRPr="00E01924">
        <w:rPr>
          <w:rFonts w:ascii="Times New Roman" w:hAnsi="Times New Roman" w:cs="Times New Roman"/>
          <w:b/>
          <w:bCs/>
          <w:sz w:val="24"/>
        </w:rPr>
        <w:t xml:space="preserve">Bienes </w:t>
      </w:r>
      <w:r w:rsidR="006C37E2" w:rsidRPr="00E01924">
        <w:rPr>
          <w:rFonts w:ascii="Times New Roman" w:hAnsi="Times New Roman" w:cs="Times New Roman"/>
          <w:b/>
          <w:bCs/>
          <w:sz w:val="24"/>
        </w:rPr>
        <w:t xml:space="preserve">de </w:t>
      </w:r>
      <w:r w:rsidR="00E01924">
        <w:rPr>
          <w:rFonts w:ascii="Times New Roman" w:hAnsi="Times New Roman" w:cs="Times New Roman"/>
          <w:b/>
          <w:bCs/>
          <w:sz w:val="24"/>
        </w:rPr>
        <w:t>u</w:t>
      </w:r>
      <w:r w:rsidR="006C37E2" w:rsidRPr="00E01924">
        <w:rPr>
          <w:rFonts w:ascii="Times New Roman" w:hAnsi="Times New Roman" w:cs="Times New Roman"/>
          <w:b/>
          <w:bCs/>
          <w:sz w:val="24"/>
        </w:rPr>
        <w:t xml:space="preserve">so </w:t>
      </w:r>
      <w:r w:rsidR="00E01924">
        <w:rPr>
          <w:rFonts w:ascii="Times New Roman" w:hAnsi="Times New Roman" w:cs="Times New Roman"/>
          <w:b/>
          <w:bCs/>
          <w:sz w:val="24"/>
        </w:rPr>
        <w:t>p</w:t>
      </w:r>
      <w:r w:rsidR="006C37E2" w:rsidRPr="00E01924">
        <w:rPr>
          <w:rFonts w:ascii="Times New Roman" w:hAnsi="Times New Roman" w:cs="Times New Roman"/>
          <w:b/>
          <w:bCs/>
          <w:sz w:val="24"/>
        </w:rPr>
        <w:t xml:space="preserve">úblico e históricos y </w:t>
      </w:r>
      <w:r w:rsidR="00E01924">
        <w:rPr>
          <w:rFonts w:ascii="Times New Roman" w:hAnsi="Times New Roman" w:cs="Times New Roman"/>
          <w:b/>
          <w:bCs/>
          <w:sz w:val="24"/>
        </w:rPr>
        <w:t>c</w:t>
      </w:r>
      <w:r w:rsidR="006C37E2" w:rsidRPr="00E01924">
        <w:rPr>
          <w:rFonts w:ascii="Times New Roman" w:hAnsi="Times New Roman" w:cs="Times New Roman"/>
          <w:b/>
          <w:bCs/>
          <w:sz w:val="24"/>
        </w:rPr>
        <w:t>ulturales</w:t>
      </w:r>
      <w:bookmarkEnd w:id="4"/>
    </w:p>
    <w:p w14:paraId="6DD6E1B3" w14:textId="77777777" w:rsidR="005659CF" w:rsidRPr="00E01924" w:rsidRDefault="005659CF" w:rsidP="005659CF">
      <w:pPr>
        <w:rPr>
          <w:rFonts w:ascii="Times New Roman" w:hAnsi="Times New Roman" w:cs="Times New Roman"/>
          <w:sz w:val="24"/>
          <w:szCs w:val="24"/>
        </w:rPr>
      </w:pPr>
    </w:p>
    <w:p w14:paraId="0AF5E45E" w14:textId="292082BB" w:rsidR="00376EE5" w:rsidRPr="00E01924" w:rsidRDefault="00376EE5" w:rsidP="003F5690">
      <w:pPr>
        <w:jc w:val="both"/>
        <w:rPr>
          <w:rFonts w:ascii="Times New Roman" w:hAnsi="Times New Roman" w:cs="Times New Roman"/>
          <w:sz w:val="24"/>
          <w:szCs w:val="24"/>
        </w:rPr>
      </w:pPr>
      <w:r w:rsidRPr="00E01924">
        <w:rPr>
          <w:rFonts w:ascii="Times New Roman" w:hAnsi="Times New Roman" w:cs="Times New Roman"/>
          <w:sz w:val="24"/>
          <w:szCs w:val="24"/>
        </w:rPr>
        <w:t xml:space="preserve">Al corte de marzo de 2026, </w:t>
      </w:r>
      <w:r w:rsidR="00ED0881" w:rsidRPr="00E01924">
        <w:rPr>
          <w:rFonts w:ascii="Times New Roman" w:hAnsi="Times New Roman" w:cs="Times New Roman"/>
          <w:sz w:val="24"/>
          <w:szCs w:val="24"/>
        </w:rPr>
        <w:t xml:space="preserve">el grupo Bienes de uso público e históricos y culturales presentó una variación de </w:t>
      </w:r>
      <w:r w:rsidRPr="00E01924">
        <w:rPr>
          <w:rFonts w:ascii="Times New Roman" w:hAnsi="Times New Roman" w:cs="Times New Roman"/>
          <w:sz w:val="24"/>
          <w:szCs w:val="24"/>
        </w:rPr>
        <w:t xml:space="preserve">$-863.581.347.092 </w:t>
      </w:r>
      <w:r w:rsidR="00ED0881" w:rsidRPr="00E01924">
        <w:rPr>
          <w:rFonts w:ascii="Times New Roman" w:hAnsi="Times New Roman" w:cs="Times New Roman"/>
          <w:sz w:val="24"/>
          <w:szCs w:val="24"/>
        </w:rPr>
        <w:t>frente</w:t>
      </w:r>
      <w:r w:rsidRPr="00E01924">
        <w:rPr>
          <w:rFonts w:ascii="Times New Roman" w:hAnsi="Times New Roman" w:cs="Times New Roman"/>
          <w:sz w:val="24"/>
          <w:szCs w:val="24"/>
        </w:rPr>
        <w:t xml:space="preserve"> a diciembre de 2025, </w:t>
      </w:r>
      <w:r w:rsidR="00ED0881" w:rsidRPr="00E01924">
        <w:rPr>
          <w:rFonts w:ascii="Times New Roman" w:hAnsi="Times New Roman" w:cs="Times New Roman"/>
          <w:sz w:val="24"/>
          <w:szCs w:val="24"/>
        </w:rPr>
        <w:t xml:space="preserve">originada </w:t>
      </w:r>
      <w:r w:rsidRPr="00E01924">
        <w:rPr>
          <w:rFonts w:ascii="Times New Roman" w:hAnsi="Times New Roman" w:cs="Times New Roman"/>
          <w:sz w:val="24"/>
          <w:szCs w:val="24"/>
        </w:rPr>
        <w:t xml:space="preserve">por </w:t>
      </w:r>
      <w:r w:rsidR="00ED0881" w:rsidRPr="00E01924">
        <w:rPr>
          <w:rFonts w:ascii="Times New Roman" w:hAnsi="Times New Roman" w:cs="Times New Roman"/>
          <w:sz w:val="24"/>
          <w:szCs w:val="24"/>
        </w:rPr>
        <w:t xml:space="preserve">los </w:t>
      </w:r>
      <w:r w:rsidRPr="00E01924">
        <w:rPr>
          <w:rFonts w:ascii="Times New Roman" w:hAnsi="Times New Roman" w:cs="Times New Roman"/>
          <w:sz w:val="24"/>
          <w:szCs w:val="24"/>
        </w:rPr>
        <w:t xml:space="preserve">movimientos </w:t>
      </w:r>
      <w:r w:rsidR="003171A3" w:rsidRPr="00E01924">
        <w:rPr>
          <w:rFonts w:ascii="Times New Roman" w:hAnsi="Times New Roman" w:cs="Times New Roman"/>
          <w:sz w:val="24"/>
          <w:szCs w:val="24"/>
        </w:rPr>
        <w:t xml:space="preserve">registrados </w:t>
      </w:r>
      <w:r w:rsidRPr="00E01924">
        <w:rPr>
          <w:rFonts w:ascii="Times New Roman" w:hAnsi="Times New Roman" w:cs="Times New Roman"/>
          <w:sz w:val="24"/>
          <w:szCs w:val="24"/>
        </w:rPr>
        <w:t>en las cuentas Bienes de uso público en construcción – concesiones (</w:t>
      </w:r>
      <w:r w:rsidR="004B6969" w:rsidRPr="00E01924">
        <w:rPr>
          <w:rFonts w:ascii="Times New Roman" w:hAnsi="Times New Roman" w:cs="Times New Roman"/>
          <w:sz w:val="24"/>
          <w:szCs w:val="24"/>
        </w:rPr>
        <w:t xml:space="preserve">subcuentas </w:t>
      </w:r>
      <w:r w:rsidRPr="00E01924">
        <w:rPr>
          <w:rFonts w:ascii="Times New Roman" w:hAnsi="Times New Roman" w:cs="Times New Roman"/>
          <w:sz w:val="24"/>
          <w:szCs w:val="24"/>
        </w:rPr>
        <w:t xml:space="preserve">Red carretera y </w:t>
      </w:r>
      <w:r w:rsidR="00ED0881" w:rsidRPr="00E01924">
        <w:rPr>
          <w:rFonts w:ascii="Times New Roman" w:hAnsi="Times New Roman" w:cs="Times New Roman"/>
          <w:sz w:val="24"/>
          <w:szCs w:val="24"/>
        </w:rPr>
        <w:t>T</w:t>
      </w:r>
      <w:r w:rsidRPr="00E01924">
        <w:rPr>
          <w:rFonts w:ascii="Times New Roman" w:hAnsi="Times New Roman" w:cs="Times New Roman"/>
          <w:sz w:val="24"/>
          <w:szCs w:val="24"/>
        </w:rPr>
        <w:t xml:space="preserve">errenos) </w:t>
      </w:r>
      <w:r w:rsidR="003171A3" w:rsidRPr="00E01924">
        <w:rPr>
          <w:rFonts w:ascii="Times New Roman" w:hAnsi="Times New Roman" w:cs="Times New Roman"/>
          <w:sz w:val="24"/>
          <w:szCs w:val="24"/>
        </w:rPr>
        <w:t xml:space="preserve">y </w:t>
      </w:r>
      <w:r w:rsidRPr="00E01924">
        <w:rPr>
          <w:rFonts w:ascii="Times New Roman" w:hAnsi="Times New Roman" w:cs="Times New Roman"/>
          <w:sz w:val="24"/>
          <w:szCs w:val="24"/>
        </w:rPr>
        <w:t>Bienes de uso público en servicio – concesiones (</w:t>
      </w:r>
      <w:r w:rsidR="004B6969" w:rsidRPr="00E01924">
        <w:rPr>
          <w:rFonts w:ascii="Times New Roman" w:hAnsi="Times New Roman" w:cs="Times New Roman"/>
          <w:sz w:val="24"/>
          <w:szCs w:val="24"/>
        </w:rPr>
        <w:t xml:space="preserve">subcuentas </w:t>
      </w:r>
      <w:r w:rsidRPr="00E01924">
        <w:rPr>
          <w:rFonts w:ascii="Times New Roman" w:hAnsi="Times New Roman" w:cs="Times New Roman"/>
          <w:sz w:val="24"/>
          <w:szCs w:val="24"/>
        </w:rPr>
        <w:t xml:space="preserve">Red carretera y </w:t>
      </w:r>
      <w:r w:rsidR="00ED0881" w:rsidRPr="00E01924">
        <w:rPr>
          <w:rFonts w:ascii="Times New Roman" w:hAnsi="Times New Roman" w:cs="Times New Roman"/>
          <w:sz w:val="24"/>
          <w:szCs w:val="24"/>
        </w:rPr>
        <w:t>T</w:t>
      </w:r>
      <w:r w:rsidRPr="00E01924">
        <w:rPr>
          <w:rFonts w:ascii="Times New Roman" w:hAnsi="Times New Roman" w:cs="Times New Roman"/>
          <w:sz w:val="24"/>
          <w:szCs w:val="24"/>
        </w:rPr>
        <w:t>errenos)</w:t>
      </w:r>
      <w:r w:rsidR="00BC221E" w:rsidRPr="00E01924">
        <w:rPr>
          <w:rFonts w:ascii="Times New Roman" w:hAnsi="Times New Roman" w:cs="Times New Roman"/>
          <w:sz w:val="24"/>
          <w:szCs w:val="24"/>
        </w:rPr>
        <w:t>.</w:t>
      </w:r>
    </w:p>
    <w:p w14:paraId="1B264C88" w14:textId="77777777" w:rsidR="00BC221E" w:rsidRPr="00E01924" w:rsidRDefault="00BC221E" w:rsidP="003F5690">
      <w:pPr>
        <w:jc w:val="both"/>
        <w:rPr>
          <w:rFonts w:ascii="Times New Roman" w:hAnsi="Times New Roman" w:cs="Times New Roman"/>
          <w:sz w:val="24"/>
          <w:szCs w:val="24"/>
        </w:rPr>
      </w:pPr>
    </w:p>
    <w:p w14:paraId="4F27DBCD" w14:textId="77777777" w:rsidR="006A05D0" w:rsidRPr="006B26AC" w:rsidRDefault="00BC221E" w:rsidP="003F5690">
      <w:pPr>
        <w:jc w:val="both"/>
        <w:rPr>
          <w:rFonts w:ascii="Times New Roman" w:hAnsi="Times New Roman" w:cs="Times New Roman"/>
          <w:i/>
          <w:iCs/>
          <w:sz w:val="24"/>
          <w:szCs w:val="24"/>
        </w:rPr>
      </w:pPr>
      <w:r w:rsidRPr="006B26AC">
        <w:rPr>
          <w:rFonts w:ascii="Times New Roman" w:hAnsi="Times New Roman" w:cs="Times New Roman"/>
          <w:i/>
          <w:iCs/>
          <w:sz w:val="24"/>
          <w:szCs w:val="24"/>
        </w:rPr>
        <w:t>Bienes de uso público en construcción – concesiones</w:t>
      </w:r>
    </w:p>
    <w:p w14:paraId="3BDF26CD" w14:textId="77777777" w:rsidR="006A05D0" w:rsidRPr="00E01924" w:rsidRDefault="006A05D0" w:rsidP="003F5690">
      <w:pPr>
        <w:jc w:val="both"/>
        <w:rPr>
          <w:rFonts w:ascii="Times New Roman" w:hAnsi="Times New Roman" w:cs="Times New Roman"/>
          <w:b/>
          <w:bCs/>
          <w:sz w:val="24"/>
          <w:szCs w:val="24"/>
        </w:rPr>
      </w:pPr>
    </w:p>
    <w:p w14:paraId="7DCD85CE" w14:textId="6B7E9C4A" w:rsidR="00ED0881" w:rsidRPr="006B26AC" w:rsidRDefault="004B6969" w:rsidP="006B26AC">
      <w:pPr>
        <w:pStyle w:val="Prrafodelista"/>
        <w:numPr>
          <w:ilvl w:val="0"/>
          <w:numId w:val="27"/>
        </w:numPr>
        <w:jc w:val="both"/>
        <w:rPr>
          <w:i/>
          <w:iCs/>
        </w:rPr>
      </w:pPr>
      <w:r w:rsidRPr="006B26AC">
        <w:rPr>
          <w:i/>
          <w:iCs/>
        </w:rPr>
        <w:t xml:space="preserve">Subcuenta </w:t>
      </w:r>
      <w:r w:rsidR="00BC221E" w:rsidRPr="006B26AC">
        <w:rPr>
          <w:i/>
          <w:iCs/>
        </w:rPr>
        <w:t>Red carretera</w:t>
      </w:r>
    </w:p>
    <w:p w14:paraId="62A98DDA" w14:textId="77777777" w:rsidR="006B26AC" w:rsidRPr="006B26AC" w:rsidRDefault="006B26AC" w:rsidP="006B26AC">
      <w:pPr>
        <w:jc w:val="both"/>
      </w:pPr>
    </w:p>
    <w:p w14:paraId="0810B9E0" w14:textId="26DA38E9" w:rsidR="009D026B" w:rsidRPr="00E01924" w:rsidRDefault="00ED0881" w:rsidP="003F5690">
      <w:pPr>
        <w:jc w:val="both"/>
        <w:rPr>
          <w:rFonts w:ascii="Times New Roman" w:hAnsi="Times New Roman" w:cs="Times New Roman"/>
          <w:sz w:val="24"/>
          <w:szCs w:val="24"/>
        </w:rPr>
      </w:pPr>
      <w:r w:rsidRPr="00E01924">
        <w:rPr>
          <w:rFonts w:ascii="Times New Roman" w:hAnsi="Times New Roman" w:cs="Times New Roman"/>
          <w:sz w:val="24"/>
          <w:szCs w:val="24"/>
        </w:rPr>
        <w:t xml:space="preserve">Esta </w:t>
      </w:r>
      <w:r w:rsidR="00EE64FE" w:rsidRPr="00E01924">
        <w:rPr>
          <w:rFonts w:ascii="Times New Roman" w:hAnsi="Times New Roman" w:cs="Times New Roman"/>
          <w:sz w:val="24"/>
          <w:szCs w:val="24"/>
        </w:rPr>
        <w:t>sub</w:t>
      </w:r>
      <w:r w:rsidRPr="00E01924">
        <w:rPr>
          <w:rFonts w:ascii="Times New Roman" w:hAnsi="Times New Roman" w:cs="Times New Roman"/>
          <w:sz w:val="24"/>
          <w:szCs w:val="24"/>
        </w:rPr>
        <w:t>cuenta presentó</w:t>
      </w:r>
      <w:r w:rsidR="00BC221E" w:rsidRPr="00E01924">
        <w:rPr>
          <w:rFonts w:ascii="Times New Roman" w:hAnsi="Times New Roman" w:cs="Times New Roman"/>
          <w:sz w:val="24"/>
          <w:szCs w:val="24"/>
        </w:rPr>
        <w:t xml:space="preserve"> movimientos</w:t>
      </w:r>
      <w:r w:rsidR="004A1B93" w:rsidRPr="00E01924">
        <w:rPr>
          <w:rFonts w:ascii="Times New Roman" w:hAnsi="Times New Roman" w:cs="Times New Roman"/>
          <w:sz w:val="24"/>
          <w:szCs w:val="24"/>
        </w:rPr>
        <w:t xml:space="preserve"> netos</w:t>
      </w:r>
      <w:r w:rsidR="00BC221E" w:rsidRPr="00E01924">
        <w:rPr>
          <w:rFonts w:ascii="Times New Roman" w:hAnsi="Times New Roman" w:cs="Times New Roman"/>
          <w:sz w:val="24"/>
          <w:szCs w:val="24"/>
        </w:rPr>
        <w:t xml:space="preserve"> por</w:t>
      </w:r>
      <w:r w:rsidR="00F2265D" w:rsidRPr="00E01924">
        <w:rPr>
          <w:rFonts w:ascii="Times New Roman" w:hAnsi="Times New Roman" w:cs="Times New Roman"/>
          <w:sz w:val="24"/>
          <w:szCs w:val="24"/>
        </w:rPr>
        <w:t xml:space="preserve"> valor de $-902.340.466.703</w:t>
      </w:r>
      <w:r w:rsidRPr="00E01924">
        <w:rPr>
          <w:rFonts w:ascii="Times New Roman" w:hAnsi="Times New Roman" w:cs="Times New Roman"/>
          <w:sz w:val="24"/>
          <w:szCs w:val="24"/>
        </w:rPr>
        <w:t>, derivados de los siguientes conceptos:</w:t>
      </w:r>
    </w:p>
    <w:p w14:paraId="749126BA" w14:textId="727DCBB2" w:rsidR="009D026B" w:rsidRPr="00E01924" w:rsidRDefault="009D026B" w:rsidP="003F5690">
      <w:pPr>
        <w:pStyle w:val="Prrafodelista"/>
        <w:numPr>
          <w:ilvl w:val="0"/>
          <w:numId w:val="25"/>
        </w:numPr>
        <w:jc w:val="both"/>
      </w:pPr>
      <w:r w:rsidRPr="00E01924">
        <w:t>R</w:t>
      </w:r>
      <w:r w:rsidR="00BC221E" w:rsidRPr="00E01924">
        <w:t>egistro de la materialización de los riesgos por valor de $16.728.658.189</w:t>
      </w:r>
      <w:r w:rsidRPr="00E01924">
        <w:t xml:space="preserve">, pagados a través del Fondo de contingencias, </w:t>
      </w:r>
      <w:r w:rsidR="00ED0881" w:rsidRPr="00E01924">
        <w:t xml:space="preserve">para </w:t>
      </w:r>
      <w:r w:rsidRPr="00E01924">
        <w:t>proyectos del modo carretero</w:t>
      </w:r>
      <w:r w:rsidR="004A1B93" w:rsidRPr="00E01924">
        <w:t>, de acuerdo con la información remitida por el GIT de Riesgos.</w:t>
      </w:r>
    </w:p>
    <w:p w14:paraId="48A2421C" w14:textId="01D135B2" w:rsidR="00EC571F" w:rsidRPr="00E01924" w:rsidRDefault="009D026B" w:rsidP="003F5690">
      <w:pPr>
        <w:pStyle w:val="Prrafodelista"/>
        <w:numPr>
          <w:ilvl w:val="0"/>
          <w:numId w:val="25"/>
        </w:numPr>
        <w:jc w:val="both"/>
      </w:pPr>
      <w:r w:rsidRPr="00E01924">
        <w:t>A</w:t>
      </w:r>
      <w:r w:rsidR="00BC221E" w:rsidRPr="00E01924">
        <w:t xml:space="preserve">justes al informe de inversión del modo carretero para fines contables al </w:t>
      </w:r>
      <w:r w:rsidR="00ED0881" w:rsidRPr="00E01924">
        <w:t xml:space="preserve">cierre de </w:t>
      </w:r>
      <w:r w:rsidR="00BC221E" w:rsidRPr="00E01924">
        <w:t>2025 de</w:t>
      </w:r>
      <w:r w:rsidRPr="00E01924">
        <w:t xml:space="preserve">l proyecto de </w:t>
      </w:r>
      <w:r w:rsidR="00BC221E" w:rsidRPr="00E01924">
        <w:t>concesión</w:t>
      </w:r>
      <w:r w:rsidRPr="00E01924">
        <w:t xml:space="preserve"> Troncal Magdalena 1 Puerto Salgar – Barrancabermeja, concesionario </w:t>
      </w:r>
      <w:r w:rsidR="00BC221E" w:rsidRPr="00E01924">
        <w:t>AUTOPISTA MAGDALENA MEDIO SAS</w:t>
      </w:r>
      <w:r w:rsidR="00ED0881" w:rsidRPr="00E01924">
        <w:t>,</w:t>
      </w:r>
      <w:r w:rsidR="00BC221E" w:rsidRPr="00E01924">
        <w:t xml:space="preserve"> por valor de $-875.625.321.62</w:t>
      </w:r>
      <w:r w:rsidR="00577096" w:rsidRPr="00E01924">
        <w:t>1</w:t>
      </w:r>
      <w:r w:rsidR="00EC571F" w:rsidRPr="00E01924">
        <w:t xml:space="preserve">, </w:t>
      </w:r>
      <w:r w:rsidR="004B6969" w:rsidRPr="00E01924">
        <w:t>según</w:t>
      </w:r>
      <w:r w:rsidR="00ED0881" w:rsidRPr="00E01924">
        <w:t xml:space="preserve"> </w:t>
      </w:r>
      <w:r w:rsidR="00EC571F" w:rsidRPr="00E01924">
        <w:t>información remitida por la Vicepresidencia Ejecutiva</w:t>
      </w:r>
      <w:r w:rsidR="004B6969" w:rsidRPr="00E01924">
        <w:t>.</w:t>
      </w:r>
    </w:p>
    <w:p w14:paraId="4950806E" w14:textId="3986BCE2" w:rsidR="002D0B88" w:rsidRPr="00E01924" w:rsidRDefault="002D0B88" w:rsidP="003F5690">
      <w:pPr>
        <w:pStyle w:val="Prrafodelista"/>
        <w:numPr>
          <w:ilvl w:val="0"/>
          <w:numId w:val="25"/>
        </w:numPr>
        <w:jc w:val="both"/>
      </w:pPr>
      <w:r w:rsidRPr="00E01924">
        <w:t xml:space="preserve">Reclasificaciones a </w:t>
      </w:r>
      <w:r w:rsidR="004B6969" w:rsidRPr="00E01924">
        <w:t>la</w:t>
      </w:r>
      <w:r w:rsidR="00037351" w:rsidRPr="00E01924">
        <w:t xml:space="preserve"> subcuenta</w:t>
      </w:r>
      <w:r w:rsidR="004B6969" w:rsidRPr="00E01924">
        <w:t xml:space="preserve"> T</w:t>
      </w:r>
      <w:r w:rsidRPr="00E01924">
        <w:t>errenos</w:t>
      </w:r>
      <w:r w:rsidR="00037351" w:rsidRPr="00E01924">
        <w:t xml:space="preserve"> por valor de $ -43.443.803.271, con el fin de </w:t>
      </w:r>
      <w:r w:rsidRPr="00E01924">
        <w:t xml:space="preserve">separar </w:t>
      </w:r>
      <w:r w:rsidR="00037351" w:rsidRPr="00E01924">
        <w:t xml:space="preserve">el valor del terreno de </w:t>
      </w:r>
      <w:r w:rsidRPr="00E01924">
        <w:t>la infraestructura</w:t>
      </w:r>
      <w:r w:rsidR="004A1B93" w:rsidRPr="00E01924">
        <w:t>, de acuerdo con la información remitida por el G.I.T. Predial y Asesoría Jurídico Predial</w:t>
      </w:r>
      <w:r w:rsidR="00037351" w:rsidRPr="00E01924">
        <w:t>.</w:t>
      </w:r>
    </w:p>
    <w:p w14:paraId="0EDBDCDD" w14:textId="77777777" w:rsidR="004A1B93" w:rsidRPr="00E01924" w:rsidRDefault="004A1B93" w:rsidP="003F5690">
      <w:pPr>
        <w:jc w:val="both"/>
        <w:rPr>
          <w:rFonts w:ascii="Times New Roman" w:hAnsi="Times New Roman" w:cs="Times New Roman"/>
          <w:sz w:val="24"/>
          <w:szCs w:val="24"/>
        </w:rPr>
      </w:pPr>
    </w:p>
    <w:p w14:paraId="1637096E" w14:textId="0A4792AE" w:rsidR="00037351" w:rsidRPr="006B26AC" w:rsidRDefault="00037351" w:rsidP="006B26AC">
      <w:pPr>
        <w:pStyle w:val="Prrafodelista"/>
        <w:numPr>
          <w:ilvl w:val="0"/>
          <w:numId w:val="25"/>
        </w:numPr>
        <w:jc w:val="both"/>
        <w:rPr>
          <w:i/>
          <w:iCs/>
        </w:rPr>
      </w:pPr>
      <w:r w:rsidRPr="006B26AC">
        <w:rPr>
          <w:i/>
          <w:iCs/>
        </w:rPr>
        <w:t xml:space="preserve">Subcuenta </w:t>
      </w:r>
      <w:r w:rsidR="004A1B93" w:rsidRPr="006B26AC">
        <w:rPr>
          <w:i/>
          <w:iCs/>
        </w:rPr>
        <w:t>Terre</w:t>
      </w:r>
      <w:r w:rsidR="00CF1A98" w:rsidRPr="006B26AC">
        <w:rPr>
          <w:i/>
          <w:iCs/>
        </w:rPr>
        <w:t>n</w:t>
      </w:r>
      <w:r w:rsidR="004A1B93" w:rsidRPr="006B26AC">
        <w:rPr>
          <w:i/>
          <w:iCs/>
        </w:rPr>
        <w:t>os</w:t>
      </w:r>
    </w:p>
    <w:p w14:paraId="0EE08730" w14:textId="77777777" w:rsidR="006B26AC" w:rsidRPr="006B26AC" w:rsidRDefault="006B26AC" w:rsidP="006B26AC">
      <w:pPr>
        <w:jc w:val="both"/>
      </w:pPr>
    </w:p>
    <w:p w14:paraId="4FD819E7" w14:textId="15A9F445" w:rsidR="004A1B93" w:rsidRPr="00E01924" w:rsidRDefault="006A05D0" w:rsidP="003F5690">
      <w:pPr>
        <w:jc w:val="both"/>
        <w:rPr>
          <w:rFonts w:ascii="Times New Roman" w:hAnsi="Times New Roman" w:cs="Times New Roman"/>
          <w:sz w:val="24"/>
          <w:szCs w:val="24"/>
        </w:rPr>
      </w:pPr>
      <w:r w:rsidRPr="00E01924">
        <w:rPr>
          <w:rFonts w:ascii="Times New Roman" w:hAnsi="Times New Roman" w:cs="Times New Roman"/>
          <w:sz w:val="24"/>
          <w:szCs w:val="24"/>
        </w:rPr>
        <w:t xml:space="preserve">La subcuenta </w:t>
      </w:r>
      <w:r w:rsidR="00037351" w:rsidRPr="00E01924">
        <w:rPr>
          <w:rFonts w:ascii="Times New Roman" w:hAnsi="Times New Roman" w:cs="Times New Roman"/>
          <w:sz w:val="24"/>
          <w:szCs w:val="24"/>
        </w:rPr>
        <w:t xml:space="preserve">presentó un incremento </w:t>
      </w:r>
      <w:r w:rsidR="00577096" w:rsidRPr="00E01924">
        <w:rPr>
          <w:rFonts w:ascii="Times New Roman" w:hAnsi="Times New Roman" w:cs="Times New Roman"/>
          <w:sz w:val="24"/>
          <w:szCs w:val="24"/>
        </w:rPr>
        <w:t>neto de $43.443.803.271</w:t>
      </w:r>
      <w:r w:rsidR="00037351" w:rsidRPr="00E01924">
        <w:rPr>
          <w:rFonts w:ascii="Times New Roman" w:hAnsi="Times New Roman" w:cs="Times New Roman"/>
          <w:sz w:val="24"/>
          <w:szCs w:val="24"/>
        </w:rPr>
        <w:t>, correspondiente a r</w:t>
      </w:r>
      <w:r w:rsidR="004A1B93" w:rsidRPr="00E01924">
        <w:rPr>
          <w:rFonts w:ascii="Times New Roman" w:hAnsi="Times New Roman" w:cs="Times New Roman"/>
          <w:sz w:val="24"/>
          <w:szCs w:val="24"/>
        </w:rPr>
        <w:t xml:space="preserve">eclasificaciones </w:t>
      </w:r>
      <w:r w:rsidR="00037351" w:rsidRPr="00E01924">
        <w:rPr>
          <w:rFonts w:ascii="Times New Roman" w:hAnsi="Times New Roman" w:cs="Times New Roman"/>
          <w:sz w:val="24"/>
          <w:szCs w:val="24"/>
        </w:rPr>
        <w:t xml:space="preserve">provenientes de </w:t>
      </w:r>
      <w:r w:rsidR="004A1B93" w:rsidRPr="00E01924">
        <w:rPr>
          <w:rFonts w:ascii="Times New Roman" w:hAnsi="Times New Roman" w:cs="Times New Roman"/>
          <w:sz w:val="24"/>
          <w:szCs w:val="24"/>
        </w:rPr>
        <w:t>la Red carretera</w:t>
      </w:r>
      <w:r w:rsidR="00577096" w:rsidRPr="00E01924">
        <w:rPr>
          <w:rFonts w:ascii="Times New Roman" w:hAnsi="Times New Roman" w:cs="Times New Roman"/>
          <w:sz w:val="24"/>
          <w:szCs w:val="24"/>
        </w:rPr>
        <w:t xml:space="preserve">, </w:t>
      </w:r>
      <w:r w:rsidR="00037351" w:rsidRPr="00E01924">
        <w:rPr>
          <w:rFonts w:ascii="Times New Roman" w:hAnsi="Times New Roman" w:cs="Times New Roman"/>
          <w:sz w:val="24"/>
          <w:szCs w:val="24"/>
        </w:rPr>
        <w:t xml:space="preserve">realizadas </w:t>
      </w:r>
      <w:r w:rsidR="00214911" w:rsidRPr="00E01924">
        <w:rPr>
          <w:rFonts w:ascii="Times New Roman" w:hAnsi="Times New Roman" w:cs="Times New Roman"/>
          <w:sz w:val="24"/>
          <w:szCs w:val="24"/>
        </w:rPr>
        <w:t>para separar el</w:t>
      </w:r>
      <w:r w:rsidR="00037351" w:rsidRPr="00E01924">
        <w:rPr>
          <w:rFonts w:ascii="Times New Roman" w:hAnsi="Times New Roman" w:cs="Times New Roman"/>
          <w:sz w:val="24"/>
          <w:szCs w:val="24"/>
        </w:rPr>
        <w:t xml:space="preserve"> valor del</w:t>
      </w:r>
      <w:r w:rsidR="00214911" w:rsidRPr="00E01924">
        <w:rPr>
          <w:rFonts w:ascii="Times New Roman" w:hAnsi="Times New Roman" w:cs="Times New Roman"/>
          <w:sz w:val="24"/>
          <w:szCs w:val="24"/>
        </w:rPr>
        <w:t xml:space="preserve"> terreno de la infraestructura, </w:t>
      </w:r>
      <w:r w:rsidR="00037351" w:rsidRPr="00E01924">
        <w:rPr>
          <w:rFonts w:ascii="Times New Roman" w:hAnsi="Times New Roman" w:cs="Times New Roman"/>
          <w:sz w:val="24"/>
          <w:szCs w:val="24"/>
        </w:rPr>
        <w:t xml:space="preserve">conforme </w:t>
      </w:r>
      <w:r w:rsidR="004A1B93" w:rsidRPr="00E01924">
        <w:rPr>
          <w:rFonts w:ascii="Times New Roman" w:hAnsi="Times New Roman" w:cs="Times New Roman"/>
          <w:sz w:val="24"/>
          <w:szCs w:val="24"/>
        </w:rPr>
        <w:t>con la información remitida por el G.I.T. Predial y Asesoría Jurídico Predial.</w:t>
      </w:r>
    </w:p>
    <w:p w14:paraId="2D77BBD3" w14:textId="77777777" w:rsidR="00BC221E" w:rsidRPr="00E01924" w:rsidRDefault="00BC221E" w:rsidP="003F5690">
      <w:pPr>
        <w:jc w:val="both"/>
        <w:rPr>
          <w:rFonts w:ascii="Times New Roman" w:hAnsi="Times New Roman" w:cs="Times New Roman"/>
          <w:sz w:val="24"/>
          <w:szCs w:val="24"/>
        </w:rPr>
      </w:pPr>
    </w:p>
    <w:p w14:paraId="6CFE182E" w14:textId="77777777" w:rsidR="00417296" w:rsidRPr="006B26AC" w:rsidRDefault="00037351" w:rsidP="003F5690">
      <w:pPr>
        <w:jc w:val="both"/>
        <w:rPr>
          <w:rFonts w:ascii="Times New Roman" w:hAnsi="Times New Roman" w:cs="Times New Roman"/>
          <w:i/>
          <w:iCs/>
          <w:sz w:val="24"/>
          <w:szCs w:val="24"/>
        </w:rPr>
      </w:pPr>
      <w:r w:rsidRPr="006B26AC">
        <w:rPr>
          <w:rFonts w:ascii="Times New Roman" w:hAnsi="Times New Roman" w:cs="Times New Roman"/>
          <w:i/>
          <w:iCs/>
          <w:sz w:val="24"/>
          <w:szCs w:val="24"/>
        </w:rPr>
        <w:t>Bienes de uso público en servicio – concesiones</w:t>
      </w:r>
    </w:p>
    <w:p w14:paraId="595FC07C" w14:textId="77777777" w:rsidR="00AC45F2" w:rsidRDefault="00AC45F2" w:rsidP="003F5690">
      <w:pPr>
        <w:jc w:val="both"/>
        <w:rPr>
          <w:rFonts w:ascii="Times New Roman" w:hAnsi="Times New Roman" w:cs="Times New Roman"/>
          <w:b/>
          <w:bCs/>
          <w:sz w:val="24"/>
          <w:szCs w:val="24"/>
        </w:rPr>
      </w:pPr>
    </w:p>
    <w:p w14:paraId="2AA132FC" w14:textId="0D0CD772" w:rsidR="00037351" w:rsidRPr="006B26AC" w:rsidRDefault="00037351" w:rsidP="006B26AC">
      <w:pPr>
        <w:pStyle w:val="Prrafodelista"/>
        <w:numPr>
          <w:ilvl w:val="0"/>
          <w:numId w:val="25"/>
        </w:numPr>
        <w:rPr>
          <w:i/>
          <w:iCs/>
        </w:rPr>
      </w:pPr>
      <w:r w:rsidRPr="006B26AC">
        <w:rPr>
          <w:i/>
          <w:iCs/>
        </w:rPr>
        <w:t>Subcuenta Red carretera</w:t>
      </w:r>
    </w:p>
    <w:p w14:paraId="1AE91ED3" w14:textId="77777777" w:rsidR="006B26AC" w:rsidRDefault="006B26AC" w:rsidP="006B26AC">
      <w:pPr>
        <w:jc w:val="both"/>
      </w:pPr>
    </w:p>
    <w:p w14:paraId="4D45C10B" w14:textId="72C9BE8D" w:rsidR="00DB7135" w:rsidRPr="00E01924" w:rsidRDefault="00CA3F38" w:rsidP="003F5690">
      <w:pPr>
        <w:jc w:val="both"/>
        <w:rPr>
          <w:rFonts w:ascii="Times New Roman" w:hAnsi="Times New Roman" w:cs="Times New Roman"/>
          <w:sz w:val="24"/>
          <w:szCs w:val="24"/>
        </w:rPr>
      </w:pPr>
      <w:r w:rsidRPr="00E01924">
        <w:rPr>
          <w:rFonts w:ascii="Times New Roman" w:hAnsi="Times New Roman" w:cs="Times New Roman"/>
          <w:sz w:val="24"/>
          <w:szCs w:val="24"/>
        </w:rPr>
        <w:t>La subcuenta presentó</w:t>
      </w:r>
      <w:r w:rsidR="00DB7135" w:rsidRPr="00E01924">
        <w:rPr>
          <w:rFonts w:ascii="Times New Roman" w:hAnsi="Times New Roman" w:cs="Times New Roman"/>
          <w:sz w:val="24"/>
          <w:szCs w:val="24"/>
        </w:rPr>
        <w:t xml:space="preserve"> movimientos netos por</w:t>
      </w:r>
      <w:r w:rsidR="00BE6881" w:rsidRPr="00E01924">
        <w:rPr>
          <w:rFonts w:ascii="Times New Roman" w:hAnsi="Times New Roman" w:cs="Times New Roman"/>
          <w:sz w:val="24"/>
          <w:szCs w:val="24"/>
        </w:rPr>
        <w:t xml:space="preserve"> valor de $-9.747.897.854</w:t>
      </w:r>
      <w:r w:rsidR="00037351" w:rsidRPr="00E01924">
        <w:rPr>
          <w:rFonts w:ascii="Times New Roman" w:hAnsi="Times New Roman" w:cs="Times New Roman"/>
          <w:sz w:val="24"/>
          <w:szCs w:val="24"/>
        </w:rPr>
        <w:t>, originados por los siguientes conceptos:</w:t>
      </w:r>
    </w:p>
    <w:p w14:paraId="1FEFD8FF" w14:textId="2AC59041" w:rsidR="005659CF" w:rsidRPr="00E01924" w:rsidRDefault="00D3362F" w:rsidP="003F5690">
      <w:pPr>
        <w:pStyle w:val="Prrafodelista"/>
        <w:numPr>
          <w:ilvl w:val="0"/>
          <w:numId w:val="25"/>
        </w:numPr>
        <w:jc w:val="both"/>
      </w:pPr>
      <w:r w:rsidRPr="00E01924">
        <w:t xml:space="preserve">Ejecución de recursos públicos del proyecto </w:t>
      </w:r>
      <w:r w:rsidR="00037351" w:rsidRPr="00E01924">
        <w:t xml:space="preserve">de </w:t>
      </w:r>
      <w:r w:rsidRPr="00E01924">
        <w:t>concesión Briceño-Tunja-Sogamoso, concesionario BTS CONCESIONARIO S.A.S., por valor de $2.498.329.240</w:t>
      </w:r>
      <w:r w:rsidR="00037351" w:rsidRPr="00E01924">
        <w:t xml:space="preserve">, </w:t>
      </w:r>
      <w:r w:rsidRPr="00E01924">
        <w:t>destina</w:t>
      </w:r>
      <w:r w:rsidR="00037351" w:rsidRPr="00E01924">
        <w:t>dos</w:t>
      </w:r>
      <w:r w:rsidRPr="00E01924">
        <w:t xml:space="preserve"> a adquisición predial de conformidad </w:t>
      </w:r>
      <w:r w:rsidR="00037351" w:rsidRPr="00E01924">
        <w:t>con el</w:t>
      </w:r>
      <w:r w:rsidRPr="00E01924">
        <w:t xml:space="preserve"> Otro Sí No. 16 del contrato de concesión 0377-2002.</w:t>
      </w:r>
    </w:p>
    <w:p w14:paraId="626D21F4" w14:textId="445ED138" w:rsidR="00A50AA2" w:rsidRPr="00E01924" w:rsidRDefault="00A50AA2" w:rsidP="003F5690">
      <w:pPr>
        <w:pStyle w:val="Prrafodelista"/>
        <w:numPr>
          <w:ilvl w:val="0"/>
          <w:numId w:val="25"/>
        </w:numPr>
        <w:jc w:val="both"/>
      </w:pPr>
      <w:r w:rsidRPr="00E01924">
        <w:lastRenderedPageBreak/>
        <w:t>Registro de la materialización de los riesgos por valor de $3.067.196.247, pagados a través del Fondo de contingencias, proyectos del modo carretero, de acuerdo con la información remitida por el GIT de Riesgos.</w:t>
      </w:r>
    </w:p>
    <w:p w14:paraId="0D6FDA69" w14:textId="02B96F3F" w:rsidR="00A50AA2" w:rsidRPr="00E01924" w:rsidRDefault="00A50AA2" w:rsidP="003F5690">
      <w:pPr>
        <w:pStyle w:val="Prrafodelista"/>
        <w:numPr>
          <w:ilvl w:val="0"/>
          <w:numId w:val="25"/>
        </w:numPr>
        <w:jc w:val="both"/>
      </w:pPr>
      <w:r w:rsidRPr="00E01924">
        <w:t>Ajuste</w:t>
      </w:r>
      <w:r w:rsidR="009F4E6B" w:rsidRPr="00E01924">
        <w:t xml:space="preserve"> contable </w:t>
      </w:r>
      <w:r w:rsidRPr="00E01924">
        <w:t>por valor de $-13.072.414.810</w:t>
      </w:r>
      <w:r w:rsidR="003E066D" w:rsidRPr="00E01924">
        <w:t xml:space="preserve">, correspondiente </w:t>
      </w:r>
      <w:r w:rsidR="00437BCA">
        <w:t>a</w:t>
      </w:r>
      <w:r w:rsidR="003E066D" w:rsidRPr="00E01924">
        <w:t xml:space="preserve"> </w:t>
      </w:r>
      <w:r w:rsidRPr="00E01924">
        <w:t xml:space="preserve">ajuste </w:t>
      </w:r>
      <w:r w:rsidR="003E066D" w:rsidRPr="00E01924">
        <w:t xml:space="preserve">del </w:t>
      </w:r>
      <w:r w:rsidR="009F4E6B" w:rsidRPr="00E01924">
        <w:t xml:space="preserve">valor del </w:t>
      </w:r>
      <w:proofErr w:type="spellStart"/>
      <w:r w:rsidRPr="00E01924">
        <w:t>Capex</w:t>
      </w:r>
      <w:proofErr w:type="spellEnd"/>
      <w:r w:rsidRPr="00E01924">
        <w:t xml:space="preserve"> del año 2023 del proyecto de concesión Autopista Con</w:t>
      </w:r>
      <w:r w:rsidR="009C41EE">
        <w:t>exión</w:t>
      </w:r>
      <w:r w:rsidRPr="00E01924">
        <w:t xml:space="preserve"> Pacífico 2, concesionario CONCESION LA PINTADA S.A.S., de acuerdo con el informe de inversión del modo carretero para fines contables, remitid</w:t>
      </w:r>
      <w:r w:rsidR="003E066D" w:rsidRPr="00E01924">
        <w:t>o</w:t>
      </w:r>
      <w:r w:rsidRPr="00E01924">
        <w:t xml:space="preserve"> por la Vicepresidencia Ejecutiva</w:t>
      </w:r>
      <w:r w:rsidR="00437BCA">
        <w:t xml:space="preserve">. Dicho ajuste </w:t>
      </w:r>
      <w:r w:rsidR="00113E83">
        <w:rPr>
          <w:bCs/>
        </w:rPr>
        <w:t>se efectuó</w:t>
      </w:r>
      <w:r w:rsidR="00113E83" w:rsidRPr="006209FE">
        <w:rPr>
          <w:bCs/>
        </w:rPr>
        <w:t xml:space="preserve"> contra el patrimonio</w:t>
      </w:r>
      <w:r w:rsidR="00437BCA">
        <w:rPr>
          <w:bCs/>
        </w:rPr>
        <w:t>.</w:t>
      </w:r>
    </w:p>
    <w:p w14:paraId="1FBEAF8A" w14:textId="22E20EAB" w:rsidR="00A50AA2" w:rsidRPr="00E01924" w:rsidRDefault="00EC571F" w:rsidP="003F5690">
      <w:pPr>
        <w:pStyle w:val="Prrafodelista"/>
        <w:numPr>
          <w:ilvl w:val="0"/>
          <w:numId w:val="25"/>
        </w:numPr>
        <w:jc w:val="both"/>
      </w:pPr>
      <w:r w:rsidRPr="00E01924">
        <w:t xml:space="preserve">Reclasificación proveniente de la cuenta Propiedades, planta y equipo en concesión por valor de $2.822.205.664, </w:t>
      </w:r>
      <w:r w:rsidR="003E066D" w:rsidRPr="00E01924">
        <w:t xml:space="preserve">correspondiente a </w:t>
      </w:r>
      <w:r w:rsidRPr="00E01924">
        <w:t>registro</w:t>
      </w:r>
      <w:r w:rsidR="00E513EF" w:rsidRPr="00E01924">
        <w:t xml:space="preserve"> contable</w:t>
      </w:r>
      <w:r w:rsidRPr="00E01924">
        <w:t xml:space="preserve"> </w:t>
      </w:r>
      <w:r w:rsidR="003E066D" w:rsidRPr="00E01924">
        <w:t>efectuado</w:t>
      </w:r>
      <w:r w:rsidRPr="00E01924">
        <w:t xml:space="preserve"> en exceso al </w:t>
      </w:r>
      <w:r w:rsidR="003E066D" w:rsidRPr="00E01924">
        <w:t>cierre</w:t>
      </w:r>
      <w:r w:rsidRPr="00E01924">
        <w:t xml:space="preserve"> de 2025 del proyecto de concesión carretero Pamplona Cúcuta, </w:t>
      </w:r>
      <w:r w:rsidR="00E50638" w:rsidRPr="00E01924">
        <w:t>concesionario UNION VIAL RIO PAMPLONITA SAS</w:t>
      </w:r>
      <w:r w:rsidR="00E513EF" w:rsidRPr="00E01924">
        <w:t>.</w:t>
      </w:r>
    </w:p>
    <w:p w14:paraId="3637B212" w14:textId="17034BDE" w:rsidR="00E513EF" w:rsidRPr="00E01924" w:rsidRDefault="00E513EF" w:rsidP="003F5690">
      <w:pPr>
        <w:pStyle w:val="Prrafodelista"/>
        <w:numPr>
          <w:ilvl w:val="0"/>
          <w:numId w:val="25"/>
        </w:numPr>
        <w:jc w:val="both"/>
      </w:pPr>
      <w:r w:rsidRPr="00E01924">
        <w:t>Reclasificaciones a terrenos</w:t>
      </w:r>
      <w:r w:rsidR="003E066D" w:rsidRPr="00E01924">
        <w:t xml:space="preserve"> </w:t>
      </w:r>
      <w:r w:rsidRPr="00E01924">
        <w:t xml:space="preserve">por valor de $ -5.063.214.194, </w:t>
      </w:r>
      <w:r w:rsidR="003E066D" w:rsidRPr="00E01924">
        <w:t xml:space="preserve">para separar el valor del terreno de la infraestructura, conforme </w:t>
      </w:r>
      <w:r w:rsidRPr="00E01924">
        <w:t>con la información remitida por el G.I.T. Predial y Asesoría Jurídico Predial</w:t>
      </w:r>
      <w:r w:rsidR="000433B3" w:rsidRPr="00E01924">
        <w:t>.</w:t>
      </w:r>
    </w:p>
    <w:p w14:paraId="441086B5" w14:textId="77777777" w:rsidR="000433B3" w:rsidRPr="00E01924" w:rsidRDefault="000433B3" w:rsidP="003F5690">
      <w:pPr>
        <w:jc w:val="both"/>
        <w:rPr>
          <w:rFonts w:ascii="Times New Roman" w:hAnsi="Times New Roman" w:cs="Times New Roman"/>
          <w:sz w:val="24"/>
          <w:szCs w:val="24"/>
        </w:rPr>
      </w:pPr>
    </w:p>
    <w:p w14:paraId="52808FA9" w14:textId="156E3CD7" w:rsidR="000433B3" w:rsidRPr="006B26AC" w:rsidRDefault="00AF4AF0" w:rsidP="006B26AC">
      <w:pPr>
        <w:pStyle w:val="Prrafodelista"/>
        <w:numPr>
          <w:ilvl w:val="0"/>
          <w:numId w:val="25"/>
        </w:numPr>
        <w:jc w:val="both"/>
        <w:rPr>
          <w:i/>
          <w:iCs/>
        </w:rPr>
      </w:pPr>
      <w:r w:rsidRPr="006B26AC">
        <w:rPr>
          <w:i/>
          <w:iCs/>
        </w:rPr>
        <w:t xml:space="preserve">Subcuenta </w:t>
      </w:r>
      <w:r w:rsidR="000433B3" w:rsidRPr="006B26AC">
        <w:rPr>
          <w:i/>
          <w:iCs/>
        </w:rPr>
        <w:t>Terrenos</w:t>
      </w:r>
    </w:p>
    <w:p w14:paraId="6E8D5C3D" w14:textId="77777777" w:rsidR="006B26AC" w:rsidRDefault="006B26AC" w:rsidP="006B26AC">
      <w:pPr>
        <w:pStyle w:val="Prrafodelista"/>
      </w:pPr>
    </w:p>
    <w:p w14:paraId="65142C2E" w14:textId="2C9C4E73" w:rsidR="00BA5BEE" w:rsidRPr="00E01924" w:rsidRDefault="004C4BBD" w:rsidP="003F5690">
      <w:pPr>
        <w:jc w:val="both"/>
        <w:rPr>
          <w:rFonts w:ascii="Times New Roman" w:hAnsi="Times New Roman" w:cs="Times New Roman"/>
          <w:sz w:val="24"/>
          <w:szCs w:val="24"/>
        </w:rPr>
      </w:pPr>
      <w:r w:rsidRPr="00E01924">
        <w:rPr>
          <w:rFonts w:ascii="Times New Roman" w:hAnsi="Times New Roman" w:cs="Times New Roman"/>
          <w:sz w:val="24"/>
          <w:szCs w:val="24"/>
        </w:rPr>
        <w:t>La</w:t>
      </w:r>
      <w:r w:rsidR="005F768F" w:rsidRPr="00E01924">
        <w:rPr>
          <w:rFonts w:ascii="Times New Roman" w:hAnsi="Times New Roman" w:cs="Times New Roman"/>
          <w:sz w:val="24"/>
          <w:szCs w:val="24"/>
        </w:rPr>
        <w:t xml:space="preserve"> subcuenta Terrenos </w:t>
      </w:r>
      <w:r w:rsidR="000433B3" w:rsidRPr="00E01924">
        <w:rPr>
          <w:rFonts w:ascii="Times New Roman" w:hAnsi="Times New Roman" w:cs="Times New Roman"/>
          <w:sz w:val="24"/>
          <w:szCs w:val="24"/>
        </w:rPr>
        <w:t>presentó un incremento</w:t>
      </w:r>
      <w:r w:rsidR="00BA5BEE" w:rsidRPr="00E01924">
        <w:rPr>
          <w:rFonts w:ascii="Times New Roman" w:hAnsi="Times New Roman" w:cs="Times New Roman"/>
          <w:sz w:val="24"/>
          <w:szCs w:val="24"/>
        </w:rPr>
        <w:t xml:space="preserve"> neto de $5.063.214.194 </w:t>
      </w:r>
      <w:r w:rsidR="000433B3" w:rsidRPr="00E01924">
        <w:rPr>
          <w:rFonts w:ascii="Times New Roman" w:hAnsi="Times New Roman" w:cs="Times New Roman"/>
          <w:sz w:val="24"/>
          <w:szCs w:val="24"/>
        </w:rPr>
        <w:t xml:space="preserve">correspondiente a </w:t>
      </w:r>
      <w:r w:rsidR="00BA5BEE" w:rsidRPr="00E01924">
        <w:rPr>
          <w:rFonts w:ascii="Times New Roman" w:hAnsi="Times New Roman" w:cs="Times New Roman"/>
          <w:sz w:val="24"/>
          <w:szCs w:val="24"/>
        </w:rPr>
        <w:t xml:space="preserve">reclasificaciones provenientes de la </w:t>
      </w:r>
      <w:r w:rsidR="000433B3" w:rsidRPr="00E01924">
        <w:rPr>
          <w:rFonts w:ascii="Times New Roman" w:hAnsi="Times New Roman" w:cs="Times New Roman"/>
          <w:sz w:val="24"/>
          <w:szCs w:val="24"/>
        </w:rPr>
        <w:t xml:space="preserve">subcuenta </w:t>
      </w:r>
      <w:r w:rsidR="00BA5BEE" w:rsidRPr="00E01924">
        <w:rPr>
          <w:rFonts w:ascii="Times New Roman" w:hAnsi="Times New Roman" w:cs="Times New Roman"/>
          <w:sz w:val="24"/>
          <w:szCs w:val="24"/>
        </w:rPr>
        <w:t xml:space="preserve">Red carretera, </w:t>
      </w:r>
      <w:r w:rsidR="000433B3" w:rsidRPr="00E01924">
        <w:rPr>
          <w:rFonts w:ascii="Times New Roman" w:hAnsi="Times New Roman" w:cs="Times New Roman"/>
          <w:sz w:val="24"/>
          <w:szCs w:val="24"/>
        </w:rPr>
        <w:t xml:space="preserve">efectuadas </w:t>
      </w:r>
      <w:r w:rsidR="00BA5BEE" w:rsidRPr="00E01924">
        <w:rPr>
          <w:rFonts w:ascii="Times New Roman" w:hAnsi="Times New Roman" w:cs="Times New Roman"/>
          <w:sz w:val="24"/>
          <w:szCs w:val="24"/>
        </w:rPr>
        <w:t>para separar el terreno de la infraestructura, de acuerdo con la información remitida por el G.I.T. Predial y Asesoría Jurídico Predial.</w:t>
      </w:r>
    </w:p>
    <w:p w14:paraId="2DD50482" w14:textId="77777777" w:rsidR="005F768F" w:rsidRPr="00E01924" w:rsidRDefault="005F768F" w:rsidP="003F5690">
      <w:pPr>
        <w:jc w:val="both"/>
        <w:rPr>
          <w:rFonts w:ascii="Times New Roman" w:hAnsi="Times New Roman" w:cs="Times New Roman"/>
          <w:sz w:val="24"/>
          <w:szCs w:val="24"/>
        </w:rPr>
      </w:pPr>
    </w:p>
    <w:p w14:paraId="18AD170F" w14:textId="0BC89FBF" w:rsidR="000433B3" w:rsidRPr="00E01924" w:rsidRDefault="000433B3" w:rsidP="003F5690">
      <w:pPr>
        <w:jc w:val="both"/>
        <w:rPr>
          <w:rFonts w:ascii="Times New Roman" w:hAnsi="Times New Roman" w:cs="Times New Roman"/>
          <w:sz w:val="24"/>
          <w:szCs w:val="24"/>
        </w:rPr>
      </w:pPr>
      <w:r w:rsidRPr="00E01924">
        <w:rPr>
          <w:rFonts w:ascii="Times New Roman" w:hAnsi="Times New Roman" w:cs="Times New Roman"/>
          <w:sz w:val="24"/>
          <w:szCs w:val="24"/>
        </w:rPr>
        <w:t>Finalmente, en el siguiente cuadro se presentan los códigos contables que originaron las variaciones del grupo Bienes de uso público e históricos y culturales, indicando el saldo inicial</w:t>
      </w:r>
      <w:r w:rsidR="001B372A">
        <w:rPr>
          <w:rFonts w:ascii="Times New Roman" w:hAnsi="Times New Roman" w:cs="Times New Roman"/>
          <w:sz w:val="24"/>
          <w:szCs w:val="24"/>
        </w:rPr>
        <w:t xml:space="preserve"> (diciembre 2025)</w:t>
      </w:r>
      <w:r w:rsidRPr="00E01924">
        <w:rPr>
          <w:rFonts w:ascii="Times New Roman" w:hAnsi="Times New Roman" w:cs="Times New Roman"/>
          <w:sz w:val="24"/>
          <w:szCs w:val="24"/>
        </w:rPr>
        <w:t>, el movimiento neto del primer trimestre de 2026 y el saldo final</w:t>
      </w:r>
      <w:r w:rsidR="001B372A">
        <w:rPr>
          <w:rFonts w:ascii="Times New Roman" w:hAnsi="Times New Roman" w:cs="Times New Roman"/>
          <w:sz w:val="24"/>
          <w:szCs w:val="24"/>
        </w:rPr>
        <w:t xml:space="preserve"> (marzo 2026)</w:t>
      </w:r>
      <w:r w:rsidRPr="00E01924">
        <w:rPr>
          <w:rFonts w:ascii="Times New Roman" w:hAnsi="Times New Roman" w:cs="Times New Roman"/>
          <w:sz w:val="24"/>
          <w:szCs w:val="24"/>
        </w:rPr>
        <w:t>, así como el tipo de concepto y el tercero afectado.</w:t>
      </w:r>
    </w:p>
    <w:p w14:paraId="69655CC9" w14:textId="18738B8C" w:rsidR="004C4BBD" w:rsidRPr="00E01924" w:rsidRDefault="000433B3" w:rsidP="003F5690">
      <w:pPr>
        <w:jc w:val="both"/>
        <w:rPr>
          <w:rFonts w:ascii="Times New Roman" w:hAnsi="Times New Roman" w:cs="Times New Roman"/>
          <w:sz w:val="24"/>
          <w:szCs w:val="24"/>
        </w:rPr>
      </w:pPr>
      <w:r w:rsidRPr="00E01924">
        <w:rPr>
          <w:rFonts w:ascii="Times New Roman" w:hAnsi="Times New Roman" w:cs="Times New Roman"/>
          <w:sz w:val="24"/>
          <w:szCs w:val="24"/>
        </w:rPr>
        <w:t xml:space="preserve">Respecto del código contable 171106001 – Terrenos, el saldo inicial </w:t>
      </w:r>
      <w:r w:rsidR="00327019" w:rsidRPr="00E01924">
        <w:rPr>
          <w:rFonts w:ascii="Times New Roman" w:hAnsi="Times New Roman" w:cs="Times New Roman"/>
          <w:sz w:val="24"/>
          <w:szCs w:val="24"/>
        </w:rPr>
        <w:t xml:space="preserve">asciende a </w:t>
      </w:r>
      <w:r w:rsidRPr="00E01924">
        <w:rPr>
          <w:rFonts w:ascii="Times New Roman" w:hAnsi="Times New Roman" w:cs="Times New Roman"/>
          <w:sz w:val="24"/>
          <w:szCs w:val="24"/>
        </w:rPr>
        <w:t xml:space="preserve">$2.450.021.387.558, el movimiento </w:t>
      </w:r>
      <w:r w:rsidR="00327019" w:rsidRPr="00E01924">
        <w:rPr>
          <w:rFonts w:ascii="Times New Roman" w:hAnsi="Times New Roman" w:cs="Times New Roman"/>
          <w:sz w:val="24"/>
          <w:szCs w:val="24"/>
        </w:rPr>
        <w:t xml:space="preserve">neto </w:t>
      </w:r>
      <w:r w:rsidRPr="00E01924">
        <w:rPr>
          <w:rFonts w:ascii="Times New Roman" w:hAnsi="Times New Roman" w:cs="Times New Roman"/>
          <w:sz w:val="24"/>
          <w:szCs w:val="24"/>
        </w:rPr>
        <w:t xml:space="preserve">a $5.063.214.194 y el saldo final a $2.455.084.601.753. </w:t>
      </w:r>
      <w:r w:rsidR="00CE57B0" w:rsidRPr="00E01924">
        <w:rPr>
          <w:rFonts w:ascii="Times New Roman" w:hAnsi="Times New Roman" w:cs="Times New Roman"/>
          <w:sz w:val="24"/>
          <w:szCs w:val="24"/>
        </w:rPr>
        <w:t>Al compara</w:t>
      </w:r>
      <w:r w:rsidR="004C4BBD" w:rsidRPr="00E01924">
        <w:rPr>
          <w:rFonts w:ascii="Times New Roman" w:hAnsi="Times New Roman" w:cs="Times New Roman"/>
          <w:sz w:val="24"/>
          <w:szCs w:val="24"/>
        </w:rPr>
        <w:t>r</w:t>
      </w:r>
      <w:r w:rsidR="00CE57B0" w:rsidRPr="00E01924">
        <w:rPr>
          <w:rFonts w:ascii="Times New Roman" w:hAnsi="Times New Roman" w:cs="Times New Roman"/>
          <w:sz w:val="24"/>
          <w:szCs w:val="24"/>
        </w:rPr>
        <w:t xml:space="preserve"> estos </w:t>
      </w:r>
      <w:r w:rsidR="00327019" w:rsidRPr="00E01924">
        <w:rPr>
          <w:rFonts w:ascii="Times New Roman" w:hAnsi="Times New Roman" w:cs="Times New Roman"/>
          <w:sz w:val="24"/>
          <w:szCs w:val="24"/>
        </w:rPr>
        <w:t xml:space="preserve">valores </w:t>
      </w:r>
      <w:r w:rsidR="00CE57B0" w:rsidRPr="00E01924">
        <w:rPr>
          <w:rFonts w:ascii="Times New Roman" w:hAnsi="Times New Roman" w:cs="Times New Roman"/>
          <w:sz w:val="24"/>
          <w:szCs w:val="24"/>
        </w:rPr>
        <w:t xml:space="preserve">consolidados </w:t>
      </w:r>
      <w:r w:rsidR="00327019" w:rsidRPr="00E01924">
        <w:rPr>
          <w:rFonts w:ascii="Times New Roman" w:hAnsi="Times New Roman" w:cs="Times New Roman"/>
          <w:sz w:val="24"/>
          <w:szCs w:val="24"/>
        </w:rPr>
        <w:t xml:space="preserve">con los presentados en el </w:t>
      </w:r>
      <w:r w:rsidRPr="00E01924">
        <w:rPr>
          <w:rFonts w:ascii="Times New Roman" w:hAnsi="Times New Roman" w:cs="Times New Roman"/>
          <w:sz w:val="24"/>
          <w:szCs w:val="24"/>
        </w:rPr>
        <w:t xml:space="preserve">cuadro, </w:t>
      </w:r>
      <w:r w:rsidR="00CE57B0" w:rsidRPr="00E01924">
        <w:rPr>
          <w:rFonts w:ascii="Times New Roman" w:hAnsi="Times New Roman" w:cs="Times New Roman"/>
          <w:sz w:val="24"/>
          <w:szCs w:val="24"/>
        </w:rPr>
        <w:t xml:space="preserve">se </w:t>
      </w:r>
      <w:r w:rsidR="004C4BBD" w:rsidRPr="00E01924">
        <w:rPr>
          <w:rFonts w:ascii="Times New Roman" w:hAnsi="Times New Roman" w:cs="Times New Roman"/>
          <w:sz w:val="24"/>
          <w:szCs w:val="24"/>
        </w:rPr>
        <w:t>evidencia</w:t>
      </w:r>
      <w:r w:rsidR="00CE57B0" w:rsidRPr="00E01924">
        <w:rPr>
          <w:rFonts w:ascii="Times New Roman" w:hAnsi="Times New Roman" w:cs="Times New Roman"/>
          <w:sz w:val="24"/>
          <w:szCs w:val="24"/>
        </w:rPr>
        <w:t xml:space="preserve"> un</w:t>
      </w:r>
      <w:r w:rsidR="00327019" w:rsidRPr="00E01924">
        <w:rPr>
          <w:rFonts w:ascii="Times New Roman" w:hAnsi="Times New Roman" w:cs="Times New Roman"/>
          <w:sz w:val="24"/>
          <w:szCs w:val="24"/>
        </w:rPr>
        <w:t xml:space="preserve">a diferencia en </w:t>
      </w:r>
      <w:r w:rsidR="00CE57B0" w:rsidRPr="00E01924">
        <w:rPr>
          <w:rFonts w:ascii="Times New Roman" w:hAnsi="Times New Roman" w:cs="Times New Roman"/>
          <w:sz w:val="24"/>
          <w:szCs w:val="24"/>
        </w:rPr>
        <w:t xml:space="preserve">los saldos por valor </w:t>
      </w:r>
      <w:r w:rsidRPr="00E01924">
        <w:rPr>
          <w:rFonts w:ascii="Times New Roman" w:hAnsi="Times New Roman" w:cs="Times New Roman"/>
          <w:sz w:val="24"/>
          <w:szCs w:val="24"/>
        </w:rPr>
        <w:t xml:space="preserve">de $496.881.981.771, </w:t>
      </w:r>
      <w:r w:rsidR="00327019" w:rsidRPr="00E01924">
        <w:rPr>
          <w:rFonts w:ascii="Times New Roman" w:hAnsi="Times New Roman" w:cs="Times New Roman"/>
          <w:sz w:val="24"/>
          <w:szCs w:val="24"/>
        </w:rPr>
        <w:t xml:space="preserve">debido a que el </w:t>
      </w:r>
      <w:r w:rsidR="00CE57B0" w:rsidRPr="00E01924">
        <w:rPr>
          <w:rFonts w:ascii="Times New Roman" w:hAnsi="Times New Roman" w:cs="Times New Roman"/>
          <w:sz w:val="24"/>
          <w:szCs w:val="24"/>
        </w:rPr>
        <w:t xml:space="preserve">cuadro </w:t>
      </w:r>
      <w:r w:rsidR="00327019" w:rsidRPr="00E01924">
        <w:rPr>
          <w:rFonts w:ascii="Times New Roman" w:hAnsi="Times New Roman" w:cs="Times New Roman"/>
          <w:sz w:val="24"/>
          <w:szCs w:val="24"/>
        </w:rPr>
        <w:t xml:space="preserve">únicamente incorpora </w:t>
      </w:r>
      <w:r w:rsidRPr="00E01924">
        <w:rPr>
          <w:rFonts w:ascii="Times New Roman" w:hAnsi="Times New Roman" w:cs="Times New Roman"/>
          <w:sz w:val="24"/>
          <w:szCs w:val="24"/>
        </w:rPr>
        <w:t>los saldos y movimientos asociados al modo carretero, por ser el único que presentó variaciones durante el trimestre.</w:t>
      </w:r>
    </w:p>
    <w:p w14:paraId="776F720C" w14:textId="77777777" w:rsidR="00CB147A" w:rsidRDefault="00CB147A" w:rsidP="003F5690">
      <w:pPr>
        <w:jc w:val="both"/>
        <w:rPr>
          <w:rFonts w:ascii="Times New Roman" w:hAnsi="Times New Roman" w:cs="Times New Roman"/>
          <w:sz w:val="24"/>
          <w:szCs w:val="24"/>
        </w:rPr>
      </w:pPr>
    </w:p>
    <w:p w14:paraId="022A5537" w14:textId="5F3B0D05" w:rsidR="000433B3" w:rsidRPr="00E01924" w:rsidRDefault="00327019" w:rsidP="003F5690">
      <w:pPr>
        <w:jc w:val="both"/>
        <w:rPr>
          <w:rFonts w:ascii="Times New Roman" w:hAnsi="Times New Roman" w:cs="Times New Roman"/>
          <w:sz w:val="24"/>
          <w:szCs w:val="24"/>
        </w:rPr>
      </w:pPr>
      <w:r w:rsidRPr="00E01924">
        <w:rPr>
          <w:rFonts w:ascii="Times New Roman" w:hAnsi="Times New Roman" w:cs="Times New Roman"/>
          <w:sz w:val="24"/>
          <w:szCs w:val="24"/>
        </w:rPr>
        <w:t>Del valor de la diferencia, $482.889.987.842,3 corresponden al modo portuario y $13.991.993.928,41 al modo férreo.</w:t>
      </w:r>
    </w:p>
    <w:p w14:paraId="0BA62A48" w14:textId="77777777" w:rsidR="00BA5BEE" w:rsidRDefault="00BA5BEE" w:rsidP="00BA5BEE"/>
    <w:tbl>
      <w:tblPr>
        <w:tblW w:w="85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305"/>
        <w:gridCol w:w="1611"/>
        <w:gridCol w:w="1742"/>
        <w:gridCol w:w="1842"/>
      </w:tblGrid>
      <w:tr w:rsidR="00E01924" w:rsidRPr="00A04068" w14:paraId="344AF913" w14:textId="77777777" w:rsidTr="0070450B">
        <w:trPr>
          <w:trHeight w:val="479"/>
          <w:tblHeader/>
        </w:trPr>
        <w:tc>
          <w:tcPr>
            <w:tcW w:w="8500" w:type="dxa"/>
            <w:gridSpan w:val="4"/>
            <w:vAlign w:val="center"/>
          </w:tcPr>
          <w:p w14:paraId="34F2AB83" w14:textId="77777777" w:rsidR="00E01924" w:rsidRDefault="00E01924" w:rsidP="00A04068">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E01924">
              <w:rPr>
                <w:rFonts w:ascii="Times New Roman" w:eastAsia="Times New Roman" w:hAnsi="Times New Roman" w:cs="Times New Roman"/>
                <w:b/>
                <w:bCs/>
                <w:color w:val="000000"/>
                <w:kern w:val="0"/>
                <w:sz w:val="18"/>
                <w:szCs w:val="18"/>
                <w:lang w:eastAsia="es-CO"/>
                <w14:ligatures w14:val="none"/>
              </w:rPr>
              <w:lastRenderedPageBreak/>
              <w:t xml:space="preserve">Movimientos de </w:t>
            </w:r>
            <w:r>
              <w:rPr>
                <w:rFonts w:ascii="Times New Roman" w:eastAsia="Times New Roman" w:hAnsi="Times New Roman" w:cs="Times New Roman"/>
                <w:b/>
                <w:bCs/>
                <w:color w:val="000000"/>
                <w:kern w:val="0"/>
                <w:sz w:val="18"/>
                <w:szCs w:val="18"/>
                <w:lang w:eastAsia="es-CO"/>
                <w14:ligatures w14:val="none"/>
              </w:rPr>
              <w:t>B</w:t>
            </w:r>
            <w:r w:rsidRPr="00E01924">
              <w:rPr>
                <w:rFonts w:ascii="Times New Roman" w:eastAsia="Times New Roman" w:hAnsi="Times New Roman" w:cs="Times New Roman"/>
                <w:b/>
                <w:bCs/>
                <w:color w:val="000000"/>
                <w:kern w:val="0"/>
                <w:sz w:val="18"/>
                <w:szCs w:val="18"/>
                <w:lang w:eastAsia="es-CO"/>
                <w14:ligatures w14:val="none"/>
              </w:rPr>
              <w:t>ienes de uso público e históricos y culturales</w:t>
            </w:r>
          </w:p>
          <w:p w14:paraId="313E0B79" w14:textId="0CDA366D" w:rsidR="00AC45F2" w:rsidRPr="00A04068" w:rsidRDefault="00AC45F2" w:rsidP="00A04068">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Pr>
                <w:rFonts w:ascii="Times New Roman" w:eastAsia="Times New Roman" w:hAnsi="Times New Roman" w:cs="Times New Roman"/>
                <w:b/>
                <w:bCs/>
                <w:color w:val="000000"/>
                <w:kern w:val="0"/>
                <w:sz w:val="18"/>
                <w:szCs w:val="18"/>
                <w:lang w:eastAsia="es-CO"/>
                <w14:ligatures w14:val="none"/>
              </w:rPr>
              <w:t>(</w:t>
            </w:r>
            <w:r w:rsidRPr="00AC45F2">
              <w:rPr>
                <w:rFonts w:ascii="Times New Roman" w:eastAsia="Times New Roman" w:hAnsi="Times New Roman" w:cs="Times New Roman"/>
                <w:b/>
                <w:bCs/>
                <w:color w:val="000000"/>
                <w:kern w:val="0"/>
                <w:sz w:val="18"/>
                <w:szCs w:val="18"/>
                <w:lang w:eastAsia="es-CO"/>
                <w14:ligatures w14:val="none"/>
              </w:rPr>
              <w:t>Cifras expresadas en pesos colombianos</w:t>
            </w:r>
            <w:r>
              <w:rPr>
                <w:rFonts w:ascii="Times New Roman" w:eastAsia="Times New Roman" w:hAnsi="Times New Roman" w:cs="Times New Roman"/>
                <w:b/>
                <w:bCs/>
                <w:color w:val="000000"/>
                <w:kern w:val="0"/>
                <w:sz w:val="18"/>
                <w:szCs w:val="18"/>
                <w:lang w:eastAsia="es-CO"/>
                <w14:ligatures w14:val="none"/>
              </w:rPr>
              <w:t>)</w:t>
            </w:r>
          </w:p>
        </w:tc>
      </w:tr>
      <w:tr w:rsidR="00A04068" w:rsidRPr="00A04068" w14:paraId="426677A6" w14:textId="77777777" w:rsidTr="0070450B">
        <w:trPr>
          <w:trHeight w:val="479"/>
          <w:tblHeader/>
        </w:trPr>
        <w:tc>
          <w:tcPr>
            <w:tcW w:w="3305" w:type="dxa"/>
            <w:vAlign w:val="center"/>
            <w:hideMark/>
          </w:tcPr>
          <w:p w14:paraId="020C9618" w14:textId="1270AC55" w:rsidR="00A04068" w:rsidRPr="00A04068" w:rsidRDefault="00A04068" w:rsidP="00A04068">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Códigos contables</w:t>
            </w:r>
            <w:r w:rsidR="00A6228E">
              <w:rPr>
                <w:rFonts w:ascii="Times New Roman" w:eastAsia="Times New Roman" w:hAnsi="Times New Roman" w:cs="Times New Roman"/>
                <w:b/>
                <w:bCs/>
                <w:color w:val="000000"/>
                <w:kern w:val="0"/>
                <w:sz w:val="18"/>
                <w:szCs w:val="18"/>
                <w:lang w:eastAsia="es-CO"/>
                <w14:ligatures w14:val="none"/>
              </w:rPr>
              <w:t xml:space="preserve">, </w:t>
            </w:r>
            <w:r w:rsidRPr="00A04068">
              <w:rPr>
                <w:rFonts w:ascii="Times New Roman" w:eastAsia="Times New Roman" w:hAnsi="Times New Roman" w:cs="Times New Roman"/>
                <w:b/>
                <w:bCs/>
                <w:color w:val="000000"/>
                <w:kern w:val="0"/>
                <w:sz w:val="18"/>
                <w:szCs w:val="18"/>
                <w:lang w:eastAsia="es-CO"/>
                <w14:ligatures w14:val="none"/>
              </w:rPr>
              <w:t>conceptos de registro</w:t>
            </w:r>
            <w:r w:rsidR="00A6228E">
              <w:rPr>
                <w:rFonts w:ascii="Times New Roman" w:eastAsia="Times New Roman" w:hAnsi="Times New Roman" w:cs="Times New Roman"/>
                <w:b/>
                <w:bCs/>
                <w:color w:val="000000"/>
                <w:kern w:val="0"/>
                <w:sz w:val="18"/>
                <w:szCs w:val="18"/>
                <w:lang w:eastAsia="es-CO"/>
                <w14:ligatures w14:val="none"/>
              </w:rPr>
              <w:t xml:space="preserve"> y tercero</w:t>
            </w:r>
          </w:p>
        </w:tc>
        <w:tc>
          <w:tcPr>
            <w:tcW w:w="1611" w:type="dxa"/>
            <w:vAlign w:val="center"/>
            <w:hideMark/>
          </w:tcPr>
          <w:p w14:paraId="37E6BEA8" w14:textId="4B52F536" w:rsidR="00A04068" w:rsidRPr="00A04068" w:rsidRDefault="00A04068" w:rsidP="00A04068">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Saldo</w:t>
            </w:r>
            <w:r w:rsidR="002F2FEA">
              <w:rPr>
                <w:rFonts w:ascii="Times New Roman" w:eastAsia="Times New Roman" w:hAnsi="Times New Roman" w:cs="Times New Roman"/>
                <w:b/>
                <w:bCs/>
                <w:color w:val="000000"/>
                <w:kern w:val="0"/>
                <w:sz w:val="18"/>
                <w:szCs w:val="18"/>
                <w:lang w:eastAsia="es-CO"/>
                <w14:ligatures w14:val="none"/>
              </w:rPr>
              <w:t xml:space="preserve"> diciembre</w:t>
            </w:r>
            <w:r w:rsidRPr="00A04068">
              <w:rPr>
                <w:rFonts w:ascii="Times New Roman" w:eastAsia="Times New Roman" w:hAnsi="Times New Roman" w:cs="Times New Roman"/>
                <w:b/>
                <w:bCs/>
                <w:color w:val="000000"/>
                <w:kern w:val="0"/>
                <w:sz w:val="18"/>
                <w:szCs w:val="18"/>
                <w:lang w:eastAsia="es-CO"/>
                <w14:ligatures w14:val="none"/>
              </w:rPr>
              <w:t xml:space="preserve"> 2025</w:t>
            </w:r>
          </w:p>
        </w:tc>
        <w:tc>
          <w:tcPr>
            <w:tcW w:w="1742" w:type="dxa"/>
            <w:vAlign w:val="center"/>
            <w:hideMark/>
          </w:tcPr>
          <w:p w14:paraId="2A2D05C2" w14:textId="77777777" w:rsidR="00A04068" w:rsidRPr="00A04068" w:rsidRDefault="00A04068" w:rsidP="00A04068">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 xml:space="preserve">Movimiento neto </w:t>
            </w:r>
            <w:proofErr w:type="spellStart"/>
            <w:r w:rsidRPr="00A04068">
              <w:rPr>
                <w:rFonts w:ascii="Times New Roman" w:eastAsia="Times New Roman" w:hAnsi="Times New Roman" w:cs="Times New Roman"/>
                <w:b/>
                <w:bCs/>
                <w:color w:val="000000"/>
                <w:kern w:val="0"/>
                <w:sz w:val="18"/>
                <w:szCs w:val="18"/>
                <w:lang w:eastAsia="es-CO"/>
                <w14:ligatures w14:val="none"/>
              </w:rPr>
              <w:t>trim</w:t>
            </w:r>
            <w:proofErr w:type="spellEnd"/>
            <w:r w:rsidRPr="00A04068">
              <w:rPr>
                <w:rFonts w:ascii="Times New Roman" w:eastAsia="Times New Roman" w:hAnsi="Times New Roman" w:cs="Times New Roman"/>
                <w:b/>
                <w:bCs/>
                <w:color w:val="000000"/>
                <w:kern w:val="0"/>
                <w:sz w:val="18"/>
                <w:szCs w:val="18"/>
                <w:lang w:eastAsia="es-CO"/>
                <w14:ligatures w14:val="none"/>
              </w:rPr>
              <w:t xml:space="preserve"> 2026</w:t>
            </w:r>
          </w:p>
        </w:tc>
        <w:tc>
          <w:tcPr>
            <w:tcW w:w="1842" w:type="dxa"/>
            <w:vAlign w:val="center"/>
            <w:hideMark/>
          </w:tcPr>
          <w:p w14:paraId="1C429BFA" w14:textId="77777777" w:rsidR="00A04068" w:rsidRPr="00A04068" w:rsidRDefault="00A04068" w:rsidP="00A04068">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Saldo marzo 2026</w:t>
            </w:r>
          </w:p>
        </w:tc>
      </w:tr>
      <w:tr w:rsidR="00A04068" w:rsidRPr="00A04068" w14:paraId="0A72BA77" w14:textId="77777777" w:rsidTr="0070450B">
        <w:trPr>
          <w:trHeight w:val="299"/>
        </w:trPr>
        <w:tc>
          <w:tcPr>
            <w:tcW w:w="3305" w:type="dxa"/>
            <w:noWrap/>
            <w:vAlign w:val="bottom"/>
            <w:hideMark/>
          </w:tcPr>
          <w:p w14:paraId="7008ED20" w14:textId="77777777" w:rsidR="00A04068" w:rsidRPr="00A04068" w:rsidRDefault="00A04068" w:rsidP="00A04068">
            <w:pPr>
              <w:spacing w:after="0" w:line="240" w:lineRule="auto"/>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170601001</w:t>
            </w:r>
          </w:p>
        </w:tc>
        <w:tc>
          <w:tcPr>
            <w:tcW w:w="1611" w:type="dxa"/>
            <w:noWrap/>
            <w:vAlign w:val="bottom"/>
            <w:hideMark/>
          </w:tcPr>
          <w:p w14:paraId="217DCBF4"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28.994.238.928.742</w:t>
            </w:r>
          </w:p>
        </w:tc>
        <w:tc>
          <w:tcPr>
            <w:tcW w:w="1742" w:type="dxa"/>
            <w:noWrap/>
            <w:vAlign w:val="bottom"/>
            <w:hideMark/>
          </w:tcPr>
          <w:p w14:paraId="720615B2"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-902.340.466.703</w:t>
            </w:r>
          </w:p>
        </w:tc>
        <w:tc>
          <w:tcPr>
            <w:tcW w:w="1842" w:type="dxa"/>
            <w:noWrap/>
            <w:vAlign w:val="bottom"/>
            <w:hideMark/>
          </w:tcPr>
          <w:p w14:paraId="6E7B477F"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28.091.898.462.039</w:t>
            </w:r>
          </w:p>
        </w:tc>
      </w:tr>
      <w:tr w:rsidR="00A04068" w:rsidRPr="00A04068" w14:paraId="178E66C3" w14:textId="77777777" w:rsidTr="0070450B">
        <w:trPr>
          <w:trHeight w:val="299"/>
        </w:trPr>
        <w:tc>
          <w:tcPr>
            <w:tcW w:w="3305" w:type="dxa"/>
            <w:noWrap/>
            <w:vAlign w:val="bottom"/>
            <w:hideMark/>
          </w:tcPr>
          <w:p w14:paraId="6E682D49" w14:textId="77777777" w:rsidR="00A04068" w:rsidRPr="00A04068" w:rsidRDefault="00A04068" w:rsidP="00A04068">
            <w:pPr>
              <w:spacing w:after="0" w:line="240" w:lineRule="auto"/>
              <w:ind w:firstLineChars="100" w:firstLine="181"/>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Red carretera</w:t>
            </w:r>
          </w:p>
        </w:tc>
        <w:tc>
          <w:tcPr>
            <w:tcW w:w="1611" w:type="dxa"/>
            <w:noWrap/>
            <w:vAlign w:val="bottom"/>
            <w:hideMark/>
          </w:tcPr>
          <w:p w14:paraId="2D9E435B"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28.994.238.928.742</w:t>
            </w:r>
          </w:p>
        </w:tc>
        <w:tc>
          <w:tcPr>
            <w:tcW w:w="1742" w:type="dxa"/>
            <w:noWrap/>
            <w:vAlign w:val="bottom"/>
            <w:hideMark/>
          </w:tcPr>
          <w:p w14:paraId="2B8ABB06"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-902.340.466.703</w:t>
            </w:r>
          </w:p>
        </w:tc>
        <w:tc>
          <w:tcPr>
            <w:tcW w:w="1842" w:type="dxa"/>
            <w:noWrap/>
            <w:vAlign w:val="bottom"/>
            <w:hideMark/>
          </w:tcPr>
          <w:p w14:paraId="04359B2B"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28.091.898.462.039</w:t>
            </w:r>
          </w:p>
        </w:tc>
      </w:tr>
      <w:tr w:rsidR="00A04068" w:rsidRPr="00A04068" w14:paraId="3469068C" w14:textId="77777777" w:rsidTr="0070450B">
        <w:trPr>
          <w:trHeight w:val="299"/>
        </w:trPr>
        <w:tc>
          <w:tcPr>
            <w:tcW w:w="3305" w:type="dxa"/>
            <w:noWrap/>
            <w:vAlign w:val="bottom"/>
            <w:hideMark/>
          </w:tcPr>
          <w:p w14:paraId="4D090BC6" w14:textId="77777777" w:rsidR="00A04068" w:rsidRPr="00A04068" w:rsidRDefault="00A04068" w:rsidP="00A04068">
            <w:pPr>
              <w:spacing w:after="0" w:line="240" w:lineRule="auto"/>
              <w:ind w:firstLineChars="200" w:firstLine="360"/>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2026</w:t>
            </w:r>
          </w:p>
        </w:tc>
        <w:tc>
          <w:tcPr>
            <w:tcW w:w="1611" w:type="dxa"/>
            <w:noWrap/>
            <w:vAlign w:val="bottom"/>
            <w:hideMark/>
          </w:tcPr>
          <w:p w14:paraId="6F1588F6"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28.994.238.928.742</w:t>
            </w:r>
          </w:p>
        </w:tc>
        <w:tc>
          <w:tcPr>
            <w:tcW w:w="1742" w:type="dxa"/>
            <w:noWrap/>
            <w:vAlign w:val="bottom"/>
            <w:hideMark/>
          </w:tcPr>
          <w:p w14:paraId="283443FF"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-902.340.466.703</w:t>
            </w:r>
          </w:p>
        </w:tc>
        <w:tc>
          <w:tcPr>
            <w:tcW w:w="1842" w:type="dxa"/>
            <w:noWrap/>
            <w:vAlign w:val="bottom"/>
            <w:hideMark/>
          </w:tcPr>
          <w:p w14:paraId="78216693"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28.091.898.462.039</w:t>
            </w:r>
          </w:p>
        </w:tc>
      </w:tr>
      <w:tr w:rsidR="00A04068" w:rsidRPr="00A04068" w14:paraId="4DD3F00B" w14:textId="77777777" w:rsidTr="0070450B">
        <w:trPr>
          <w:trHeight w:val="299"/>
        </w:trPr>
        <w:tc>
          <w:tcPr>
            <w:tcW w:w="3305" w:type="dxa"/>
            <w:noWrap/>
            <w:vAlign w:val="bottom"/>
            <w:hideMark/>
          </w:tcPr>
          <w:p w14:paraId="3C2CE720" w14:textId="77777777" w:rsidR="00A04068" w:rsidRPr="00A04068" w:rsidRDefault="00A04068" w:rsidP="00A04068">
            <w:pPr>
              <w:spacing w:after="0" w:line="240" w:lineRule="auto"/>
              <w:ind w:firstLineChars="300" w:firstLine="542"/>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FONDO DE CONTINGENCIAS</w:t>
            </w:r>
          </w:p>
        </w:tc>
        <w:tc>
          <w:tcPr>
            <w:tcW w:w="1611" w:type="dxa"/>
            <w:noWrap/>
            <w:vAlign w:val="bottom"/>
            <w:hideMark/>
          </w:tcPr>
          <w:p w14:paraId="21AB8E4B"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28.994.238.928.742</w:t>
            </w:r>
          </w:p>
        </w:tc>
        <w:tc>
          <w:tcPr>
            <w:tcW w:w="1742" w:type="dxa"/>
            <w:noWrap/>
            <w:vAlign w:val="bottom"/>
            <w:hideMark/>
          </w:tcPr>
          <w:p w14:paraId="4D7E9AA7"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16.728.658.189</w:t>
            </w:r>
          </w:p>
        </w:tc>
        <w:tc>
          <w:tcPr>
            <w:tcW w:w="1842" w:type="dxa"/>
            <w:noWrap/>
            <w:vAlign w:val="bottom"/>
            <w:hideMark/>
          </w:tcPr>
          <w:p w14:paraId="0CFFD67B"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28.091.898.462.039</w:t>
            </w:r>
          </w:p>
        </w:tc>
      </w:tr>
      <w:tr w:rsidR="00A04068" w:rsidRPr="00A04068" w14:paraId="3CADFF21" w14:textId="77777777" w:rsidTr="0070450B">
        <w:trPr>
          <w:trHeight w:val="299"/>
        </w:trPr>
        <w:tc>
          <w:tcPr>
            <w:tcW w:w="3305" w:type="dxa"/>
            <w:noWrap/>
            <w:vAlign w:val="bottom"/>
            <w:hideMark/>
          </w:tcPr>
          <w:p w14:paraId="56ACBB26" w14:textId="20D10835"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NUEVO CAUCA S A S</w:t>
            </w:r>
          </w:p>
        </w:tc>
        <w:tc>
          <w:tcPr>
            <w:tcW w:w="1611" w:type="dxa"/>
            <w:noWrap/>
            <w:vAlign w:val="bottom"/>
            <w:hideMark/>
          </w:tcPr>
          <w:p w14:paraId="3B9482E3"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929.053.386.026</w:t>
            </w:r>
          </w:p>
        </w:tc>
        <w:tc>
          <w:tcPr>
            <w:tcW w:w="1742" w:type="dxa"/>
            <w:noWrap/>
            <w:vAlign w:val="bottom"/>
            <w:hideMark/>
          </w:tcPr>
          <w:p w14:paraId="4B6E0F63"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12.500.886.063</w:t>
            </w:r>
          </w:p>
        </w:tc>
        <w:tc>
          <w:tcPr>
            <w:tcW w:w="1842" w:type="dxa"/>
            <w:noWrap/>
            <w:vAlign w:val="bottom"/>
            <w:hideMark/>
          </w:tcPr>
          <w:p w14:paraId="58512965"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941.554.272.088</w:t>
            </w:r>
          </w:p>
        </w:tc>
      </w:tr>
      <w:tr w:rsidR="00A04068" w:rsidRPr="00A04068" w14:paraId="4431BBD3" w14:textId="77777777" w:rsidTr="0070450B">
        <w:trPr>
          <w:trHeight w:val="299"/>
        </w:trPr>
        <w:tc>
          <w:tcPr>
            <w:tcW w:w="3305" w:type="dxa"/>
            <w:noWrap/>
            <w:vAlign w:val="bottom"/>
            <w:hideMark/>
          </w:tcPr>
          <w:p w14:paraId="7A215CFE"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VÍA 40 EXPRESS S.A.S.</w:t>
            </w:r>
          </w:p>
        </w:tc>
        <w:tc>
          <w:tcPr>
            <w:tcW w:w="1611" w:type="dxa"/>
            <w:noWrap/>
            <w:vAlign w:val="bottom"/>
            <w:hideMark/>
          </w:tcPr>
          <w:p w14:paraId="6CF96B77"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4.333.500.312.849</w:t>
            </w:r>
          </w:p>
        </w:tc>
        <w:tc>
          <w:tcPr>
            <w:tcW w:w="1742" w:type="dxa"/>
            <w:noWrap/>
            <w:vAlign w:val="bottom"/>
            <w:hideMark/>
          </w:tcPr>
          <w:p w14:paraId="379CA35A"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4.227.772.126</w:t>
            </w:r>
          </w:p>
        </w:tc>
        <w:tc>
          <w:tcPr>
            <w:tcW w:w="1842" w:type="dxa"/>
            <w:noWrap/>
            <w:vAlign w:val="bottom"/>
            <w:hideMark/>
          </w:tcPr>
          <w:p w14:paraId="0F337590"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4.337.728.084.974</w:t>
            </w:r>
          </w:p>
        </w:tc>
      </w:tr>
      <w:tr w:rsidR="00A04068" w:rsidRPr="00A04068" w14:paraId="6517F932" w14:textId="77777777" w:rsidTr="0070450B">
        <w:trPr>
          <w:trHeight w:val="299"/>
        </w:trPr>
        <w:tc>
          <w:tcPr>
            <w:tcW w:w="3305" w:type="dxa"/>
            <w:noWrap/>
            <w:vAlign w:val="bottom"/>
            <w:hideMark/>
          </w:tcPr>
          <w:p w14:paraId="42FF756E" w14:textId="77777777" w:rsidR="00A04068" w:rsidRPr="00A04068" w:rsidRDefault="00A04068" w:rsidP="00A04068">
            <w:pPr>
              <w:spacing w:after="0" w:line="240" w:lineRule="auto"/>
              <w:ind w:firstLineChars="300" w:firstLine="542"/>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INVERSION</w:t>
            </w:r>
          </w:p>
        </w:tc>
        <w:tc>
          <w:tcPr>
            <w:tcW w:w="1611" w:type="dxa"/>
            <w:noWrap/>
            <w:vAlign w:val="bottom"/>
            <w:hideMark/>
          </w:tcPr>
          <w:p w14:paraId="5D48C664"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28.994.238.928.742</w:t>
            </w:r>
          </w:p>
        </w:tc>
        <w:tc>
          <w:tcPr>
            <w:tcW w:w="1742" w:type="dxa"/>
            <w:noWrap/>
            <w:vAlign w:val="bottom"/>
            <w:hideMark/>
          </w:tcPr>
          <w:p w14:paraId="4BEFC477"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-875.625.321.621</w:t>
            </w:r>
          </w:p>
        </w:tc>
        <w:tc>
          <w:tcPr>
            <w:tcW w:w="1842" w:type="dxa"/>
            <w:noWrap/>
            <w:vAlign w:val="bottom"/>
            <w:hideMark/>
          </w:tcPr>
          <w:p w14:paraId="4850F6C7"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28.091.898.462.039</w:t>
            </w:r>
          </w:p>
        </w:tc>
      </w:tr>
      <w:tr w:rsidR="00A04068" w:rsidRPr="00A04068" w14:paraId="36E33DA0" w14:textId="77777777" w:rsidTr="0070450B">
        <w:trPr>
          <w:trHeight w:val="299"/>
        </w:trPr>
        <w:tc>
          <w:tcPr>
            <w:tcW w:w="3305" w:type="dxa"/>
            <w:noWrap/>
            <w:vAlign w:val="bottom"/>
            <w:hideMark/>
          </w:tcPr>
          <w:p w14:paraId="63BFE940"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AUTOPISTA MAGDALENA MEDIO SAS</w:t>
            </w:r>
          </w:p>
        </w:tc>
        <w:tc>
          <w:tcPr>
            <w:tcW w:w="1611" w:type="dxa"/>
            <w:noWrap/>
            <w:vAlign w:val="bottom"/>
            <w:hideMark/>
          </w:tcPr>
          <w:p w14:paraId="54642047"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2.711.451.132.754</w:t>
            </w:r>
          </w:p>
        </w:tc>
        <w:tc>
          <w:tcPr>
            <w:tcW w:w="1742" w:type="dxa"/>
            <w:noWrap/>
            <w:vAlign w:val="bottom"/>
            <w:hideMark/>
          </w:tcPr>
          <w:p w14:paraId="20373071"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-875.625.321.621</w:t>
            </w:r>
          </w:p>
        </w:tc>
        <w:tc>
          <w:tcPr>
            <w:tcW w:w="1842" w:type="dxa"/>
            <w:noWrap/>
            <w:vAlign w:val="bottom"/>
            <w:hideMark/>
          </w:tcPr>
          <w:p w14:paraId="004A2111"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1.835.825.811.133</w:t>
            </w:r>
          </w:p>
        </w:tc>
      </w:tr>
      <w:tr w:rsidR="00A04068" w:rsidRPr="00A04068" w14:paraId="55354C53" w14:textId="77777777" w:rsidTr="0070450B">
        <w:trPr>
          <w:trHeight w:val="299"/>
        </w:trPr>
        <w:tc>
          <w:tcPr>
            <w:tcW w:w="3305" w:type="dxa"/>
            <w:noWrap/>
            <w:vAlign w:val="bottom"/>
            <w:hideMark/>
          </w:tcPr>
          <w:p w14:paraId="46C002A9" w14:textId="77777777" w:rsidR="00A04068" w:rsidRPr="00A04068" w:rsidRDefault="00A04068" w:rsidP="00A04068">
            <w:pPr>
              <w:spacing w:after="0" w:line="240" w:lineRule="auto"/>
              <w:ind w:firstLineChars="300" w:firstLine="542"/>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RECLASIFICA TERRENOS VPRE</w:t>
            </w:r>
          </w:p>
        </w:tc>
        <w:tc>
          <w:tcPr>
            <w:tcW w:w="1611" w:type="dxa"/>
            <w:noWrap/>
            <w:vAlign w:val="bottom"/>
            <w:hideMark/>
          </w:tcPr>
          <w:p w14:paraId="4F32E5F6"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28.994.238.928.742</w:t>
            </w:r>
          </w:p>
        </w:tc>
        <w:tc>
          <w:tcPr>
            <w:tcW w:w="1742" w:type="dxa"/>
            <w:noWrap/>
            <w:vAlign w:val="bottom"/>
            <w:hideMark/>
          </w:tcPr>
          <w:p w14:paraId="6EACDCAA"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-43.443.803.271</w:t>
            </w:r>
          </w:p>
        </w:tc>
        <w:tc>
          <w:tcPr>
            <w:tcW w:w="1842" w:type="dxa"/>
            <w:noWrap/>
            <w:vAlign w:val="bottom"/>
            <w:hideMark/>
          </w:tcPr>
          <w:p w14:paraId="789A5ED7"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28.091.898.462.039</w:t>
            </w:r>
          </w:p>
        </w:tc>
      </w:tr>
      <w:tr w:rsidR="00A04068" w:rsidRPr="00A04068" w14:paraId="1D0739E6" w14:textId="77777777" w:rsidTr="0070450B">
        <w:trPr>
          <w:trHeight w:val="299"/>
        </w:trPr>
        <w:tc>
          <w:tcPr>
            <w:tcW w:w="3305" w:type="dxa"/>
            <w:noWrap/>
            <w:vAlign w:val="bottom"/>
            <w:hideMark/>
          </w:tcPr>
          <w:p w14:paraId="78BDED7B"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CONCESION VIAL DE LOS LLANOS SAS</w:t>
            </w:r>
          </w:p>
        </w:tc>
        <w:tc>
          <w:tcPr>
            <w:tcW w:w="1611" w:type="dxa"/>
            <w:noWrap/>
            <w:vAlign w:val="bottom"/>
            <w:hideMark/>
          </w:tcPr>
          <w:p w14:paraId="294C8604"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353.063.249.554</w:t>
            </w:r>
          </w:p>
        </w:tc>
        <w:tc>
          <w:tcPr>
            <w:tcW w:w="1742" w:type="dxa"/>
            <w:noWrap/>
            <w:vAlign w:val="bottom"/>
            <w:hideMark/>
          </w:tcPr>
          <w:p w14:paraId="77BE0484"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-5.725.683.956</w:t>
            </w:r>
          </w:p>
        </w:tc>
        <w:tc>
          <w:tcPr>
            <w:tcW w:w="1842" w:type="dxa"/>
            <w:noWrap/>
            <w:vAlign w:val="bottom"/>
            <w:hideMark/>
          </w:tcPr>
          <w:p w14:paraId="4FC03D94"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347.337.565.598</w:t>
            </w:r>
          </w:p>
        </w:tc>
      </w:tr>
      <w:tr w:rsidR="00A04068" w:rsidRPr="00A04068" w14:paraId="7A9830F9" w14:textId="77777777" w:rsidTr="0070450B">
        <w:trPr>
          <w:trHeight w:val="299"/>
        </w:trPr>
        <w:tc>
          <w:tcPr>
            <w:tcW w:w="3305" w:type="dxa"/>
            <w:noWrap/>
            <w:vAlign w:val="bottom"/>
            <w:hideMark/>
          </w:tcPr>
          <w:p w14:paraId="3944EBF2"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CONCESIONARIA RUTAS DEL VALLE S.A.S.</w:t>
            </w:r>
          </w:p>
        </w:tc>
        <w:tc>
          <w:tcPr>
            <w:tcW w:w="1611" w:type="dxa"/>
            <w:noWrap/>
            <w:vAlign w:val="bottom"/>
            <w:hideMark/>
          </w:tcPr>
          <w:p w14:paraId="241C7004"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924.530.449.581</w:t>
            </w:r>
          </w:p>
        </w:tc>
        <w:tc>
          <w:tcPr>
            <w:tcW w:w="1742" w:type="dxa"/>
            <w:noWrap/>
            <w:vAlign w:val="bottom"/>
            <w:hideMark/>
          </w:tcPr>
          <w:p w14:paraId="72021FC5"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-17.539.311.677</w:t>
            </w:r>
          </w:p>
        </w:tc>
        <w:tc>
          <w:tcPr>
            <w:tcW w:w="1842" w:type="dxa"/>
            <w:noWrap/>
            <w:vAlign w:val="bottom"/>
            <w:hideMark/>
          </w:tcPr>
          <w:p w14:paraId="5689ABFF"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906.991.137.904</w:t>
            </w:r>
          </w:p>
        </w:tc>
      </w:tr>
      <w:tr w:rsidR="00A04068" w:rsidRPr="00A04068" w14:paraId="0C9F5B7D" w14:textId="77777777" w:rsidTr="0070450B">
        <w:trPr>
          <w:trHeight w:val="299"/>
        </w:trPr>
        <w:tc>
          <w:tcPr>
            <w:tcW w:w="3305" w:type="dxa"/>
            <w:noWrap/>
            <w:vAlign w:val="bottom"/>
            <w:hideMark/>
          </w:tcPr>
          <w:p w14:paraId="3B9BAA68"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CONCESIONARIA VIAL DEL ORIENTE S A S</w:t>
            </w:r>
          </w:p>
        </w:tc>
        <w:tc>
          <w:tcPr>
            <w:tcW w:w="1611" w:type="dxa"/>
            <w:noWrap/>
            <w:vAlign w:val="bottom"/>
            <w:hideMark/>
          </w:tcPr>
          <w:p w14:paraId="5DE52BA0"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2.241.579.729.889</w:t>
            </w:r>
          </w:p>
        </w:tc>
        <w:tc>
          <w:tcPr>
            <w:tcW w:w="1742" w:type="dxa"/>
            <w:noWrap/>
            <w:vAlign w:val="bottom"/>
            <w:hideMark/>
          </w:tcPr>
          <w:p w14:paraId="3BC77CC8"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-5.338.967.423</w:t>
            </w:r>
          </w:p>
        </w:tc>
        <w:tc>
          <w:tcPr>
            <w:tcW w:w="1842" w:type="dxa"/>
            <w:noWrap/>
            <w:vAlign w:val="bottom"/>
            <w:hideMark/>
          </w:tcPr>
          <w:p w14:paraId="6F0ACE75"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2.236.240.762.466</w:t>
            </w:r>
          </w:p>
        </w:tc>
      </w:tr>
      <w:tr w:rsidR="00A04068" w:rsidRPr="00A04068" w14:paraId="414C5198" w14:textId="77777777" w:rsidTr="0070450B">
        <w:trPr>
          <w:trHeight w:val="299"/>
        </w:trPr>
        <w:tc>
          <w:tcPr>
            <w:tcW w:w="3305" w:type="dxa"/>
            <w:noWrap/>
            <w:vAlign w:val="bottom"/>
            <w:hideMark/>
          </w:tcPr>
          <w:p w14:paraId="58857CFC"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UNIÓN VIAL CAMINO DEL PACÍFICO S.A.S.</w:t>
            </w:r>
          </w:p>
        </w:tc>
        <w:tc>
          <w:tcPr>
            <w:tcW w:w="1611" w:type="dxa"/>
            <w:noWrap/>
            <w:vAlign w:val="bottom"/>
            <w:hideMark/>
          </w:tcPr>
          <w:p w14:paraId="1418C0B1"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3.729.609.449.622</w:t>
            </w:r>
          </w:p>
        </w:tc>
        <w:tc>
          <w:tcPr>
            <w:tcW w:w="1742" w:type="dxa"/>
            <w:noWrap/>
            <w:vAlign w:val="bottom"/>
            <w:hideMark/>
          </w:tcPr>
          <w:p w14:paraId="14A5046B"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-12.777.286.323</w:t>
            </w:r>
          </w:p>
        </w:tc>
        <w:tc>
          <w:tcPr>
            <w:tcW w:w="1842" w:type="dxa"/>
            <w:noWrap/>
            <w:vAlign w:val="bottom"/>
            <w:hideMark/>
          </w:tcPr>
          <w:p w14:paraId="19A7469A"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3.716.832.163.299</w:t>
            </w:r>
          </w:p>
        </w:tc>
      </w:tr>
      <w:tr w:rsidR="00A04068" w:rsidRPr="00A04068" w14:paraId="59BEFECF" w14:textId="77777777" w:rsidTr="0070450B">
        <w:trPr>
          <w:trHeight w:val="299"/>
        </w:trPr>
        <w:tc>
          <w:tcPr>
            <w:tcW w:w="3305" w:type="dxa"/>
            <w:noWrap/>
            <w:vAlign w:val="bottom"/>
            <w:hideMark/>
          </w:tcPr>
          <w:p w14:paraId="27E31148"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YUMA CONCESIONARIA S A - EN REORGANIZACION</w:t>
            </w:r>
          </w:p>
        </w:tc>
        <w:tc>
          <w:tcPr>
            <w:tcW w:w="1611" w:type="dxa"/>
            <w:noWrap/>
            <w:vAlign w:val="bottom"/>
            <w:hideMark/>
          </w:tcPr>
          <w:p w14:paraId="4D1AC18F"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2.573.336.770.951</w:t>
            </w:r>
          </w:p>
        </w:tc>
        <w:tc>
          <w:tcPr>
            <w:tcW w:w="1742" w:type="dxa"/>
            <w:noWrap/>
            <w:vAlign w:val="bottom"/>
            <w:hideMark/>
          </w:tcPr>
          <w:p w14:paraId="168072F4"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-2.062.553.892</w:t>
            </w:r>
          </w:p>
        </w:tc>
        <w:tc>
          <w:tcPr>
            <w:tcW w:w="1842" w:type="dxa"/>
            <w:noWrap/>
            <w:vAlign w:val="bottom"/>
            <w:hideMark/>
          </w:tcPr>
          <w:p w14:paraId="58C6B29C"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2.571.274.217.060</w:t>
            </w:r>
          </w:p>
        </w:tc>
      </w:tr>
      <w:tr w:rsidR="00A04068" w:rsidRPr="00A04068" w14:paraId="7B28524F" w14:textId="77777777" w:rsidTr="0070450B">
        <w:trPr>
          <w:trHeight w:val="299"/>
        </w:trPr>
        <w:tc>
          <w:tcPr>
            <w:tcW w:w="3305" w:type="dxa"/>
            <w:noWrap/>
            <w:vAlign w:val="bottom"/>
            <w:hideMark/>
          </w:tcPr>
          <w:p w14:paraId="0F4239DF" w14:textId="77777777" w:rsidR="00A04068" w:rsidRPr="00A04068" w:rsidRDefault="00A04068" w:rsidP="00A04068">
            <w:pPr>
              <w:spacing w:after="0" w:line="240" w:lineRule="auto"/>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170606001</w:t>
            </w:r>
          </w:p>
        </w:tc>
        <w:tc>
          <w:tcPr>
            <w:tcW w:w="1611" w:type="dxa"/>
            <w:noWrap/>
            <w:vAlign w:val="bottom"/>
            <w:hideMark/>
          </w:tcPr>
          <w:p w14:paraId="7AB2DE59"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1.328.695.801.856</w:t>
            </w:r>
          </w:p>
        </w:tc>
        <w:tc>
          <w:tcPr>
            <w:tcW w:w="1742" w:type="dxa"/>
            <w:noWrap/>
            <w:vAlign w:val="bottom"/>
            <w:hideMark/>
          </w:tcPr>
          <w:p w14:paraId="3B090155"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43.443.803.271</w:t>
            </w:r>
          </w:p>
        </w:tc>
        <w:tc>
          <w:tcPr>
            <w:tcW w:w="1842" w:type="dxa"/>
            <w:noWrap/>
            <w:vAlign w:val="bottom"/>
            <w:hideMark/>
          </w:tcPr>
          <w:p w14:paraId="6384DD3D"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1.372.139.605.126</w:t>
            </w:r>
          </w:p>
        </w:tc>
      </w:tr>
      <w:tr w:rsidR="00A04068" w:rsidRPr="00A04068" w14:paraId="6F677714" w14:textId="77777777" w:rsidTr="0070450B">
        <w:trPr>
          <w:trHeight w:val="299"/>
        </w:trPr>
        <w:tc>
          <w:tcPr>
            <w:tcW w:w="3305" w:type="dxa"/>
            <w:noWrap/>
            <w:vAlign w:val="bottom"/>
            <w:hideMark/>
          </w:tcPr>
          <w:p w14:paraId="54EAA925" w14:textId="77777777" w:rsidR="00A04068" w:rsidRPr="00A04068" w:rsidRDefault="00A04068" w:rsidP="00A04068">
            <w:pPr>
              <w:spacing w:after="0" w:line="240" w:lineRule="auto"/>
              <w:ind w:firstLineChars="100" w:firstLine="181"/>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Terrenos</w:t>
            </w:r>
          </w:p>
        </w:tc>
        <w:tc>
          <w:tcPr>
            <w:tcW w:w="1611" w:type="dxa"/>
            <w:noWrap/>
            <w:vAlign w:val="bottom"/>
            <w:hideMark/>
          </w:tcPr>
          <w:p w14:paraId="4967C170"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1.328.695.801.856</w:t>
            </w:r>
          </w:p>
        </w:tc>
        <w:tc>
          <w:tcPr>
            <w:tcW w:w="1742" w:type="dxa"/>
            <w:noWrap/>
            <w:vAlign w:val="bottom"/>
            <w:hideMark/>
          </w:tcPr>
          <w:p w14:paraId="2C74CD17"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43.443.803.271</w:t>
            </w:r>
          </w:p>
        </w:tc>
        <w:tc>
          <w:tcPr>
            <w:tcW w:w="1842" w:type="dxa"/>
            <w:noWrap/>
            <w:vAlign w:val="bottom"/>
            <w:hideMark/>
          </w:tcPr>
          <w:p w14:paraId="17ECB84F"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1.372.139.605.126</w:t>
            </w:r>
          </w:p>
        </w:tc>
      </w:tr>
      <w:tr w:rsidR="00A04068" w:rsidRPr="00A04068" w14:paraId="6CC96986" w14:textId="77777777" w:rsidTr="0070450B">
        <w:trPr>
          <w:trHeight w:val="299"/>
        </w:trPr>
        <w:tc>
          <w:tcPr>
            <w:tcW w:w="3305" w:type="dxa"/>
            <w:noWrap/>
            <w:vAlign w:val="bottom"/>
            <w:hideMark/>
          </w:tcPr>
          <w:p w14:paraId="6F5025EF" w14:textId="77777777" w:rsidR="00A04068" w:rsidRPr="00A04068" w:rsidRDefault="00A04068" w:rsidP="00A04068">
            <w:pPr>
              <w:spacing w:after="0" w:line="240" w:lineRule="auto"/>
              <w:ind w:firstLineChars="200" w:firstLine="360"/>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2026</w:t>
            </w:r>
          </w:p>
        </w:tc>
        <w:tc>
          <w:tcPr>
            <w:tcW w:w="1611" w:type="dxa"/>
            <w:noWrap/>
            <w:vAlign w:val="bottom"/>
            <w:hideMark/>
          </w:tcPr>
          <w:p w14:paraId="70CC42C6"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1.328.695.801.856</w:t>
            </w:r>
          </w:p>
        </w:tc>
        <w:tc>
          <w:tcPr>
            <w:tcW w:w="1742" w:type="dxa"/>
            <w:noWrap/>
            <w:vAlign w:val="bottom"/>
            <w:hideMark/>
          </w:tcPr>
          <w:p w14:paraId="672A96FF"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43.443.803.271</w:t>
            </w:r>
          </w:p>
        </w:tc>
        <w:tc>
          <w:tcPr>
            <w:tcW w:w="1842" w:type="dxa"/>
            <w:noWrap/>
            <w:vAlign w:val="bottom"/>
            <w:hideMark/>
          </w:tcPr>
          <w:p w14:paraId="67EF9238"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1.372.139.605.126</w:t>
            </w:r>
          </w:p>
        </w:tc>
      </w:tr>
      <w:tr w:rsidR="00A04068" w:rsidRPr="00A04068" w14:paraId="40B6EA16" w14:textId="77777777" w:rsidTr="0070450B">
        <w:trPr>
          <w:trHeight w:val="299"/>
        </w:trPr>
        <w:tc>
          <w:tcPr>
            <w:tcW w:w="3305" w:type="dxa"/>
            <w:noWrap/>
            <w:vAlign w:val="bottom"/>
            <w:hideMark/>
          </w:tcPr>
          <w:p w14:paraId="05E22B33" w14:textId="77777777" w:rsidR="00A04068" w:rsidRPr="00A04068" w:rsidRDefault="00A04068" w:rsidP="00A04068">
            <w:pPr>
              <w:spacing w:after="0" w:line="240" w:lineRule="auto"/>
              <w:ind w:firstLineChars="300" w:firstLine="542"/>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RECLASIFICA TERRENOS VPRE</w:t>
            </w:r>
          </w:p>
        </w:tc>
        <w:tc>
          <w:tcPr>
            <w:tcW w:w="1611" w:type="dxa"/>
            <w:noWrap/>
            <w:vAlign w:val="bottom"/>
            <w:hideMark/>
          </w:tcPr>
          <w:p w14:paraId="509FFE32"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1.328.695.801.856</w:t>
            </w:r>
          </w:p>
        </w:tc>
        <w:tc>
          <w:tcPr>
            <w:tcW w:w="1742" w:type="dxa"/>
            <w:noWrap/>
            <w:vAlign w:val="bottom"/>
            <w:hideMark/>
          </w:tcPr>
          <w:p w14:paraId="24E7A69F"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43.443.803.271</w:t>
            </w:r>
          </w:p>
        </w:tc>
        <w:tc>
          <w:tcPr>
            <w:tcW w:w="1842" w:type="dxa"/>
            <w:noWrap/>
            <w:vAlign w:val="bottom"/>
            <w:hideMark/>
          </w:tcPr>
          <w:p w14:paraId="65EFEF29"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1.372.139.605.126</w:t>
            </w:r>
          </w:p>
        </w:tc>
      </w:tr>
      <w:tr w:rsidR="00A04068" w:rsidRPr="00A04068" w14:paraId="3C3D20A5" w14:textId="77777777" w:rsidTr="0070450B">
        <w:trPr>
          <w:trHeight w:val="299"/>
        </w:trPr>
        <w:tc>
          <w:tcPr>
            <w:tcW w:w="3305" w:type="dxa"/>
            <w:noWrap/>
            <w:vAlign w:val="bottom"/>
            <w:hideMark/>
          </w:tcPr>
          <w:p w14:paraId="443F20F0"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CONCESION VIAL DE LOS LLANOS SAS</w:t>
            </w:r>
          </w:p>
        </w:tc>
        <w:tc>
          <w:tcPr>
            <w:tcW w:w="1611" w:type="dxa"/>
            <w:noWrap/>
            <w:vAlign w:val="bottom"/>
            <w:hideMark/>
          </w:tcPr>
          <w:p w14:paraId="44DF73F3"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17.988.017.604</w:t>
            </w:r>
          </w:p>
        </w:tc>
        <w:tc>
          <w:tcPr>
            <w:tcW w:w="1742" w:type="dxa"/>
            <w:noWrap/>
            <w:vAlign w:val="bottom"/>
            <w:hideMark/>
          </w:tcPr>
          <w:p w14:paraId="4B70062C"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5.725.683.956</w:t>
            </w:r>
          </w:p>
        </w:tc>
        <w:tc>
          <w:tcPr>
            <w:tcW w:w="1842" w:type="dxa"/>
            <w:noWrap/>
            <w:vAlign w:val="bottom"/>
            <w:hideMark/>
          </w:tcPr>
          <w:p w14:paraId="23A9981C"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23.713.701.560</w:t>
            </w:r>
          </w:p>
        </w:tc>
      </w:tr>
      <w:tr w:rsidR="00A04068" w:rsidRPr="00A04068" w14:paraId="2084C405" w14:textId="77777777" w:rsidTr="0070450B">
        <w:trPr>
          <w:trHeight w:val="299"/>
        </w:trPr>
        <w:tc>
          <w:tcPr>
            <w:tcW w:w="3305" w:type="dxa"/>
            <w:noWrap/>
            <w:vAlign w:val="bottom"/>
            <w:hideMark/>
          </w:tcPr>
          <w:p w14:paraId="101A35CF"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CONCESIONARIA RUTAS DEL VALLE S.A.S.</w:t>
            </w:r>
          </w:p>
        </w:tc>
        <w:tc>
          <w:tcPr>
            <w:tcW w:w="1611" w:type="dxa"/>
            <w:noWrap/>
            <w:vAlign w:val="bottom"/>
            <w:hideMark/>
          </w:tcPr>
          <w:p w14:paraId="588EEDD6"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122.205.299.921</w:t>
            </w:r>
          </w:p>
        </w:tc>
        <w:tc>
          <w:tcPr>
            <w:tcW w:w="1742" w:type="dxa"/>
            <w:noWrap/>
            <w:vAlign w:val="bottom"/>
            <w:hideMark/>
          </w:tcPr>
          <w:p w14:paraId="7E4707F3"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17.539.311.677</w:t>
            </w:r>
          </w:p>
        </w:tc>
        <w:tc>
          <w:tcPr>
            <w:tcW w:w="1842" w:type="dxa"/>
            <w:noWrap/>
            <w:vAlign w:val="bottom"/>
            <w:hideMark/>
          </w:tcPr>
          <w:p w14:paraId="0608F3FC"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139.744.611.598</w:t>
            </w:r>
          </w:p>
        </w:tc>
      </w:tr>
      <w:tr w:rsidR="00A04068" w:rsidRPr="00A04068" w14:paraId="41D53113" w14:textId="77777777" w:rsidTr="0070450B">
        <w:trPr>
          <w:trHeight w:val="299"/>
        </w:trPr>
        <w:tc>
          <w:tcPr>
            <w:tcW w:w="3305" w:type="dxa"/>
            <w:noWrap/>
            <w:vAlign w:val="bottom"/>
            <w:hideMark/>
          </w:tcPr>
          <w:p w14:paraId="2060B382"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CONCESIONARIA VIAL DEL ORIENTE S A S</w:t>
            </w:r>
          </w:p>
        </w:tc>
        <w:tc>
          <w:tcPr>
            <w:tcW w:w="1611" w:type="dxa"/>
            <w:noWrap/>
            <w:vAlign w:val="bottom"/>
            <w:hideMark/>
          </w:tcPr>
          <w:p w14:paraId="38D344D7"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145.027.388.458</w:t>
            </w:r>
          </w:p>
        </w:tc>
        <w:tc>
          <w:tcPr>
            <w:tcW w:w="1742" w:type="dxa"/>
            <w:noWrap/>
            <w:vAlign w:val="bottom"/>
            <w:hideMark/>
          </w:tcPr>
          <w:p w14:paraId="1C04B1F1"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5.338.967.423</w:t>
            </w:r>
          </w:p>
        </w:tc>
        <w:tc>
          <w:tcPr>
            <w:tcW w:w="1842" w:type="dxa"/>
            <w:noWrap/>
            <w:vAlign w:val="bottom"/>
            <w:hideMark/>
          </w:tcPr>
          <w:p w14:paraId="7B2B291D"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150.366.355.881</w:t>
            </w:r>
          </w:p>
        </w:tc>
      </w:tr>
      <w:tr w:rsidR="00A04068" w:rsidRPr="00A04068" w14:paraId="1E526C87" w14:textId="77777777" w:rsidTr="0070450B">
        <w:trPr>
          <w:trHeight w:val="299"/>
        </w:trPr>
        <w:tc>
          <w:tcPr>
            <w:tcW w:w="3305" w:type="dxa"/>
            <w:noWrap/>
            <w:vAlign w:val="bottom"/>
            <w:hideMark/>
          </w:tcPr>
          <w:p w14:paraId="2AC88357"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UNIÓN VIAL CAMINO DEL PACÍFICO S.A.S.</w:t>
            </w:r>
          </w:p>
        </w:tc>
        <w:tc>
          <w:tcPr>
            <w:tcW w:w="1611" w:type="dxa"/>
            <w:noWrap/>
            <w:vAlign w:val="bottom"/>
            <w:hideMark/>
          </w:tcPr>
          <w:p w14:paraId="6963677C"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9.540.138.529</w:t>
            </w:r>
          </w:p>
        </w:tc>
        <w:tc>
          <w:tcPr>
            <w:tcW w:w="1742" w:type="dxa"/>
            <w:noWrap/>
            <w:vAlign w:val="bottom"/>
            <w:hideMark/>
          </w:tcPr>
          <w:p w14:paraId="2585F9CF"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12.777.286.323</w:t>
            </w:r>
          </w:p>
        </w:tc>
        <w:tc>
          <w:tcPr>
            <w:tcW w:w="1842" w:type="dxa"/>
            <w:noWrap/>
            <w:vAlign w:val="bottom"/>
            <w:hideMark/>
          </w:tcPr>
          <w:p w14:paraId="1FCD340C"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22.317.424.852</w:t>
            </w:r>
          </w:p>
        </w:tc>
      </w:tr>
      <w:tr w:rsidR="00A04068" w:rsidRPr="00A04068" w14:paraId="70BDDB44" w14:textId="77777777" w:rsidTr="0070450B">
        <w:trPr>
          <w:trHeight w:val="299"/>
        </w:trPr>
        <w:tc>
          <w:tcPr>
            <w:tcW w:w="3305" w:type="dxa"/>
            <w:noWrap/>
            <w:vAlign w:val="bottom"/>
            <w:hideMark/>
          </w:tcPr>
          <w:p w14:paraId="5B1A4B69"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YUMA CONCESIONARIA S A - EN REORGANIZACION</w:t>
            </w:r>
          </w:p>
        </w:tc>
        <w:tc>
          <w:tcPr>
            <w:tcW w:w="1611" w:type="dxa"/>
            <w:noWrap/>
            <w:vAlign w:val="bottom"/>
            <w:hideMark/>
          </w:tcPr>
          <w:p w14:paraId="1ACBE937"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50.783.469.858</w:t>
            </w:r>
          </w:p>
        </w:tc>
        <w:tc>
          <w:tcPr>
            <w:tcW w:w="1742" w:type="dxa"/>
            <w:noWrap/>
            <w:vAlign w:val="bottom"/>
            <w:hideMark/>
          </w:tcPr>
          <w:p w14:paraId="1BBEB64E"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2.062.553.892</w:t>
            </w:r>
          </w:p>
        </w:tc>
        <w:tc>
          <w:tcPr>
            <w:tcW w:w="1842" w:type="dxa"/>
            <w:noWrap/>
            <w:vAlign w:val="bottom"/>
            <w:hideMark/>
          </w:tcPr>
          <w:p w14:paraId="7E648135"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52.846.023.749</w:t>
            </w:r>
          </w:p>
        </w:tc>
      </w:tr>
      <w:tr w:rsidR="00A04068" w:rsidRPr="00A04068" w14:paraId="161A7302" w14:textId="77777777" w:rsidTr="0070450B">
        <w:trPr>
          <w:trHeight w:val="299"/>
        </w:trPr>
        <w:tc>
          <w:tcPr>
            <w:tcW w:w="3305" w:type="dxa"/>
            <w:noWrap/>
            <w:vAlign w:val="bottom"/>
            <w:hideMark/>
          </w:tcPr>
          <w:p w14:paraId="3E91BA36" w14:textId="77777777" w:rsidR="00A04068" w:rsidRPr="00A04068" w:rsidRDefault="00A04068" w:rsidP="00A04068">
            <w:pPr>
              <w:spacing w:after="0" w:line="240" w:lineRule="auto"/>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171101001</w:t>
            </w:r>
          </w:p>
        </w:tc>
        <w:tc>
          <w:tcPr>
            <w:tcW w:w="1611" w:type="dxa"/>
            <w:noWrap/>
            <w:vAlign w:val="bottom"/>
            <w:hideMark/>
          </w:tcPr>
          <w:p w14:paraId="77A182DB"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33.821.067.240.215</w:t>
            </w:r>
          </w:p>
        </w:tc>
        <w:tc>
          <w:tcPr>
            <w:tcW w:w="1742" w:type="dxa"/>
            <w:noWrap/>
            <w:vAlign w:val="bottom"/>
            <w:hideMark/>
          </w:tcPr>
          <w:p w14:paraId="0A25F237"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-9.747.897.854</w:t>
            </w:r>
          </w:p>
        </w:tc>
        <w:tc>
          <w:tcPr>
            <w:tcW w:w="1842" w:type="dxa"/>
            <w:noWrap/>
            <w:vAlign w:val="bottom"/>
            <w:hideMark/>
          </w:tcPr>
          <w:p w14:paraId="6CC9D5C2"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33.811.319.342.361</w:t>
            </w:r>
          </w:p>
        </w:tc>
      </w:tr>
      <w:tr w:rsidR="00A04068" w:rsidRPr="00A04068" w14:paraId="10BA29AC" w14:textId="77777777" w:rsidTr="0070450B">
        <w:trPr>
          <w:trHeight w:val="299"/>
        </w:trPr>
        <w:tc>
          <w:tcPr>
            <w:tcW w:w="3305" w:type="dxa"/>
            <w:noWrap/>
            <w:vAlign w:val="bottom"/>
            <w:hideMark/>
          </w:tcPr>
          <w:p w14:paraId="0FBACD33" w14:textId="77777777" w:rsidR="00A04068" w:rsidRPr="00A04068" w:rsidRDefault="00A04068" w:rsidP="00A04068">
            <w:pPr>
              <w:spacing w:after="0" w:line="240" w:lineRule="auto"/>
              <w:ind w:firstLineChars="100" w:firstLine="181"/>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Red carretera</w:t>
            </w:r>
          </w:p>
        </w:tc>
        <w:tc>
          <w:tcPr>
            <w:tcW w:w="1611" w:type="dxa"/>
            <w:noWrap/>
            <w:vAlign w:val="bottom"/>
            <w:hideMark/>
          </w:tcPr>
          <w:p w14:paraId="0C5EDD38"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33.821.067.240.215</w:t>
            </w:r>
          </w:p>
        </w:tc>
        <w:tc>
          <w:tcPr>
            <w:tcW w:w="1742" w:type="dxa"/>
            <w:noWrap/>
            <w:vAlign w:val="bottom"/>
            <w:hideMark/>
          </w:tcPr>
          <w:p w14:paraId="2E596FF5"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-9.747.897.854</w:t>
            </w:r>
          </w:p>
        </w:tc>
        <w:tc>
          <w:tcPr>
            <w:tcW w:w="1842" w:type="dxa"/>
            <w:noWrap/>
            <w:vAlign w:val="bottom"/>
            <w:hideMark/>
          </w:tcPr>
          <w:p w14:paraId="3828CFD6"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33.811.319.342.361</w:t>
            </w:r>
          </w:p>
        </w:tc>
      </w:tr>
      <w:tr w:rsidR="00A04068" w:rsidRPr="00A04068" w14:paraId="01845F1A" w14:textId="77777777" w:rsidTr="0070450B">
        <w:trPr>
          <w:trHeight w:val="299"/>
        </w:trPr>
        <w:tc>
          <w:tcPr>
            <w:tcW w:w="3305" w:type="dxa"/>
            <w:noWrap/>
            <w:vAlign w:val="bottom"/>
            <w:hideMark/>
          </w:tcPr>
          <w:p w14:paraId="50DD78A9" w14:textId="77777777" w:rsidR="00A04068" w:rsidRPr="00A04068" w:rsidRDefault="00A04068" w:rsidP="00A04068">
            <w:pPr>
              <w:spacing w:after="0" w:line="240" w:lineRule="auto"/>
              <w:ind w:firstLineChars="200" w:firstLine="360"/>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2026</w:t>
            </w:r>
          </w:p>
        </w:tc>
        <w:tc>
          <w:tcPr>
            <w:tcW w:w="1611" w:type="dxa"/>
            <w:noWrap/>
            <w:vAlign w:val="bottom"/>
            <w:hideMark/>
          </w:tcPr>
          <w:p w14:paraId="5B6AC8AE"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33.821.067.240.215</w:t>
            </w:r>
          </w:p>
        </w:tc>
        <w:tc>
          <w:tcPr>
            <w:tcW w:w="1742" w:type="dxa"/>
            <w:noWrap/>
            <w:vAlign w:val="bottom"/>
            <w:hideMark/>
          </w:tcPr>
          <w:p w14:paraId="2AA19A85"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-9.747.897.854</w:t>
            </w:r>
          </w:p>
        </w:tc>
        <w:tc>
          <w:tcPr>
            <w:tcW w:w="1842" w:type="dxa"/>
            <w:noWrap/>
            <w:vAlign w:val="bottom"/>
            <w:hideMark/>
          </w:tcPr>
          <w:p w14:paraId="14B1BBF5"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33.811.319.342.361</w:t>
            </w:r>
          </w:p>
        </w:tc>
      </w:tr>
      <w:tr w:rsidR="00A04068" w:rsidRPr="00A04068" w14:paraId="213E0322" w14:textId="77777777" w:rsidTr="0070450B">
        <w:trPr>
          <w:trHeight w:val="299"/>
        </w:trPr>
        <w:tc>
          <w:tcPr>
            <w:tcW w:w="3305" w:type="dxa"/>
            <w:noWrap/>
            <w:vAlign w:val="bottom"/>
            <w:hideMark/>
          </w:tcPr>
          <w:p w14:paraId="4E412BA8" w14:textId="77777777" w:rsidR="00A04068" w:rsidRPr="00A04068" w:rsidRDefault="00A04068" w:rsidP="00A04068">
            <w:pPr>
              <w:spacing w:after="0" w:line="240" w:lineRule="auto"/>
              <w:ind w:firstLineChars="300" w:firstLine="542"/>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EJECUCION</w:t>
            </w:r>
          </w:p>
        </w:tc>
        <w:tc>
          <w:tcPr>
            <w:tcW w:w="1611" w:type="dxa"/>
            <w:noWrap/>
            <w:vAlign w:val="bottom"/>
            <w:hideMark/>
          </w:tcPr>
          <w:p w14:paraId="3534A340"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33.821.067.240.215</w:t>
            </w:r>
          </w:p>
        </w:tc>
        <w:tc>
          <w:tcPr>
            <w:tcW w:w="1742" w:type="dxa"/>
            <w:noWrap/>
            <w:vAlign w:val="bottom"/>
            <w:hideMark/>
          </w:tcPr>
          <w:p w14:paraId="3F679DAD"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2.498.329.240</w:t>
            </w:r>
          </w:p>
        </w:tc>
        <w:tc>
          <w:tcPr>
            <w:tcW w:w="1842" w:type="dxa"/>
            <w:noWrap/>
            <w:vAlign w:val="bottom"/>
            <w:hideMark/>
          </w:tcPr>
          <w:p w14:paraId="0518BE02"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33.811.319.342.361</w:t>
            </w:r>
          </w:p>
        </w:tc>
      </w:tr>
      <w:tr w:rsidR="00A04068" w:rsidRPr="00A04068" w14:paraId="034D2C23" w14:textId="77777777" w:rsidTr="0070450B">
        <w:trPr>
          <w:trHeight w:val="299"/>
        </w:trPr>
        <w:tc>
          <w:tcPr>
            <w:tcW w:w="3305" w:type="dxa"/>
            <w:noWrap/>
            <w:vAlign w:val="bottom"/>
            <w:hideMark/>
          </w:tcPr>
          <w:p w14:paraId="630AEFDD"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BTS CONCESIONARIO S.A.S.</w:t>
            </w:r>
          </w:p>
        </w:tc>
        <w:tc>
          <w:tcPr>
            <w:tcW w:w="1611" w:type="dxa"/>
            <w:noWrap/>
            <w:vAlign w:val="bottom"/>
            <w:hideMark/>
          </w:tcPr>
          <w:p w14:paraId="35A0DA30"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983.647.632.414</w:t>
            </w:r>
          </w:p>
        </w:tc>
        <w:tc>
          <w:tcPr>
            <w:tcW w:w="1742" w:type="dxa"/>
            <w:noWrap/>
            <w:vAlign w:val="bottom"/>
            <w:hideMark/>
          </w:tcPr>
          <w:p w14:paraId="76DF224D"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2.498.329.240</w:t>
            </w:r>
          </w:p>
        </w:tc>
        <w:tc>
          <w:tcPr>
            <w:tcW w:w="1842" w:type="dxa"/>
            <w:noWrap/>
            <w:vAlign w:val="bottom"/>
            <w:hideMark/>
          </w:tcPr>
          <w:p w14:paraId="6933CD05"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986.145.961.654</w:t>
            </w:r>
          </w:p>
        </w:tc>
      </w:tr>
      <w:tr w:rsidR="00A04068" w:rsidRPr="00A04068" w14:paraId="41DE5308" w14:textId="77777777" w:rsidTr="0070450B">
        <w:trPr>
          <w:trHeight w:val="299"/>
        </w:trPr>
        <w:tc>
          <w:tcPr>
            <w:tcW w:w="3305" w:type="dxa"/>
            <w:noWrap/>
            <w:vAlign w:val="bottom"/>
            <w:hideMark/>
          </w:tcPr>
          <w:p w14:paraId="42A2DCBC" w14:textId="77777777" w:rsidR="00A04068" w:rsidRPr="00A04068" w:rsidRDefault="00A04068" w:rsidP="00A04068">
            <w:pPr>
              <w:spacing w:after="0" w:line="240" w:lineRule="auto"/>
              <w:ind w:firstLineChars="300" w:firstLine="542"/>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FONDO DE CONTINGENCIAS</w:t>
            </w:r>
          </w:p>
        </w:tc>
        <w:tc>
          <w:tcPr>
            <w:tcW w:w="1611" w:type="dxa"/>
            <w:noWrap/>
            <w:vAlign w:val="bottom"/>
            <w:hideMark/>
          </w:tcPr>
          <w:p w14:paraId="7CFADD9B"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33.821.067.240.215</w:t>
            </w:r>
          </w:p>
        </w:tc>
        <w:tc>
          <w:tcPr>
            <w:tcW w:w="1742" w:type="dxa"/>
            <w:noWrap/>
            <w:vAlign w:val="bottom"/>
            <w:hideMark/>
          </w:tcPr>
          <w:p w14:paraId="3F1474D3"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3.067.196.247</w:t>
            </w:r>
          </w:p>
        </w:tc>
        <w:tc>
          <w:tcPr>
            <w:tcW w:w="1842" w:type="dxa"/>
            <w:noWrap/>
            <w:vAlign w:val="bottom"/>
            <w:hideMark/>
          </w:tcPr>
          <w:p w14:paraId="0ED2A3B0"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33.811.319.342.361</w:t>
            </w:r>
          </w:p>
        </w:tc>
      </w:tr>
      <w:tr w:rsidR="00A04068" w:rsidRPr="00A04068" w14:paraId="1AC8BF61" w14:textId="77777777" w:rsidTr="0070450B">
        <w:trPr>
          <w:trHeight w:val="299"/>
        </w:trPr>
        <w:tc>
          <w:tcPr>
            <w:tcW w:w="3305" w:type="dxa"/>
            <w:noWrap/>
            <w:vAlign w:val="bottom"/>
            <w:hideMark/>
          </w:tcPr>
          <w:p w14:paraId="09242750"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AUTOPISTAS DEL NORDESTE S.A.S.</w:t>
            </w:r>
          </w:p>
        </w:tc>
        <w:tc>
          <w:tcPr>
            <w:tcW w:w="1611" w:type="dxa"/>
            <w:noWrap/>
            <w:vAlign w:val="bottom"/>
            <w:hideMark/>
          </w:tcPr>
          <w:p w14:paraId="4B04CD87"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859.241.967.033</w:t>
            </w:r>
          </w:p>
        </w:tc>
        <w:tc>
          <w:tcPr>
            <w:tcW w:w="1742" w:type="dxa"/>
            <w:noWrap/>
            <w:vAlign w:val="bottom"/>
            <w:hideMark/>
          </w:tcPr>
          <w:p w14:paraId="124D86FE"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972.559.790</w:t>
            </w:r>
          </w:p>
        </w:tc>
        <w:tc>
          <w:tcPr>
            <w:tcW w:w="1842" w:type="dxa"/>
            <w:noWrap/>
            <w:vAlign w:val="bottom"/>
            <w:hideMark/>
          </w:tcPr>
          <w:p w14:paraId="434074AC"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860.089.007.584</w:t>
            </w:r>
          </w:p>
        </w:tc>
      </w:tr>
      <w:tr w:rsidR="00A04068" w:rsidRPr="00A04068" w14:paraId="72736A04" w14:textId="77777777" w:rsidTr="0070450B">
        <w:trPr>
          <w:trHeight w:val="299"/>
        </w:trPr>
        <w:tc>
          <w:tcPr>
            <w:tcW w:w="3305" w:type="dxa"/>
            <w:noWrap/>
            <w:vAlign w:val="bottom"/>
            <w:hideMark/>
          </w:tcPr>
          <w:p w14:paraId="2262BE5D"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CONCESIONARIA VIAL DEL PACIFICO S A S</w:t>
            </w:r>
          </w:p>
        </w:tc>
        <w:tc>
          <w:tcPr>
            <w:tcW w:w="1611" w:type="dxa"/>
            <w:noWrap/>
            <w:vAlign w:val="bottom"/>
            <w:hideMark/>
          </w:tcPr>
          <w:p w14:paraId="412DAC42"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2.448.058.274.039</w:t>
            </w:r>
          </w:p>
        </w:tc>
        <w:tc>
          <w:tcPr>
            <w:tcW w:w="1742" w:type="dxa"/>
            <w:noWrap/>
            <w:vAlign w:val="bottom"/>
            <w:hideMark/>
          </w:tcPr>
          <w:p w14:paraId="10363BD8"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2.094.636.457</w:t>
            </w:r>
          </w:p>
        </w:tc>
        <w:tc>
          <w:tcPr>
            <w:tcW w:w="1842" w:type="dxa"/>
            <w:noWrap/>
            <w:vAlign w:val="bottom"/>
            <w:hideMark/>
          </w:tcPr>
          <w:p w14:paraId="0BA2751C"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2.450.152.910.496</w:t>
            </w:r>
          </w:p>
        </w:tc>
      </w:tr>
      <w:tr w:rsidR="00A04068" w:rsidRPr="00A04068" w14:paraId="39ADF7AD" w14:textId="77777777" w:rsidTr="0070450B">
        <w:trPr>
          <w:trHeight w:val="299"/>
        </w:trPr>
        <w:tc>
          <w:tcPr>
            <w:tcW w:w="3305" w:type="dxa"/>
            <w:noWrap/>
            <w:vAlign w:val="bottom"/>
            <w:hideMark/>
          </w:tcPr>
          <w:p w14:paraId="50B71A28" w14:textId="77777777" w:rsidR="00A04068" w:rsidRPr="00A04068" w:rsidRDefault="00A04068" w:rsidP="00A04068">
            <w:pPr>
              <w:spacing w:after="0" w:line="240" w:lineRule="auto"/>
              <w:ind w:firstLineChars="300" w:firstLine="542"/>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INVERSION</w:t>
            </w:r>
          </w:p>
        </w:tc>
        <w:tc>
          <w:tcPr>
            <w:tcW w:w="1611" w:type="dxa"/>
            <w:noWrap/>
            <w:vAlign w:val="bottom"/>
            <w:hideMark/>
          </w:tcPr>
          <w:p w14:paraId="1B73505E"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33.821.067.240.215</w:t>
            </w:r>
          </w:p>
        </w:tc>
        <w:tc>
          <w:tcPr>
            <w:tcW w:w="1742" w:type="dxa"/>
            <w:noWrap/>
            <w:vAlign w:val="bottom"/>
            <w:hideMark/>
          </w:tcPr>
          <w:p w14:paraId="31DEE5D7"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-13.072.414.810</w:t>
            </w:r>
          </w:p>
        </w:tc>
        <w:tc>
          <w:tcPr>
            <w:tcW w:w="1842" w:type="dxa"/>
            <w:noWrap/>
            <w:vAlign w:val="bottom"/>
            <w:hideMark/>
          </w:tcPr>
          <w:p w14:paraId="4F242BB7"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33.811.319.342.361</w:t>
            </w:r>
          </w:p>
        </w:tc>
      </w:tr>
      <w:tr w:rsidR="00A04068" w:rsidRPr="00A04068" w14:paraId="715B81FE" w14:textId="77777777" w:rsidTr="0070450B">
        <w:trPr>
          <w:trHeight w:val="299"/>
        </w:trPr>
        <w:tc>
          <w:tcPr>
            <w:tcW w:w="3305" w:type="dxa"/>
            <w:noWrap/>
            <w:vAlign w:val="bottom"/>
            <w:hideMark/>
          </w:tcPr>
          <w:p w14:paraId="62038CC6" w14:textId="77777777" w:rsidR="00A04068" w:rsidRPr="00A04068" w:rsidRDefault="00A04068" w:rsidP="00D8200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CONCESION LA PINTADA S.A.S.</w:t>
            </w:r>
          </w:p>
        </w:tc>
        <w:tc>
          <w:tcPr>
            <w:tcW w:w="1611" w:type="dxa"/>
            <w:noWrap/>
            <w:vAlign w:val="bottom"/>
            <w:hideMark/>
          </w:tcPr>
          <w:p w14:paraId="3D3C7B78"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1.531.295.830.379</w:t>
            </w:r>
          </w:p>
        </w:tc>
        <w:tc>
          <w:tcPr>
            <w:tcW w:w="1742" w:type="dxa"/>
            <w:noWrap/>
            <w:vAlign w:val="bottom"/>
            <w:hideMark/>
          </w:tcPr>
          <w:p w14:paraId="545987E1"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-13.072.414.810</w:t>
            </w:r>
          </w:p>
        </w:tc>
        <w:tc>
          <w:tcPr>
            <w:tcW w:w="1842" w:type="dxa"/>
            <w:noWrap/>
            <w:vAlign w:val="bottom"/>
            <w:hideMark/>
          </w:tcPr>
          <w:p w14:paraId="09BEA20D"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1.518.223.415.569</w:t>
            </w:r>
          </w:p>
        </w:tc>
      </w:tr>
      <w:tr w:rsidR="00A04068" w:rsidRPr="00A04068" w14:paraId="670FFE61" w14:textId="77777777" w:rsidTr="0070450B">
        <w:trPr>
          <w:trHeight w:val="299"/>
        </w:trPr>
        <w:tc>
          <w:tcPr>
            <w:tcW w:w="3305" w:type="dxa"/>
            <w:noWrap/>
            <w:vAlign w:val="bottom"/>
            <w:hideMark/>
          </w:tcPr>
          <w:p w14:paraId="5E96F318" w14:textId="77777777" w:rsidR="00A04068" w:rsidRPr="00A04068" w:rsidRDefault="00A04068" w:rsidP="00A04068">
            <w:pPr>
              <w:spacing w:after="0" w:line="240" w:lineRule="auto"/>
              <w:ind w:firstLineChars="300" w:firstLine="542"/>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lastRenderedPageBreak/>
              <w:t>RECLASIFICA PPYE</w:t>
            </w:r>
          </w:p>
        </w:tc>
        <w:tc>
          <w:tcPr>
            <w:tcW w:w="1611" w:type="dxa"/>
            <w:noWrap/>
            <w:vAlign w:val="bottom"/>
            <w:hideMark/>
          </w:tcPr>
          <w:p w14:paraId="5FF8C971"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33.821.067.240.215</w:t>
            </w:r>
          </w:p>
        </w:tc>
        <w:tc>
          <w:tcPr>
            <w:tcW w:w="1742" w:type="dxa"/>
            <w:noWrap/>
            <w:vAlign w:val="bottom"/>
            <w:hideMark/>
          </w:tcPr>
          <w:p w14:paraId="6654D934"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2.822.205.664</w:t>
            </w:r>
          </w:p>
        </w:tc>
        <w:tc>
          <w:tcPr>
            <w:tcW w:w="1842" w:type="dxa"/>
            <w:noWrap/>
            <w:vAlign w:val="bottom"/>
            <w:hideMark/>
          </w:tcPr>
          <w:p w14:paraId="601D81F8"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33.811.319.342.361</w:t>
            </w:r>
          </w:p>
        </w:tc>
      </w:tr>
      <w:tr w:rsidR="00A04068" w:rsidRPr="00A04068" w14:paraId="033A4048" w14:textId="77777777" w:rsidTr="0070450B">
        <w:trPr>
          <w:trHeight w:val="299"/>
        </w:trPr>
        <w:tc>
          <w:tcPr>
            <w:tcW w:w="3305" w:type="dxa"/>
            <w:noWrap/>
            <w:vAlign w:val="bottom"/>
            <w:hideMark/>
          </w:tcPr>
          <w:p w14:paraId="6B9EAFAB" w14:textId="77777777" w:rsidR="00A04068" w:rsidRPr="00A04068" w:rsidRDefault="00A04068" w:rsidP="00F91B86">
            <w:pPr>
              <w:spacing w:after="0" w:line="240" w:lineRule="auto"/>
              <w:ind w:firstLineChars="400" w:firstLine="720"/>
              <w:jc w:val="center"/>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UNION VIAL RIO PAMPLONITA SAS</w:t>
            </w:r>
          </w:p>
        </w:tc>
        <w:tc>
          <w:tcPr>
            <w:tcW w:w="1611" w:type="dxa"/>
            <w:noWrap/>
            <w:vAlign w:val="bottom"/>
            <w:hideMark/>
          </w:tcPr>
          <w:p w14:paraId="41C62A8F"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1.761.160.798.985</w:t>
            </w:r>
          </w:p>
        </w:tc>
        <w:tc>
          <w:tcPr>
            <w:tcW w:w="1742" w:type="dxa"/>
            <w:noWrap/>
            <w:vAlign w:val="bottom"/>
            <w:hideMark/>
          </w:tcPr>
          <w:p w14:paraId="6A5B781A"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2.822.205.664</w:t>
            </w:r>
          </w:p>
        </w:tc>
        <w:tc>
          <w:tcPr>
            <w:tcW w:w="1842" w:type="dxa"/>
            <w:noWrap/>
            <w:vAlign w:val="bottom"/>
            <w:hideMark/>
          </w:tcPr>
          <w:p w14:paraId="521B7A93"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1.760.121.537.898</w:t>
            </w:r>
          </w:p>
        </w:tc>
      </w:tr>
      <w:tr w:rsidR="00A04068" w:rsidRPr="00A04068" w14:paraId="1DF5638F" w14:textId="77777777" w:rsidTr="0070450B">
        <w:trPr>
          <w:trHeight w:val="299"/>
        </w:trPr>
        <w:tc>
          <w:tcPr>
            <w:tcW w:w="3305" w:type="dxa"/>
            <w:noWrap/>
            <w:vAlign w:val="bottom"/>
            <w:hideMark/>
          </w:tcPr>
          <w:p w14:paraId="6CC0CCB1" w14:textId="77777777" w:rsidR="00A04068" w:rsidRPr="00A04068" w:rsidRDefault="00A04068" w:rsidP="00A04068">
            <w:pPr>
              <w:spacing w:after="0" w:line="240" w:lineRule="auto"/>
              <w:ind w:firstLineChars="300" w:firstLine="542"/>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RECLASIFICA TERRENOS VPRE</w:t>
            </w:r>
          </w:p>
        </w:tc>
        <w:tc>
          <w:tcPr>
            <w:tcW w:w="1611" w:type="dxa"/>
            <w:noWrap/>
            <w:vAlign w:val="bottom"/>
            <w:hideMark/>
          </w:tcPr>
          <w:p w14:paraId="3B798788"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33.821.067.240.215</w:t>
            </w:r>
          </w:p>
        </w:tc>
        <w:tc>
          <w:tcPr>
            <w:tcW w:w="1742" w:type="dxa"/>
            <w:noWrap/>
            <w:vAlign w:val="bottom"/>
            <w:hideMark/>
          </w:tcPr>
          <w:p w14:paraId="40514619"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-5.063.214.194</w:t>
            </w:r>
          </w:p>
        </w:tc>
        <w:tc>
          <w:tcPr>
            <w:tcW w:w="1842" w:type="dxa"/>
            <w:noWrap/>
            <w:vAlign w:val="bottom"/>
            <w:hideMark/>
          </w:tcPr>
          <w:p w14:paraId="08FAF0D2"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33.811.319.342.361</w:t>
            </w:r>
          </w:p>
        </w:tc>
      </w:tr>
      <w:tr w:rsidR="00A04068" w:rsidRPr="00A04068" w14:paraId="55A907BA" w14:textId="77777777" w:rsidTr="0070450B">
        <w:trPr>
          <w:trHeight w:val="299"/>
        </w:trPr>
        <w:tc>
          <w:tcPr>
            <w:tcW w:w="3305" w:type="dxa"/>
            <w:noWrap/>
            <w:vAlign w:val="bottom"/>
            <w:hideMark/>
          </w:tcPr>
          <w:p w14:paraId="69F9326C" w14:textId="77777777"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AUTOPISTA RIO MAGDALENA S A S</w:t>
            </w:r>
          </w:p>
        </w:tc>
        <w:tc>
          <w:tcPr>
            <w:tcW w:w="1611" w:type="dxa"/>
            <w:noWrap/>
            <w:vAlign w:val="bottom"/>
            <w:hideMark/>
          </w:tcPr>
          <w:p w14:paraId="18105265"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1.729.960.118.902</w:t>
            </w:r>
          </w:p>
        </w:tc>
        <w:tc>
          <w:tcPr>
            <w:tcW w:w="1742" w:type="dxa"/>
            <w:noWrap/>
            <w:vAlign w:val="bottom"/>
            <w:hideMark/>
          </w:tcPr>
          <w:p w14:paraId="4535BB84"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-710.861</w:t>
            </w:r>
          </w:p>
        </w:tc>
        <w:tc>
          <w:tcPr>
            <w:tcW w:w="1842" w:type="dxa"/>
            <w:noWrap/>
            <w:vAlign w:val="bottom"/>
            <w:hideMark/>
          </w:tcPr>
          <w:p w14:paraId="39679417"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1.729.959.408.041</w:t>
            </w:r>
          </w:p>
        </w:tc>
      </w:tr>
      <w:tr w:rsidR="00A04068" w:rsidRPr="00A04068" w14:paraId="119D22DE" w14:textId="77777777" w:rsidTr="0070450B">
        <w:trPr>
          <w:trHeight w:val="299"/>
        </w:trPr>
        <w:tc>
          <w:tcPr>
            <w:tcW w:w="3305" w:type="dxa"/>
            <w:noWrap/>
            <w:vAlign w:val="bottom"/>
            <w:hideMark/>
          </w:tcPr>
          <w:p w14:paraId="509A4E73" w14:textId="77777777"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AUTOPISTAS DEL NORDESTE S.A.S.</w:t>
            </w:r>
          </w:p>
        </w:tc>
        <w:tc>
          <w:tcPr>
            <w:tcW w:w="1611" w:type="dxa"/>
            <w:noWrap/>
            <w:vAlign w:val="bottom"/>
            <w:hideMark/>
          </w:tcPr>
          <w:p w14:paraId="4AC0707D"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859.241.967.033</w:t>
            </w:r>
          </w:p>
        </w:tc>
        <w:tc>
          <w:tcPr>
            <w:tcW w:w="1742" w:type="dxa"/>
            <w:noWrap/>
            <w:vAlign w:val="bottom"/>
            <w:hideMark/>
          </w:tcPr>
          <w:p w14:paraId="53A835AA"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-125.519.239</w:t>
            </w:r>
          </w:p>
        </w:tc>
        <w:tc>
          <w:tcPr>
            <w:tcW w:w="1842" w:type="dxa"/>
            <w:noWrap/>
            <w:vAlign w:val="bottom"/>
            <w:hideMark/>
          </w:tcPr>
          <w:p w14:paraId="771F94D2"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860.089.007.584</w:t>
            </w:r>
          </w:p>
        </w:tc>
      </w:tr>
      <w:tr w:rsidR="00A04068" w:rsidRPr="00A04068" w14:paraId="0E00F306" w14:textId="77777777" w:rsidTr="0070450B">
        <w:trPr>
          <w:trHeight w:val="299"/>
        </w:trPr>
        <w:tc>
          <w:tcPr>
            <w:tcW w:w="3305" w:type="dxa"/>
            <w:noWrap/>
            <w:vAlign w:val="bottom"/>
            <w:hideMark/>
          </w:tcPr>
          <w:p w14:paraId="544F6BC0" w14:textId="77777777"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CONCESIÓN COSTERA CARTAGENA BARRANQUILLA S.A.S.</w:t>
            </w:r>
          </w:p>
        </w:tc>
        <w:tc>
          <w:tcPr>
            <w:tcW w:w="1611" w:type="dxa"/>
            <w:noWrap/>
            <w:vAlign w:val="bottom"/>
            <w:hideMark/>
          </w:tcPr>
          <w:p w14:paraId="05E57B12"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1.468.887.916.845</w:t>
            </w:r>
          </w:p>
        </w:tc>
        <w:tc>
          <w:tcPr>
            <w:tcW w:w="1742" w:type="dxa"/>
            <w:noWrap/>
            <w:vAlign w:val="bottom"/>
            <w:hideMark/>
          </w:tcPr>
          <w:p w14:paraId="4FAF1E9B"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-945.747.088</w:t>
            </w:r>
          </w:p>
        </w:tc>
        <w:tc>
          <w:tcPr>
            <w:tcW w:w="1842" w:type="dxa"/>
            <w:noWrap/>
            <w:vAlign w:val="bottom"/>
            <w:hideMark/>
          </w:tcPr>
          <w:p w14:paraId="0C35FB93"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1.467.942.169.757</w:t>
            </w:r>
          </w:p>
        </w:tc>
      </w:tr>
      <w:tr w:rsidR="00A04068" w:rsidRPr="00A04068" w14:paraId="18A558A3" w14:textId="77777777" w:rsidTr="0070450B">
        <w:trPr>
          <w:trHeight w:val="299"/>
        </w:trPr>
        <w:tc>
          <w:tcPr>
            <w:tcW w:w="3305" w:type="dxa"/>
            <w:noWrap/>
            <w:vAlign w:val="bottom"/>
            <w:hideMark/>
          </w:tcPr>
          <w:p w14:paraId="5577DEA2" w14:textId="77777777"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CONCESIONARIA SAN SIMON S A</w:t>
            </w:r>
          </w:p>
        </w:tc>
        <w:tc>
          <w:tcPr>
            <w:tcW w:w="1611" w:type="dxa"/>
            <w:noWrap/>
            <w:vAlign w:val="bottom"/>
            <w:hideMark/>
          </w:tcPr>
          <w:p w14:paraId="72A4C231"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0</w:t>
            </w:r>
          </w:p>
        </w:tc>
        <w:tc>
          <w:tcPr>
            <w:tcW w:w="1742" w:type="dxa"/>
            <w:noWrap/>
            <w:vAlign w:val="bottom"/>
            <w:hideMark/>
          </w:tcPr>
          <w:p w14:paraId="35BACDBC"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1.683.669.962</w:t>
            </w:r>
          </w:p>
        </w:tc>
        <w:tc>
          <w:tcPr>
            <w:tcW w:w="1842" w:type="dxa"/>
            <w:noWrap/>
            <w:vAlign w:val="bottom"/>
            <w:hideMark/>
          </w:tcPr>
          <w:p w14:paraId="5A73698E"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1.683.669.962</w:t>
            </w:r>
          </w:p>
        </w:tc>
      </w:tr>
      <w:tr w:rsidR="00A04068" w:rsidRPr="00A04068" w14:paraId="523DB62E" w14:textId="77777777" w:rsidTr="0070450B">
        <w:trPr>
          <w:trHeight w:val="299"/>
        </w:trPr>
        <w:tc>
          <w:tcPr>
            <w:tcW w:w="3305" w:type="dxa"/>
            <w:noWrap/>
            <w:vAlign w:val="bottom"/>
            <w:hideMark/>
          </w:tcPr>
          <w:p w14:paraId="1A4615D9" w14:textId="68D4EACA"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CONCESIONARIA VIAL ANDINA S AS</w:t>
            </w:r>
          </w:p>
        </w:tc>
        <w:tc>
          <w:tcPr>
            <w:tcW w:w="1611" w:type="dxa"/>
            <w:noWrap/>
            <w:vAlign w:val="bottom"/>
            <w:hideMark/>
          </w:tcPr>
          <w:p w14:paraId="0DC0D4E4"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6.839.849.820.754</w:t>
            </w:r>
          </w:p>
        </w:tc>
        <w:tc>
          <w:tcPr>
            <w:tcW w:w="1742" w:type="dxa"/>
            <w:noWrap/>
            <w:vAlign w:val="bottom"/>
            <w:hideMark/>
          </w:tcPr>
          <w:p w14:paraId="39B3E501"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-92.506.397</w:t>
            </w:r>
          </w:p>
        </w:tc>
        <w:tc>
          <w:tcPr>
            <w:tcW w:w="1842" w:type="dxa"/>
            <w:noWrap/>
            <w:vAlign w:val="bottom"/>
            <w:hideMark/>
          </w:tcPr>
          <w:p w14:paraId="4565175A"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6.839.757.314.357</w:t>
            </w:r>
          </w:p>
        </w:tc>
      </w:tr>
      <w:tr w:rsidR="00A04068" w:rsidRPr="00A04068" w14:paraId="4BBC2109" w14:textId="77777777" w:rsidTr="0070450B">
        <w:trPr>
          <w:trHeight w:val="299"/>
        </w:trPr>
        <w:tc>
          <w:tcPr>
            <w:tcW w:w="3305" w:type="dxa"/>
            <w:noWrap/>
            <w:vAlign w:val="bottom"/>
            <w:hideMark/>
          </w:tcPr>
          <w:p w14:paraId="2482DE6D" w14:textId="77777777"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CONCESIONARIA VIAL UNIÓN DEL SUR S.A.S.</w:t>
            </w:r>
          </w:p>
        </w:tc>
        <w:tc>
          <w:tcPr>
            <w:tcW w:w="1611" w:type="dxa"/>
            <w:noWrap/>
            <w:vAlign w:val="bottom"/>
            <w:hideMark/>
          </w:tcPr>
          <w:p w14:paraId="4B9BBBA9"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2.198.968.214.786</w:t>
            </w:r>
          </w:p>
        </w:tc>
        <w:tc>
          <w:tcPr>
            <w:tcW w:w="1742" w:type="dxa"/>
            <w:noWrap/>
            <w:vAlign w:val="bottom"/>
            <w:hideMark/>
          </w:tcPr>
          <w:p w14:paraId="307B27D9"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-544.024.940</w:t>
            </w:r>
          </w:p>
        </w:tc>
        <w:tc>
          <w:tcPr>
            <w:tcW w:w="1842" w:type="dxa"/>
            <w:noWrap/>
            <w:vAlign w:val="bottom"/>
            <w:hideMark/>
          </w:tcPr>
          <w:p w14:paraId="7FB4876B"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2.198.424.189.846</w:t>
            </w:r>
          </w:p>
        </w:tc>
      </w:tr>
      <w:tr w:rsidR="00A04068" w:rsidRPr="00A04068" w14:paraId="7E3DB568" w14:textId="77777777" w:rsidTr="0070450B">
        <w:trPr>
          <w:trHeight w:val="299"/>
        </w:trPr>
        <w:tc>
          <w:tcPr>
            <w:tcW w:w="3305" w:type="dxa"/>
            <w:noWrap/>
            <w:vAlign w:val="bottom"/>
            <w:hideMark/>
          </w:tcPr>
          <w:p w14:paraId="0B4C3834" w14:textId="77777777"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DEVIMED S.A.</w:t>
            </w:r>
          </w:p>
        </w:tc>
        <w:tc>
          <w:tcPr>
            <w:tcW w:w="1611" w:type="dxa"/>
            <w:noWrap/>
            <w:vAlign w:val="bottom"/>
            <w:hideMark/>
          </w:tcPr>
          <w:p w14:paraId="0614E5E1"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761.109.492.388</w:t>
            </w:r>
          </w:p>
        </w:tc>
        <w:tc>
          <w:tcPr>
            <w:tcW w:w="1742" w:type="dxa"/>
            <w:noWrap/>
            <w:vAlign w:val="bottom"/>
            <w:hideMark/>
          </w:tcPr>
          <w:p w14:paraId="6AC3AB0C"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-1.176.908.880</w:t>
            </w:r>
          </w:p>
        </w:tc>
        <w:tc>
          <w:tcPr>
            <w:tcW w:w="1842" w:type="dxa"/>
            <w:noWrap/>
            <w:vAlign w:val="bottom"/>
            <w:hideMark/>
          </w:tcPr>
          <w:p w14:paraId="6F85E20B"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759.932.583.508</w:t>
            </w:r>
          </w:p>
        </w:tc>
      </w:tr>
      <w:tr w:rsidR="00A04068" w:rsidRPr="00A04068" w14:paraId="7BBDDD56" w14:textId="77777777" w:rsidTr="0070450B">
        <w:trPr>
          <w:trHeight w:val="299"/>
        </w:trPr>
        <w:tc>
          <w:tcPr>
            <w:tcW w:w="3305" w:type="dxa"/>
            <w:noWrap/>
            <w:vAlign w:val="bottom"/>
            <w:hideMark/>
          </w:tcPr>
          <w:p w14:paraId="206548E6" w14:textId="77777777"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UNION VIAL RIO PAMPLONITA SAS</w:t>
            </w:r>
          </w:p>
        </w:tc>
        <w:tc>
          <w:tcPr>
            <w:tcW w:w="1611" w:type="dxa"/>
            <w:noWrap/>
            <w:vAlign w:val="bottom"/>
            <w:hideMark/>
          </w:tcPr>
          <w:p w14:paraId="68AA6B9B"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1.761.160.798.985</w:t>
            </w:r>
          </w:p>
        </w:tc>
        <w:tc>
          <w:tcPr>
            <w:tcW w:w="1742" w:type="dxa"/>
            <w:noWrap/>
            <w:vAlign w:val="bottom"/>
            <w:hideMark/>
          </w:tcPr>
          <w:p w14:paraId="6CEF0128"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-3.861.466.751</w:t>
            </w:r>
          </w:p>
        </w:tc>
        <w:tc>
          <w:tcPr>
            <w:tcW w:w="1842" w:type="dxa"/>
            <w:noWrap/>
            <w:vAlign w:val="bottom"/>
            <w:hideMark/>
          </w:tcPr>
          <w:p w14:paraId="280C524B"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1.760.121.537.898</w:t>
            </w:r>
          </w:p>
        </w:tc>
      </w:tr>
      <w:tr w:rsidR="00A04068" w:rsidRPr="00A04068" w14:paraId="4C6C788C" w14:textId="77777777" w:rsidTr="0070450B">
        <w:trPr>
          <w:trHeight w:val="299"/>
        </w:trPr>
        <w:tc>
          <w:tcPr>
            <w:tcW w:w="3305" w:type="dxa"/>
            <w:noWrap/>
            <w:vAlign w:val="bottom"/>
            <w:hideMark/>
          </w:tcPr>
          <w:p w14:paraId="3DE12121" w14:textId="77777777" w:rsidR="00A04068" w:rsidRPr="00A04068" w:rsidRDefault="00A04068" w:rsidP="00A04068">
            <w:pPr>
              <w:spacing w:after="0" w:line="240" w:lineRule="auto"/>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171106001</w:t>
            </w:r>
          </w:p>
        </w:tc>
        <w:tc>
          <w:tcPr>
            <w:tcW w:w="1611" w:type="dxa"/>
            <w:noWrap/>
            <w:vAlign w:val="bottom"/>
            <w:hideMark/>
          </w:tcPr>
          <w:p w14:paraId="00C0D69E"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1.953.139.405.788</w:t>
            </w:r>
          </w:p>
        </w:tc>
        <w:tc>
          <w:tcPr>
            <w:tcW w:w="1742" w:type="dxa"/>
            <w:noWrap/>
            <w:vAlign w:val="bottom"/>
            <w:hideMark/>
          </w:tcPr>
          <w:p w14:paraId="00F626E5"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5.063.214.194</w:t>
            </w:r>
          </w:p>
        </w:tc>
        <w:tc>
          <w:tcPr>
            <w:tcW w:w="1842" w:type="dxa"/>
            <w:noWrap/>
            <w:vAlign w:val="bottom"/>
            <w:hideMark/>
          </w:tcPr>
          <w:p w14:paraId="7E3EDB35"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1.958.202.619.982</w:t>
            </w:r>
          </w:p>
        </w:tc>
      </w:tr>
      <w:tr w:rsidR="00A04068" w:rsidRPr="00A04068" w14:paraId="11953777" w14:textId="77777777" w:rsidTr="0070450B">
        <w:trPr>
          <w:trHeight w:val="299"/>
        </w:trPr>
        <w:tc>
          <w:tcPr>
            <w:tcW w:w="3305" w:type="dxa"/>
            <w:noWrap/>
            <w:vAlign w:val="bottom"/>
            <w:hideMark/>
          </w:tcPr>
          <w:p w14:paraId="785980ED" w14:textId="77777777" w:rsidR="00A04068" w:rsidRPr="00A04068" w:rsidRDefault="00A04068" w:rsidP="00A04068">
            <w:pPr>
              <w:spacing w:after="0" w:line="240" w:lineRule="auto"/>
              <w:ind w:firstLineChars="100" w:firstLine="181"/>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Terrenos</w:t>
            </w:r>
          </w:p>
        </w:tc>
        <w:tc>
          <w:tcPr>
            <w:tcW w:w="1611" w:type="dxa"/>
            <w:noWrap/>
            <w:vAlign w:val="bottom"/>
            <w:hideMark/>
          </w:tcPr>
          <w:p w14:paraId="1CB3FDC9"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1.953.139.405.788</w:t>
            </w:r>
          </w:p>
        </w:tc>
        <w:tc>
          <w:tcPr>
            <w:tcW w:w="1742" w:type="dxa"/>
            <w:noWrap/>
            <w:vAlign w:val="bottom"/>
            <w:hideMark/>
          </w:tcPr>
          <w:p w14:paraId="401BBAE5"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5.063.214.194</w:t>
            </w:r>
          </w:p>
        </w:tc>
        <w:tc>
          <w:tcPr>
            <w:tcW w:w="1842" w:type="dxa"/>
            <w:noWrap/>
            <w:vAlign w:val="bottom"/>
            <w:hideMark/>
          </w:tcPr>
          <w:p w14:paraId="02DDC9D9"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1.958.202.619.982</w:t>
            </w:r>
          </w:p>
        </w:tc>
      </w:tr>
      <w:tr w:rsidR="00A04068" w:rsidRPr="00A04068" w14:paraId="5D999DAE" w14:textId="77777777" w:rsidTr="0070450B">
        <w:trPr>
          <w:trHeight w:val="299"/>
        </w:trPr>
        <w:tc>
          <w:tcPr>
            <w:tcW w:w="3305" w:type="dxa"/>
            <w:noWrap/>
            <w:vAlign w:val="bottom"/>
            <w:hideMark/>
          </w:tcPr>
          <w:p w14:paraId="247D9B76" w14:textId="77777777" w:rsidR="00A04068" w:rsidRPr="00A04068" w:rsidRDefault="00A04068" w:rsidP="00A04068">
            <w:pPr>
              <w:spacing w:after="0" w:line="240" w:lineRule="auto"/>
              <w:ind w:firstLineChars="200" w:firstLine="360"/>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2026</w:t>
            </w:r>
          </w:p>
        </w:tc>
        <w:tc>
          <w:tcPr>
            <w:tcW w:w="1611" w:type="dxa"/>
            <w:noWrap/>
            <w:vAlign w:val="bottom"/>
            <w:hideMark/>
          </w:tcPr>
          <w:p w14:paraId="01C1D670"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1.953.139.405.788</w:t>
            </w:r>
          </w:p>
        </w:tc>
        <w:tc>
          <w:tcPr>
            <w:tcW w:w="1742" w:type="dxa"/>
            <w:noWrap/>
            <w:vAlign w:val="bottom"/>
            <w:hideMark/>
          </w:tcPr>
          <w:p w14:paraId="044C2EA1"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5.063.214.194</w:t>
            </w:r>
          </w:p>
        </w:tc>
        <w:tc>
          <w:tcPr>
            <w:tcW w:w="1842" w:type="dxa"/>
            <w:noWrap/>
            <w:vAlign w:val="bottom"/>
            <w:hideMark/>
          </w:tcPr>
          <w:p w14:paraId="79A582D8"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1.958.202.619.982</w:t>
            </w:r>
          </w:p>
        </w:tc>
      </w:tr>
      <w:tr w:rsidR="00A04068" w:rsidRPr="00A04068" w14:paraId="7610B494" w14:textId="77777777" w:rsidTr="0070450B">
        <w:trPr>
          <w:trHeight w:val="299"/>
        </w:trPr>
        <w:tc>
          <w:tcPr>
            <w:tcW w:w="3305" w:type="dxa"/>
            <w:noWrap/>
            <w:vAlign w:val="bottom"/>
            <w:hideMark/>
          </w:tcPr>
          <w:p w14:paraId="69430BA1" w14:textId="77777777" w:rsidR="00A04068" w:rsidRPr="00A04068" w:rsidRDefault="00A04068" w:rsidP="00A04068">
            <w:pPr>
              <w:spacing w:after="0" w:line="240" w:lineRule="auto"/>
              <w:ind w:firstLineChars="300" w:firstLine="542"/>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RECLASIFICA TERRENOS VPRE</w:t>
            </w:r>
          </w:p>
        </w:tc>
        <w:tc>
          <w:tcPr>
            <w:tcW w:w="1611" w:type="dxa"/>
            <w:noWrap/>
            <w:vAlign w:val="bottom"/>
            <w:hideMark/>
          </w:tcPr>
          <w:p w14:paraId="4C21FD26"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1.953.139.405.788</w:t>
            </w:r>
          </w:p>
        </w:tc>
        <w:tc>
          <w:tcPr>
            <w:tcW w:w="1742" w:type="dxa"/>
            <w:noWrap/>
            <w:vAlign w:val="bottom"/>
            <w:hideMark/>
          </w:tcPr>
          <w:p w14:paraId="4EF97697"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5.063.214.194</w:t>
            </w:r>
          </w:p>
        </w:tc>
        <w:tc>
          <w:tcPr>
            <w:tcW w:w="1842" w:type="dxa"/>
            <w:noWrap/>
            <w:vAlign w:val="bottom"/>
            <w:hideMark/>
          </w:tcPr>
          <w:p w14:paraId="53476C40" w14:textId="77777777"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1.958.202.619.982</w:t>
            </w:r>
          </w:p>
        </w:tc>
      </w:tr>
      <w:tr w:rsidR="00A04068" w:rsidRPr="00A04068" w14:paraId="235C443D" w14:textId="77777777" w:rsidTr="0070450B">
        <w:trPr>
          <w:trHeight w:val="299"/>
        </w:trPr>
        <w:tc>
          <w:tcPr>
            <w:tcW w:w="3305" w:type="dxa"/>
            <w:noWrap/>
            <w:vAlign w:val="bottom"/>
            <w:hideMark/>
          </w:tcPr>
          <w:p w14:paraId="79EC9017" w14:textId="77777777"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AUTOPISTA RIO MAGDALENA S A S</w:t>
            </w:r>
          </w:p>
        </w:tc>
        <w:tc>
          <w:tcPr>
            <w:tcW w:w="1611" w:type="dxa"/>
            <w:noWrap/>
            <w:vAlign w:val="bottom"/>
            <w:hideMark/>
          </w:tcPr>
          <w:p w14:paraId="0360CC27"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20.400.450.968</w:t>
            </w:r>
          </w:p>
        </w:tc>
        <w:tc>
          <w:tcPr>
            <w:tcW w:w="1742" w:type="dxa"/>
            <w:noWrap/>
            <w:vAlign w:val="bottom"/>
            <w:hideMark/>
          </w:tcPr>
          <w:p w14:paraId="3384A925"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710.861</w:t>
            </w:r>
          </w:p>
        </w:tc>
        <w:tc>
          <w:tcPr>
            <w:tcW w:w="1842" w:type="dxa"/>
            <w:noWrap/>
            <w:vAlign w:val="bottom"/>
            <w:hideMark/>
          </w:tcPr>
          <w:p w14:paraId="0359B408"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20.401.161.829</w:t>
            </w:r>
          </w:p>
        </w:tc>
      </w:tr>
      <w:tr w:rsidR="00A04068" w:rsidRPr="00A04068" w14:paraId="20475B7B" w14:textId="77777777" w:rsidTr="0070450B">
        <w:trPr>
          <w:trHeight w:val="299"/>
        </w:trPr>
        <w:tc>
          <w:tcPr>
            <w:tcW w:w="3305" w:type="dxa"/>
            <w:noWrap/>
            <w:vAlign w:val="bottom"/>
            <w:hideMark/>
          </w:tcPr>
          <w:p w14:paraId="25B2ADE1" w14:textId="77777777"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AUTOPISTAS DEL NORDESTE S.A.S.</w:t>
            </w:r>
          </w:p>
        </w:tc>
        <w:tc>
          <w:tcPr>
            <w:tcW w:w="1611" w:type="dxa"/>
            <w:noWrap/>
            <w:vAlign w:val="bottom"/>
            <w:hideMark/>
          </w:tcPr>
          <w:p w14:paraId="52C562C9"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51.106.079.908</w:t>
            </w:r>
          </w:p>
        </w:tc>
        <w:tc>
          <w:tcPr>
            <w:tcW w:w="1742" w:type="dxa"/>
            <w:noWrap/>
            <w:vAlign w:val="bottom"/>
            <w:hideMark/>
          </w:tcPr>
          <w:p w14:paraId="796B8EE2"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125.519.239</w:t>
            </w:r>
          </w:p>
        </w:tc>
        <w:tc>
          <w:tcPr>
            <w:tcW w:w="1842" w:type="dxa"/>
            <w:noWrap/>
            <w:vAlign w:val="bottom"/>
            <w:hideMark/>
          </w:tcPr>
          <w:p w14:paraId="2E557A73"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51.231.599.147</w:t>
            </w:r>
          </w:p>
        </w:tc>
      </w:tr>
      <w:tr w:rsidR="00A04068" w:rsidRPr="00A04068" w14:paraId="58831467" w14:textId="77777777" w:rsidTr="0070450B">
        <w:trPr>
          <w:trHeight w:val="299"/>
        </w:trPr>
        <w:tc>
          <w:tcPr>
            <w:tcW w:w="3305" w:type="dxa"/>
            <w:noWrap/>
            <w:vAlign w:val="bottom"/>
            <w:hideMark/>
          </w:tcPr>
          <w:p w14:paraId="6C8D3F05" w14:textId="77777777"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CONCESIÓN COSTERA CARTAGENA BARRANQUILLA S.A.S.</w:t>
            </w:r>
          </w:p>
        </w:tc>
        <w:tc>
          <w:tcPr>
            <w:tcW w:w="1611" w:type="dxa"/>
            <w:noWrap/>
            <w:vAlign w:val="bottom"/>
            <w:hideMark/>
          </w:tcPr>
          <w:p w14:paraId="01B78BA5"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321.817.025.677</w:t>
            </w:r>
          </w:p>
        </w:tc>
        <w:tc>
          <w:tcPr>
            <w:tcW w:w="1742" w:type="dxa"/>
            <w:noWrap/>
            <w:vAlign w:val="bottom"/>
            <w:hideMark/>
          </w:tcPr>
          <w:p w14:paraId="7974F0E9"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945.747.088</w:t>
            </w:r>
          </w:p>
        </w:tc>
        <w:tc>
          <w:tcPr>
            <w:tcW w:w="1842" w:type="dxa"/>
            <w:noWrap/>
            <w:vAlign w:val="bottom"/>
            <w:hideMark/>
          </w:tcPr>
          <w:p w14:paraId="164B0ECA"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322.762.772.765</w:t>
            </w:r>
          </w:p>
        </w:tc>
      </w:tr>
      <w:tr w:rsidR="00A04068" w:rsidRPr="00A04068" w14:paraId="70B19DD3" w14:textId="77777777" w:rsidTr="0070450B">
        <w:trPr>
          <w:trHeight w:val="299"/>
        </w:trPr>
        <w:tc>
          <w:tcPr>
            <w:tcW w:w="3305" w:type="dxa"/>
            <w:noWrap/>
            <w:vAlign w:val="bottom"/>
            <w:hideMark/>
          </w:tcPr>
          <w:p w14:paraId="37B29606" w14:textId="77777777"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CONCESIONARIA SAN SIMON S A</w:t>
            </w:r>
          </w:p>
        </w:tc>
        <w:tc>
          <w:tcPr>
            <w:tcW w:w="1611" w:type="dxa"/>
            <w:noWrap/>
            <w:vAlign w:val="bottom"/>
            <w:hideMark/>
          </w:tcPr>
          <w:p w14:paraId="59323F84"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24.364.131.960</w:t>
            </w:r>
          </w:p>
        </w:tc>
        <w:tc>
          <w:tcPr>
            <w:tcW w:w="1742" w:type="dxa"/>
            <w:noWrap/>
            <w:vAlign w:val="bottom"/>
            <w:hideMark/>
          </w:tcPr>
          <w:p w14:paraId="77BB94E6"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-1.683.669.962</w:t>
            </w:r>
          </w:p>
        </w:tc>
        <w:tc>
          <w:tcPr>
            <w:tcW w:w="1842" w:type="dxa"/>
            <w:noWrap/>
            <w:vAlign w:val="bottom"/>
            <w:hideMark/>
          </w:tcPr>
          <w:p w14:paraId="724C359C"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22.680.461.997</w:t>
            </w:r>
          </w:p>
        </w:tc>
      </w:tr>
      <w:tr w:rsidR="00A04068" w:rsidRPr="00A04068" w14:paraId="4F4A5C14" w14:textId="77777777" w:rsidTr="0070450B">
        <w:trPr>
          <w:trHeight w:val="299"/>
        </w:trPr>
        <w:tc>
          <w:tcPr>
            <w:tcW w:w="3305" w:type="dxa"/>
            <w:noWrap/>
            <w:vAlign w:val="bottom"/>
            <w:hideMark/>
          </w:tcPr>
          <w:p w14:paraId="6900A71A" w14:textId="38CBD697"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CONCESIONARIA VIAL ANDINA S AS</w:t>
            </w:r>
          </w:p>
        </w:tc>
        <w:tc>
          <w:tcPr>
            <w:tcW w:w="1611" w:type="dxa"/>
            <w:noWrap/>
            <w:vAlign w:val="bottom"/>
            <w:hideMark/>
          </w:tcPr>
          <w:p w14:paraId="59178F99"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142.547.149.648</w:t>
            </w:r>
          </w:p>
        </w:tc>
        <w:tc>
          <w:tcPr>
            <w:tcW w:w="1742" w:type="dxa"/>
            <w:noWrap/>
            <w:vAlign w:val="bottom"/>
            <w:hideMark/>
          </w:tcPr>
          <w:p w14:paraId="77ECC3C9"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92.506.397</w:t>
            </w:r>
          </w:p>
        </w:tc>
        <w:tc>
          <w:tcPr>
            <w:tcW w:w="1842" w:type="dxa"/>
            <w:noWrap/>
            <w:vAlign w:val="bottom"/>
            <w:hideMark/>
          </w:tcPr>
          <w:p w14:paraId="511FE2BD"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142.639.656.045</w:t>
            </w:r>
          </w:p>
        </w:tc>
      </w:tr>
      <w:tr w:rsidR="00A04068" w:rsidRPr="00A04068" w14:paraId="1D36E874" w14:textId="77777777" w:rsidTr="0070450B">
        <w:trPr>
          <w:trHeight w:val="299"/>
        </w:trPr>
        <w:tc>
          <w:tcPr>
            <w:tcW w:w="3305" w:type="dxa"/>
            <w:noWrap/>
            <w:vAlign w:val="bottom"/>
            <w:hideMark/>
          </w:tcPr>
          <w:p w14:paraId="72BB48EC" w14:textId="77777777"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CONCESIONARIA VIAL UNIÓN DEL SUR S.A.S.</w:t>
            </w:r>
          </w:p>
        </w:tc>
        <w:tc>
          <w:tcPr>
            <w:tcW w:w="1611" w:type="dxa"/>
            <w:noWrap/>
            <w:vAlign w:val="bottom"/>
            <w:hideMark/>
          </w:tcPr>
          <w:p w14:paraId="15E987E3"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220.556.452.392</w:t>
            </w:r>
          </w:p>
        </w:tc>
        <w:tc>
          <w:tcPr>
            <w:tcW w:w="1742" w:type="dxa"/>
            <w:noWrap/>
            <w:vAlign w:val="bottom"/>
            <w:hideMark/>
          </w:tcPr>
          <w:p w14:paraId="3B0ED693"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544.024.940</w:t>
            </w:r>
          </w:p>
        </w:tc>
        <w:tc>
          <w:tcPr>
            <w:tcW w:w="1842" w:type="dxa"/>
            <w:noWrap/>
            <w:vAlign w:val="bottom"/>
            <w:hideMark/>
          </w:tcPr>
          <w:p w14:paraId="434A8757"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221.100.477.332</w:t>
            </w:r>
          </w:p>
        </w:tc>
      </w:tr>
      <w:tr w:rsidR="00A04068" w:rsidRPr="00A04068" w14:paraId="23D98408" w14:textId="77777777" w:rsidTr="0070450B">
        <w:trPr>
          <w:trHeight w:val="299"/>
        </w:trPr>
        <w:tc>
          <w:tcPr>
            <w:tcW w:w="3305" w:type="dxa"/>
            <w:noWrap/>
            <w:vAlign w:val="bottom"/>
            <w:hideMark/>
          </w:tcPr>
          <w:p w14:paraId="5E80676E" w14:textId="77777777"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DEVIMED S.A.</w:t>
            </w:r>
          </w:p>
        </w:tc>
        <w:tc>
          <w:tcPr>
            <w:tcW w:w="1611" w:type="dxa"/>
            <w:noWrap/>
            <w:vAlign w:val="bottom"/>
            <w:hideMark/>
          </w:tcPr>
          <w:p w14:paraId="7F0CD720"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40.553.996.023</w:t>
            </w:r>
          </w:p>
        </w:tc>
        <w:tc>
          <w:tcPr>
            <w:tcW w:w="1742" w:type="dxa"/>
            <w:noWrap/>
            <w:vAlign w:val="bottom"/>
            <w:hideMark/>
          </w:tcPr>
          <w:p w14:paraId="2AA5E39B"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1.176.908.880</w:t>
            </w:r>
          </w:p>
        </w:tc>
        <w:tc>
          <w:tcPr>
            <w:tcW w:w="1842" w:type="dxa"/>
            <w:noWrap/>
            <w:vAlign w:val="bottom"/>
            <w:hideMark/>
          </w:tcPr>
          <w:p w14:paraId="39198A40"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41.730.904.903</w:t>
            </w:r>
          </w:p>
        </w:tc>
      </w:tr>
      <w:tr w:rsidR="00A04068" w:rsidRPr="00A04068" w14:paraId="4E257D1A" w14:textId="77777777" w:rsidTr="0070450B">
        <w:trPr>
          <w:trHeight w:val="299"/>
        </w:trPr>
        <w:tc>
          <w:tcPr>
            <w:tcW w:w="3305" w:type="dxa"/>
            <w:noWrap/>
            <w:vAlign w:val="bottom"/>
            <w:hideMark/>
          </w:tcPr>
          <w:p w14:paraId="6AAAE505" w14:textId="77777777" w:rsidR="00A04068" w:rsidRPr="00A04068" w:rsidRDefault="00A04068" w:rsidP="00F91B86">
            <w:pPr>
              <w:spacing w:after="0" w:line="240" w:lineRule="auto"/>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UNION VIAL RIO PAMPLONITA SAS</w:t>
            </w:r>
          </w:p>
        </w:tc>
        <w:tc>
          <w:tcPr>
            <w:tcW w:w="1611" w:type="dxa"/>
            <w:noWrap/>
            <w:vAlign w:val="bottom"/>
            <w:hideMark/>
          </w:tcPr>
          <w:p w14:paraId="3920E0E9"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70.971.298.728</w:t>
            </w:r>
          </w:p>
        </w:tc>
        <w:tc>
          <w:tcPr>
            <w:tcW w:w="1742" w:type="dxa"/>
            <w:noWrap/>
            <w:vAlign w:val="bottom"/>
            <w:hideMark/>
          </w:tcPr>
          <w:p w14:paraId="3D611A4B"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3.861.466.751</w:t>
            </w:r>
          </w:p>
        </w:tc>
        <w:tc>
          <w:tcPr>
            <w:tcW w:w="1842" w:type="dxa"/>
            <w:noWrap/>
            <w:vAlign w:val="bottom"/>
            <w:hideMark/>
          </w:tcPr>
          <w:p w14:paraId="513A8C4E"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74.832.765.479</w:t>
            </w:r>
          </w:p>
        </w:tc>
      </w:tr>
      <w:tr w:rsidR="00A04068" w:rsidRPr="00A04068" w14:paraId="16D6920A" w14:textId="77777777" w:rsidTr="00290C50">
        <w:trPr>
          <w:trHeight w:val="299"/>
        </w:trPr>
        <w:tc>
          <w:tcPr>
            <w:tcW w:w="3305" w:type="dxa"/>
            <w:tcBorders>
              <w:bottom w:val="single" w:sz="4" w:space="0" w:color="A6A6A6" w:themeColor="background1" w:themeShade="A6"/>
            </w:tcBorders>
            <w:noWrap/>
            <w:vAlign w:val="center"/>
            <w:hideMark/>
          </w:tcPr>
          <w:p w14:paraId="0F3D3673" w14:textId="77777777" w:rsidR="00A04068" w:rsidRPr="00A04068" w:rsidRDefault="00A04068" w:rsidP="00A04068">
            <w:pPr>
              <w:spacing w:after="0" w:line="240" w:lineRule="auto"/>
              <w:rPr>
                <w:rFonts w:ascii="Times New Roman" w:eastAsia="Times New Roman" w:hAnsi="Times New Roman" w:cs="Times New Roman"/>
                <w:b/>
                <w:bCs/>
                <w:color w:val="000000"/>
                <w:kern w:val="0"/>
                <w:sz w:val="18"/>
                <w:szCs w:val="18"/>
                <w:lang w:eastAsia="es-CO"/>
                <w14:ligatures w14:val="none"/>
              </w:rPr>
            </w:pPr>
            <w:r w:rsidRPr="00A04068">
              <w:rPr>
                <w:rFonts w:ascii="Times New Roman" w:eastAsia="Times New Roman" w:hAnsi="Times New Roman" w:cs="Times New Roman"/>
                <w:b/>
                <w:bCs/>
                <w:color w:val="000000"/>
                <w:kern w:val="0"/>
                <w:sz w:val="18"/>
                <w:szCs w:val="18"/>
                <w:lang w:eastAsia="es-CO"/>
                <w14:ligatures w14:val="none"/>
              </w:rPr>
              <w:t>Variaciones Bienes de uso público e históricos y culturales</w:t>
            </w:r>
          </w:p>
        </w:tc>
        <w:tc>
          <w:tcPr>
            <w:tcW w:w="1611" w:type="dxa"/>
            <w:tcBorders>
              <w:bottom w:val="single" w:sz="4" w:space="0" w:color="A6A6A6" w:themeColor="background1" w:themeShade="A6"/>
            </w:tcBorders>
            <w:noWrap/>
            <w:vAlign w:val="bottom"/>
            <w:hideMark/>
          </w:tcPr>
          <w:p w14:paraId="3A5E91C0"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 </w:t>
            </w:r>
          </w:p>
        </w:tc>
        <w:tc>
          <w:tcPr>
            <w:tcW w:w="1742" w:type="dxa"/>
            <w:tcBorders>
              <w:bottom w:val="single" w:sz="4" w:space="0" w:color="A6A6A6" w:themeColor="background1" w:themeShade="A6"/>
            </w:tcBorders>
            <w:shd w:val="clear" w:color="000000" w:fill="D9D9D9"/>
            <w:noWrap/>
            <w:vAlign w:val="bottom"/>
            <w:hideMark/>
          </w:tcPr>
          <w:p w14:paraId="590A4086" w14:textId="5A33FEA9" w:rsidR="00A04068" w:rsidRPr="00A04068" w:rsidRDefault="00A04068" w:rsidP="00A04068">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Pr>
                <w:rFonts w:ascii="Times New Roman" w:eastAsia="Times New Roman" w:hAnsi="Times New Roman" w:cs="Times New Roman"/>
                <w:b/>
                <w:bCs/>
                <w:color w:val="000000"/>
                <w:kern w:val="0"/>
                <w:sz w:val="18"/>
                <w:szCs w:val="18"/>
                <w:lang w:eastAsia="es-CO"/>
                <w14:ligatures w14:val="none"/>
              </w:rPr>
              <w:t xml:space="preserve"> </w:t>
            </w:r>
            <w:r w:rsidRPr="00A04068">
              <w:rPr>
                <w:rFonts w:ascii="Times New Roman" w:eastAsia="Times New Roman" w:hAnsi="Times New Roman" w:cs="Times New Roman"/>
                <w:b/>
                <w:bCs/>
                <w:color w:val="000000"/>
                <w:kern w:val="0"/>
                <w:sz w:val="18"/>
                <w:szCs w:val="18"/>
                <w:lang w:eastAsia="es-CO"/>
                <w14:ligatures w14:val="none"/>
              </w:rPr>
              <w:t xml:space="preserve">- 863.581.347.092 </w:t>
            </w:r>
          </w:p>
        </w:tc>
        <w:tc>
          <w:tcPr>
            <w:tcW w:w="1842" w:type="dxa"/>
            <w:tcBorders>
              <w:bottom w:val="single" w:sz="4" w:space="0" w:color="A6A6A6" w:themeColor="background1" w:themeShade="A6"/>
            </w:tcBorders>
            <w:noWrap/>
            <w:vAlign w:val="bottom"/>
            <w:hideMark/>
          </w:tcPr>
          <w:p w14:paraId="795A4358" w14:textId="77777777" w:rsidR="00A04068" w:rsidRPr="00A04068" w:rsidRDefault="00A04068" w:rsidP="00A04068">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A04068">
              <w:rPr>
                <w:rFonts w:ascii="Times New Roman" w:eastAsia="Times New Roman" w:hAnsi="Times New Roman" w:cs="Times New Roman"/>
                <w:color w:val="000000"/>
                <w:kern w:val="0"/>
                <w:sz w:val="18"/>
                <w:szCs w:val="18"/>
                <w:lang w:eastAsia="es-CO"/>
                <w14:ligatures w14:val="none"/>
              </w:rPr>
              <w:t> </w:t>
            </w:r>
          </w:p>
        </w:tc>
      </w:tr>
      <w:tr w:rsidR="00975D81" w:rsidRPr="00A04068" w14:paraId="4EF8E3AA" w14:textId="77777777" w:rsidTr="00290C50">
        <w:trPr>
          <w:trHeight w:val="299"/>
        </w:trPr>
        <w:tc>
          <w:tcPr>
            <w:tcW w:w="8500" w:type="dxa"/>
            <w:gridSpan w:val="4"/>
            <w:tcBorders>
              <w:left w:val="nil"/>
              <w:bottom w:val="nil"/>
              <w:right w:val="nil"/>
            </w:tcBorders>
            <w:noWrap/>
            <w:vAlign w:val="center"/>
          </w:tcPr>
          <w:p w14:paraId="115D9A66" w14:textId="759C16ED" w:rsidR="00975D81" w:rsidRPr="00A04068" w:rsidRDefault="00975D81" w:rsidP="00975D81">
            <w:pPr>
              <w:spacing w:after="0" w:line="240" w:lineRule="auto"/>
              <w:rPr>
                <w:rFonts w:ascii="Times New Roman" w:eastAsia="Times New Roman" w:hAnsi="Times New Roman" w:cs="Times New Roman"/>
                <w:color w:val="000000"/>
                <w:kern w:val="0"/>
                <w:sz w:val="18"/>
                <w:szCs w:val="18"/>
                <w:lang w:eastAsia="es-CO"/>
                <w14:ligatures w14:val="none"/>
              </w:rPr>
            </w:pPr>
            <w:r w:rsidRPr="00091978">
              <w:rPr>
                <w:rFonts w:ascii="Times New Roman" w:hAnsi="Times New Roman" w:cs="Times New Roman"/>
                <w:sz w:val="16"/>
                <w:szCs w:val="16"/>
              </w:rPr>
              <w:t>Elaboración: Área Contable – VGCOR.</w:t>
            </w:r>
          </w:p>
        </w:tc>
      </w:tr>
    </w:tbl>
    <w:p w14:paraId="4C43FCE4" w14:textId="00288A19" w:rsidR="00D3362F" w:rsidRDefault="00D3362F" w:rsidP="00091978">
      <w:pPr>
        <w:spacing w:after="0" w:line="240" w:lineRule="auto"/>
      </w:pPr>
    </w:p>
    <w:p w14:paraId="7D774D9B" w14:textId="77777777" w:rsidR="0038706C" w:rsidRDefault="0038706C" w:rsidP="0038706C"/>
    <w:p w14:paraId="71E93D1C" w14:textId="77777777" w:rsidR="00A16853" w:rsidRDefault="00A16853" w:rsidP="0038706C"/>
    <w:p w14:paraId="23F0180A" w14:textId="77777777" w:rsidR="00A16853" w:rsidRDefault="00A16853" w:rsidP="0038706C"/>
    <w:p w14:paraId="3A8808DD" w14:textId="77777777" w:rsidR="00A16853" w:rsidRDefault="00A16853" w:rsidP="0038706C"/>
    <w:p w14:paraId="2BED00A5" w14:textId="77777777" w:rsidR="00A16853" w:rsidRDefault="00A16853" w:rsidP="0038706C"/>
    <w:p w14:paraId="3CA22431" w14:textId="77777777" w:rsidR="00A16853" w:rsidRPr="005659CF" w:rsidRDefault="00A16853" w:rsidP="0038706C"/>
    <w:p w14:paraId="1FAB1C74" w14:textId="13509141" w:rsidR="003924EC" w:rsidRPr="00195E06" w:rsidRDefault="003924EC" w:rsidP="00C9079F">
      <w:pPr>
        <w:pStyle w:val="Ttulo3"/>
        <w:rPr>
          <w:rFonts w:ascii="Times New Roman" w:hAnsi="Times New Roman" w:cs="Times New Roman"/>
          <w:b/>
          <w:bCs/>
          <w:sz w:val="24"/>
        </w:rPr>
      </w:pPr>
      <w:bookmarkStart w:id="5" w:name="_Toc230185820"/>
      <w:r w:rsidRPr="00195E06">
        <w:rPr>
          <w:rFonts w:ascii="Times New Roman" w:hAnsi="Times New Roman" w:cs="Times New Roman"/>
          <w:b/>
          <w:bCs/>
          <w:sz w:val="24"/>
        </w:rPr>
        <w:lastRenderedPageBreak/>
        <w:t xml:space="preserve">Otros </w:t>
      </w:r>
      <w:r w:rsidR="00195E06" w:rsidRPr="00195E06">
        <w:rPr>
          <w:rFonts w:ascii="Times New Roman" w:hAnsi="Times New Roman" w:cs="Times New Roman"/>
          <w:b/>
          <w:bCs/>
          <w:sz w:val="24"/>
        </w:rPr>
        <w:t>a</w:t>
      </w:r>
      <w:r w:rsidRPr="00195E06">
        <w:rPr>
          <w:rFonts w:ascii="Times New Roman" w:hAnsi="Times New Roman" w:cs="Times New Roman"/>
          <w:b/>
          <w:bCs/>
          <w:sz w:val="24"/>
        </w:rPr>
        <w:t>ctivos</w:t>
      </w:r>
      <w:bookmarkEnd w:id="5"/>
    </w:p>
    <w:p w14:paraId="75AE61CF" w14:textId="77777777" w:rsidR="00195E06" w:rsidRPr="00195E06" w:rsidRDefault="00195E06" w:rsidP="00195E06">
      <w:pPr>
        <w:rPr>
          <w:rFonts w:ascii="Times New Roman" w:hAnsi="Times New Roman" w:cs="Times New Roman"/>
        </w:rPr>
      </w:pPr>
    </w:p>
    <w:p w14:paraId="029EFAEE" w14:textId="0B8FC83A" w:rsidR="00195E06" w:rsidRPr="00A922E6" w:rsidRDefault="00195E06" w:rsidP="00195E06">
      <w:pPr>
        <w:rPr>
          <w:rFonts w:ascii="Times New Roman" w:hAnsi="Times New Roman" w:cs="Times New Roman"/>
          <w:i/>
          <w:iCs/>
        </w:rPr>
      </w:pPr>
      <w:r w:rsidRPr="00A922E6">
        <w:rPr>
          <w:rFonts w:ascii="Times New Roman" w:hAnsi="Times New Roman" w:cs="Times New Roman"/>
          <w:i/>
          <w:iCs/>
        </w:rPr>
        <w:t>Otros derechos y garantías</w:t>
      </w:r>
    </w:p>
    <w:p w14:paraId="53856ED5" w14:textId="77777777" w:rsidR="00B6186F" w:rsidRPr="00195E06" w:rsidRDefault="00B6186F" w:rsidP="00B6186F">
      <w:pPr>
        <w:rPr>
          <w:rFonts w:ascii="Times New Roman" w:hAnsi="Times New Roman" w:cs="Times New Roman"/>
          <w:bCs/>
          <w:sz w:val="24"/>
          <w:szCs w:val="24"/>
        </w:rPr>
      </w:pPr>
      <w:bookmarkStart w:id="6" w:name="_Toc191369524"/>
      <w:bookmarkStart w:id="7" w:name="_Toc191456854"/>
      <w:bookmarkStart w:id="8" w:name="_Toc191456964"/>
      <w:bookmarkStart w:id="9" w:name="_Toc191457074"/>
      <w:bookmarkStart w:id="10" w:name="_Toc191475701"/>
      <w:bookmarkStart w:id="11" w:name="_Toc191475810"/>
      <w:bookmarkStart w:id="12" w:name="_Toc191475919"/>
      <w:bookmarkStart w:id="13" w:name="_Toc191475442"/>
      <w:bookmarkStart w:id="14" w:name="_Toc191505818"/>
      <w:bookmarkStart w:id="15" w:name="_Toc222778839"/>
      <w:r w:rsidRPr="00195E06">
        <w:rPr>
          <w:rFonts w:ascii="Times New Roman" w:hAnsi="Times New Roman" w:cs="Times New Roman"/>
          <w:bCs/>
          <w:sz w:val="24"/>
          <w:szCs w:val="24"/>
        </w:rPr>
        <w:t>Composición</w:t>
      </w:r>
      <w:bookmarkEnd w:id="6"/>
      <w:bookmarkEnd w:id="7"/>
      <w:bookmarkEnd w:id="8"/>
      <w:bookmarkEnd w:id="9"/>
      <w:bookmarkEnd w:id="10"/>
      <w:bookmarkEnd w:id="11"/>
      <w:bookmarkEnd w:id="12"/>
      <w:bookmarkEnd w:id="13"/>
      <w:bookmarkEnd w:id="14"/>
      <w:bookmarkEnd w:id="15"/>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540"/>
        <w:gridCol w:w="470"/>
        <w:gridCol w:w="3623"/>
        <w:gridCol w:w="1435"/>
        <w:gridCol w:w="1420"/>
        <w:gridCol w:w="1340"/>
      </w:tblGrid>
      <w:tr w:rsidR="00F44016" w:rsidRPr="00F44016" w14:paraId="45B2D00C" w14:textId="77777777" w:rsidTr="006A66AF">
        <w:trPr>
          <w:trHeight w:val="300"/>
          <w:tblHeader/>
        </w:trPr>
        <w:tc>
          <w:tcPr>
            <w:tcW w:w="2624" w:type="pct"/>
            <w:gridSpan w:val="3"/>
            <w:noWrap/>
            <w:vAlign w:val="center"/>
            <w:hideMark/>
          </w:tcPr>
          <w:p w14:paraId="1D7FDA91" w14:textId="77777777" w:rsidR="00F44016" w:rsidRPr="00F44016" w:rsidRDefault="00F44016" w:rsidP="00F44016">
            <w:pPr>
              <w:spacing w:after="0" w:line="240" w:lineRule="auto"/>
              <w:jc w:val="center"/>
              <w:rPr>
                <w:rFonts w:ascii="Times New Roman" w:eastAsia="Times New Roman" w:hAnsi="Times New Roman" w:cs="Times New Roman"/>
                <w:kern w:val="0"/>
                <w:lang w:eastAsia="es-CO"/>
                <w14:ligatures w14:val="none"/>
              </w:rPr>
            </w:pPr>
            <w:r w:rsidRPr="00F44016">
              <w:rPr>
                <w:rFonts w:ascii="Times New Roman" w:eastAsia="Times New Roman" w:hAnsi="Times New Roman" w:cs="Times New Roman"/>
                <w:kern w:val="0"/>
                <w:lang w:eastAsia="es-CO"/>
                <w14:ligatures w14:val="none"/>
              </w:rPr>
              <w:t>DESCRIPCIÓN</w:t>
            </w:r>
          </w:p>
        </w:tc>
        <w:tc>
          <w:tcPr>
            <w:tcW w:w="2376" w:type="pct"/>
            <w:gridSpan w:val="3"/>
            <w:noWrap/>
            <w:vAlign w:val="center"/>
            <w:hideMark/>
          </w:tcPr>
          <w:p w14:paraId="4CF09C8E" w14:textId="77777777" w:rsidR="00F44016" w:rsidRPr="00F44016" w:rsidRDefault="00F44016" w:rsidP="00F44016">
            <w:pPr>
              <w:spacing w:after="0" w:line="240" w:lineRule="auto"/>
              <w:jc w:val="center"/>
              <w:rPr>
                <w:rFonts w:ascii="Times New Roman" w:eastAsia="Times New Roman" w:hAnsi="Times New Roman" w:cs="Times New Roman"/>
                <w:kern w:val="0"/>
                <w:lang w:eastAsia="es-CO"/>
                <w14:ligatures w14:val="none"/>
              </w:rPr>
            </w:pPr>
            <w:r w:rsidRPr="00F44016">
              <w:rPr>
                <w:rFonts w:ascii="Times New Roman" w:eastAsia="Times New Roman" w:hAnsi="Times New Roman" w:cs="Times New Roman"/>
                <w:kern w:val="0"/>
                <w:lang w:eastAsia="es-CO"/>
                <w14:ligatures w14:val="none"/>
              </w:rPr>
              <w:t>SALDOS</w:t>
            </w:r>
          </w:p>
        </w:tc>
      </w:tr>
      <w:tr w:rsidR="00F44016" w:rsidRPr="00F44016" w14:paraId="2DA72E87" w14:textId="77777777" w:rsidTr="006A66AF">
        <w:trPr>
          <w:trHeight w:val="420"/>
          <w:tblHeader/>
        </w:trPr>
        <w:tc>
          <w:tcPr>
            <w:tcW w:w="306" w:type="pct"/>
            <w:noWrap/>
            <w:vAlign w:val="center"/>
            <w:hideMark/>
          </w:tcPr>
          <w:p w14:paraId="77E43BBD" w14:textId="77777777" w:rsidR="00F44016" w:rsidRPr="00F44016" w:rsidRDefault="00F44016" w:rsidP="00F44016">
            <w:pPr>
              <w:spacing w:after="0" w:line="240" w:lineRule="auto"/>
              <w:jc w:val="center"/>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CÓD</w:t>
            </w:r>
          </w:p>
        </w:tc>
        <w:tc>
          <w:tcPr>
            <w:tcW w:w="266" w:type="pct"/>
            <w:noWrap/>
            <w:vAlign w:val="center"/>
            <w:hideMark/>
          </w:tcPr>
          <w:p w14:paraId="09D4CAA2" w14:textId="77777777" w:rsidR="00F44016" w:rsidRPr="00F44016" w:rsidRDefault="00F44016" w:rsidP="00F44016">
            <w:pPr>
              <w:spacing w:after="0" w:line="240" w:lineRule="auto"/>
              <w:jc w:val="center"/>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NAT</w:t>
            </w:r>
          </w:p>
        </w:tc>
        <w:tc>
          <w:tcPr>
            <w:tcW w:w="2052" w:type="pct"/>
            <w:vAlign w:val="center"/>
            <w:hideMark/>
          </w:tcPr>
          <w:p w14:paraId="436E5DD3" w14:textId="77777777" w:rsidR="00F44016" w:rsidRPr="00F44016" w:rsidRDefault="00F44016" w:rsidP="00F44016">
            <w:pPr>
              <w:spacing w:after="0" w:line="240" w:lineRule="auto"/>
              <w:jc w:val="center"/>
              <w:rPr>
                <w:rFonts w:ascii="Times New Roman" w:eastAsia="Times New Roman" w:hAnsi="Times New Roman" w:cs="Times New Roman"/>
                <w:b/>
                <w:bCs/>
                <w:kern w:val="0"/>
                <w:sz w:val="16"/>
                <w:szCs w:val="16"/>
                <w:lang w:eastAsia="es-CO"/>
                <w14:ligatures w14:val="none"/>
              </w:rPr>
            </w:pPr>
            <w:r w:rsidRPr="00F44016">
              <w:rPr>
                <w:rFonts w:ascii="Times New Roman" w:eastAsia="Times New Roman" w:hAnsi="Times New Roman" w:cs="Times New Roman"/>
                <w:b/>
                <w:bCs/>
                <w:kern w:val="0"/>
                <w:sz w:val="16"/>
                <w:szCs w:val="16"/>
                <w:lang w:eastAsia="es-CO"/>
                <w14:ligatures w14:val="none"/>
              </w:rPr>
              <w:t>CONCEPTO</w:t>
            </w:r>
          </w:p>
        </w:tc>
        <w:tc>
          <w:tcPr>
            <w:tcW w:w="813" w:type="pct"/>
            <w:vAlign w:val="center"/>
            <w:hideMark/>
          </w:tcPr>
          <w:p w14:paraId="7C125199" w14:textId="77777777" w:rsidR="00F44016" w:rsidRPr="00F44016" w:rsidRDefault="00F44016" w:rsidP="00F44016">
            <w:pPr>
              <w:spacing w:after="0" w:line="240" w:lineRule="auto"/>
              <w:jc w:val="center"/>
              <w:rPr>
                <w:rFonts w:ascii="Times New Roman" w:eastAsia="Times New Roman" w:hAnsi="Times New Roman" w:cs="Times New Roman"/>
                <w:b/>
                <w:bCs/>
                <w:kern w:val="0"/>
                <w:sz w:val="16"/>
                <w:szCs w:val="16"/>
                <w:lang w:eastAsia="es-CO"/>
                <w14:ligatures w14:val="none"/>
              </w:rPr>
            </w:pPr>
            <w:r w:rsidRPr="00F44016">
              <w:rPr>
                <w:rFonts w:ascii="Times New Roman" w:eastAsia="Times New Roman" w:hAnsi="Times New Roman" w:cs="Times New Roman"/>
                <w:b/>
                <w:bCs/>
                <w:kern w:val="0"/>
                <w:sz w:val="16"/>
                <w:szCs w:val="16"/>
                <w:lang w:eastAsia="es-CO"/>
                <w14:ligatures w14:val="none"/>
              </w:rPr>
              <w:t xml:space="preserve">2026 </w:t>
            </w:r>
          </w:p>
        </w:tc>
        <w:tc>
          <w:tcPr>
            <w:tcW w:w="804" w:type="pct"/>
            <w:vAlign w:val="center"/>
            <w:hideMark/>
          </w:tcPr>
          <w:p w14:paraId="65D154A3" w14:textId="77777777" w:rsidR="00F44016" w:rsidRPr="00F44016" w:rsidRDefault="00F44016" w:rsidP="00F44016">
            <w:pPr>
              <w:spacing w:after="0" w:line="240" w:lineRule="auto"/>
              <w:jc w:val="center"/>
              <w:rPr>
                <w:rFonts w:ascii="Times New Roman" w:eastAsia="Times New Roman" w:hAnsi="Times New Roman" w:cs="Times New Roman"/>
                <w:b/>
                <w:bCs/>
                <w:kern w:val="0"/>
                <w:sz w:val="16"/>
                <w:szCs w:val="16"/>
                <w:lang w:eastAsia="es-CO"/>
                <w14:ligatures w14:val="none"/>
              </w:rPr>
            </w:pPr>
            <w:r w:rsidRPr="00F44016">
              <w:rPr>
                <w:rFonts w:ascii="Times New Roman" w:eastAsia="Times New Roman" w:hAnsi="Times New Roman" w:cs="Times New Roman"/>
                <w:b/>
                <w:bCs/>
                <w:kern w:val="0"/>
                <w:sz w:val="16"/>
                <w:szCs w:val="16"/>
                <w:lang w:eastAsia="es-CO"/>
                <w14:ligatures w14:val="none"/>
              </w:rPr>
              <w:t xml:space="preserve">2025 </w:t>
            </w:r>
          </w:p>
        </w:tc>
        <w:tc>
          <w:tcPr>
            <w:tcW w:w="759" w:type="pct"/>
            <w:vAlign w:val="center"/>
            <w:hideMark/>
          </w:tcPr>
          <w:p w14:paraId="2AA8ED5F" w14:textId="77777777" w:rsidR="00F44016" w:rsidRPr="00F44016" w:rsidRDefault="00F44016" w:rsidP="00F44016">
            <w:pPr>
              <w:spacing w:after="0" w:line="240" w:lineRule="auto"/>
              <w:jc w:val="center"/>
              <w:rPr>
                <w:rFonts w:ascii="Times New Roman" w:eastAsia="Times New Roman" w:hAnsi="Times New Roman" w:cs="Times New Roman"/>
                <w:b/>
                <w:bCs/>
                <w:kern w:val="0"/>
                <w:sz w:val="16"/>
                <w:szCs w:val="16"/>
                <w:lang w:eastAsia="es-CO"/>
                <w14:ligatures w14:val="none"/>
              </w:rPr>
            </w:pPr>
            <w:r w:rsidRPr="00F44016">
              <w:rPr>
                <w:rFonts w:ascii="Times New Roman" w:eastAsia="Times New Roman" w:hAnsi="Times New Roman" w:cs="Times New Roman"/>
                <w:b/>
                <w:bCs/>
                <w:kern w:val="0"/>
                <w:sz w:val="16"/>
                <w:szCs w:val="16"/>
                <w:lang w:eastAsia="es-CO"/>
                <w14:ligatures w14:val="none"/>
              </w:rPr>
              <w:t>VALOR VARIACIÓN</w:t>
            </w:r>
          </w:p>
        </w:tc>
      </w:tr>
      <w:tr w:rsidR="00F44016" w:rsidRPr="00F44016" w14:paraId="7061FFC6" w14:textId="77777777" w:rsidTr="002D3E9F">
        <w:trPr>
          <w:trHeight w:val="285"/>
        </w:trPr>
        <w:tc>
          <w:tcPr>
            <w:tcW w:w="306" w:type="pct"/>
            <w:noWrap/>
            <w:vAlign w:val="center"/>
            <w:hideMark/>
          </w:tcPr>
          <w:p w14:paraId="01B0C2CB" w14:textId="77777777" w:rsidR="00F44016" w:rsidRPr="00F44016" w:rsidRDefault="00F44016" w:rsidP="00F44016">
            <w:pPr>
              <w:spacing w:after="0" w:line="240" w:lineRule="auto"/>
              <w:rPr>
                <w:rFonts w:ascii="Times New Roman" w:eastAsia="Times New Roman" w:hAnsi="Times New Roman" w:cs="Times New Roman"/>
                <w:b/>
                <w:bCs/>
                <w:kern w:val="0"/>
                <w:sz w:val="16"/>
                <w:szCs w:val="16"/>
                <w:lang w:eastAsia="es-CO"/>
                <w14:ligatures w14:val="none"/>
              </w:rPr>
            </w:pPr>
            <w:r w:rsidRPr="00F44016">
              <w:rPr>
                <w:rFonts w:ascii="Times New Roman" w:eastAsia="Times New Roman" w:hAnsi="Times New Roman" w:cs="Times New Roman"/>
                <w:b/>
                <w:bCs/>
                <w:kern w:val="0"/>
                <w:sz w:val="16"/>
                <w:szCs w:val="16"/>
                <w:lang w:eastAsia="es-CO"/>
                <w14:ligatures w14:val="none"/>
              </w:rPr>
              <w:t> </w:t>
            </w:r>
          </w:p>
        </w:tc>
        <w:tc>
          <w:tcPr>
            <w:tcW w:w="266" w:type="pct"/>
            <w:noWrap/>
            <w:vAlign w:val="center"/>
            <w:hideMark/>
          </w:tcPr>
          <w:p w14:paraId="752D9FBD" w14:textId="77777777" w:rsidR="00F44016" w:rsidRPr="00F44016" w:rsidRDefault="00F44016" w:rsidP="00F44016">
            <w:pPr>
              <w:spacing w:after="0" w:line="240" w:lineRule="auto"/>
              <w:jc w:val="center"/>
              <w:rPr>
                <w:rFonts w:ascii="Times New Roman" w:eastAsia="Times New Roman" w:hAnsi="Times New Roman" w:cs="Times New Roman"/>
                <w:b/>
                <w:bCs/>
                <w:kern w:val="0"/>
                <w:sz w:val="16"/>
                <w:szCs w:val="16"/>
                <w:lang w:eastAsia="es-CO"/>
                <w14:ligatures w14:val="none"/>
              </w:rPr>
            </w:pPr>
            <w:proofErr w:type="spellStart"/>
            <w:r w:rsidRPr="00F44016">
              <w:rPr>
                <w:rFonts w:ascii="Times New Roman" w:eastAsia="Times New Roman" w:hAnsi="Times New Roman" w:cs="Times New Roman"/>
                <w:b/>
                <w:bCs/>
                <w:kern w:val="0"/>
                <w:sz w:val="16"/>
                <w:szCs w:val="16"/>
                <w:lang w:eastAsia="es-CO"/>
                <w14:ligatures w14:val="none"/>
              </w:rPr>
              <w:t>Db</w:t>
            </w:r>
            <w:proofErr w:type="spellEnd"/>
          </w:p>
        </w:tc>
        <w:tc>
          <w:tcPr>
            <w:tcW w:w="2052" w:type="pct"/>
            <w:vAlign w:val="center"/>
            <w:hideMark/>
          </w:tcPr>
          <w:p w14:paraId="72560621" w14:textId="77777777" w:rsidR="00F44016" w:rsidRPr="00F44016" w:rsidRDefault="00F44016" w:rsidP="00F44016">
            <w:pPr>
              <w:spacing w:after="0" w:line="240" w:lineRule="auto"/>
              <w:jc w:val="center"/>
              <w:rPr>
                <w:rFonts w:ascii="Times New Roman" w:eastAsia="Times New Roman" w:hAnsi="Times New Roman" w:cs="Times New Roman"/>
                <w:b/>
                <w:bCs/>
                <w:kern w:val="0"/>
                <w:sz w:val="16"/>
                <w:szCs w:val="16"/>
                <w:lang w:eastAsia="es-CO"/>
                <w14:ligatures w14:val="none"/>
              </w:rPr>
            </w:pPr>
            <w:r w:rsidRPr="00F44016">
              <w:rPr>
                <w:rFonts w:ascii="Times New Roman" w:eastAsia="Times New Roman" w:hAnsi="Times New Roman" w:cs="Times New Roman"/>
                <w:b/>
                <w:bCs/>
                <w:kern w:val="0"/>
                <w:sz w:val="16"/>
                <w:szCs w:val="16"/>
                <w:lang w:eastAsia="es-CO"/>
                <w14:ligatures w14:val="none"/>
              </w:rPr>
              <w:t>OTROS DERECHOS Y GARANTÍAS</w:t>
            </w:r>
          </w:p>
        </w:tc>
        <w:tc>
          <w:tcPr>
            <w:tcW w:w="813" w:type="pct"/>
            <w:noWrap/>
            <w:vAlign w:val="center"/>
            <w:hideMark/>
          </w:tcPr>
          <w:p w14:paraId="6936031E" w14:textId="77777777" w:rsidR="00F44016" w:rsidRPr="00F44016" w:rsidRDefault="00F44016" w:rsidP="00F44016">
            <w:pPr>
              <w:spacing w:after="0" w:line="240" w:lineRule="auto"/>
              <w:jc w:val="right"/>
              <w:rPr>
                <w:rFonts w:ascii="Times New Roman" w:eastAsia="Times New Roman" w:hAnsi="Times New Roman" w:cs="Times New Roman"/>
                <w:b/>
                <w:bCs/>
                <w:kern w:val="0"/>
                <w:sz w:val="16"/>
                <w:szCs w:val="16"/>
                <w:lang w:eastAsia="es-CO"/>
                <w14:ligatures w14:val="none"/>
              </w:rPr>
            </w:pPr>
            <w:r w:rsidRPr="00F44016">
              <w:rPr>
                <w:rFonts w:ascii="Times New Roman" w:eastAsia="Times New Roman" w:hAnsi="Times New Roman" w:cs="Times New Roman"/>
                <w:b/>
                <w:bCs/>
                <w:kern w:val="0"/>
                <w:sz w:val="16"/>
                <w:szCs w:val="16"/>
                <w:lang w:eastAsia="es-CO"/>
                <w14:ligatures w14:val="none"/>
              </w:rPr>
              <w:t>21.441.555.862.453</w:t>
            </w:r>
          </w:p>
        </w:tc>
        <w:tc>
          <w:tcPr>
            <w:tcW w:w="804" w:type="pct"/>
            <w:noWrap/>
            <w:vAlign w:val="center"/>
            <w:hideMark/>
          </w:tcPr>
          <w:p w14:paraId="58227BBA" w14:textId="77777777" w:rsidR="00F44016" w:rsidRPr="00F44016" w:rsidRDefault="00F44016" w:rsidP="00F44016">
            <w:pPr>
              <w:spacing w:after="0" w:line="240" w:lineRule="auto"/>
              <w:jc w:val="right"/>
              <w:rPr>
                <w:rFonts w:ascii="Times New Roman" w:eastAsia="Times New Roman" w:hAnsi="Times New Roman" w:cs="Times New Roman"/>
                <w:b/>
                <w:bCs/>
                <w:kern w:val="0"/>
                <w:sz w:val="16"/>
                <w:szCs w:val="16"/>
                <w:lang w:eastAsia="es-CO"/>
                <w14:ligatures w14:val="none"/>
              </w:rPr>
            </w:pPr>
            <w:r w:rsidRPr="00F44016">
              <w:rPr>
                <w:rFonts w:ascii="Times New Roman" w:eastAsia="Times New Roman" w:hAnsi="Times New Roman" w:cs="Times New Roman"/>
                <w:b/>
                <w:bCs/>
                <w:kern w:val="0"/>
                <w:sz w:val="16"/>
                <w:szCs w:val="16"/>
                <w:lang w:eastAsia="es-CO"/>
                <w14:ligatures w14:val="none"/>
              </w:rPr>
              <w:t>16.701.724.607.140</w:t>
            </w:r>
          </w:p>
        </w:tc>
        <w:tc>
          <w:tcPr>
            <w:tcW w:w="759" w:type="pct"/>
            <w:noWrap/>
            <w:vAlign w:val="center"/>
            <w:hideMark/>
          </w:tcPr>
          <w:p w14:paraId="3DF162A4" w14:textId="77777777" w:rsidR="00F44016" w:rsidRPr="00F44016" w:rsidRDefault="00F44016" w:rsidP="00F44016">
            <w:pPr>
              <w:spacing w:after="0" w:line="240" w:lineRule="auto"/>
              <w:jc w:val="right"/>
              <w:rPr>
                <w:rFonts w:ascii="Times New Roman" w:eastAsia="Times New Roman" w:hAnsi="Times New Roman" w:cs="Times New Roman"/>
                <w:b/>
                <w:bCs/>
                <w:kern w:val="0"/>
                <w:sz w:val="16"/>
                <w:szCs w:val="16"/>
                <w:lang w:eastAsia="es-CO"/>
                <w14:ligatures w14:val="none"/>
              </w:rPr>
            </w:pPr>
            <w:r w:rsidRPr="00F44016">
              <w:rPr>
                <w:rFonts w:ascii="Times New Roman" w:eastAsia="Times New Roman" w:hAnsi="Times New Roman" w:cs="Times New Roman"/>
                <w:b/>
                <w:bCs/>
                <w:kern w:val="0"/>
                <w:sz w:val="16"/>
                <w:szCs w:val="16"/>
                <w:lang w:eastAsia="es-CO"/>
                <w14:ligatures w14:val="none"/>
              </w:rPr>
              <w:t>4.739.831.255.313</w:t>
            </w:r>
          </w:p>
        </w:tc>
      </w:tr>
      <w:tr w:rsidR="00F44016" w:rsidRPr="00F44016" w14:paraId="25B3932E" w14:textId="77777777" w:rsidTr="002D3E9F">
        <w:trPr>
          <w:trHeight w:val="450"/>
        </w:trPr>
        <w:tc>
          <w:tcPr>
            <w:tcW w:w="306" w:type="pct"/>
            <w:noWrap/>
            <w:vAlign w:val="center"/>
            <w:hideMark/>
          </w:tcPr>
          <w:p w14:paraId="7A9E32BB" w14:textId="77777777" w:rsidR="00F44016" w:rsidRPr="00F44016" w:rsidRDefault="00F44016" w:rsidP="00F44016">
            <w:pPr>
              <w:spacing w:after="0" w:line="240" w:lineRule="auto"/>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1.9.89</w:t>
            </w:r>
          </w:p>
        </w:tc>
        <w:tc>
          <w:tcPr>
            <w:tcW w:w="266" w:type="pct"/>
            <w:noWrap/>
            <w:vAlign w:val="center"/>
            <w:hideMark/>
          </w:tcPr>
          <w:p w14:paraId="220D2E0A" w14:textId="77777777" w:rsidR="00F44016" w:rsidRPr="00F44016" w:rsidRDefault="00F44016" w:rsidP="00F44016">
            <w:pPr>
              <w:spacing w:after="0" w:line="240" w:lineRule="auto"/>
              <w:jc w:val="center"/>
              <w:rPr>
                <w:rFonts w:ascii="Times New Roman" w:eastAsia="Times New Roman" w:hAnsi="Times New Roman" w:cs="Times New Roman"/>
                <w:kern w:val="0"/>
                <w:sz w:val="16"/>
                <w:szCs w:val="16"/>
                <w:lang w:eastAsia="es-CO"/>
                <w14:ligatures w14:val="none"/>
              </w:rPr>
            </w:pPr>
            <w:proofErr w:type="spellStart"/>
            <w:r w:rsidRPr="00F44016">
              <w:rPr>
                <w:rFonts w:ascii="Times New Roman" w:eastAsia="Times New Roman" w:hAnsi="Times New Roman" w:cs="Times New Roman"/>
                <w:kern w:val="0"/>
                <w:sz w:val="16"/>
                <w:szCs w:val="16"/>
                <w:lang w:eastAsia="es-CO"/>
                <w14:ligatures w14:val="none"/>
              </w:rPr>
              <w:t>Db</w:t>
            </w:r>
            <w:proofErr w:type="spellEnd"/>
          </w:p>
        </w:tc>
        <w:tc>
          <w:tcPr>
            <w:tcW w:w="2052" w:type="pct"/>
            <w:vAlign w:val="center"/>
            <w:hideMark/>
          </w:tcPr>
          <w:p w14:paraId="6EAC0415" w14:textId="77777777" w:rsidR="00F44016" w:rsidRPr="00F44016" w:rsidRDefault="00F44016" w:rsidP="00F44016">
            <w:pPr>
              <w:spacing w:after="0" w:line="240" w:lineRule="auto"/>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Recursos de la entidad concedente en patrimonios autónomos constituidos por concesionarios privados</w:t>
            </w:r>
          </w:p>
        </w:tc>
        <w:tc>
          <w:tcPr>
            <w:tcW w:w="813" w:type="pct"/>
            <w:noWrap/>
            <w:vAlign w:val="center"/>
            <w:hideMark/>
          </w:tcPr>
          <w:p w14:paraId="58257A49" w14:textId="77777777" w:rsidR="00F44016" w:rsidRPr="00F44016" w:rsidRDefault="00F44016" w:rsidP="00F44016">
            <w:pPr>
              <w:spacing w:after="0" w:line="240" w:lineRule="auto"/>
              <w:jc w:val="right"/>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13.476.398.825.684</w:t>
            </w:r>
          </w:p>
        </w:tc>
        <w:tc>
          <w:tcPr>
            <w:tcW w:w="804" w:type="pct"/>
            <w:noWrap/>
            <w:vAlign w:val="center"/>
            <w:hideMark/>
          </w:tcPr>
          <w:p w14:paraId="30D128A6" w14:textId="77777777" w:rsidR="00F44016" w:rsidRPr="00F44016" w:rsidRDefault="00F44016" w:rsidP="00F44016">
            <w:pPr>
              <w:spacing w:after="0" w:line="240" w:lineRule="auto"/>
              <w:jc w:val="right"/>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9.373.615.238.693</w:t>
            </w:r>
          </w:p>
        </w:tc>
        <w:tc>
          <w:tcPr>
            <w:tcW w:w="759" w:type="pct"/>
            <w:noWrap/>
            <w:vAlign w:val="center"/>
            <w:hideMark/>
          </w:tcPr>
          <w:p w14:paraId="631131E2" w14:textId="77777777" w:rsidR="00F44016" w:rsidRPr="00F44016" w:rsidRDefault="00F44016" w:rsidP="00F44016">
            <w:pPr>
              <w:spacing w:after="0" w:line="240" w:lineRule="auto"/>
              <w:jc w:val="right"/>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4.102.783.586.991</w:t>
            </w:r>
          </w:p>
        </w:tc>
      </w:tr>
      <w:tr w:rsidR="00F44016" w:rsidRPr="00F44016" w14:paraId="2573A2F0" w14:textId="77777777" w:rsidTr="002D3E9F">
        <w:trPr>
          <w:trHeight w:val="300"/>
        </w:trPr>
        <w:tc>
          <w:tcPr>
            <w:tcW w:w="306" w:type="pct"/>
            <w:noWrap/>
            <w:vAlign w:val="center"/>
            <w:hideMark/>
          </w:tcPr>
          <w:p w14:paraId="75220AA6" w14:textId="77777777" w:rsidR="00F44016" w:rsidRPr="00F44016" w:rsidRDefault="00F44016" w:rsidP="00F44016">
            <w:pPr>
              <w:spacing w:after="0" w:line="240" w:lineRule="auto"/>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1.9.08</w:t>
            </w:r>
          </w:p>
        </w:tc>
        <w:tc>
          <w:tcPr>
            <w:tcW w:w="266" w:type="pct"/>
            <w:noWrap/>
            <w:vAlign w:val="center"/>
            <w:hideMark/>
          </w:tcPr>
          <w:p w14:paraId="35FF7253" w14:textId="77777777" w:rsidR="00F44016" w:rsidRPr="00F44016" w:rsidRDefault="00F44016" w:rsidP="00F44016">
            <w:pPr>
              <w:spacing w:after="0" w:line="240" w:lineRule="auto"/>
              <w:jc w:val="center"/>
              <w:rPr>
                <w:rFonts w:ascii="Times New Roman" w:eastAsia="Times New Roman" w:hAnsi="Times New Roman" w:cs="Times New Roman"/>
                <w:kern w:val="0"/>
                <w:sz w:val="16"/>
                <w:szCs w:val="16"/>
                <w:lang w:eastAsia="es-CO"/>
                <w14:ligatures w14:val="none"/>
              </w:rPr>
            </w:pPr>
            <w:proofErr w:type="spellStart"/>
            <w:r w:rsidRPr="00F44016">
              <w:rPr>
                <w:rFonts w:ascii="Times New Roman" w:eastAsia="Times New Roman" w:hAnsi="Times New Roman" w:cs="Times New Roman"/>
                <w:kern w:val="0"/>
                <w:sz w:val="16"/>
                <w:szCs w:val="16"/>
                <w:lang w:eastAsia="es-CO"/>
                <w14:ligatures w14:val="none"/>
              </w:rPr>
              <w:t>Db</w:t>
            </w:r>
            <w:proofErr w:type="spellEnd"/>
          </w:p>
        </w:tc>
        <w:tc>
          <w:tcPr>
            <w:tcW w:w="2052" w:type="pct"/>
            <w:vAlign w:val="center"/>
            <w:hideMark/>
          </w:tcPr>
          <w:p w14:paraId="23D1A2E9" w14:textId="77777777" w:rsidR="00F44016" w:rsidRPr="00F44016" w:rsidRDefault="00F44016" w:rsidP="00F44016">
            <w:pPr>
              <w:spacing w:after="0" w:line="240" w:lineRule="auto"/>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Recursos entregados en administración</w:t>
            </w:r>
          </w:p>
        </w:tc>
        <w:tc>
          <w:tcPr>
            <w:tcW w:w="813" w:type="pct"/>
            <w:noWrap/>
            <w:vAlign w:val="center"/>
            <w:hideMark/>
          </w:tcPr>
          <w:p w14:paraId="3C63866F" w14:textId="77777777" w:rsidR="00F44016" w:rsidRPr="00F44016" w:rsidRDefault="00F44016" w:rsidP="00F44016">
            <w:pPr>
              <w:spacing w:after="0" w:line="240" w:lineRule="auto"/>
              <w:jc w:val="right"/>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7.964.488.989.411</w:t>
            </w:r>
          </w:p>
        </w:tc>
        <w:tc>
          <w:tcPr>
            <w:tcW w:w="804" w:type="pct"/>
            <w:noWrap/>
            <w:vAlign w:val="center"/>
            <w:hideMark/>
          </w:tcPr>
          <w:p w14:paraId="5129163B" w14:textId="77777777" w:rsidR="00F44016" w:rsidRPr="00F44016" w:rsidRDefault="00F44016" w:rsidP="00F44016">
            <w:pPr>
              <w:spacing w:after="0" w:line="240" w:lineRule="auto"/>
              <w:jc w:val="right"/>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7.327.222.038.636</w:t>
            </w:r>
          </w:p>
        </w:tc>
        <w:tc>
          <w:tcPr>
            <w:tcW w:w="759" w:type="pct"/>
            <w:noWrap/>
            <w:vAlign w:val="center"/>
            <w:hideMark/>
          </w:tcPr>
          <w:p w14:paraId="3046C155" w14:textId="77777777" w:rsidR="00F44016" w:rsidRPr="00F44016" w:rsidRDefault="00F44016" w:rsidP="00F44016">
            <w:pPr>
              <w:spacing w:after="0" w:line="240" w:lineRule="auto"/>
              <w:jc w:val="right"/>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637.266.950.775</w:t>
            </w:r>
          </w:p>
        </w:tc>
      </w:tr>
      <w:tr w:rsidR="00F44016" w:rsidRPr="00F44016" w14:paraId="472C64B9" w14:textId="77777777" w:rsidTr="002D3E9F">
        <w:trPr>
          <w:trHeight w:val="300"/>
        </w:trPr>
        <w:tc>
          <w:tcPr>
            <w:tcW w:w="306" w:type="pct"/>
            <w:noWrap/>
            <w:vAlign w:val="center"/>
            <w:hideMark/>
          </w:tcPr>
          <w:p w14:paraId="603E887C" w14:textId="77777777" w:rsidR="00F44016" w:rsidRPr="00F44016" w:rsidRDefault="00F44016" w:rsidP="00F44016">
            <w:pPr>
              <w:spacing w:after="0" w:line="240" w:lineRule="auto"/>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1.9.05</w:t>
            </w:r>
          </w:p>
        </w:tc>
        <w:tc>
          <w:tcPr>
            <w:tcW w:w="266" w:type="pct"/>
            <w:noWrap/>
            <w:vAlign w:val="center"/>
            <w:hideMark/>
          </w:tcPr>
          <w:p w14:paraId="5A06D8D5" w14:textId="77777777" w:rsidR="00F44016" w:rsidRPr="00F44016" w:rsidRDefault="00F44016" w:rsidP="00F44016">
            <w:pPr>
              <w:spacing w:after="0" w:line="240" w:lineRule="auto"/>
              <w:jc w:val="center"/>
              <w:rPr>
                <w:rFonts w:ascii="Times New Roman" w:eastAsia="Times New Roman" w:hAnsi="Times New Roman" w:cs="Times New Roman"/>
                <w:kern w:val="0"/>
                <w:sz w:val="16"/>
                <w:szCs w:val="16"/>
                <w:lang w:eastAsia="es-CO"/>
                <w14:ligatures w14:val="none"/>
              </w:rPr>
            </w:pPr>
            <w:proofErr w:type="spellStart"/>
            <w:r w:rsidRPr="00F44016">
              <w:rPr>
                <w:rFonts w:ascii="Times New Roman" w:eastAsia="Times New Roman" w:hAnsi="Times New Roman" w:cs="Times New Roman"/>
                <w:kern w:val="0"/>
                <w:sz w:val="16"/>
                <w:szCs w:val="16"/>
                <w:lang w:eastAsia="es-CO"/>
                <w14:ligatures w14:val="none"/>
              </w:rPr>
              <w:t>Db</w:t>
            </w:r>
            <w:proofErr w:type="spellEnd"/>
          </w:p>
        </w:tc>
        <w:tc>
          <w:tcPr>
            <w:tcW w:w="2052" w:type="pct"/>
            <w:vAlign w:val="center"/>
            <w:hideMark/>
          </w:tcPr>
          <w:p w14:paraId="53B950C6" w14:textId="77777777" w:rsidR="00F44016" w:rsidRPr="00F44016" w:rsidRDefault="00F44016" w:rsidP="00F44016">
            <w:pPr>
              <w:spacing w:after="0" w:line="240" w:lineRule="auto"/>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Bienes y servicios pagados por anticipado</w:t>
            </w:r>
          </w:p>
        </w:tc>
        <w:tc>
          <w:tcPr>
            <w:tcW w:w="813" w:type="pct"/>
            <w:noWrap/>
            <w:vAlign w:val="center"/>
            <w:hideMark/>
          </w:tcPr>
          <w:p w14:paraId="075C9D44" w14:textId="77777777" w:rsidR="00F44016" w:rsidRPr="00F44016" w:rsidRDefault="00F44016" w:rsidP="00F44016">
            <w:pPr>
              <w:spacing w:after="0" w:line="240" w:lineRule="auto"/>
              <w:jc w:val="right"/>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657.847.359</w:t>
            </w:r>
          </w:p>
        </w:tc>
        <w:tc>
          <w:tcPr>
            <w:tcW w:w="804" w:type="pct"/>
            <w:noWrap/>
            <w:vAlign w:val="center"/>
            <w:hideMark/>
          </w:tcPr>
          <w:p w14:paraId="0709EB4F" w14:textId="77777777" w:rsidR="00F44016" w:rsidRPr="00F44016" w:rsidRDefault="00F44016" w:rsidP="00F44016">
            <w:pPr>
              <w:spacing w:after="0" w:line="240" w:lineRule="auto"/>
              <w:jc w:val="right"/>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877.129.812</w:t>
            </w:r>
          </w:p>
        </w:tc>
        <w:tc>
          <w:tcPr>
            <w:tcW w:w="759" w:type="pct"/>
            <w:noWrap/>
            <w:vAlign w:val="center"/>
            <w:hideMark/>
          </w:tcPr>
          <w:p w14:paraId="2294F29E" w14:textId="77777777" w:rsidR="00F44016" w:rsidRPr="00F44016" w:rsidRDefault="00F44016" w:rsidP="00F44016">
            <w:pPr>
              <w:spacing w:after="0" w:line="240" w:lineRule="auto"/>
              <w:jc w:val="right"/>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-219.282.453</w:t>
            </w:r>
          </w:p>
        </w:tc>
      </w:tr>
      <w:tr w:rsidR="00F44016" w:rsidRPr="00F44016" w14:paraId="53CD7C40" w14:textId="77777777" w:rsidTr="002D3E9F">
        <w:trPr>
          <w:trHeight w:val="300"/>
        </w:trPr>
        <w:tc>
          <w:tcPr>
            <w:tcW w:w="306" w:type="pct"/>
            <w:noWrap/>
            <w:vAlign w:val="center"/>
            <w:hideMark/>
          </w:tcPr>
          <w:p w14:paraId="0D20F86F" w14:textId="77777777" w:rsidR="00F44016" w:rsidRPr="00F44016" w:rsidRDefault="00F44016" w:rsidP="00F44016">
            <w:pPr>
              <w:spacing w:after="0" w:line="240" w:lineRule="auto"/>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1.9.09</w:t>
            </w:r>
          </w:p>
        </w:tc>
        <w:tc>
          <w:tcPr>
            <w:tcW w:w="266" w:type="pct"/>
            <w:noWrap/>
            <w:vAlign w:val="center"/>
            <w:hideMark/>
          </w:tcPr>
          <w:p w14:paraId="44E76B07" w14:textId="77777777" w:rsidR="00F44016" w:rsidRPr="00F44016" w:rsidRDefault="00F44016" w:rsidP="00F44016">
            <w:pPr>
              <w:spacing w:after="0" w:line="240" w:lineRule="auto"/>
              <w:jc w:val="center"/>
              <w:rPr>
                <w:rFonts w:ascii="Times New Roman" w:eastAsia="Times New Roman" w:hAnsi="Times New Roman" w:cs="Times New Roman"/>
                <w:kern w:val="0"/>
                <w:sz w:val="16"/>
                <w:szCs w:val="16"/>
                <w:lang w:eastAsia="es-CO"/>
                <w14:ligatures w14:val="none"/>
              </w:rPr>
            </w:pPr>
            <w:proofErr w:type="spellStart"/>
            <w:r w:rsidRPr="00F44016">
              <w:rPr>
                <w:rFonts w:ascii="Times New Roman" w:eastAsia="Times New Roman" w:hAnsi="Times New Roman" w:cs="Times New Roman"/>
                <w:kern w:val="0"/>
                <w:sz w:val="16"/>
                <w:szCs w:val="16"/>
                <w:lang w:eastAsia="es-CO"/>
                <w14:ligatures w14:val="none"/>
              </w:rPr>
              <w:t>Db</w:t>
            </w:r>
            <w:proofErr w:type="spellEnd"/>
          </w:p>
        </w:tc>
        <w:tc>
          <w:tcPr>
            <w:tcW w:w="2052" w:type="pct"/>
            <w:vAlign w:val="center"/>
            <w:hideMark/>
          </w:tcPr>
          <w:p w14:paraId="7D01C7ED" w14:textId="77777777" w:rsidR="00F44016" w:rsidRPr="00F44016" w:rsidRDefault="00F44016" w:rsidP="00F44016">
            <w:pPr>
              <w:spacing w:after="0" w:line="240" w:lineRule="auto"/>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Depósitos entregados en garantía</w:t>
            </w:r>
          </w:p>
        </w:tc>
        <w:tc>
          <w:tcPr>
            <w:tcW w:w="813" w:type="pct"/>
            <w:noWrap/>
            <w:vAlign w:val="center"/>
            <w:hideMark/>
          </w:tcPr>
          <w:p w14:paraId="485FCDE0" w14:textId="77777777" w:rsidR="00F44016" w:rsidRPr="00F44016" w:rsidRDefault="00F44016" w:rsidP="00F44016">
            <w:pPr>
              <w:spacing w:after="0" w:line="240" w:lineRule="auto"/>
              <w:jc w:val="right"/>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10.200.000</w:t>
            </w:r>
          </w:p>
        </w:tc>
        <w:tc>
          <w:tcPr>
            <w:tcW w:w="804" w:type="pct"/>
            <w:noWrap/>
            <w:vAlign w:val="center"/>
            <w:hideMark/>
          </w:tcPr>
          <w:p w14:paraId="1E69F11B" w14:textId="77777777" w:rsidR="00F44016" w:rsidRPr="00F44016" w:rsidRDefault="00F44016" w:rsidP="00F44016">
            <w:pPr>
              <w:spacing w:after="0" w:line="240" w:lineRule="auto"/>
              <w:jc w:val="right"/>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10.200.000</w:t>
            </w:r>
          </w:p>
        </w:tc>
        <w:tc>
          <w:tcPr>
            <w:tcW w:w="759" w:type="pct"/>
            <w:noWrap/>
            <w:vAlign w:val="center"/>
            <w:hideMark/>
          </w:tcPr>
          <w:p w14:paraId="61534D68" w14:textId="77777777" w:rsidR="00F44016" w:rsidRPr="00F44016" w:rsidRDefault="00F44016" w:rsidP="00F44016">
            <w:pPr>
              <w:spacing w:after="0" w:line="240" w:lineRule="auto"/>
              <w:jc w:val="right"/>
              <w:rPr>
                <w:rFonts w:ascii="Times New Roman" w:eastAsia="Times New Roman" w:hAnsi="Times New Roman" w:cs="Times New Roman"/>
                <w:kern w:val="0"/>
                <w:sz w:val="16"/>
                <w:szCs w:val="16"/>
                <w:lang w:eastAsia="es-CO"/>
                <w14:ligatures w14:val="none"/>
              </w:rPr>
            </w:pPr>
            <w:r w:rsidRPr="00F44016">
              <w:rPr>
                <w:rFonts w:ascii="Times New Roman" w:eastAsia="Times New Roman" w:hAnsi="Times New Roman" w:cs="Times New Roman"/>
                <w:kern w:val="0"/>
                <w:sz w:val="16"/>
                <w:szCs w:val="16"/>
                <w:lang w:eastAsia="es-CO"/>
                <w14:ligatures w14:val="none"/>
              </w:rPr>
              <w:t>0</w:t>
            </w:r>
          </w:p>
        </w:tc>
      </w:tr>
    </w:tbl>
    <w:p w14:paraId="093ADDCA" w14:textId="77777777" w:rsidR="00F44016" w:rsidRPr="002060F2" w:rsidRDefault="00F44016" w:rsidP="00F44016">
      <w:pPr>
        <w:spacing w:after="0" w:line="240" w:lineRule="auto"/>
        <w:jc w:val="both"/>
        <w:rPr>
          <w:rFonts w:ascii="Times New Roman" w:hAnsi="Times New Roman" w:cs="Times New Roman"/>
          <w:sz w:val="16"/>
          <w:szCs w:val="16"/>
        </w:rPr>
      </w:pPr>
      <w:r w:rsidRPr="002060F2">
        <w:rPr>
          <w:rFonts w:ascii="Times New Roman" w:hAnsi="Times New Roman" w:cs="Times New Roman"/>
          <w:sz w:val="16"/>
          <w:szCs w:val="16"/>
        </w:rPr>
        <w:t xml:space="preserve">Cifras en pesos </w:t>
      </w:r>
    </w:p>
    <w:p w14:paraId="3C0BE7C2" w14:textId="77777777" w:rsidR="00D87F41" w:rsidRDefault="00D87F41" w:rsidP="00B6186F">
      <w:pPr>
        <w:rPr>
          <w:rFonts w:ascii="Times New Roman" w:hAnsi="Times New Roman" w:cs="Times New Roman"/>
          <w:b/>
          <w:sz w:val="24"/>
          <w:szCs w:val="24"/>
        </w:rPr>
      </w:pPr>
    </w:p>
    <w:p w14:paraId="7765D8F4" w14:textId="0F888823" w:rsidR="00F44016" w:rsidRPr="00AD7AD7" w:rsidRDefault="00F44016" w:rsidP="00F44016">
      <w:pPr>
        <w:jc w:val="both"/>
        <w:rPr>
          <w:rFonts w:ascii="Times New Roman" w:hAnsi="Times New Roman" w:cs="Times New Roman"/>
          <w:bCs/>
          <w:sz w:val="24"/>
          <w:szCs w:val="24"/>
        </w:rPr>
      </w:pPr>
      <w:r w:rsidRPr="00AD7C5B">
        <w:rPr>
          <w:rFonts w:ascii="Times New Roman" w:hAnsi="Times New Roman" w:cs="Times New Roman"/>
          <w:bCs/>
          <w:sz w:val="24"/>
          <w:szCs w:val="24"/>
        </w:rPr>
        <w:t xml:space="preserve">En este grupo se incluyen </w:t>
      </w:r>
      <w:r w:rsidRPr="00AD7AD7">
        <w:rPr>
          <w:rFonts w:ascii="Times New Roman" w:hAnsi="Times New Roman" w:cs="Times New Roman"/>
          <w:bCs/>
          <w:sz w:val="24"/>
          <w:szCs w:val="24"/>
        </w:rPr>
        <w:t xml:space="preserve">los Recursos de la entidad concedente en patrimonios autónomos constituidos por los concesionarios, los </w:t>
      </w:r>
      <w:r>
        <w:rPr>
          <w:rFonts w:ascii="Times New Roman" w:hAnsi="Times New Roman" w:cs="Times New Roman"/>
          <w:bCs/>
          <w:sz w:val="24"/>
          <w:szCs w:val="24"/>
        </w:rPr>
        <w:t>R</w:t>
      </w:r>
      <w:r w:rsidRPr="00AD7AD7">
        <w:rPr>
          <w:rFonts w:ascii="Times New Roman" w:hAnsi="Times New Roman" w:cs="Times New Roman"/>
          <w:bCs/>
          <w:sz w:val="24"/>
          <w:szCs w:val="24"/>
        </w:rPr>
        <w:t>ecursos entregados en administración, y aquellas cuentas que representan recursos, tangibles e intangibles, que son complementarios para el suministro de bienes, para la prestación de servicios y para propósitos administrativos.</w:t>
      </w:r>
    </w:p>
    <w:p w14:paraId="07DB3633" w14:textId="0092505E" w:rsidR="00F44016" w:rsidRDefault="00195E06" w:rsidP="00B6186F">
      <w:pPr>
        <w:rPr>
          <w:rFonts w:ascii="Times New Roman" w:hAnsi="Times New Roman" w:cs="Times New Roman"/>
          <w:bCs/>
          <w:sz w:val="24"/>
          <w:szCs w:val="24"/>
        </w:rPr>
      </w:pPr>
      <w:r w:rsidRPr="00195E06">
        <w:rPr>
          <w:rFonts w:ascii="Times New Roman" w:hAnsi="Times New Roman" w:cs="Times New Roman"/>
          <w:bCs/>
          <w:sz w:val="24"/>
          <w:szCs w:val="24"/>
        </w:rPr>
        <w:t xml:space="preserve">A continuación, </w:t>
      </w:r>
      <w:r>
        <w:rPr>
          <w:rFonts w:ascii="Times New Roman" w:hAnsi="Times New Roman" w:cs="Times New Roman"/>
          <w:bCs/>
          <w:sz w:val="24"/>
          <w:szCs w:val="24"/>
        </w:rPr>
        <w:t xml:space="preserve">se describe las cuentas y </w:t>
      </w:r>
      <w:r w:rsidR="00887C8A" w:rsidRPr="009D3CD1">
        <w:rPr>
          <w:rFonts w:ascii="Times New Roman" w:hAnsi="Times New Roman" w:cs="Times New Roman"/>
          <w:bCs/>
          <w:sz w:val="24"/>
          <w:szCs w:val="24"/>
        </w:rPr>
        <w:t xml:space="preserve">principales </w:t>
      </w:r>
      <w:r w:rsidRPr="009D3CD1">
        <w:rPr>
          <w:rFonts w:ascii="Times New Roman" w:hAnsi="Times New Roman" w:cs="Times New Roman"/>
          <w:bCs/>
          <w:sz w:val="24"/>
          <w:szCs w:val="24"/>
        </w:rPr>
        <w:t>variaciones presentadas a corte 31 de marzo de 2026, frente a diciembre de 2025:</w:t>
      </w:r>
    </w:p>
    <w:p w14:paraId="586F7D0E" w14:textId="77777777" w:rsidR="00195E06" w:rsidRDefault="00195E06" w:rsidP="00B6186F">
      <w:pPr>
        <w:rPr>
          <w:rFonts w:ascii="Times New Roman" w:hAnsi="Times New Roman" w:cs="Times New Roman"/>
          <w:bCs/>
          <w:sz w:val="24"/>
          <w:szCs w:val="24"/>
        </w:rPr>
      </w:pPr>
    </w:p>
    <w:p w14:paraId="2640866D" w14:textId="0821C94B" w:rsidR="00195E06" w:rsidRPr="009D3CD1" w:rsidRDefault="00195E06" w:rsidP="00195E06">
      <w:pPr>
        <w:jc w:val="both"/>
        <w:rPr>
          <w:rFonts w:ascii="Times New Roman" w:hAnsi="Times New Roman" w:cs="Times New Roman"/>
          <w:bCs/>
          <w:sz w:val="24"/>
          <w:szCs w:val="24"/>
        </w:rPr>
      </w:pPr>
      <w:r w:rsidRPr="009D3CD1">
        <w:rPr>
          <w:rFonts w:ascii="Times New Roman" w:hAnsi="Times New Roman" w:cs="Times New Roman"/>
          <w:bCs/>
          <w:sz w:val="24"/>
          <w:szCs w:val="24"/>
        </w:rPr>
        <w:t>Recursos de la entidad concedente en patrimonios autónomos constituidos por concesionarios privados</w:t>
      </w:r>
      <w:r w:rsidR="009D3CD1">
        <w:rPr>
          <w:rFonts w:ascii="Times New Roman" w:hAnsi="Times New Roman" w:cs="Times New Roman"/>
          <w:bCs/>
          <w:sz w:val="24"/>
          <w:szCs w:val="24"/>
        </w:rPr>
        <w:t>:</w:t>
      </w:r>
    </w:p>
    <w:p w14:paraId="2DD93FD8" w14:textId="77777777" w:rsidR="005945BF" w:rsidRDefault="005945BF" w:rsidP="0056498A">
      <w:pPr>
        <w:jc w:val="both"/>
        <w:rPr>
          <w:rFonts w:ascii="Times New Roman" w:hAnsi="Times New Roman" w:cs="Times New Roman"/>
          <w:bCs/>
          <w:sz w:val="24"/>
          <w:szCs w:val="24"/>
        </w:rPr>
      </w:pPr>
    </w:p>
    <w:p w14:paraId="6E24A9D2" w14:textId="69812BB6" w:rsidR="005945BF" w:rsidRDefault="0056498A" w:rsidP="005945BF">
      <w:pPr>
        <w:pStyle w:val="Default"/>
        <w:jc w:val="both"/>
        <w:rPr>
          <w:rFonts w:ascii="Times New Roman" w:eastAsiaTheme="minorHAnsi" w:hAnsi="Times New Roman" w:cstheme="minorBidi"/>
          <w:color w:val="auto"/>
          <w:kern w:val="2"/>
          <w:lang w:eastAsia="en-US"/>
          <w14:ligatures w14:val="standardContextual"/>
        </w:rPr>
      </w:pPr>
      <w:r>
        <w:rPr>
          <w:rFonts w:ascii="Times New Roman" w:hAnsi="Times New Roman" w:cs="Times New Roman"/>
          <w:bCs/>
        </w:rPr>
        <w:t>El saldo de esta cuenta representa</w:t>
      </w:r>
      <w:r w:rsidRPr="00DD787A">
        <w:rPr>
          <w:rFonts w:ascii="Times New Roman" w:hAnsi="Times New Roman" w:cs="Times New Roman"/>
          <w:bCs/>
        </w:rPr>
        <w:t xml:space="preserve"> </w:t>
      </w:r>
      <w:r w:rsidR="003570CD">
        <w:rPr>
          <w:rFonts w:ascii="Times New Roman" w:hAnsi="Times New Roman" w:cs="Times New Roman"/>
          <w:bCs/>
        </w:rPr>
        <w:t xml:space="preserve">principalmente </w:t>
      </w:r>
      <w:r w:rsidRPr="00DD787A">
        <w:rPr>
          <w:rFonts w:ascii="Times New Roman" w:hAnsi="Times New Roman" w:cs="Times New Roman"/>
          <w:bCs/>
        </w:rPr>
        <w:t xml:space="preserve">los valores pendientes de ejecutar a 31 de </w:t>
      </w:r>
      <w:r>
        <w:rPr>
          <w:rFonts w:ascii="Times New Roman" w:hAnsi="Times New Roman" w:cs="Times New Roman"/>
          <w:bCs/>
        </w:rPr>
        <w:t xml:space="preserve">marzo </w:t>
      </w:r>
      <w:r w:rsidRPr="00DD787A">
        <w:rPr>
          <w:rFonts w:ascii="Times New Roman" w:hAnsi="Times New Roman" w:cs="Times New Roman"/>
          <w:bCs/>
        </w:rPr>
        <w:t>de</w:t>
      </w:r>
      <w:r>
        <w:rPr>
          <w:rFonts w:ascii="Times New Roman" w:hAnsi="Times New Roman" w:cs="Times New Roman"/>
          <w:bCs/>
        </w:rPr>
        <w:t xml:space="preserve"> </w:t>
      </w:r>
      <w:r w:rsidRPr="00DD787A">
        <w:rPr>
          <w:rFonts w:ascii="Times New Roman" w:hAnsi="Times New Roman" w:cs="Times New Roman"/>
          <w:bCs/>
        </w:rPr>
        <w:t>202</w:t>
      </w:r>
      <w:r>
        <w:rPr>
          <w:rFonts w:ascii="Times New Roman" w:hAnsi="Times New Roman" w:cs="Times New Roman"/>
          <w:bCs/>
        </w:rPr>
        <w:t xml:space="preserve">6 </w:t>
      </w:r>
      <w:r w:rsidRPr="00DD787A">
        <w:rPr>
          <w:rFonts w:ascii="Times New Roman" w:hAnsi="Times New Roman" w:cs="Times New Roman"/>
          <w:bCs/>
        </w:rPr>
        <w:t>sobre los recursos entregados en el marco de los contratos de concesión</w:t>
      </w:r>
      <w:r w:rsidR="006209FE">
        <w:rPr>
          <w:rFonts w:ascii="Times New Roman" w:hAnsi="Times New Roman" w:cs="Times New Roman"/>
          <w:bCs/>
        </w:rPr>
        <w:t xml:space="preserve">, así como </w:t>
      </w:r>
      <w:r w:rsidRPr="00DD787A">
        <w:rPr>
          <w:rFonts w:ascii="Times New Roman" w:hAnsi="Times New Roman" w:cs="Times New Roman"/>
          <w:bCs/>
        </w:rPr>
        <w:t>la causación</w:t>
      </w:r>
      <w:r>
        <w:rPr>
          <w:rFonts w:ascii="Times New Roman" w:hAnsi="Times New Roman" w:cs="Times New Roman"/>
          <w:bCs/>
        </w:rPr>
        <w:t xml:space="preserve"> ingresos por </w:t>
      </w:r>
      <w:r w:rsidRPr="00DD787A">
        <w:rPr>
          <w:rFonts w:ascii="Times New Roman" w:hAnsi="Times New Roman" w:cs="Times New Roman"/>
          <w:bCs/>
        </w:rPr>
        <w:t xml:space="preserve">rendimientos </w:t>
      </w:r>
      <w:r>
        <w:rPr>
          <w:rFonts w:ascii="Times New Roman" w:hAnsi="Times New Roman" w:cs="Times New Roman"/>
          <w:bCs/>
        </w:rPr>
        <w:t>para obras menores</w:t>
      </w:r>
      <w:r w:rsidR="006209FE">
        <w:rPr>
          <w:rFonts w:ascii="Times New Roman" w:hAnsi="Times New Roman" w:cs="Times New Roman"/>
          <w:bCs/>
        </w:rPr>
        <w:t>.  Estos recursos</w:t>
      </w:r>
      <w:r w:rsidR="006209FE">
        <w:rPr>
          <w:rFonts w:ascii="Times New Roman" w:eastAsiaTheme="minorHAnsi" w:hAnsi="Times New Roman" w:cstheme="minorBidi"/>
          <w:color w:val="auto"/>
          <w:kern w:val="2"/>
          <w:lang w:eastAsia="en-US"/>
          <w14:ligatures w14:val="standardContextual"/>
        </w:rPr>
        <w:t xml:space="preserve"> no se encuentran disponibles para los concesionarios</w:t>
      </w:r>
      <w:r w:rsidR="005945BF" w:rsidRPr="000923EA">
        <w:rPr>
          <w:rFonts w:ascii="Times New Roman" w:eastAsiaTheme="minorHAnsi" w:hAnsi="Times New Roman" w:cstheme="minorBidi"/>
          <w:color w:val="auto"/>
          <w:kern w:val="2"/>
          <w:lang w:eastAsia="en-US"/>
          <w14:ligatures w14:val="standardContextual"/>
        </w:rPr>
        <w:t xml:space="preserve"> hasta tanto </w:t>
      </w:r>
      <w:r w:rsidR="006209FE">
        <w:rPr>
          <w:rFonts w:ascii="Times New Roman" w:eastAsiaTheme="minorHAnsi" w:hAnsi="Times New Roman" w:cstheme="minorBidi"/>
          <w:color w:val="auto"/>
          <w:kern w:val="2"/>
          <w:lang w:eastAsia="en-US"/>
          <w14:ligatures w14:val="standardContextual"/>
        </w:rPr>
        <w:t>se</w:t>
      </w:r>
      <w:r w:rsidR="005945BF" w:rsidRPr="000923EA">
        <w:rPr>
          <w:rFonts w:ascii="Times New Roman" w:eastAsiaTheme="minorHAnsi" w:hAnsi="Times New Roman" w:cstheme="minorBidi"/>
          <w:color w:val="auto"/>
          <w:kern w:val="2"/>
          <w:lang w:eastAsia="en-US"/>
          <w14:ligatures w14:val="standardContextual"/>
        </w:rPr>
        <w:t xml:space="preserve"> cumpla con los estándares y calidades en la entrega de las unidades</w:t>
      </w:r>
      <w:r w:rsidR="003570CD">
        <w:rPr>
          <w:rFonts w:ascii="Times New Roman" w:eastAsiaTheme="minorHAnsi" w:hAnsi="Times New Roman" w:cstheme="minorBidi"/>
          <w:color w:val="auto"/>
          <w:kern w:val="2"/>
          <w:lang w:eastAsia="en-US"/>
          <w14:ligatures w14:val="standardContextual"/>
        </w:rPr>
        <w:t xml:space="preserve"> </w:t>
      </w:r>
      <w:r w:rsidR="005945BF" w:rsidRPr="000923EA">
        <w:rPr>
          <w:rFonts w:ascii="Times New Roman" w:eastAsiaTheme="minorHAnsi" w:hAnsi="Times New Roman" w:cstheme="minorBidi"/>
          <w:color w:val="auto"/>
          <w:kern w:val="2"/>
          <w:lang w:eastAsia="en-US"/>
          <w14:ligatures w14:val="standardContextual"/>
        </w:rPr>
        <w:t xml:space="preserve">funcionales para su </w:t>
      </w:r>
      <w:r w:rsidR="006209FE">
        <w:rPr>
          <w:rFonts w:ascii="Times New Roman" w:eastAsiaTheme="minorHAnsi" w:hAnsi="Times New Roman" w:cstheme="minorBidi"/>
          <w:color w:val="auto"/>
          <w:kern w:val="2"/>
          <w:lang w:eastAsia="en-US"/>
          <w14:ligatures w14:val="standardContextual"/>
        </w:rPr>
        <w:t xml:space="preserve">respectiva </w:t>
      </w:r>
      <w:r w:rsidR="005945BF" w:rsidRPr="000923EA">
        <w:rPr>
          <w:rFonts w:ascii="Times New Roman" w:eastAsiaTheme="minorHAnsi" w:hAnsi="Times New Roman" w:cstheme="minorBidi"/>
          <w:color w:val="auto"/>
          <w:kern w:val="2"/>
          <w:lang w:eastAsia="en-US"/>
          <w14:ligatures w14:val="standardContextual"/>
        </w:rPr>
        <w:t>retribución</w:t>
      </w:r>
      <w:r w:rsidR="006209FE">
        <w:rPr>
          <w:rFonts w:ascii="Times New Roman" w:eastAsiaTheme="minorHAnsi" w:hAnsi="Times New Roman" w:cstheme="minorBidi"/>
          <w:color w:val="auto"/>
          <w:kern w:val="2"/>
          <w:lang w:eastAsia="en-US"/>
          <w14:ligatures w14:val="standardContextual"/>
        </w:rPr>
        <w:t>,</w:t>
      </w:r>
      <w:r w:rsidR="005945BF" w:rsidRPr="000923EA">
        <w:rPr>
          <w:rFonts w:ascii="Times New Roman" w:eastAsiaTheme="minorHAnsi" w:hAnsi="Times New Roman" w:cstheme="minorBidi"/>
          <w:color w:val="auto"/>
          <w:kern w:val="2"/>
          <w:lang w:eastAsia="en-US"/>
          <w14:ligatures w14:val="standardContextual"/>
        </w:rPr>
        <w:t xml:space="preserve"> o</w:t>
      </w:r>
      <w:r w:rsidR="006209FE">
        <w:rPr>
          <w:rFonts w:ascii="Times New Roman" w:eastAsiaTheme="minorHAnsi" w:hAnsi="Times New Roman" w:cstheme="minorBidi"/>
          <w:color w:val="auto"/>
          <w:kern w:val="2"/>
          <w:lang w:eastAsia="en-US"/>
          <w14:ligatures w14:val="standardContextual"/>
        </w:rPr>
        <w:t xml:space="preserve"> con</w:t>
      </w:r>
      <w:r w:rsidR="005945BF" w:rsidRPr="000923EA">
        <w:rPr>
          <w:rFonts w:ascii="Times New Roman" w:eastAsiaTheme="minorHAnsi" w:hAnsi="Times New Roman" w:cstheme="minorBidi"/>
          <w:color w:val="auto"/>
          <w:kern w:val="2"/>
          <w:lang w:eastAsia="en-US"/>
          <w14:ligatures w14:val="standardContextual"/>
        </w:rPr>
        <w:t xml:space="preserve"> lo pactado contractualmente.</w:t>
      </w:r>
    </w:p>
    <w:p w14:paraId="120E785A" w14:textId="0F93D2C8" w:rsidR="005945BF" w:rsidRDefault="005945BF" w:rsidP="0056498A">
      <w:pPr>
        <w:jc w:val="both"/>
        <w:rPr>
          <w:rFonts w:ascii="Times New Roman" w:hAnsi="Times New Roman" w:cs="Times New Roman"/>
          <w:bCs/>
          <w:sz w:val="24"/>
          <w:szCs w:val="24"/>
        </w:rPr>
      </w:pPr>
    </w:p>
    <w:p w14:paraId="529BA84B" w14:textId="77777777" w:rsidR="006209FE" w:rsidRDefault="005945BF" w:rsidP="0056498A">
      <w:pPr>
        <w:jc w:val="both"/>
        <w:rPr>
          <w:rFonts w:ascii="Times New Roman" w:hAnsi="Times New Roman" w:cs="Times New Roman"/>
          <w:bCs/>
          <w:sz w:val="24"/>
          <w:szCs w:val="24"/>
        </w:rPr>
      </w:pPr>
      <w:r>
        <w:rPr>
          <w:rFonts w:ascii="Times New Roman" w:hAnsi="Times New Roman" w:cs="Times New Roman"/>
          <w:bCs/>
          <w:sz w:val="24"/>
          <w:szCs w:val="24"/>
        </w:rPr>
        <w:t>La cuenta</w:t>
      </w:r>
      <w:r w:rsidR="0056498A">
        <w:rPr>
          <w:rFonts w:ascii="Times New Roman" w:hAnsi="Times New Roman" w:cs="Times New Roman"/>
          <w:bCs/>
          <w:sz w:val="24"/>
          <w:szCs w:val="24"/>
        </w:rPr>
        <w:t xml:space="preserve"> </w:t>
      </w:r>
      <w:r w:rsidR="00195E06">
        <w:rPr>
          <w:rFonts w:ascii="Times New Roman" w:hAnsi="Times New Roman" w:cs="Times New Roman"/>
          <w:bCs/>
          <w:sz w:val="24"/>
          <w:szCs w:val="24"/>
        </w:rPr>
        <w:t>presenta una variación neta de $</w:t>
      </w:r>
      <w:r w:rsidR="00195E06" w:rsidRPr="00195E06">
        <w:rPr>
          <w:rFonts w:ascii="Times New Roman" w:hAnsi="Times New Roman" w:cs="Times New Roman"/>
          <w:bCs/>
          <w:sz w:val="24"/>
          <w:szCs w:val="24"/>
        </w:rPr>
        <w:t>4.102.783.586.991</w:t>
      </w:r>
      <w:r w:rsidR="00195E06">
        <w:rPr>
          <w:rFonts w:ascii="Times New Roman" w:hAnsi="Times New Roman" w:cs="Times New Roman"/>
          <w:bCs/>
          <w:sz w:val="24"/>
          <w:szCs w:val="24"/>
        </w:rPr>
        <w:t xml:space="preserve"> con relación a diciembre de 2025, </w:t>
      </w:r>
      <w:r w:rsidR="006209FE">
        <w:rPr>
          <w:rFonts w:ascii="Times New Roman" w:hAnsi="Times New Roman" w:cs="Times New Roman"/>
          <w:bCs/>
          <w:sz w:val="24"/>
          <w:szCs w:val="24"/>
        </w:rPr>
        <w:t xml:space="preserve">originada </w:t>
      </w:r>
      <w:r w:rsidR="00195E06">
        <w:rPr>
          <w:rFonts w:ascii="Times New Roman" w:hAnsi="Times New Roman" w:cs="Times New Roman"/>
          <w:bCs/>
          <w:sz w:val="24"/>
          <w:szCs w:val="24"/>
        </w:rPr>
        <w:t>por</w:t>
      </w:r>
      <w:r w:rsidR="006209FE">
        <w:rPr>
          <w:rFonts w:ascii="Times New Roman" w:hAnsi="Times New Roman" w:cs="Times New Roman"/>
          <w:bCs/>
          <w:sz w:val="24"/>
          <w:szCs w:val="24"/>
        </w:rPr>
        <w:t>:</w:t>
      </w:r>
    </w:p>
    <w:p w14:paraId="6C3B1160" w14:textId="77777777" w:rsidR="006209FE" w:rsidRDefault="006209FE" w:rsidP="006209FE">
      <w:pPr>
        <w:pStyle w:val="Prrafodelista"/>
        <w:numPr>
          <w:ilvl w:val="0"/>
          <w:numId w:val="25"/>
        </w:numPr>
        <w:jc w:val="both"/>
        <w:rPr>
          <w:bCs/>
        </w:rPr>
      </w:pPr>
      <w:r>
        <w:rPr>
          <w:bCs/>
        </w:rPr>
        <w:t>P</w:t>
      </w:r>
      <w:r w:rsidR="0056498A" w:rsidRPr="006209FE">
        <w:rPr>
          <w:bCs/>
        </w:rPr>
        <w:t>ago de las vigencias futuras (aportes</w:t>
      </w:r>
      <w:r w:rsidR="00A6228E" w:rsidRPr="006209FE">
        <w:rPr>
          <w:bCs/>
        </w:rPr>
        <w:t xml:space="preserve"> estatales</w:t>
      </w:r>
      <w:r w:rsidR="0056498A" w:rsidRPr="006209FE">
        <w:rPr>
          <w:bCs/>
        </w:rPr>
        <w:t xml:space="preserve">) para los </w:t>
      </w:r>
      <w:r w:rsidR="005945BF" w:rsidRPr="006209FE">
        <w:rPr>
          <w:bCs/>
        </w:rPr>
        <w:t xml:space="preserve">proyectos </w:t>
      </w:r>
      <w:r w:rsidR="0056498A" w:rsidRPr="006209FE">
        <w:rPr>
          <w:bCs/>
        </w:rPr>
        <w:t>de concesión</w:t>
      </w:r>
      <w:r w:rsidR="005945BF" w:rsidRPr="006209FE">
        <w:rPr>
          <w:bCs/>
        </w:rPr>
        <w:t xml:space="preserve"> del modo carretero y fluvial</w:t>
      </w:r>
      <w:r>
        <w:rPr>
          <w:bCs/>
        </w:rPr>
        <w:t>,</w:t>
      </w:r>
      <w:r w:rsidR="005945BF" w:rsidRPr="006209FE">
        <w:rPr>
          <w:bCs/>
        </w:rPr>
        <w:t xml:space="preserve"> por valor de $4.436.192.014.856</w:t>
      </w:r>
      <w:r>
        <w:rPr>
          <w:bCs/>
        </w:rPr>
        <w:t>.</w:t>
      </w:r>
    </w:p>
    <w:p w14:paraId="54EDD327" w14:textId="01623AEC" w:rsidR="006209FE" w:rsidRDefault="006209FE" w:rsidP="006209FE">
      <w:pPr>
        <w:pStyle w:val="Prrafodelista"/>
        <w:numPr>
          <w:ilvl w:val="0"/>
          <w:numId w:val="25"/>
        </w:numPr>
        <w:jc w:val="both"/>
        <w:rPr>
          <w:bCs/>
        </w:rPr>
      </w:pPr>
      <w:r w:rsidRPr="006209FE">
        <w:rPr>
          <w:bCs/>
        </w:rPr>
        <w:t>La ejecución de recursos por valor de $</w:t>
      </w:r>
      <w:r>
        <w:rPr>
          <w:bCs/>
        </w:rPr>
        <w:t>-</w:t>
      </w:r>
      <w:r w:rsidRPr="006209FE">
        <w:rPr>
          <w:bCs/>
        </w:rPr>
        <w:t>335.269.010.463.</w:t>
      </w:r>
    </w:p>
    <w:p w14:paraId="23E67199" w14:textId="098F2638" w:rsidR="006209FE" w:rsidRDefault="0027747A" w:rsidP="006209FE">
      <w:pPr>
        <w:pStyle w:val="Prrafodelista"/>
        <w:numPr>
          <w:ilvl w:val="0"/>
          <w:numId w:val="25"/>
        </w:numPr>
        <w:jc w:val="both"/>
        <w:rPr>
          <w:bCs/>
        </w:rPr>
      </w:pPr>
      <w:r>
        <w:rPr>
          <w:bCs/>
        </w:rPr>
        <w:t xml:space="preserve">El registro </w:t>
      </w:r>
      <w:r w:rsidR="005945BF" w:rsidRPr="006209FE">
        <w:rPr>
          <w:bCs/>
        </w:rPr>
        <w:t>de</w:t>
      </w:r>
      <w:r w:rsidR="007D51D3">
        <w:rPr>
          <w:bCs/>
        </w:rPr>
        <w:t xml:space="preserve"> los</w:t>
      </w:r>
      <w:r w:rsidR="005945BF" w:rsidRPr="006209FE">
        <w:rPr>
          <w:bCs/>
        </w:rPr>
        <w:t xml:space="preserve"> rendimientos financieros </w:t>
      </w:r>
      <w:r w:rsidR="007D51D3">
        <w:rPr>
          <w:bCs/>
        </w:rPr>
        <w:t>correspondientes a</w:t>
      </w:r>
      <w:r w:rsidR="002F422E" w:rsidRPr="006209FE">
        <w:rPr>
          <w:bCs/>
        </w:rPr>
        <w:t xml:space="preserve"> obras menores </w:t>
      </w:r>
      <w:r w:rsidR="005945BF" w:rsidRPr="006209FE">
        <w:rPr>
          <w:bCs/>
        </w:rPr>
        <w:t>del</w:t>
      </w:r>
      <w:r w:rsidR="007D51D3">
        <w:rPr>
          <w:bCs/>
        </w:rPr>
        <w:t xml:space="preserve"> año</w:t>
      </w:r>
      <w:r w:rsidR="005945BF" w:rsidRPr="006209FE">
        <w:rPr>
          <w:bCs/>
        </w:rPr>
        <w:t xml:space="preserve"> 2025</w:t>
      </w:r>
      <w:r w:rsidR="007D51D3">
        <w:rPr>
          <w:bCs/>
        </w:rPr>
        <w:t>,</w:t>
      </w:r>
      <w:r w:rsidR="005945BF" w:rsidRPr="006209FE">
        <w:rPr>
          <w:bCs/>
        </w:rPr>
        <w:t xml:space="preserve"> por valor de $</w:t>
      </w:r>
      <w:r w:rsidR="002F422E" w:rsidRPr="006209FE">
        <w:rPr>
          <w:bCs/>
        </w:rPr>
        <w:t>1.866.860.360</w:t>
      </w:r>
      <w:r w:rsidR="00DC0ED4" w:rsidRPr="00DC0ED4">
        <w:rPr>
          <w:bCs/>
        </w:rPr>
        <w:t xml:space="preserve"> </w:t>
      </w:r>
      <w:r w:rsidR="00DC0ED4" w:rsidRPr="006209FE">
        <w:rPr>
          <w:bCs/>
        </w:rPr>
        <w:t xml:space="preserve">proyecto Rumichaca </w:t>
      </w:r>
      <w:r w:rsidR="00DC0ED4">
        <w:rPr>
          <w:bCs/>
        </w:rPr>
        <w:t xml:space="preserve">- </w:t>
      </w:r>
      <w:r w:rsidR="00DC0ED4" w:rsidRPr="006209FE">
        <w:rPr>
          <w:bCs/>
        </w:rPr>
        <w:t xml:space="preserve">Pasto, CONCESIONARIA </w:t>
      </w:r>
      <w:r w:rsidR="00DC0ED4" w:rsidRPr="006209FE">
        <w:rPr>
          <w:bCs/>
        </w:rPr>
        <w:lastRenderedPageBreak/>
        <w:t>VIAL UNIÓN DEL SUR S.A.S</w:t>
      </w:r>
      <w:r w:rsidR="002F422E" w:rsidRPr="006209FE">
        <w:rPr>
          <w:bCs/>
        </w:rPr>
        <w:t xml:space="preserve">, </w:t>
      </w:r>
      <w:r w:rsidR="007D51D3" w:rsidRPr="007D51D3">
        <w:rPr>
          <w:bCs/>
        </w:rPr>
        <w:t>que no fueron reconocidos en el cierre contable de 2025</w:t>
      </w:r>
      <w:r w:rsidR="00DC0ED4">
        <w:rPr>
          <w:bCs/>
        </w:rPr>
        <w:t xml:space="preserve"> y</w:t>
      </w:r>
      <w:r>
        <w:rPr>
          <w:bCs/>
        </w:rPr>
        <w:t xml:space="preserve"> se </w:t>
      </w:r>
      <w:r w:rsidR="007D51D3">
        <w:rPr>
          <w:bCs/>
        </w:rPr>
        <w:t>efectuó</w:t>
      </w:r>
      <w:r w:rsidR="0083706E" w:rsidRPr="006209FE">
        <w:rPr>
          <w:bCs/>
        </w:rPr>
        <w:t xml:space="preserve"> contra el patrimonio</w:t>
      </w:r>
      <w:r w:rsidR="002F422E" w:rsidRPr="006209FE">
        <w:rPr>
          <w:bCs/>
        </w:rPr>
        <w:t>.</w:t>
      </w:r>
    </w:p>
    <w:p w14:paraId="505D4DD8" w14:textId="77777777" w:rsidR="006209FE" w:rsidRDefault="006209FE" w:rsidP="006209FE">
      <w:pPr>
        <w:pStyle w:val="Prrafodelista"/>
        <w:numPr>
          <w:ilvl w:val="0"/>
          <w:numId w:val="25"/>
        </w:numPr>
        <w:jc w:val="both"/>
        <w:rPr>
          <w:bCs/>
        </w:rPr>
      </w:pPr>
      <w:r>
        <w:rPr>
          <w:bCs/>
        </w:rPr>
        <w:t xml:space="preserve">Los </w:t>
      </w:r>
      <w:r w:rsidR="002F422E" w:rsidRPr="006209FE">
        <w:rPr>
          <w:bCs/>
        </w:rPr>
        <w:t xml:space="preserve">rendimientos financieros de la Red Férrea del Pacífico por valor de $84.657, </w:t>
      </w:r>
    </w:p>
    <w:p w14:paraId="528BBE42" w14:textId="6788F8F6" w:rsidR="00195E06" w:rsidRDefault="006209FE" w:rsidP="006209FE">
      <w:pPr>
        <w:pStyle w:val="Prrafodelista"/>
        <w:numPr>
          <w:ilvl w:val="0"/>
          <w:numId w:val="25"/>
        </w:numPr>
        <w:jc w:val="both"/>
        <w:rPr>
          <w:bCs/>
        </w:rPr>
      </w:pPr>
      <w:r>
        <w:rPr>
          <w:bCs/>
        </w:rPr>
        <w:t>U</w:t>
      </w:r>
      <w:r w:rsidR="00F27B0F" w:rsidRPr="006209FE">
        <w:rPr>
          <w:bCs/>
        </w:rPr>
        <w:t xml:space="preserve">n valor neto de $-6.362.419 por </w:t>
      </w:r>
      <w:r w:rsidR="00C878C5" w:rsidRPr="006209FE">
        <w:rPr>
          <w:bCs/>
        </w:rPr>
        <w:t xml:space="preserve">causaciones </w:t>
      </w:r>
      <w:r w:rsidR="00A619C4" w:rsidRPr="006209FE">
        <w:rPr>
          <w:bCs/>
        </w:rPr>
        <w:t>y recaudos</w:t>
      </w:r>
      <w:r w:rsidR="00C878C5" w:rsidRPr="006209FE">
        <w:rPr>
          <w:bCs/>
        </w:rPr>
        <w:t xml:space="preserve"> de ingresos férreos a nombre de CITITRUST COLOMBIA S.A SOCIEDAD FIDUCIARIA.</w:t>
      </w:r>
    </w:p>
    <w:p w14:paraId="2CD0A9E6" w14:textId="77777777" w:rsidR="006209FE" w:rsidRPr="006209FE" w:rsidRDefault="006209FE" w:rsidP="006209FE">
      <w:pPr>
        <w:ind w:left="360"/>
        <w:jc w:val="both"/>
        <w:rPr>
          <w:bCs/>
        </w:rPr>
      </w:pPr>
    </w:p>
    <w:p w14:paraId="60176CA5" w14:textId="63DFF958" w:rsidR="00A6228E" w:rsidRDefault="00A6228E" w:rsidP="0056498A">
      <w:pPr>
        <w:jc w:val="both"/>
        <w:rPr>
          <w:rFonts w:ascii="Times New Roman" w:hAnsi="Times New Roman" w:cs="Times New Roman"/>
          <w:bCs/>
          <w:sz w:val="24"/>
          <w:szCs w:val="24"/>
        </w:rPr>
      </w:pPr>
      <w:r>
        <w:rPr>
          <w:rFonts w:ascii="Times New Roman" w:hAnsi="Times New Roman" w:cs="Times New Roman"/>
          <w:bCs/>
          <w:sz w:val="24"/>
          <w:szCs w:val="24"/>
        </w:rPr>
        <w:t xml:space="preserve">En el siguiente cuadro, </w:t>
      </w:r>
      <w:r w:rsidRPr="00A6228E">
        <w:rPr>
          <w:rFonts w:ascii="Times New Roman" w:hAnsi="Times New Roman" w:cs="Times New Roman"/>
          <w:bCs/>
          <w:sz w:val="24"/>
          <w:szCs w:val="24"/>
        </w:rPr>
        <w:t>se presentan</w:t>
      </w:r>
      <w:r w:rsidR="00F57238">
        <w:rPr>
          <w:rFonts w:ascii="Times New Roman" w:hAnsi="Times New Roman" w:cs="Times New Roman"/>
          <w:bCs/>
          <w:sz w:val="24"/>
          <w:szCs w:val="24"/>
        </w:rPr>
        <w:t xml:space="preserve"> los valores de los aportes estatales transferidos a los patrimonios autónomos en el primer trimestre del 2026:</w:t>
      </w:r>
    </w:p>
    <w:p w14:paraId="7CC710DA" w14:textId="77777777" w:rsidR="00F57238" w:rsidRDefault="00F57238" w:rsidP="0056498A">
      <w:pPr>
        <w:jc w:val="both"/>
        <w:rPr>
          <w:rFonts w:ascii="Times New Roman" w:hAnsi="Times New Roman" w:cs="Times New Roman"/>
          <w:bCs/>
          <w:sz w:val="24"/>
          <w:szCs w:val="24"/>
        </w:rPr>
      </w:pP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5111"/>
        <w:gridCol w:w="2030"/>
      </w:tblGrid>
      <w:tr w:rsidR="00F57238" w:rsidRPr="00FE7D4D" w14:paraId="3815F439" w14:textId="77777777" w:rsidTr="00290C50">
        <w:trPr>
          <w:trHeight w:val="300"/>
          <w:tblHeader/>
          <w:jc w:val="center"/>
        </w:trPr>
        <w:tc>
          <w:tcPr>
            <w:tcW w:w="0" w:type="auto"/>
            <w:gridSpan w:val="2"/>
            <w:noWrap/>
            <w:vAlign w:val="bottom"/>
            <w:hideMark/>
          </w:tcPr>
          <w:p w14:paraId="75D644AF" w14:textId="77777777" w:rsidR="00F57238" w:rsidRPr="00FE7D4D" w:rsidRDefault="00F57238" w:rsidP="00F57238">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FE7D4D">
              <w:rPr>
                <w:rFonts w:ascii="Times New Roman" w:eastAsia="Times New Roman" w:hAnsi="Times New Roman" w:cs="Times New Roman"/>
                <w:b/>
                <w:bCs/>
                <w:color w:val="000000"/>
                <w:kern w:val="0"/>
                <w:sz w:val="18"/>
                <w:szCs w:val="18"/>
                <w:lang w:eastAsia="es-CO"/>
                <w14:ligatures w14:val="none"/>
              </w:rPr>
              <w:t>Aportes estatales - enero a marzo de 2026</w:t>
            </w:r>
          </w:p>
        </w:tc>
      </w:tr>
      <w:tr w:rsidR="00F57238" w:rsidRPr="00FE7D4D" w14:paraId="65BB9B96" w14:textId="77777777" w:rsidTr="00290C50">
        <w:trPr>
          <w:trHeight w:val="300"/>
          <w:tblHeader/>
          <w:jc w:val="center"/>
        </w:trPr>
        <w:tc>
          <w:tcPr>
            <w:tcW w:w="0" w:type="auto"/>
            <w:gridSpan w:val="2"/>
            <w:noWrap/>
            <w:vAlign w:val="bottom"/>
            <w:hideMark/>
          </w:tcPr>
          <w:p w14:paraId="3D46F1EB" w14:textId="77777777" w:rsidR="00F57238" w:rsidRPr="00FE7D4D" w:rsidRDefault="00F57238" w:rsidP="00F57238">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FE7D4D">
              <w:rPr>
                <w:rFonts w:ascii="Times New Roman" w:eastAsia="Times New Roman" w:hAnsi="Times New Roman" w:cs="Times New Roman"/>
                <w:b/>
                <w:bCs/>
                <w:color w:val="000000"/>
                <w:kern w:val="0"/>
                <w:sz w:val="18"/>
                <w:szCs w:val="18"/>
                <w:lang w:eastAsia="es-CO"/>
                <w14:ligatures w14:val="none"/>
              </w:rPr>
              <w:t>(Cifras expresadas en pesos colombianos)</w:t>
            </w:r>
          </w:p>
        </w:tc>
      </w:tr>
      <w:tr w:rsidR="00F57238" w:rsidRPr="00FE7D4D" w14:paraId="61848B8E" w14:textId="77777777" w:rsidTr="00290C50">
        <w:trPr>
          <w:trHeight w:val="300"/>
          <w:tblHeader/>
          <w:jc w:val="center"/>
        </w:trPr>
        <w:tc>
          <w:tcPr>
            <w:tcW w:w="0" w:type="auto"/>
            <w:noWrap/>
            <w:vAlign w:val="bottom"/>
            <w:hideMark/>
          </w:tcPr>
          <w:p w14:paraId="694CB3D0" w14:textId="77777777" w:rsidR="00F57238" w:rsidRPr="00FE7D4D" w:rsidRDefault="00F57238" w:rsidP="00F57238">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FE7D4D">
              <w:rPr>
                <w:rFonts w:ascii="Times New Roman" w:eastAsia="Times New Roman" w:hAnsi="Times New Roman" w:cs="Times New Roman"/>
                <w:b/>
                <w:bCs/>
                <w:color w:val="000000"/>
                <w:kern w:val="0"/>
                <w:sz w:val="18"/>
                <w:szCs w:val="18"/>
                <w:lang w:eastAsia="es-CO"/>
                <w14:ligatures w14:val="none"/>
              </w:rPr>
              <w:t>Tercero</w:t>
            </w:r>
          </w:p>
        </w:tc>
        <w:tc>
          <w:tcPr>
            <w:tcW w:w="0" w:type="auto"/>
            <w:noWrap/>
            <w:vAlign w:val="bottom"/>
            <w:hideMark/>
          </w:tcPr>
          <w:p w14:paraId="3E9B2919" w14:textId="77777777" w:rsidR="00F57238" w:rsidRPr="00FE7D4D" w:rsidRDefault="00F57238" w:rsidP="00F57238">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FE7D4D">
              <w:rPr>
                <w:rFonts w:ascii="Times New Roman" w:eastAsia="Times New Roman" w:hAnsi="Times New Roman" w:cs="Times New Roman"/>
                <w:b/>
                <w:bCs/>
                <w:color w:val="000000"/>
                <w:kern w:val="0"/>
                <w:sz w:val="18"/>
                <w:szCs w:val="18"/>
                <w:lang w:eastAsia="es-CO"/>
                <w14:ligatures w14:val="none"/>
              </w:rPr>
              <w:t>Valor aporte</w:t>
            </w:r>
          </w:p>
        </w:tc>
      </w:tr>
      <w:tr w:rsidR="00FE7D4D" w:rsidRPr="00FE7D4D" w14:paraId="71E9161C" w14:textId="77777777" w:rsidTr="00BD1EEA">
        <w:trPr>
          <w:trHeight w:val="300"/>
          <w:jc w:val="center"/>
        </w:trPr>
        <w:tc>
          <w:tcPr>
            <w:tcW w:w="0" w:type="auto"/>
            <w:noWrap/>
            <w:hideMark/>
          </w:tcPr>
          <w:p w14:paraId="34EAC0DF" w14:textId="15BBA59A"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DESARROLLO VIAL AL MAR   S.A.S</w:t>
            </w:r>
          </w:p>
        </w:tc>
        <w:tc>
          <w:tcPr>
            <w:tcW w:w="0" w:type="auto"/>
            <w:noWrap/>
            <w:hideMark/>
          </w:tcPr>
          <w:p w14:paraId="2CF5EF46" w14:textId="7BC5EDA7"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417.578.210.828</w:t>
            </w:r>
          </w:p>
        </w:tc>
      </w:tr>
      <w:tr w:rsidR="00FE7D4D" w:rsidRPr="00FE7D4D" w14:paraId="54729046" w14:textId="77777777" w:rsidTr="00BD1EEA">
        <w:trPr>
          <w:trHeight w:val="300"/>
          <w:jc w:val="center"/>
        </w:trPr>
        <w:tc>
          <w:tcPr>
            <w:tcW w:w="0" w:type="auto"/>
            <w:noWrap/>
            <w:hideMark/>
          </w:tcPr>
          <w:p w14:paraId="16022D88" w14:textId="3C34775A"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AUTOPISTAS   URABA   SAS</w:t>
            </w:r>
          </w:p>
        </w:tc>
        <w:tc>
          <w:tcPr>
            <w:tcW w:w="0" w:type="auto"/>
            <w:noWrap/>
            <w:hideMark/>
          </w:tcPr>
          <w:p w14:paraId="6C996989" w14:textId="247D9DB9"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415.562.673.335</w:t>
            </w:r>
          </w:p>
        </w:tc>
      </w:tr>
      <w:tr w:rsidR="00FE7D4D" w:rsidRPr="00FE7D4D" w14:paraId="619C26CD" w14:textId="77777777" w:rsidTr="00BD1EEA">
        <w:trPr>
          <w:trHeight w:val="300"/>
          <w:jc w:val="center"/>
        </w:trPr>
        <w:tc>
          <w:tcPr>
            <w:tcW w:w="0" w:type="auto"/>
            <w:noWrap/>
            <w:hideMark/>
          </w:tcPr>
          <w:p w14:paraId="4A15AFA9" w14:textId="0144B6C8"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CONCESIONARIA VIAL DEL PACIFICO S A S</w:t>
            </w:r>
          </w:p>
        </w:tc>
        <w:tc>
          <w:tcPr>
            <w:tcW w:w="0" w:type="auto"/>
            <w:noWrap/>
            <w:hideMark/>
          </w:tcPr>
          <w:p w14:paraId="3D00C541" w14:textId="535158AC"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336.662.223.420</w:t>
            </w:r>
          </w:p>
        </w:tc>
      </w:tr>
      <w:tr w:rsidR="00FE7D4D" w:rsidRPr="00FE7D4D" w14:paraId="3CE1C168" w14:textId="77777777" w:rsidTr="00BD1EEA">
        <w:trPr>
          <w:trHeight w:val="300"/>
          <w:jc w:val="center"/>
        </w:trPr>
        <w:tc>
          <w:tcPr>
            <w:tcW w:w="0" w:type="auto"/>
            <w:noWrap/>
            <w:hideMark/>
          </w:tcPr>
          <w:p w14:paraId="3E897EA8" w14:textId="58830E1C"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CONCESIONARIA VIAL UNIÓN DEL SUR S.A.S.</w:t>
            </w:r>
          </w:p>
        </w:tc>
        <w:tc>
          <w:tcPr>
            <w:tcW w:w="0" w:type="auto"/>
            <w:noWrap/>
            <w:hideMark/>
          </w:tcPr>
          <w:p w14:paraId="3BCCDA5C" w14:textId="2E2AF1C2"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332.770.586.993</w:t>
            </w:r>
          </w:p>
        </w:tc>
      </w:tr>
      <w:tr w:rsidR="00FE7D4D" w:rsidRPr="00FE7D4D" w14:paraId="756CB82C" w14:textId="77777777" w:rsidTr="00BD1EEA">
        <w:trPr>
          <w:trHeight w:val="300"/>
          <w:jc w:val="center"/>
        </w:trPr>
        <w:tc>
          <w:tcPr>
            <w:tcW w:w="0" w:type="auto"/>
            <w:noWrap/>
            <w:hideMark/>
          </w:tcPr>
          <w:p w14:paraId="3BC57F49" w14:textId="72BB4438"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AUTOPISTA RIO MAGDALENA S A S</w:t>
            </w:r>
          </w:p>
        </w:tc>
        <w:tc>
          <w:tcPr>
            <w:tcW w:w="0" w:type="auto"/>
            <w:noWrap/>
            <w:hideMark/>
          </w:tcPr>
          <w:p w14:paraId="22B0D875" w14:textId="2F2F994D"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315.390.302.635</w:t>
            </w:r>
          </w:p>
        </w:tc>
      </w:tr>
      <w:tr w:rsidR="00FE7D4D" w:rsidRPr="00FE7D4D" w14:paraId="62812299" w14:textId="77777777" w:rsidTr="00BD1EEA">
        <w:trPr>
          <w:trHeight w:val="300"/>
          <w:jc w:val="center"/>
        </w:trPr>
        <w:tc>
          <w:tcPr>
            <w:tcW w:w="0" w:type="auto"/>
            <w:noWrap/>
            <w:hideMark/>
          </w:tcPr>
          <w:p w14:paraId="66E26E9C" w14:textId="655C5FC8"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UNION VIAL RIO PAMPLONITA SAS</w:t>
            </w:r>
          </w:p>
        </w:tc>
        <w:tc>
          <w:tcPr>
            <w:tcW w:w="0" w:type="auto"/>
            <w:noWrap/>
            <w:hideMark/>
          </w:tcPr>
          <w:p w14:paraId="17BA55FA" w14:textId="7F6984F3"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292.879.068.220</w:t>
            </w:r>
          </w:p>
        </w:tc>
      </w:tr>
      <w:tr w:rsidR="00FE7D4D" w:rsidRPr="00FE7D4D" w14:paraId="74DF4324" w14:textId="77777777" w:rsidTr="00BD1EEA">
        <w:trPr>
          <w:trHeight w:val="300"/>
          <w:jc w:val="center"/>
        </w:trPr>
        <w:tc>
          <w:tcPr>
            <w:tcW w:w="0" w:type="auto"/>
            <w:noWrap/>
            <w:hideMark/>
          </w:tcPr>
          <w:p w14:paraId="0F192C10" w14:textId="3D271180"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CONCESIONARIA RUTA AL SUR S.A.S.</w:t>
            </w:r>
          </w:p>
        </w:tc>
        <w:tc>
          <w:tcPr>
            <w:tcW w:w="0" w:type="auto"/>
            <w:noWrap/>
            <w:hideMark/>
          </w:tcPr>
          <w:p w14:paraId="53BC2B8B" w14:textId="3E2C5E8D"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289.293.164.374</w:t>
            </w:r>
          </w:p>
        </w:tc>
      </w:tr>
      <w:tr w:rsidR="00FE7D4D" w:rsidRPr="00FE7D4D" w14:paraId="18521273" w14:textId="77777777" w:rsidTr="00BD1EEA">
        <w:trPr>
          <w:trHeight w:val="300"/>
          <w:jc w:val="center"/>
        </w:trPr>
        <w:tc>
          <w:tcPr>
            <w:tcW w:w="0" w:type="auto"/>
            <w:noWrap/>
            <w:hideMark/>
          </w:tcPr>
          <w:p w14:paraId="341FBF81" w14:textId="32C33891"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CONCESIONARIA VIAL DEL ORIENTE S A S</w:t>
            </w:r>
          </w:p>
        </w:tc>
        <w:tc>
          <w:tcPr>
            <w:tcW w:w="0" w:type="auto"/>
            <w:noWrap/>
            <w:hideMark/>
          </w:tcPr>
          <w:p w14:paraId="4102826B" w14:textId="5C0AF857"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274.591.623.317</w:t>
            </w:r>
          </w:p>
        </w:tc>
      </w:tr>
      <w:tr w:rsidR="00FE7D4D" w:rsidRPr="00FE7D4D" w14:paraId="64610F60" w14:textId="77777777" w:rsidTr="00BD1EEA">
        <w:trPr>
          <w:trHeight w:val="300"/>
          <w:jc w:val="center"/>
        </w:trPr>
        <w:tc>
          <w:tcPr>
            <w:tcW w:w="0" w:type="auto"/>
            <w:noWrap/>
            <w:hideMark/>
          </w:tcPr>
          <w:p w14:paraId="1F9A7582" w14:textId="325365EC"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YUMA CONCESIONARIA S A - EN REORGANIZACION</w:t>
            </w:r>
          </w:p>
        </w:tc>
        <w:tc>
          <w:tcPr>
            <w:tcW w:w="0" w:type="auto"/>
            <w:noWrap/>
            <w:hideMark/>
          </w:tcPr>
          <w:p w14:paraId="039ACAC1" w14:textId="11555E2D"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274.039.880.659</w:t>
            </w:r>
          </w:p>
        </w:tc>
      </w:tr>
      <w:tr w:rsidR="00FE7D4D" w:rsidRPr="00FE7D4D" w14:paraId="579EE0EF" w14:textId="77777777" w:rsidTr="00BD1EEA">
        <w:trPr>
          <w:trHeight w:val="300"/>
          <w:jc w:val="center"/>
        </w:trPr>
        <w:tc>
          <w:tcPr>
            <w:tcW w:w="0" w:type="auto"/>
            <w:noWrap/>
            <w:hideMark/>
          </w:tcPr>
          <w:p w14:paraId="7A97B7BA" w14:textId="195820DA"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CONCESIÓN PACIFICO TRES S.A.S.</w:t>
            </w:r>
          </w:p>
        </w:tc>
        <w:tc>
          <w:tcPr>
            <w:tcW w:w="0" w:type="auto"/>
            <w:noWrap/>
            <w:hideMark/>
          </w:tcPr>
          <w:p w14:paraId="29706351" w14:textId="0E0D6B26"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262.602.835.312</w:t>
            </w:r>
          </w:p>
        </w:tc>
      </w:tr>
      <w:tr w:rsidR="00FE7D4D" w:rsidRPr="00FE7D4D" w14:paraId="6C404C9D" w14:textId="77777777" w:rsidTr="00BD1EEA">
        <w:trPr>
          <w:trHeight w:val="300"/>
          <w:jc w:val="center"/>
        </w:trPr>
        <w:tc>
          <w:tcPr>
            <w:tcW w:w="0" w:type="auto"/>
            <w:noWrap/>
            <w:hideMark/>
          </w:tcPr>
          <w:p w14:paraId="052807BF" w14:textId="726EA2C3"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AUTOPISTAS DEL NORDESTE S.A.S.</w:t>
            </w:r>
          </w:p>
        </w:tc>
        <w:tc>
          <w:tcPr>
            <w:tcW w:w="0" w:type="auto"/>
            <w:noWrap/>
            <w:hideMark/>
          </w:tcPr>
          <w:p w14:paraId="6BBDD279" w14:textId="231E75A3"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252.928.651.783</w:t>
            </w:r>
          </w:p>
        </w:tc>
      </w:tr>
      <w:tr w:rsidR="00FE7D4D" w:rsidRPr="00FE7D4D" w14:paraId="49CA2EC3" w14:textId="77777777" w:rsidTr="00BD1EEA">
        <w:trPr>
          <w:trHeight w:val="300"/>
          <w:jc w:val="center"/>
        </w:trPr>
        <w:tc>
          <w:tcPr>
            <w:tcW w:w="0" w:type="auto"/>
            <w:noWrap/>
            <w:hideMark/>
          </w:tcPr>
          <w:p w14:paraId="79C80929" w14:textId="58D944FE"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CONCESIONARIA RUTA DEL CACAO S.A.S.</w:t>
            </w:r>
          </w:p>
        </w:tc>
        <w:tc>
          <w:tcPr>
            <w:tcW w:w="0" w:type="auto"/>
            <w:noWrap/>
            <w:hideMark/>
          </w:tcPr>
          <w:p w14:paraId="0A1459EA" w14:textId="71DCE748"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243.547.178.859</w:t>
            </w:r>
          </w:p>
        </w:tc>
      </w:tr>
      <w:tr w:rsidR="00FE7D4D" w:rsidRPr="00FE7D4D" w14:paraId="24E594AF" w14:textId="77777777" w:rsidTr="00BD1EEA">
        <w:trPr>
          <w:trHeight w:val="300"/>
          <w:jc w:val="center"/>
        </w:trPr>
        <w:tc>
          <w:tcPr>
            <w:tcW w:w="0" w:type="auto"/>
            <w:noWrap/>
            <w:hideMark/>
          </w:tcPr>
          <w:p w14:paraId="6C70D6FD" w14:textId="4E47984F"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CONCESIÓN COSTERA CARTAGENA BARRANQUILLA S.A.S.</w:t>
            </w:r>
          </w:p>
        </w:tc>
        <w:tc>
          <w:tcPr>
            <w:tcW w:w="0" w:type="auto"/>
            <w:noWrap/>
            <w:hideMark/>
          </w:tcPr>
          <w:p w14:paraId="3FF4942F" w14:textId="54B67E2D"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212.050.845.378</w:t>
            </w:r>
          </w:p>
        </w:tc>
      </w:tr>
      <w:tr w:rsidR="00FE7D4D" w:rsidRPr="00FE7D4D" w14:paraId="3101C16D" w14:textId="77777777" w:rsidTr="00BD1EEA">
        <w:trPr>
          <w:trHeight w:val="300"/>
          <w:jc w:val="center"/>
        </w:trPr>
        <w:tc>
          <w:tcPr>
            <w:tcW w:w="0" w:type="auto"/>
            <w:noWrap/>
            <w:hideMark/>
          </w:tcPr>
          <w:p w14:paraId="1685CD9A" w14:textId="1D5B6338"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CONCESION LA PINTADA S.A.S.</w:t>
            </w:r>
          </w:p>
        </w:tc>
        <w:tc>
          <w:tcPr>
            <w:tcW w:w="0" w:type="auto"/>
            <w:noWrap/>
            <w:hideMark/>
          </w:tcPr>
          <w:p w14:paraId="262D4020" w14:textId="780E3DD1"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148.757.182.722</w:t>
            </w:r>
          </w:p>
        </w:tc>
      </w:tr>
      <w:tr w:rsidR="00FE7D4D" w:rsidRPr="00FE7D4D" w14:paraId="492DFD65" w14:textId="77777777" w:rsidTr="00BD1EEA">
        <w:trPr>
          <w:trHeight w:val="300"/>
          <w:jc w:val="center"/>
        </w:trPr>
        <w:tc>
          <w:tcPr>
            <w:tcW w:w="0" w:type="auto"/>
            <w:noWrap/>
            <w:hideMark/>
          </w:tcPr>
          <w:p w14:paraId="2B66361C" w14:textId="556C4B4E"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CONCESION ALTO MAGDALENA S A S</w:t>
            </w:r>
          </w:p>
        </w:tc>
        <w:tc>
          <w:tcPr>
            <w:tcW w:w="0" w:type="auto"/>
            <w:noWrap/>
            <w:hideMark/>
          </w:tcPr>
          <w:p w14:paraId="0B369CE7" w14:textId="15354E9D"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130.744.495.292</w:t>
            </w:r>
          </w:p>
        </w:tc>
      </w:tr>
      <w:tr w:rsidR="00FE7D4D" w:rsidRPr="00FE7D4D" w14:paraId="48491693" w14:textId="77777777" w:rsidTr="00BD1EEA">
        <w:trPr>
          <w:trHeight w:val="300"/>
          <w:jc w:val="center"/>
        </w:trPr>
        <w:tc>
          <w:tcPr>
            <w:tcW w:w="0" w:type="auto"/>
            <w:noWrap/>
            <w:hideMark/>
          </w:tcPr>
          <w:p w14:paraId="045EDD5E" w14:textId="0BD15DB4"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CONCESION TRANSVERSAL DEL SISGA S.A.S</w:t>
            </w:r>
          </w:p>
        </w:tc>
        <w:tc>
          <w:tcPr>
            <w:tcW w:w="0" w:type="auto"/>
            <w:noWrap/>
            <w:hideMark/>
          </w:tcPr>
          <w:p w14:paraId="465F122D" w14:textId="1A49DEE1"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89.310.588.038</w:t>
            </w:r>
          </w:p>
        </w:tc>
      </w:tr>
      <w:tr w:rsidR="00FE7D4D" w:rsidRPr="00FE7D4D" w14:paraId="50ABD71C" w14:textId="77777777" w:rsidTr="00BD1EEA">
        <w:trPr>
          <w:trHeight w:val="300"/>
          <w:jc w:val="center"/>
        </w:trPr>
        <w:tc>
          <w:tcPr>
            <w:tcW w:w="0" w:type="auto"/>
            <w:noWrap/>
            <w:hideMark/>
          </w:tcPr>
          <w:p w14:paraId="36F3D128" w14:textId="31AD0F21"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SOCIEDAD CONCESIONARIA VIAL MONTES DE MARIA SAS</w:t>
            </w:r>
          </w:p>
        </w:tc>
        <w:tc>
          <w:tcPr>
            <w:tcW w:w="0" w:type="auto"/>
            <w:noWrap/>
            <w:hideMark/>
          </w:tcPr>
          <w:p w14:paraId="42ABB782" w14:textId="0BBBD10D"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64.686.832.250</w:t>
            </w:r>
          </w:p>
        </w:tc>
      </w:tr>
      <w:tr w:rsidR="00FE7D4D" w:rsidRPr="00FE7D4D" w14:paraId="241E0712" w14:textId="77777777" w:rsidTr="00BD1EEA">
        <w:trPr>
          <w:trHeight w:val="300"/>
          <w:jc w:val="center"/>
        </w:trPr>
        <w:tc>
          <w:tcPr>
            <w:tcW w:w="0" w:type="auto"/>
            <w:noWrap/>
            <w:hideMark/>
          </w:tcPr>
          <w:p w14:paraId="6B6821B0" w14:textId="6CA647FD"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CONCESION SANTA MARTA PARAGUACHON S.A.</w:t>
            </w:r>
          </w:p>
        </w:tc>
        <w:tc>
          <w:tcPr>
            <w:tcW w:w="0" w:type="auto"/>
            <w:noWrap/>
            <w:hideMark/>
          </w:tcPr>
          <w:p w14:paraId="14E158F2" w14:textId="11A754EE"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42.218.822.215</w:t>
            </w:r>
          </w:p>
        </w:tc>
      </w:tr>
      <w:tr w:rsidR="00FE7D4D" w:rsidRPr="00FE7D4D" w14:paraId="7F6808A0" w14:textId="77777777" w:rsidTr="00BD1EEA">
        <w:trPr>
          <w:trHeight w:val="300"/>
          <w:jc w:val="center"/>
        </w:trPr>
        <w:tc>
          <w:tcPr>
            <w:tcW w:w="0" w:type="auto"/>
            <w:noWrap/>
            <w:hideMark/>
          </w:tcPr>
          <w:p w14:paraId="2F01F822" w14:textId="3993F5C4"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ECOSISTEMAS DEL DIQUE S.A.S.</w:t>
            </w:r>
          </w:p>
        </w:tc>
        <w:tc>
          <w:tcPr>
            <w:tcW w:w="0" w:type="auto"/>
            <w:noWrap/>
            <w:hideMark/>
          </w:tcPr>
          <w:p w14:paraId="79990BD6" w14:textId="7B0F9C58"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17.000.000.000</w:t>
            </w:r>
          </w:p>
        </w:tc>
      </w:tr>
      <w:tr w:rsidR="00FE7D4D" w:rsidRPr="00FE7D4D" w14:paraId="01D4B9B2" w14:textId="77777777" w:rsidTr="00BD1EEA">
        <w:trPr>
          <w:trHeight w:val="300"/>
          <w:jc w:val="center"/>
        </w:trPr>
        <w:tc>
          <w:tcPr>
            <w:tcW w:w="0" w:type="auto"/>
            <w:noWrap/>
            <w:hideMark/>
          </w:tcPr>
          <w:p w14:paraId="551FD3F1" w14:textId="5FB71AA5"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UNIÓN VIAL CAMINO DEL PACÍFICO S.A.S.</w:t>
            </w:r>
          </w:p>
        </w:tc>
        <w:tc>
          <w:tcPr>
            <w:tcW w:w="0" w:type="auto"/>
            <w:noWrap/>
            <w:hideMark/>
          </w:tcPr>
          <w:p w14:paraId="41129B18" w14:textId="480B6AA5"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16.658.735.332</w:t>
            </w:r>
          </w:p>
        </w:tc>
      </w:tr>
      <w:tr w:rsidR="00FE7D4D" w:rsidRPr="00FE7D4D" w14:paraId="791CED1A" w14:textId="77777777" w:rsidTr="00BD1EEA">
        <w:trPr>
          <w:trHeight w:val="300"/>
          <w:jc w:val="center"/>
        </w:trPr>
        <w:tc>
          <w:tcPr>
            <w:tcW w:w="0" w:type="auto"/>
            <w:noWrap/>
            <w:hideMark/>
          </w:tcPr>
          <w:p w14:paraId="58E48A33" w14:textId="209C02AA" w:rsidR="00FE7D4D" w:rsidRPr="00FE7D4D" w:rsidRDefault="00FE7D4D" w:rsidP="00FE7D4D">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AUTOPISTAS DEL CAFE S.A.</w:t>
            </w:r>
          </w:p>
        </w:tc>
        <w:tc>
          <w:tcPr>
            <w:tcW w:w="0" w:type="auto"/>
            <w:noWrap/>
            <w:hideMark/>
          </w:tcPr>
          <w:p w14:paraId="5296AAA2" w14:textId="6D28C5F6" w:rsidR="00FE7D4D" w:rsidRPr="00FE7D4D" w:rsidRDefault="00FE7D4D" w:rsidP="00FE7D4D">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E7D4D">
              <w:rPr>
                <w:rFonts w:ascii="Times New Roman" w:hAnsi="Times New Roman" w:cs="Times New Roman"/>
                <w:sz w:val="18"/>
                <w:szCs w:val="18"/>
              </w:rPr>
              <w:t>6.918.113.894</w:t>
            </w:r>
          </w:p>
        </w:tc>
      </w:tr>
      <w:tr w:rsidR="00F57238" w:rsidRPr="00FE7D4D" w14:paraId="332D5D1D" w14:textId="77777777" w:rsidTr="00C92F01">
        <w:trPr>
          <w:trHeight w:val="300"/>
          <w:jc w:val="center"/>
        </w:trPr>
        <w:tc>
          <w:tcPr>
            <w:tcW w:w="0" w:type="auto"/>
            <w:tcBorders>
              <w:bottom w:val="single" w:sz="4" w:space="0" w:color="A6A6A6" w:themeColor="background1" w:themeShade="A6"/>
            </w:tcBorders>
            <w:noWrap/>
            <w:vAlign w:val="bottom"/>
            <w:hideMark/>
          </w:tcPr>
          <w:p w14:paraId="65C0FFFF" w14:textId="77777777" w:rsidR="00F57238" w:rsidRPr="00FE7D4D" w:rsidRDefault="00F57238" w:rsidP="00F57238">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FE7D4D">
              <w:rPr>
                <w:rFonts w:ascii="Times New Roman" w:eastAsia="Times New Roman" w:hAnsi="Times New Roman" w:cs="Times New Roman"/>
                <w:b/>
                <w:bCs/>
                <w:color w:val="000000"/>
                <w:kern w:val="0"/>
                <w:sz w:val="18"/>
                <w:szCs w:val="18"/>
                <w:lang w:eastAsia="es-CO"/>
                <w14:ligatures w14:val="none"/>
              </w:rPr>
              <w:t>Total</w:t>
            </w:r>
          </w:p>
        </w:tc>
        <w:tc>
          <w:tcPr>
            <w:tcW w:w="0" w:type="auto"/>
            <w:tcBorders>
              <w:bottom w:val="single" w:sz="4" w:space="0" w:color="A6A6A6" w:themeColor="background1" w:themeShade="A6"/>
            </w:tcBorders>
            <w:noWrap/>
            <w:vAlign w:val="bottom"/>
            <w:hideMark/>
          </w:tcPr>
          <w:p w14:paraId="3829B5B9" w14:textId="77777777" w:rsidR="00F57238" w:rsidRPr="00FE7D4D" w:rsidRDefault="00F57238" w:rsidP="00F57238">
            <w:pPr>
              <w:spacing w:after="0" w:line="240" w:lineRule="auto"/>
              <w:rPr>
                <w:rFonts w:ascii="Times New Roman" w:eastAsia="Times New Roman" w:hAnsi="Times New Roman" w:cs="Times New Roman"/>
                <w:b/>
                <w:bCs/>
                <w:color w:val="000000"/>
                <w:kern w:val="0"/>
                <w:sz w:val="18"/>
                <w:szCs w:val="18"/>
                <w:lang w:eastAsia="es-CO"/>
                <w14:ligatures w14:val="none"/>
              </w:rPr>
            </w:pPr>
            <w:r w:rsidRPr="00FE7D4D">
              <w:rPr>
                <w:rFonts w:ascii="Times New Roman" w:eastAsia="Times New Roman" w:hAnsi="Times New Roman" w:cs="Times New Roman"/>
                <w:b/>
                <w:bCs/>
                <w:color w:val="000000"/>
                <w:kern w:val="0"/>
                <w:sz w:val="18"/>
                <w:szCs w:val="18"/>
                <w:lang w:eastAsia="es-CO"/>
                <w14:ligatures w14:val="none"/>
              </w:rPr>
              <w:t xml:space="preserve">            4.436.192.014.856 </w:t>
            </w:r>
          </w:p>
        </w:tc>
      </w:tr>
      <w:tr w:rsidR="00F57238" w:rsidRPr="00FE7D4D" w14:paraId="24AF2885" w14:textId="77777777" w:rsidTr="00C92F01">
        <w:trPr>
          <w:trHeight w:val="300"/>
          <w:jc w:val="center"/>
        </w:trPr>
        <w:tc>
          <w:tcPr>
            <w:tcW w:w="0" w:type="auto"/>
            <w:gridSpan w:val="2"/>
            <w:tcBorders>
              <w:left w:val="nil"/>
              <w:bottom w:val="nil"/>
              <w:right w:val="nil"/>
            </w:tcBorders>
            <w:noWrap/>
            <w:vAlign w:val="bottom"/>
            <w:hideMark/>
          </w:tcPr>
          <w:p w14:paraId="0BB47312" w14:textId="37B489A1" w:rsidR="00F57238" w:rsidRPr="00FE7D4D" w:rsidRDefault="00F57238" w:rsidP="00F57238">
            <w:pPr>
              <w:spacing w:after="0" w:line="240" w:lineRule="auto"/>
              <w:rPr>
                <w:rFonts w:ascii="Times New Roman" w:eastAsia="Times New Roman" w:hAnsi="Times New Roman" w:cs="Times New Roman"/>
                <w:color w:val="000000"/>
                <w:kern w:val="0"/>
                <w:sz w:val="18"/>
                <w:szCs w:val="18"/>
                <w:lang w:eastAsia="es-CO"/>
                <w14:ligatures w14:val="none"/>
              </w:rPr>
            </w:pPr>
            <w:r w:rsidRPr="00FE7D4D">
              <w:rPr>
                <w:rFonts w:ascii="Times New Roman" w:eastAsia="Times New Roman" w:hAnsi="Times New Roman" w:cs="Times New Roman"/>
                <w:color w:val="000000"/>
                <w:kern w:val="0"/>
                <w:sz w:val="18"/>
                <w:szCs w:val="18"/>
                <w:lang w:eastAsia="es-CO"/>
                <w14:ligatures w14:val="none"/>
              </w:rPr>
              <w:t>Elaboración: Área Contable – VGCOR.</w:t>
            </w:r>
          </w:p>
        </w:tc>
      </w:tr>
    </w:tbl>
    <w:p w14:paraId="61B44E2F" w14:textId="77777777" w:rsidR="00F57238" w:rsidRDefault="00F57238" w:rsidP="0056498A">
      <w:pPr>
        <w:jc w:val="both"/>
        <w:rPr>
          <w:rFonts w:ascii="Times New Roman" w:hAnsi="Times New Roman" w:cs="Times New Roman"/>
          <w:bCs/>
          <w:sz w:val="24"/>
          <w:szCs w:val="24"/>
        </w:rPr>
      </w:pPr>
    </w:p>
    <w:p w14:paraId="14311851" w14:textId="77777777" w:rsidR="00F61112" w:rsidRDefault="00F61112" w:rsidP="0056498A">
      <w:pPr>
        <w:jc w:val="both"/>
        <w:rPr>
          <w:rFonts w:ascii="Times New Roman" w:hAnsi="Times New Roman" w:cs="Times New Roman"/>
          <w:bCs/>
          <w:sz w:val="24"/>
          <w:szCs w:val="24"/>
        </w:rPr>
      </w:pPr>
    </w:p>
    <w:p w14:paraId="21CDC781" w14:textId="77777777" w:rsidR="001E6ADF" w:rsidRDefault="001E6ADF" w:rsidP="0056498A">
      <w:pPr>
        <w:jc w:val="both"/>
        <w:rPr>
          <w:rFonts w:ascii="Times New Roman" w:hAnsi="Times New Roman" w:cs="Times New Roman"/>
          <w:bCs/>
          <w:sz w:val="24"/>
          <w:szCs w:val="24"/>
        </w:rPr>
      </w:pPr>
    </w:p>
    <w:p w14:paraId="26942057" w14:textId="77777777" w:rsidR="001E6ADF" w:rsidRDefault="001E6ADF" w:rsidP="0056498A">
      <w:pPr>
        <w:jc w:val="both"/>
        <w:rPr>
          <w:rFonts w:ascii="Times New Roman" w:hAnsi="Times New Roman" w:cs="Times New Roman"/>
          <w:bCs/>
          <w:sz w:val="24"/>
          <w:szCs w:val="24"/>
        </w:rPr>
      </w:pPr>
    </w:p>
    <w:p w14:paraId="0245B37E" w14:textId="17CB2B6A" w:rsidR="00195E06" w:rsidRPr="00A02BEE" w:rsidRDefault="006209FE" w:rsidP="00B6186F">
      <w:pPr>
        <w:rPr>
          <w:rFonts w:ascii="Times New Roman" w:hAnsi="Times New Roman" w:cs="Times New Roman"/>
          <w:bCs/>
          <w:i/>
          <w:iCs/>
          <w:sz w:val="24"/>
          <w:szCs w:val="24"/>
        </w:rPr>
      </w:pPr>
      <w:r w:rsidRPr="00A02BEE">
        <w:rPr>
          <w:rFonts w:ascii="Times New Roman" w:hAnsi="Times New Roman" w:cs="Times New Roman"/>
          <w:bCs/>
          <w:i/>
          <w:iCs/>
          <w:sz w:val="24"/>
          <w:szCs w:val="24"/>
        </w:rPr>
        <w:lastRenderedPageBreak/>
        <w:t>Recursos Entregados en Administración</w:t>
      </w:r>
    </w:p>
    <w:p w14:paraId="3E76180D" w14:textId="77777777" w:rsidR="00B6186F" w:rsidRDefault="00B6186F" w:rsidP="00134D50"/>
    <w:p w14:paraId="4C3E972F" w14:textId="5684DED5" w:rsidR="00062EED" w:rsidRPr="00931DCE" w:rsidRDefault="00062EED" w:rsidP="00062EED">
      <w:pPr>
        <w:spacing w:after="0" w:line="240" w:lineRule="auto"/>
        <w:jc w:val="both"/>
        <w:rPr>
          <w:rFonts w:ascii="Times New Roman" w:hAnsi="Times New Roman"/>
          <w:sz w:val="24"/>
          <w:szCs w:val="24"/>
        </w:rPr>
      </w:pPr>
      <w:r w:rsidRPr="00931DCE">
        <w:rPr>
          <w:rFonts w:ascii="Times New Roman" w:hAnsi="Times New Roman"/>
          <w:sz w:val="24"/>
          <w:szCs w:val="24"/>
        </w:rPr>
        <w:t xml:space="preserve">Los saldos reflejados al </w:t>
      </w:r>
      <w:r>
        <w:rPr>
          <w:rFonts w:ascii="Times New Roman" w:hAnsi="Times New Roman"/>
          <w:sz w:val="24"/>
          <w:szCs w:val="24"/>
        </w:rPr>
        <w:t>31 de marzo de 2026</w:t>
      </w:r>
      <w:r w:rsidRPr="00931DCE">
        <w:rPr>
          <w:rFonts w:ascii="Times New Roman" w:hAnsi="Times New Roman"/>
          <w:sz w:val="24"/>
          <w:szCs w:val="24"/>
        </w:rPr>
        <w:t xml:space="preserve"> corresponden a recursos entregados a otras entidades estatales, en desarrollo de</w:t>
      </w:r>
      <w:r>
        <w:rPr>
          <w:rFonts w:ascii="Times New Roman" w:hAnsi="Times New Roman"/>
          <w:sz w:val="24"/>
          <w:szCs w:val="24"/>
        </w:rPr>
        <w:t xml:space="preserve"> contratos y</w:t>
      </w:r>
      <w:r w:rsidRPr="00931DCE">
        <w:rPr>
          <w:rFonts w:ascii="Times New Roman" w:hAnsi="Times New Roman"/>
          <w:sz w:val="24"/>
          <w:szCs w:val="24"/>
        </w:rPr>
        <w:t xml:space="preserve"> convenios interadministrativos y/o de cooperación y al traslado de los excesos de liquidez a la Dirección General de Crédito Público y del Tesoro Nacional (DGCPTN) a través del Sistema de Cuenta Única Nacional.</w:t>
      </w:r>
    </w:p>
    <w:p w14:paraId="183AC4F0" w14:textId="77777777" w:rsidR="00062EED" w:rsidRPr="00931DCE" w:rsidRDefault="00062EED" w:rsidP="00062EED">
      <w:pPr>
        <w:spacing w:after="0" w:line="240" w:lineRule="auto"/>
        <w:jc w:val="both"/>
        <w:rPr>
          <w:rFonts w:ascii="Times New Roman" w:hAnsi="Times New Roman"/>
          <w:sz w:val="24"/>
          <w:szCs w:val="24"/>
        </w:rPr>
      </w:pPr>
    </w:p>
    <w:p w14:paraId="21A1DD04" w14:textId="03A6E560" w:rsidR="00062EED" w:rsidRDefault="00062EED" w:rsidP="00062EED">
      <w:pPr>
        <w:spacing w:after="0" w:line="240" w:lineRule="auto"/>
        <w:jc w:val="both"/>
        <w:rPr>
          <w:rFonts w:ascii="Times New Roman" w:hAnsi="Times New Roman"/>
          <w:sz w:val="24"/>
          <w:szCs w:val="24"/>
        </w:rPr>
      </w:pPr>
      <w:r w:rsidRPr="00931DCE">
        <w:rPr>
          <w:rFonts w:ascii="Times New Roman" w:hAnsi="Times New Roman"/>
          <w:sz w:val="24"/>
          <w:szCs w:val="24"/>
        </w:rPr>
        <w:t>Estos recursos se reconocen y miden por el valor inicialmente entregado</w:t>
      </w:r>
      <w:r>
        <w:rPr>
          <w:rFonts w:ascii="Times New Roman" w:hAnsi="Times New Roman"/>
          <w:sz w:val="24"/>
          <w:szCs w:val="24"/>
        </w:rPr>
        <w:t>,</w:t>
      </w:r>
      <w:r w:rsidRPr="00931DCE">
        <w:rPr>
          <w:rFonts w:ascii="Times New Roman" w:hAnsi="Times New Roman"/>
          <w:sz w:val="24"/>
          <w:szCs w:val="24"/>
        </w:rPr>
        <w:t xml:space="preserve"> y posteriormente disminuyen de acuerdo con las ejecuciones (pagos) reportadas, aumentan por los aportes entregados conforme a los compromisos acordados en los </w:t>
      </w:r>
      <w:r>
        <w:rPr>
          <w:rFonts w:ascii="Times New Roman" w:hAnsi="Times New Roman"/>
          <w:sz w:val="24"/>
          <w:szCs w:val="24"/>
        </w:rPr>
        <w:t xml:space="preserve">contratos y </w:t>
      </w:r>
      <w:r w:rsidRPr="00931DCE">
        <w:rPr>
          <w:rFonts w:ascii="Times New Roman" w:hAnsi="Times New Roman"/>
          <w:sz w:val="24"/>
          <w:szCs w:val="24"/>
        </w:rPr>
        <w:t>convenios</w:t>
      </w:r>
      <w:r>
        <w:rPr>
          <w:rFonts w:ascii="Times New Roman" w:hAnsi="Times New Roman"/>
          <w:sz w:val="24"/>
          <w:szCs w:val="24"/>
        </w:rPr>
        <w:t>,</w:t>
      </w:r>
      <w:r w:rsidRPr="00931DCE">
        <w:rPr>
          <w:rFonts w:ascii="Times New Roman" w:hAnsi="Times New Roman"/>
          <w:sz w:val="24"/>
          <w:szCs w:val="24"/>
        </w:rPr>
        <w:t xml:space="preserve"> y por traslados realizados a Sistema de Cuenta Única Nacional (SCUN). También</w:t>
      </w:r>
      <w:r>
        <w:rPr>
          <w:rFonts w:ascii="Times New Roman" w:hAnsi="Times New Roman"/>
          <w:sz w:val="24"/>
          <w:szCs w:val="24"/>
        </w:rPr>
        <w:t xml:space="preserve">, se </w:t>
      </w:r>
      <w:r w:rsidRPr="00931DCE">
        <w:rPr>
          <w:rFonts w:ascii="Times New Roman" w:hAnsi="Times New Roman"/>
          <w:sz w:val="24"/>
          <w:szCs w:val="24"/>
        </w:rPr>
        <w:t xml:space="preserve">incrementan por los rendimientos financieros generados por los recursos entregados en administración para los </w:t>
      </w:r>
      <w:r>
        <w:rPr>
          <w:rFonts w:ascii="Times New Roman" w:hAnsi="Times New Roman"/>
          <w:sz w:val="24"/>
          <w:szCs w:val="24"/>
        </w:rPr>
        <w:t xml:space="preserve">contratos y </w:t>
      </w:r>
      <w:r w:rsidRPr="00931DCE">
        <w:rPr>
          <w:rFonts w:ascii="Times New Roman" w:hAnsi="Times New Roman"/>
          <w:sz w:val="24"/>
          <w:szCs w:val="24"/>
        </w:rPr>
        <w:t>convenios que así lo estipulen.</w:t>
      </w:r>
    </w:p>
    <w:p w14:paraId="4168FB5F" w14:textId="77777777" w:rsidR="002057EA" w:rsidRDefault="002057EA" w:rsidP="00062EED">
      <w:pPr>
        <w:spacing w:after="0" w:line="240" w:lineRule="auto"/>
        <w:jc w:val="both"/>
        <w:rPr>
          <w:rFonts w:ascii="Times New Roman" w:hAnsi="Times New Roman"/>
          <w:sz w:val="24"/>
          <w:szCs w:val="24"/>
        </w:rPr>
      </w:pPr>
    </w:p>
    <w:p w14:paraId="196A70F5" w14:textId="77777777" w:rsidR="002057EA" w:rsidRDefault="002057EA" w:rsidP="00062EED">
      <w:pPr>
        <w:spacing w:after="0" w:line="240" w:lineRule="auto"/>
        <w:jc w:val="both"/>
        <w:rPr>
          <w:rFonts w:ascii="Times New Roman" w:hAnsi="Times New Roman"/>
          <w:sz w:val="24"/>
          <w:szCs w:val="24"/>
        </w:rPr>
      </w:pPr>
    </w:p>
    <w:p w14:paraId="6CD8AEA1" w14:textId="77777777" w:rsidR="002057EA" w:rsidRDefault="002057EA" w:rsidP="002057EA">
      <w:pPr>
        <w:rPr>
          <w:rFonts w:ascii="Times New Roman" w:hAnsi="Times New Roman" w:cs="Times New Roman"/>
          <w:sz w:val="24"/>
          <w:szCs w:val="24"/>
        </w:rPr>
      </w:pPr>
      <w:r w:rsidRPr="00461E31">
        <w:rPr>
          <w:rFonts w:ascii="Times New Roman" w:hAnsi="Times New Roman" w:cs="Times New Roman"/>
          <w:sz w:val="24"/>
          <w:szCs w:val="24"/>
        </w:rPr>
        <w:t>La composición de los recursos entregados en administración se detalla a continuación:</w:t>
      </w:r>
    </w:p>
    <w:p w14:paraId="6E860A85" w14:textId="77777777" w:rsidR="002057EA" w:rsidRDefault="002057EA" w:rsidP="00062EED">
      <w:pPr>
        <w:spacing w:after="0" w:line="240" w:lineRule="auto"/>
        <w:jc w:val="both"/>
        <w:rPr>
          <w:rFonts w:ascii="Times New Roman" w:hAnsi="Times New Roman"/>
          <w:sz w:val="24"/>
          <w:szCs w:val="24"/>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577"/>
        <w:gridCol w:w="1979"/>
        <w:gridCol w:w="1789"/>
        <w:gridCol w:w="1483"/>
      </w:tblGrid>
      <w:tr w:rsidR="00900784" w:rsidRPr="00900784" w14:paraId="30D9A1D1" w14:textId="77777777" w:rsidTr="00267D8F">
        <w:trPr>
          <w:trHeight w:val="450"/>
          <w:tblHeader/>
        </w:trPr>
        <w:tc>
          <w:tcPr>
            <w:tcW w:w="2026" w:type="pct"/>
            <w:vAlign w:val="center"/>
            <w:hideMark/>
          </w:tcPr>
          <w:p w14:paraId="63BE007D" w14:textId="77777777" w:rsidR="00900784" w:rsidRPr="00900784" w:rsidRDefault="00900784" w:rsidP="00900784">
            <w:pPr>
              <w:spacing w:after="0" w:line="240" w:lineRule="auto"/>
              <w:jc w:val="center"/>
              <w:rPr>
                <w:rFonts w:ascii="Times New Roman" w:eastAsia="Times New Roman" w:hAnsi="Times New Roman" w:cs="Times New Roman"/>
                <w:b/>
                <w:bCs/>
                <w:kern w:val="0"/>
                <w:sz w:val="18"/>
                <w:szCs w:val="18"/>
                <w:lang w:eastAsia="es-CO"/>
                <w14:ligatures w14:val="none"/>
              </w:rPr>
            </w:pPr>
            <w:r w:rsidRPr="00900784">
              <w:rPr>
                <w:rFonts w:ascii="Times New Roman" w:eastAsia="Times New Roman" w:hAnsi="Times New Roman" w:cs="Times New Roman"/>
                <w:b/>
                <w:bCs/>
                <w:kern w:val="0"/>
                <w:sz w:val="18"/>
                <w:szCs w:val="18"/>
                <w:lang w:eastAsia="es-CO"/>
                <w14:ligatures w14:val="none"/>
              </w:rPr>
              <w:t>CONCEPTO</w:t>
            </w:r>
          </w:p>
        </w:tc>
        <w:tc>
          <w:tcPr>
            <w:tcW w:w="1121" w:type="pct"/>
            <w:vAlign w:val="center"/>
            <w:hideMark/>
          </w:tcPr>
          <w:p w14:paraId="0B2599AC" w14:textId="2CF3822E" w:rsidR="00900784" w:rsidRPr="00900784" w:rsidRDefault="00FA79FC" w:rsidP="00900784">
            <w:pPr>
              <w:spacing w:after="0" w:line="240" w:lineRule="auto"/>
              <w:jc w:val="center"/>
              <w:rPr>
                <w:rFonts w:ascii="Times New Roman" w:eastAsia="Times New Roman" w:hAnsi="Times New Roman" w:cs="Times New Roman"/>
                <w:b/>
                <w:bCs/>
                <w:kern w:val="0"/>
                <w:sz w:val="18"/>
                <w:szCs w:val="18"/>
                <w:lang w:eastAsia="es-CO"/>
                <w14:ligatures w14:val="none"/>
              </w:rPr>
            </w:pPr>
            <w:r>
              <w:rPr>
                <w:rFonts w:ascii="Times New Roman" w:eastAsia="Times New Roman" w:hAnsi="Times New Roman" w:cs="Times New Roman"/>
                <w:b/>
                <w:bCs/>
                <w:kern w:val="0"/>
                <w:sz w:val="18"/>
                <w:szCs w:val="18"/>
                <w:lang w:eastAsia="es-CO"/>
                <w14:ligatures w14:val="none"/>
              </w:rPr>
              <w:t xml:space="preserve">Marzo </w:t>
            </w:r>
            <w:r w:rsidR="00900784" w:rsidRPr="00900784">
              <w:rPr>
                <w:rFonts w:ascii="Times New Roman" w:eastAsia="Times New Roman" w:hAnsi="Times New Roman" w:cs="Times New Roman"/>
                <w:b/>
                <w:bCs/>
                <w:kern w:val="0"/>
                <w:sz w:val="18"/>
                <w:szCs w:val="18"/>
                <w:lang w:eastAsia="es-CO"/>
                <w14:ligatures w14:val="none"/>
              </w:rPr>
              <w:t>2026</w:t>
            </w:r>
          </w:p>
        </w:tc>
        <w:tc>
          <w:tcPr>
            <w:tcW w:w="1013" w:type="pct"/>
            <w:vAlign w:val="center"/>
            <w:hideMark/>
          </w:tcPr>
          <w:p w14:paraId="3C85224B" w14:textId="6676117D" w:rsidR="00900784" w:rsidRPr="00900784" w:rsidRDefault="00FA79FC" w:rsidP="00900784">
            <w:pPr>
              <w:spacing w:after="0" w:line="240" w:lineRule="auto"/>
              <w:jc w:val="center"/>
              <w:rPr>
                <w:rFonts w:ascii="Times New Roman" w:eastAsia="Times New Roman" w:hAnsi="Times New Roman" w:cs="Times New Roman"/>
                <w:b/>
                <w:bCs/>
                <w:kern w:val="0"/>
                <w:sz w:val="18"/>
                <w:szCs w:val="18"/>
                <w:lang w:eastAsia="es-CO"/>
                <w14:ligatures w14:val="none"/>
              </w:rPr>
            </w:pPr>
            <w:r>
              <w:rPr>
                <w:rFonts w:ascii="Times New Roman" w:eastAsia="Times New Roman" w:hAnsi="Times New Roman" w:cs="Times New Roman"/>
                <w:b/>
                <w:bCs/>
                <w:kern w:val="0"/>
                <w:sz w:val="18"/>
                <w:szCs w:val="18"/>
                <w:lang w:eastAsia="es-CO"/>
                <w14:ligatures w14:val="none"/>
              </w:rPr>
              <w:t xml:space="preserve">Marzo </w:t>
            </w:r>
            <w:r w:rsidR="00900784" w:rsidRPr="00900784">
              <w:rPr>
                <w:rFonts w:ascii="Times New Roman" w:eastAsia="Times New Roman" w:hAnsi="Times New Roman" w:cs="Times New Roman"/>
                <w:b/>
                <w:bCs/>
                <w:kern w:val="0"/>
                <w:sz w:val="18"/>
                <w:szCs w:val="18"/>
                <w:lang w:eastAsia="es-CO"/>
                <w14:ligatures w14:val="none"/>
              </w:rPr>
              <w:t>2025</w:t>
            </w:r>
          </w:p>
        </w:tc>
        <w:tc>
          <w:tcPr>
            <w:tcW w:w="840" w:type="pct"/>
            <w:vAlign w:val="center"/>
            <w:hideMark/>
          </w:tcPr>
          <w:p w14:paraId="5A8163AC" w14:textId="77777777" w:rsidR="00900784" w:rsidRPr="00900784" w:rsidRDefault="00900784" w:rsidP="00900784">
            <w:pPr>
              <w:spacing w:after="0" w:line="240" w:lineRule="auto"/>
              <w:jc w:val="center"/>
              <w:rPr>
                <w:rFonts w:ascii="Times New Roman" w:eastAsia="Times New Roman" w:hAnsi="Times New Roman" w:cs="Times New Roman"/>
                <w:b/>
                <w:bCs/>
                <w:kern w:val="0"/>
                <w:sz w:val="18"/>
                <w:szCs w:val="18"/>
                <w:lang w:eastAsia="es-CO"/>
                <w14:ligatures w14:val="none"/>
              </w:rPr>
            </w:pPr>
            <w:r w:rsidRPr="00900784">
              <w:rPr>
                <w:rFonts w:ascii="Times New Roman" w:eastAsia="Times New Roman" w:hAnsi="Times New Roman" w:cs="Times New Roman"/>
                <w:b/>
                <w:bCs/>
                <w:kern w:val="0"/>
                <w:sz w:val="18"/>
                <w:szCs w:val="18"/>
                <w:lang w:eastAsia="es-CO"/>
                <w14:ligatures w14:val="none"/>
              </w:rPr>
              <w:t>VARIACIÓN</w:t>
            </w:r>
          </w:p>
        </w:tc>
      </w:tr>
      <w:tr w:rsidR="00900784" w:rsidRPr="00900784" w14:paraId="674497BE" w14:textId="77777777" w:rsidTr="00900784">
        <w:trPr>
          <w:trHeight w:val="225"/>
        </w:trPr>
        <w:tc>
          <w:tcPr>
            <w:tcW w:w="2026" w:type="pct"/>
            <w:vAlign w:val="center"/>
            <w:hideMark/>
          </w:tcPr>
          <w:p w14:paraId="28218AB8" w14:textId="77777777" w:rsidR="00900784" w:rsidRPr="00900784" w:rsidRDefault="00900784" w:rsidP="00900784">
            <w:pPr>
              <w:spacing w:after="0" w:line="240" w:lineRule="auto"/>
              <w:rPr>
                <w:rFonts w:ascii="Times New Roman" w:eastAsia="Times New Roman" w:hAnsi="Times New Roman" w:cs="Times New Roman"/>
                <w:b/>
                <w:bCs/>
                <w:kern w:val="0"/>
                <w:sz w:val="18"/>
                <w:szCs w:val="18"/>
                <w:lang w:eastAsia="es-CO"/>
                <w14:ligatures w14:val="none"/>
              </w:rPr>
            </w:pPr>
            <w:r w:rsidRPr="00900784">
              <w:rPr>
                <w:rFonts w:ascii="Times New Roman" w:eastAsia="Times New Roman" w:hAnsi="Times New Roman" w:cs="Times New Roman"/>
                <w:b/>
                <w:bCs/>
                <w:kern w:val="0"/>
                <w:sz w:val="18"/>
                <w:szCs w:val="18"/>
                <w:lang w:eastAsia="es-CO"/>
                <w14:ligatures w14:val="none"/>
              </w:rPr>
              <w:t>Recursos entregados en administración</w:t>
            </w:r>
          </w:p>
        </w:tc>
        <w:tc>
          <w:tcPr>
            <w:tcW w:w="1121" w:type="pct"/>
            <w:vAlign w:val="center"/>
            <w:hideMark/>
          </w:tcPr>
          <w:p w14:paraId="29D38CBC" w14:textId="77777777" w:rsidR="00900784" w:rsidRPr="00900784" w:rsidRDefault="00900784" w:rsidP="00900784">
            <w:pPr>
              <w:spacing w:after="0" w:line="240" w:lineRule="auto"/>
              <w:jc w:val="right"/>
              <w:rPr>
                <w:rFonts w:ascii="Times New Roman" w:eastAsia="Times New Roman" w:hAnsi="Times New Roman" w:cs="Times New Roman"/>
                <w:b/>
                <w:bCs/>
                <w:kern w:val="0"/>
                <w:sz w:val="18"/>
                <w:szCs w:val="18"/>
                <w:lang w:eastAsia="es-CO"/>
                <w14:ligatures w14:val="none"/>
              </w:rPr>
            </w:pPr>
            <w:r w:rsidRPr="00900784">
              <w:rPr>
                <w:rFonts w:ascii="Times New Roman" w:eastAsia="Times New Roman" w:hAnsi="Times New Roman" w:cs="Times New Roman"/>
                <w:b/>
                <w:bCs/>
                <w:kern w:val="0"/>
                <w:sz w:val="18"/>
                <w:szCs w:val="18"/>
                <w:lang w:eastAsia="es-CO"/>
                <w14:ligatures w14:val="none"/>
              </w:rPr>
              <w:t xml:space="preserve">7.964.488.989.411 </w:t>
            </w:r>
          </w:p>
        </w:tc>
        <w:tc>
          <w:tcPr>
            <w:tcW w:w="1013" w:type="pct"/>
            <w:vAlign w:val="center"/>
            <w:hideMark/>
          </w:tcPr>
          <w:p w14:paraId="33CAE49C" w14:textId="77777777" w:rsidR="00900784" w:rsidRPr="00900784" w:rsidRDefault="00900784" w:rsidP="00900784">
            <w:pPr>
              <w:spacing w:after="0" w:line="240" w:lineRule="auto"/>
              <w:jc w:val="right"/>
              <w:rPr>
                <w:rFonts w:ascii="Times New Roman" w:eastAsia="Times New Roman" w:hAnsi="Times New Roman" w:cs="Times New Roman"/>
                <w:b/>
                <w:bCs/>
                <w:kern w:val="0"/>
                <w:sz w:val="18"/>
                <w:szCs w:val="18"/>
                <w:lang w:eastAsia="es-CO"/>
                <w14:ligatures w14:val="none"/>
              </w:rPr>
            </w:pPr>
            <w:r w:rsidRPr="00900784">
              <w:rPr>
                <w:rFonts w:ascii="Times New Roman" w:eastAsia="Times New Roman" w:hAnsi="Times New Roman" w:cs="Times New Roman"/>
                <w:b/>
                <w:bCs/>
                <w:kern w:val="0"/>
                <w:sz w:val="18"/>
                <w:szCs w:val="18"/>
                <w:lang w:eastAsia="es-CO"/>
                <w14:ligatures w14:val="none"/>
              </w:rPr>
              <w:t xml:space="preserve">7.327.222.038.636 </w:t>
            </w:r>
          </w:p>
        </w:tc>
        <w:tc>
          <w:tcPr>
            <w:tcW w:w="840" w:type="pct"/>
            <w:vAlign w:val="center"/>
            <w:hideMark/>
          </w:tcPr>
          <w:p w14:paraId="09B1061F" w14:textId="77777777" w:rsidR="00900784" w:rsidRPr="00900784" w:rsidRDefault="00900784" w:rsidP="00900784">
            <w:pPr>
              <w:spacing w:after="0" w:line="240" w:lineRule="auto"/>
              <w:jc w:val="right"/>
              <w:rPr>
                <w:rFonts w:ascii="Times New Roman" w:eastAsia="Times New Roman" w:hAnsi="Times New Roman" w:cs="Times New Roman"/>
                <w:b/>
                <w:bCs/>
                <w:kern w:val="0"/>
                <w:sz w:val="18"/>
                <w:szCs w:val="18"/>
                <w:lang w:eastAsia="es-CO"/>
                <w14:ligatures w14:val="none"/>
              </w:rPr>
            </w:pPr>
            <w:r w:rsidRPr="00900784">
              <w:rPr>
                <w:rFonts w:ascii="Times New Roman" w:eastAsia="Times New Roman" w:hAnsi="Times New Roman" w:cs="Times New Roman"/>
                <w:b/>
                <w:bCs/>
                <w:kern w:val="0"/>
                <w:sz w:val="18"/>
                <w:szCs w:val="18"/>
                <w:lang w:eastAsia="es-CO"/>
                <w14:ligatures w14:val="none"/>
              </w:rPr>
              <w:t xml:space="preserve">637.266.950.775 </w:t>
            </w:r>
          </w:p>
        </w:tc>
      </w:tr>
      <w:tr w:rsidR="00900784" w:rsidRPr="00900784" w14:paraId="0EE2E8BF" w14:textId="77777777" w:rsidTr="00900784">
        <w:trPr>
          <w:trHeight w:val="420"/>
        </w:trPr>
        <w:tc>
          <w:tcPr>
            <w:tcW w:w="2026" w:type="pct"/>
            <w:vAlign w:val="center"/>
            <w:hideMark/>
          </w:tcPr>
          <w:p w14:paraId="4D7E54F9" w14:textId="77777777" w:rsidR="00900784" w:rsidRPr="00900784" w:rsidRDefault="00900784" w:rsidP="00900784">
            <w:pPr>
              <w:spacing w:after="0" w:line="240" w:lineRule="auto"/>
              <w:rPr>
                <w:rFonts w:ascii="Times New Roman" w:eastAsia="Times New Roman" w:hAnsi="Times New Roman" w:cs="Times New Roman"/>
                <w:b/>
                <w:bCs/>
                <w:kern w:val="0"/>
                <w:sz w:val="18"/>
                <w:szCs w:val="18"/>
                <w:lang w:eastAsia="es-CO"/>
                <w14:ligatures w14:val="none"/>
              </w:rPr>
            </w:pPr>
            <w:r w:rsidRPr="00900784">
              <w:rPr>
                <w:rFonts w:ascii="Times New Roman" w:eastAsia="Times New Roman" w:hAnsi="Times New Roman" w:cs="Times New Roman"/>
                <w:b/>
                <w:bCs/>
                <w:kern w:val="0"/>
                <w:sz w:val="18"/>
                <w:szCs w:val="18"/>
                <w:lang w:eastAsia="es-CO"/>
                <w14:ligatures w14:val="none"/>
              </w:rPr>
              <w:t>Encargo fiduciario - fiducia de administración y pagos</w:t>
            </w:r>
          </w:p>
        </w:tc>
        <w:tc>
          <w:tcPr>
            <w:tcW w:w="1121" w:type="pct"/>
            <w:noWrap/>
            <w:vAlign w:val="center"/>
            <w:hideMark/>
          </w:tcPr>
          <w:p w14:paraId="028EC574" w14:textId="77777777" w:rsidR="00900784" w:rsidRPr="00900784" w:rsidRDefault="00900784" w:rsidP="00900784">
            <w:pPr>
              <w:spacing w:after="0" w:line="240" w:lineRule="auto"/>
              <w:jc w:val="right"/>
              <w:rPr>
                <w:rFonts w:ascii="Times New Roman" w:eastAsia="Times New Roman" w:hAnsi="Times New Roman" w:cs="Times New Roman"/>
                <w:b/>
                <w:bCs/>
                <w:kern w:val="0"/>
                <w:sz w:val="18"/>
                <w:szCs w:val="18"/>
                <w:lang w:eastAsia="es-CO"/>
                <w14:ligatures w14:val="none"/>
              </w:rPr>
            </w:pPr>
            <w:r w:rsidRPr="00900784">
              <w:rPr>
                <w:rFonts w:ascii="Times New Roman" w:eastAsia="Times New Roman" w:hAnsi="Times New Roman" w:cs="Times New Roman"/>
                <w:b/>
                <w:bCs/>
                <w:kern w:val="0"/>
                <w:sz w:val="18"/>
                <w:szCs w:val="18"/>
                <w:lang w:eastAsia="es-CO"/>
                <w14:ligatures w14:val="none"/>
              </w:rPr>
              <w:t xml:space="preserve">6.992.203.350.673 </w:t>
            </w:r>
          </w:p>
        </w:tc>
        <w:tc>
          <w:tcPr>
            <w:tcW w:w="1013" w:type="pct"/>
            <w:noWrap/>
            <w:vAlign w:val="center"/>
            <w:hideMark/>
          </w:tcPr>
          <w:p w14:paraId="3A39A352" w14:textId="77777777" w:rsidR="00900784" w:rsidRPr="00900784" w:rsidRDefault="00900784" w:rsidP="00900784">
            <w:pPr>
              <w:spacing w:after="0" w:line="240" w:lineRule="auto"/>
              <w:jc w:val="right"/>
              <w:rPr>
                <w:rFonts w:ascii="Times New Roman" w:eastAsia="Times New Roman" w:hAnsi="Times New Roman" w:cs="Times New Roman"/>
                <w:b/>
                <w:bCs/>
                <w:kern w:val="0"/>
                <w:sz w:val="18"/>
                <w:szCs w:val="18"/>
                <w:lang w:eastAsia="es-CO"/>
                <w14:ligatures w14:val="none"/>
              </w:rPr>
            </w:pPr>
            <w:r w:rsidRPr="00900784">
              <w:rPr>
                <w:rFonts w:ascii="Times New Roman" w:eastAsia="Times New Roman" w:hAnsi="Times New Roman" w:cs="Times New Roman"/>
                <w:b/>
                <w:bCs/>
                <w:kern w:val="0"/>
                <w:sz w:val="18"/>
                <w:szCs w:val="18"/>
                <w:lang w:eastAsia="es-CO"/>
                <w14:ligatures w14:val="none"/>
              </w:rPr>
              <w:t xml:space="preserve">6.364.715.271.053 </w:t>
            </w:r>
          </w:p>
        </w:tc>
        <w:tc>
          <w:tcPr>
            <w:tcW w:w="840" w:type="pct"/>
            <w:noWrap/>
            <w:vAlign w:val="center"/>
            <w:hideMark/>
          </w:tcPr>
          <w:p w14:paraId="503B52C3" w14:textId="77777777" w:rsidR="00900784" w:rsidRPr="00900784" w:rsidRDefault="00900784" w:rsidP="00900784">
            <w:pPr>
              <w:spacing w:after="0" w:line="240" w:lineRule="auto"/>
              <w:jc w:val="right"/>
              <w:rPr>
                <w:rFonts w:ascii="Times New Roman" w:eastAsia="Times New Roman" w:hAnsi="Times New Roman" w:cs="Times New Roman"/>
                <w:b/>
                <w:bCs/>
                <w:kern w:val="0"/>
                <w:sz w:val="18"/>
                <w:szCs w:val="18"/>
                <w:lang w:eastAsia="es-CO"/>
                <w14:ligatures w14:val="none"/>
              </w:rPr>
            </w:pPr>
            <w:r w:rsidRPr="00900784">
              <w:rPr>
                <w:rFonts w:ascii="Times New Roman" w:eastAsia="Times New Roman" w:hAnsi="Times New Roman" w:cs="Times New Roman"/>
                <w:b/>
                <w:bCs/>
                <w:kern w:val="0"/>
                <w:sz w:val="18"/>
                <w:szCs w:val="18"/>
                <w:lang w:eastAsia="es-CO"/>
                <w14:ligatures w14:val="none"/>
              </w:rPr>
              <w:t xml:space="preserve">627.488.079.621 </w:t>
            </w:r>
          </w:p>
        </w:tc>
      </w:tr>
      <w:tr w:rsidR="00900784" w:rsidRPr="00900784" w14:paraId="74061E06" w14:textId="77777777" w:rsidTr="00900784">
        <w:trPr>
          <w:trHeight w:val="300"/>
        </w:trPr>
        <w:tc>
          <w:tcPr>
            <w:tcW w:w="2026" w:type="pct"/>
            <w:vAlign w:val="center"/>
            <w:hideMark/>
          </w:tcPr>
          <w:p w14:paraId="32079C10" w14:textId="77777777" w:rsidR="00900784" w:rsidRPr="00900784" w:rsidRDefault="00900784" w:rsidP="00900784">
            <w:pPr>
              <w:spacing w:after="0" w:line="240" w:lineRule="auto"/>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Fondo de Contingencias de las Entidades Estatales </w:t>
            </w:r>
          </w:p>
        </w:tc>
        <w:tc>
          <w:tcPr>
            <w:tcW w:w="1121" w:type="pct"/>
            <w:noWrap/>
            <w:vAlign w:val="center"/>
            <w:hideMark/>
          </w:tcPr>
          <w:p w14:paraId="68FADFE3" w14:textId="77777777" w:rsidR="00900784" w:rsidRPr="00900784" w:rsidRDefault="00900784" w:rsidP="00900784">
            <w:pPr>
              <w:spacing w:after="0" w:line="240" w:lineRule="auto"/>
              <w:jc w:val="right"/>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6.992.203.350.673 </w:t>
            </w:r>
          </w:p>
        </w:tc>
        <w:tc>
          <w:tcPr>
            <w:tcW w:w="1013" w:type="pct"/>
            <w:noWrap/>
            <w:vAlign w:val="center"/>
            <w:hideMark/>
          </w:tcPr>
          <w:p w14:paraId="7B6BEBA4" w14:textId="77777777" w:rsidR="00900784" w:rsidRPr="00900784" w:rsidRDefault="00900784" w:rsidP="00900784">
            <w:pPr>
              <w:spacing w:after="0" w:line="240" w:lineRule="auto"/>
              <w:jc w:val="right"/>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6.364.715.271.053 </w:t>
            </w:r>
          </w:p>
        </w:tc>
        <w:tc>
          <w:tcPr>
            <w:tcW w:w="840" w:type="pct"/>
            <w:noWrap/>
            <w:vAlign w:val="center"/>
            <w:hideMark/>
          </w:tcPr>
          <w:p w14:paraId="763BED28" w14:textId="77777777" w:rsidR="00900784" w:rsidRPr="00900784" w:rsidRDefault="00900784" w:rsidP="00900784">
            <w:pPr>
              <w:spacing w:after="0" w:line="240" w:lineRule="auto"/>
              <w:jc w:val="right"/>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627.488.079.621 </w:t>
            </w:r>
          </w:p>
        </w:tc>
      </w:tr>
      <w:tr w:rsidR="00900784" w:rsidRPr="00900784" w14:paraId="69B6D981" w14:textId="77777777" w:rsidTr="00900784">
        <w:trPr>
          <w:trHeight w:val="210"/>
        </w:trPr>
        <w:tc>
          <w:tcPr>
            <w:tcW w:w="2026" w:type="pct"/>
            <w:vAlign w:val="center"/>
            <w:hideMark/>
          </w:tcPr>
          <w:p w14:paraId="29BACE2F" w14:textId="77777777" w:rsidR="00900784" w:rsidRPr="00900784" w:rsidRDefault="00900784" w:rsidP="00900784">
            <w:pPr>
              <w:spacing w:after="0" w:line="240" w:lineRule="auto"/>
              <w:rPr>
                <w:rFonts w:ascii="Times New Roman" w:eastAsia="Times New Roman" w:hAnsi="Times New Roman" w:cs="Times New Roman"/>
                <w:b/>
                <w:bCs/>
                <w:kern w:val="0"/>
                <w:sz w:val="18"/>
                <w:szCs w:val="18"/>
                <w:lang w:eastAsia="es-CO"/>
                <w14:ligatures w14:val="none"/>
              </w:rPr>
            </w:pPr>
            <w:r w:rsidRPr="00900784">
              <w:rPr>
                <w:rFonts w:ascii="Times New Roman" w:eastAsia="Times New Roman" w:hAnsi="Times New Roman" w:cs="Times New Roman"/>
                <w:b/>
                <w:bCs/>
                <w:kern w:val="0"/>
                <w:sz w:val="18"/>
                <w:szCs w:val="18"/>
                <w:lang w:eastAsia="es-CO"/>
                <w14:ligatures w14:val="none"/>
              </w:rPr>
              <w:t>En administración</w:t>
            </w:r>
          </w:p>
        </w:tc>
        <w:tc>
          <w:tcPr>
            <w:tcW w:w="1121" w:type="pct"/>
            <w:noWrap/>
            <w:vAlign w:val="center"/>
            <w:hideMark/>
          </w:tcPr>
          <w:p w14:paraId="7E849A3E" w14:textId="77777777" w:rsidR="00900784" w:rsidRPr="00900784" w:rsidRDefault="00900784" w:rsidP="00900784">
            <w:pPr>
              <w:spacing w:after="0" w:line="240" w:lineRule="auto"/>
              <w:jc w:val="right"/>
              <w:rPr>
                <w:rFonts w:ascii="Times New Roman" w:eastAsia="Times New Roman" w:hAnsi="Times New Roman" w:cs="Times New Roman"/>
                <w:b/>
                <w:bCs/>
                <w:kern w:val="0"/>
                <w:sz w:val="18"/>
                <w:szCs w:val="18"/>
                <w:lang w:eastAsia="es-CO"/>
                <w14:ligatures w14:val="none"/>
              </w:rPr>
            </w:pPr>
            <w:r w:rsidRPr="00900784">
              <w:rPr>
                <w:rFonts w:ascii="Times New Roman" w:eastAsia="Times New Roman" w:hAnsi="Times New Roman" w:cs="Times New Roman"/>
                <w:b/>
                <w:bCs/>
                <w:kern w:val="0"/>
                <w:sz w:val="18"/>
                <w:szCs w:val="18"/>
                <w:lang w:eastAsia="es-CO"/>
                <w14:ligatures w14:val="none"/>
              </w:rPr>
              <w:t xml:space="preserve">972.285.638.737 </w:t>
            </w:r>
          </w:p>
        </w:tc>
        <w:tc>
          <w:tcPr>
            <w:tcW w:w="1013" w:type="pct"/>
            <w:noWrap/>
            <w:vAlign w:val="center"/>
            <w:hideMark/>
          </w:tcPr>
          <w:p w14:paraId="401E2D11" w14:textId="77777777" w:rsidR="00900784" w:rsidRPr="00900784" w:rsidRDefault="00900784" w:rsidP="00900784">
            <w:pPr>
              <w:spacing w:after="0" w:line="240" w:lineRule="auto"/>
              <w:jc w:val="right"/>
              <w:rPr>
                <w:rFonts w:ascii="Times New Roman" w:eastAsia="Times New Roman" w:hAnsi="Times New Roman" w:cs="Times New Roman"/>
                <w:b/>
                <w:bCs/>
                <w:kern w:val="0"/>
                <w:sz w:val="18"/>
                <w:szCs w:val="18"/>
                <w:lang w:eastAsia="es-CO"/>
                <w14:ligatures w14:val="none"/>
              </w:rPr>
            </w:pPr>
            <w:r w:rsidRPr="00900784">
              <w:rPr>
                <w:rFonts w:ascii="Times New Roman" w:eastAsia="Times New Roman" w:hAnsi="Times New Roman" w:cs="Times New Roman"/>
                <w:b/>
                <w:bCs/>
                <w:kern w:val="0"/>
                <w:sz w:val="18"/>
                <w:szCs w:val="18"/>
                <w:lang w:eastAsia="es-CO"/>
                <w14:ligatures w14:val="none"/>
              </w:rPr>
              <w:t xml:space="preserve">962.506.767.583 </w:t>
            </w:r>
          </w:p>
        </w:tc>
        <w:tc>
          <w:tcPr>
            <w:tcW w:w="840" w:type="pct"/>
            <w:noWrap/>
            <w:vAlign w:val="center"/>
            <w:hideMark/>
          </w:tcPr>
          <w:p w14:paraId="60B3B86B" w14:textId="77777777" w:rsidR="00900784" w:rsidRPr="00900784" w:rsidRDefault="00900784" w:rsidP="00900784">
            <w:pPr>
              <w:spacing w:after="0" w:line="240" w:lineRule="auto"/>
              <w:jc w:val="right"/>
              <w:rPr>
                <w:rFonts w:ascii="Times New Roman" w:eastAsia="Times New Roman" w:hAnsi="Times New Roman" w:cs="Times New Roman"/>
                <w:b/>
                <w:bCs/>
                <w:kern w:val="0"/>
                <w:sz w:val="18"/>
                <w:szCs w:val="18"/>
                <w:lang w:eastAsia="es-CO"/>
                <w14:ligatures w14:val="none"/>
              </w:rPr>
            </w:pPr>
            <w:r w:rsidRPr="00900784">
              <w:rPr>
                <w:rFonts w:ascii="Times New Roman" w:eastAsia="Times New Roman" w:hAnsi="Times New Roman" w:cs="Times New Roman"/>
                <w:b/>
                <w:bCs/>
                <w:kern w:val="0"/>
                <w:sz w:val="18"/>
                <w:szCs w:val="18"/>
                <w:lang w:eastAsia="es-CO"/>
                <w14:ligatures w14:val="none"/>
              </w:rPr>
              <w:t xml:space="preserve">9.778.871.154 </w:t>
            </w:r>
          </w:p>
        </w:tc>
      </w:tr>
      <w:tr w:rsidR="00900784" w:rsidRPr="00900784" w14:paraId="4685E20B" w14:textId="77777777" w:rsidTr="00900784">
        <w:trPr>
          <w:trHeight w:val="225"/>
        </w:trPr>
        <w:tc>
          <w:tcPr>
            <w:tcW w:w="2026" w:type="pct"/>
            <w:vAlign w:val="center"/>
            <w:hideMark/>
          </w:tcPr>
          <w:p w14:paraId="26C314A3" w14:textId="77777777" w:rsidR="00900784" w:rsidRPr="00900784" w:rsidRDefault="00900784" w:rsidP="00900784">
            <w:pPr>
              <w:spacing w:after="0" w:line="240" w:lineRule="auto"/>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Traslados al FIP </w:t>
            </w:r>
          </w:p>
        </w:tc>
        <w:tc>
          <w:tcPr>
            <w:tcW w:w="1121" w:type="pct"/>
            <w:noWrap/>
            <w:vAlign w:val="center"/>
            <w:hideMark/>
          </w:tcPr>
          <w:p w14:paraId="24FB84D6" w14:textId="77777777" w:rsidR="00900784" w:rsidRPr="00900784" w:rsidRDefault="00900784" w:rsidP="00900784">
            <w:pPr>
              <w:spacing w:after="0" w:line="240" w:lineRule="auto"/>
              <w:jc w:val="right"/>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548.155.737.844 </w:t>
            </w:r>
          </w:p>
        </w:tc>
        <w:tc>
          <w:tcPr>
            <w:tcW w:w="1013" w:type="pct"/>
            <w:noWrap/>
            <w:vAlign w:val="center"/>
            <w:hideMark/>
          </w:tcPr>
          <w:p w14:paraId="6023D47D" w14:textId="77777777" w:rsidR="00900784" w:rsidRPr="00900784" w:rsidRDefault="00900784" w:rsidP="00900784">
            <w:pPr>
              <w:spacing w:after="0" w:line="240" w:lineRule="auto"/>
              <w:jc w:val="right"/>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548.155.737.844 </w:t>
            </w:r>
          </w:p>
        </w:tc>
        <w:tc>
          <w:tcPr>
            <w:tcW w:w="840" w:type="pct"/>
            <w:noWrap/>
            <w:vAlign w:val="center"/>
            <w:hideMark/>
          </w:tcPr>
          <w:p w14:paraId="599BBBF1" w14:textId="77777777" w:rsidR="00900784" w:rsidRPr="00900784" w:rsidRDefault="00900784" w:rsidP="00900784">
            <w:pPr>
              <w:spacing w:after="0" w:line="240" w:lineRule="auto"/>
              <w:jc w:val="right"/>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0 </w:t>
            </w:r>
          </w:p>
        </w:tc>
      </w:tr>
      <w:tr w:rsidR="00900784" w:rsidRPr="00900784" w14:paraId="115646C1" w14:textId="77777777" w:rsidTr="00900784">
        <w:trPr>
          <w:trHeight w:val="225"/>
        </w:trPr>
        <w:tc>
          <w:tcPr>
            <w:tcW w:w="2026" w:type="pct"/>
            <w:vAlign w:val="center"/>
            <w:hideMark/>
          </w:tcPr>
          <w:p w14:paraId="193DA381" w14:textId="77777777" w:rsidR="00900784" w:rsidRPr="00900784" w:rsidRDefault="00900784" w:rsidP="00900784">
            <w:pPr>
              <w:spacing w:after="0" w:line="240" w:lineRule="auto"/>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En administración </w:t>
            </w:r>
            <w:proofErr w:type="spellStart"/>
            <w:r w:rsidRPr="00900784">
              <w:rPr>
                <w:rFonts w:ascii="Times New Roman" w:eastAsia="Times New Roman" w:hAnsi="Times New Roman" w:cs="Times New Roman"/>
                <w:kern w:val="0"/>
                <w:sz w:val="18"/>
                <w:szCs w:val="18"/>
                <w:lang w:eastAsia="es-CO"/>
                <w14:ligatures w14:val="none"/>
              </w:rPr>
              <w:t>dtn</w:t>
            </w:r>
            <w:proofErr w:type="spellEnd"/>
            <w:r w:rsidRPr="00900784">
              <w:rPr>
                <w:rFonts w:ascii="Times New Roman" w:eastAsia="Times New Roman" w:hAnsi="Times New Roman" w:cs="Times New Roman"/>
                <w:kern w:val="0"/>
                <w:sz w:val="18"/>
                <w:szCs w:val="18"/>
                <w:lang w:eastAsia="es-CO"/>
                <w14:ligatures w14:val="none"/>
              </w:rPr>
              <w:t xml:space="preserve"> - </w:t>
            </w:r>
            <w:proofErr w:type="spellStart"/>
            <w:r w:rsidRPr="00900784">
              <w:rPr>
                <w:rFonts w:ascii="Times New Roman" w:eastAsia="Times New Roman" w:hAnsi="Times New Roman" w:cs="Times New Roman"/>
                <w:kern w:val="0"/>
                <w:sz w:val="18"/>
                <w:szCs w:val="18"/>
                <w:lang w:eastAsia="es-CO"/>
                <w14:ligatures w14:val="none"/>
              </w:rPr>
              <w:t>scun</w:t>
            </w:r>
            <w:proofErr w:type="spellEnd"/>
          </w:p>
        </w:tc>
        <w:tc>
          <w:tcPr>
            <w:tcW w:w="1121" w:type="pct"/>
            <w:noWrap/>
            <w:vAlign w:val="center"/>
            <w:hideMark/>
          </w:tcPr>
          <w:p w14:paraId="6CB647BB" w14:textId="77777777" w:rsidR="00900784" w:rsidRPr="00900784" w:rsidRDefault="00900784" w:rsidP="00900784">
            <w:pPr>
              <w:spacing w:after="0" w:line="240" w:lineRule="auto"/>
              <w:jc w:val="right"/>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175.170.581.433 </w:t>
            </w:r>
          </w:p>
        </w:tc>
        <w:tc>
          <w:tcPr>
            <w:tcW w:w="1013" w:type="pct"/>
            <w:noWrap/>
            <w:vAlign w:val="center"/>
            <w:hideMark/>
          </w:tcPr>
          <w:p w14:paraId="27EAAFCB" w14:textId="77777777" w:rsidR="00900784" w:rsidRPr="00900784" w:rsidRDefault="00900784" w:rsidP="00900784">
            <w:pPr>
              <w:spacing w:after="0" w:line="240" w:lineRule="auto"/>
              <w:jc w:val="right"/>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195.514.091.456 </w:t>
            </w:r>
          </w:p>
        </w:tc>
        <w:tc>
          <w:tcPr>
            <w:tcW w:w="840" w:type="pct"/>
            <w:noWrap/>
            <w:vAlign w:val="center"/>
            <w:hideMark/>
          </w:tcPr>
          <w:p w14:paraId="7166D715" w14:textId="77777777" w:rsidR="00900784" w:rsidRPr="00900784" w:rsidRDefault="00900784" w:rsidP="00900784">
            <w:pPr>
              <w:spacing w:after="0" w:line="240" w:lineRule="auto"/>
              <w:jc w:val="right"/>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-20.343.510.024 </w:t>
            </w:r>
          </w:p>
        </w:tc>
      </w:tr>
      <w:tr w:rsidR="00900784" w:rsidRPr="00900784" w14:paraId="4C68BA8B" w14:textId="77777777" w:rsidTr="0070450B">
        <w:trPr>
          <w:trHeight w:val="225"/>
        </w:trPr>
        <w:tc>
          <w:tcPr>
            <w:tcW w:w="2026" w:type="pct"/>
            <w:tcBorders>
              <w:bottom w:val="single" w:sz="4" w:space="0" w:color="A6A6A6" w:themeColor="background1" w:themeShade="A6"/>
            </w:tcBorders>
            <w:vAlign w:val="center"/>
            <w:hideMark/>
          </w:tcPr>
          <w:p w14:paraId="35E512FC" w14:textId="77777777" w:rsidR="00900784" w:rsidRPr="00900784" w:rsidRDefault="00900784" w:rsidP="00900784">
            <w:pPr>
              <w:spacing w:after="0" w:line="240" w:lineRule="auto"/>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Convenios y contratos interadministrativos</w:t>
            </w:r>
          </w:p>
        </w:tc>
        <w:tc>
          <w:tcPr>
            <w:tcW w:w="1121" w:type="pct"/>
            <w:tcBorders>
              <w:bottom w:val="single" w:sz="4" w:space="0" w:color="A6A6A6" w:themeColor="background1" w:themeShade="A6"/>
            </w:tcBorders>
            <w:noWrap/>
            <w:vAlign w:val="center"/>
            <w:hideMark/>
          </w:tcPr>
          <w:p w14:paraId="30162238" w14:textId="77777777" w:rsidR="00900784" w:rsidRPr="00900784" w:rsidRDefault="00900784" w:rsidP="00900784">
            <w:pPr>
              <w:spacing w:after="0" w:line="240" w:lineRule="auto"/>
              <w:jc w:val="right"/>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221.840.938.862 </w:t>
            </w:r>
          </w:p>
        </w:tc>
        <w:tc>
          <w:tcPr>
            <w:tcW w:w="1013" w:type="pct"/>
            <w:tcBorders>
              <w:bottom w:val="single" w:sz="4" w:space="0" w:color="A6A6A6" w:themeColor="background1" w:themeShade="A6"/>
            </w:tcBorders>
            <w:noWrap/>
            <w:vAlign w:val="center"/>
            <w:hideMark/>
          </w:tcPr>
          <w:p w14:paraId="5C2B7B8F" w14:textId="77777777" w:rsidR="00900784" w:rsidRPr="00900784" w:rsidRDefault="00900784" w:rsidP="00900784">
            <w:pPr>
              <w:spacing w:after="0" w:line="240" w:lineRule="auto"/>
              <w:jc w:val="right"/>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192.344.877.151 </w:t>
            </w:r>
          </w:p>
        </w:tc>
        <w:tc>
          <w:tcPr>
            <w:tcW w:w="840" w:type="pct"/>
            <w:tcBorders>
              <w:bottom w:val="single" w:sz="4" w:space="0" w:color="A6A6A6" w:themeColor="background1" w:themeShade="A6"/>
            </w:tcBorders>
            <w:noWrap/>
            <w:vAlign w:val="center"/>
            <w:hideMark/>
          </w:tcPr>
          <w:p w14:paraId="0B300627" w14:textId="77777777" w:rsidR="00900784" w:rsidRPr="00900784" w:rsidRDefault="00900784" w:rsidP="00900784">
            <w:pPr>
              <w:spacing w:after="0" w:line="240" w:lineRule="auto"/>
              <w:jc w:val="right"/>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29.496.061.711 </w:t>
            </w:r>
          </w:p>
        </w:tc>
      </w:tr>
      <w:tr w:rsidR="00900784" w:rsidRPr="00900784" w14:paraId="7A9621A2" w14:textId="77777777" w:rsidTr="0070450B">
        <w:trPr>
          <w:trHeight w:val="225"/>
        </w:trPr>
        <w:tc>
          <w:tcPr>
            <w:tcW w:w="2026" w:type="pct"/>
            <w:tcBorders>
              <w:bottom w:val="single" w:sz="4" w:space="0" w:color="A6A6A6" w:themeColor="background1" w:themeShade="A6"/>
            </w:tcBorders>
            <w:vAlign w:val="center"/>
            <w:hideMark/>
          </w:tcPr>
          <w:p w14:paraId="68C93F0F" w14:textId="77777777" w:rsidR="00900784" w:rsidRPr="00900784" w:rsidRDefault="00900784" w:rsidP="00900784">
            <w:pPr>
              <w:spacing w:after="0" w:line="240" w:lineRule="auto"/>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Fondo contingencias - sentencias y conciliaciones</w:t>
            </w:r>
          </w:p>
        </w:tc>
        <w:tc>
          <w:tcPr>
            <w:tcW w:w="1121" w:type="pct"/>
            <w:tcBorders>
              <w:bottom w:val="single" w:sz="4" w:space="0" w:color="A6A6A6" w:themeColor="background1" w:themeShade="A6"/>
            </w:tcBorders>
            <w:noWrap/>
            <w:vAlign w:val="center"/>
            <w:hideMark/>
          </w:tcPr>
          <w:p w14:paraId="0B85171E" w14:textId="77777777" w:rsidR="00900784" w:rsidRPr="00900784" w:rsidRDefault="00900784" w:rsidP="00900784">
            <w:pPr>
              <w:spacing w:after="0" w:line="240" w:lineRule="auto"/>
              <w:jc w:val="right"/>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27.118.380.598 </w:t>
            </w:r>
          </w:p>
        </w:tc>
        <w:tc>
          <w:tcPr>
            <w:tcW w:w="1013" w:type="pct"/>
            <w:tcBorders>
              <w:bottom w:val="single" w:sz="4" w:space="0" w:color="A6A6A6" w:themeColor="background1" w:themeShade="A6"/>
            </w:tcBorders>
            <w:noWrap/>
            <w:vAlign w:val="center"/>
            <w:hideMark/>
          </w:tcPr>
          <w:p w14:paraId="0BD48642" w14:textId="77777777" w:rsidR="00900784" w:rsidRPr="00900784" w:rsidRDefault="00900784" w:rsidP="00900784">
            <w:pPr>
              <w:spacing w:after="0" w:line="240" w:lineRule="auto"/>
              <w:jc w:val="right"/>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26.492.061.131 </w:t>
            </w:r>
          </w:p>
        </w:tc>
        <w:tc>
          <w:tcPr>
            <w:tcW w:w="840" w:type="pct"/>
            <w:tcBorders>
              <w:bottom w:val="single" w:sz="4" w:space="0" w:color="A6A6A6" w:themeColor="background1" w:themeShade="A6"/>
            </w:tcBorders>
            <w:noWrap/>
            <w:vAlign w:val="center"/>
            <w:hideMark/>
          </w:tcPr>
          <w:p w14:paraId="732F59D4" w14:textId="77777777" w:rsidR="00900784" w:rsidRPr="00900784" w:rsidRDefault="00900784" w:rsidP="00900784">
            <w:pPr>
              <w:spacing w:after="0" w:line="240" w:lineRule="auto"/>
              <w:jc w:val="right"/>
              <w:rPr>
                <w:rFonts w:ascii="Times New Roman" w:eastAsia="Times New Roman" w:hAnsi="Times New Roman" w:cs="Times New Roman"/>
                <w:kern w:val="0"/>
                <w:sz w:val="18"/>
                <w:szCs w:val="18"/>
                <w:lang w:eastAsia="es-CO"/>
                <w14:ligatures w14:val="none"/>
              </w:rPr>
            </w:pPr>
            <w:r w:rsidRPr="00900784">
              <w:rPr>
                <w:rFonts w:ascii="Times New Roman" w:eastAsia="Times New Roman" w:hAnsi="Times New Roman" w:cs="Times New Roman"/>
                <w:kern w:val="0"/>
                <w:sz w:val="18"/>
                <w:szCs w:val="18"/>
                <w:lang w:eastAsia="es-CO"/>
                <w14:ligatures w14:val="none"/>
              </w:rPr>
              <w:t xml:space="preserve">626.319.467 </w:t>
            </w:r>
          </w:p>
        </w:tc>
      </w:tr>
      <w:tr w:rsidR="00900784" w:rsidRPr="00900784" w14:paraId="149B92A8" w14:textId="77777777" w:rsidTr="0070450B">
        <w:trPr>
          <w:trHeight w:val="109"/>
        </w:trPr>
        <w:tc>
          <w:tcPr>
            <w:tcW w:w="5000" w:type="pct"/>
            <w:gridSpan w:val="4"/>
            <w:tcBorders>
              <w:top w:val="single" w:sz="4" w:space="0" w:color="A6A6A6" w:themeColor="background1" w:themeShade="A6"/>
              <w:left w:val="nil"/>
              <w:bottom w:val="nil"/>
              <w:right w:val="nil"/>
            </w:tcBorders>
            <w:vAlign w:val="center"/>
          </w:tcPr>
          <w:p w14:paraId="5B774F15" w14:textId="4E11E076" w:rsidR="00900784" w:rsidRPr="00900784" w:rsidRDefault="00900784" w:rsidP="00900784">
            <w:pPr>
              <w:spacing w:after="0" w:line="240" w:lineRule="auto"/>
              <w:rPr>
                <w:rFonts w:ascii="Times New Roman" w:hAnsi="Times New Roman" w:cs="Times New Roman"/>
                <w:sz w:val="16"/>
                <w:szCs w:val="16"/>
              </w:rPr>
            </w:pPr>
            <w:r w:rsidRPr="00900784">
              <w:rPr>
                <w:rFonts w:ascii="Times New Roman" w:hAnsi="Times New Roman" w:cs="Times New Roman"/>
                <w:sz w:val="16"/>
                <w:szCs w:val="16"/>
              </w:rPr>
              <w:t xml:space="preserve">Cifras </w:t>
            </w:r>
            <w:r w:rsidR="007B5FDF">
              <w:rPr>
                <w:rFonts w:ascii="Times New Roman" w:hAnsi="Times New Roman" w:cs="Times New Roman"/>
                <w:sz w:val="16"/>
                <w:szCs w:val="16"/>
              </w:rPr>
              <w:t>expresadas en</w:t>
            </w:r>
            <w:r w:rsidRPr="00900784">
              <w:rPr>
                <w:rFonts w:ascii="Times New Roman" w:hAnsi="Times New Roman" w:cs="Times New Roman"/>
                <w:sz w:val="16"/>
                <w:szCs w:val="16"/>
              </w:rPr>
              <w:t xml:space="preserve"> pesos</w:t>
            </w:r>
          </w:p>
          <w:p w14:paraId="6429046C" w14:textId="64EFB81E" w:rsidR="00900784" w:rsidRPr="00900784" w:rsidRDefault="00900784" w:rsidP="00900784">
            <w:pPr>
              <w:spacing w:after="0" w:line="240" w:lineRule="auto"/>
              <w:rPr>
                <w:rFonts w:ascii="Times New Roman" w:eastAsia="Times New Roman" w:hAnsi="Times New Roman" w:cs="Times New Roman"/>
                <w:kern w:val="0"/>
                <w:sz w:val="16"/>
                <w:szCs w:val="16"/>
                <w:lang w:eastAsia="es-CO"/>
                <w14:ligatures w14:val="none"/>
              </w:rPr>
            </w:pPr>
            <w:r w:rsidRPr="00900784">
              <w:rPr>
                <w:rFonts w:ascii="Times New Roman" w:hAnsi="Times New Roman" w:cs="Times New Roman"/>
                <w:sz w:val="16"/>
                <w:szCs w:val="16"/>
              </w:rPr>
              <w:t>Elaboración: Área Contable – VGCOR.</w:t>
            </w:r>
          </w:p>
        </w:tc>
      </w:tr>
    </w:tbl>
    <w:p w14:paraId="368EAAE0" w14:textId="77777777" w:rsidR="002057EA" w:rsidRPr="00931DCE" w:rsidRDefault="002057EA" w:rsidP="00062EED">
      <w:pPr>
        <w:spacing w:after="0" w:line="240" w:lineRule="auto"/>
        <w:jc w:val="both"/>
        <w:rPr>
          <w:rFonts w:ascii="Times New Roman" w:hAnsi="Times New Roman"/>
          <w:sz w:val="24"/>
          <w:szCs w:val="24"/>
        </w:rPr>
      </w:pPr>
    </w:p>
    <w:p w14:paraId="61CFAD06" w14:textId="77777777" w:rsidR="003D11B9" w:rsidRDefault="003D11B9" w:rsidP="00134D50">
      <w:pPr>
        <w:rPr>
          <w:rFonts w:ascii="Times New Roman" w:hAnsi="Times New Roman" w:cs="Times New Roman"/>
          <w:b/>
          <w:bCs/>
          <w:sz w:val="24"/>
          <w:szCs w:val="24"/>
        </w:rPr>
      </w:pPr>
    </w:p>
    <w:p w14:paraId="47085022" w14:textId="7F89BAC9" w:rsidR="006209FE" w:rsidRDefault="00C3254F" w:rsidP="00134D50">
      <w:pPr>
        <w:rPr>
          <w:rFonts w:ascii="Times New Roman" w:hAnsi="Times New Roman" w:cs="Times New Roman"/>
          <w:b/>
          <w:bCs/>
          <w:sz w:val="24"/>
          <w:szCs w:val="24"/>
        </w:rPr>
      </w:pPr>
      <w:r w:rsidRPr="00887C8A">
        <w:rPr>
          <w:rFonts w:ascii="Times New Roman" w:hAnsi="Times New Roman" w:cs="Times New Roman"/>
          <w:b/>
          <w:bCs/>
          <w:sz w:val="24"/>
          <w:szCs w:val="24"/>
        </w:rPr>
        <w:t>Encargo fiduciario - fiducia de administración y pagos</w:t>
      </w:r>
    </w:p>
    <w:p w14:paraId="4254EDE5" w14:textId="77777777" w:rsidR="00CC7E40" w:rsidRPr="00931DCE" w:rsidRDefault="00CC7E40" w:rsidP="00346BD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R</w:t>
      </w:r>
      <w:r w:rsidRPr="00931DCE">
        <w:rPr>
          <w:rFonts w:ascii="Times New Roman" w:hAnsi="Times New Roman"/>
          <w:sz w:val="24"/>
          <w:szCs w:val="24"/>
        </w:rPr>
        <w:t>epresenta el valor de los aportes efectuados por la Agencia a Fiduprevisora, en su calidad de vocera y administradora del encargo fiduciario - Fondo de Contingencias de las Entidades Estatales.</w:t>
      </w:r>
    </w:p>
    <w:p w14:paraId="4F374DC5" w14:textId="77777777" w:rsidR="00CC7E40" w:rsidRPr="00931DCE" w:rsidRDefault="00CC7E40" w:rsidP="00346BD1">
      <w:pPr>
        <w:shd w:val="clear" w:color="auto" w:fill="FFFFFF"/>
        <w:spacing w:after="0" w:line="240" w:lineRule="auto"/>
        <w:jc w:val="both"/>
        <w:rPr>
          <w:rFonts w:ascii="Times New Roman" w:hAnsi="Times New Roman"/>
          <w:sz w:val="24"/>
          <w:szCs w:val="24"/>
        </w:rPr>
      </w:pPr>
    </w:p>
    <w:p w14:paraId="17AF67C5" w14:textId="77777777" w:rsidR="00CC7E40" w:rsidRPr="00931DCE" w:rsidRDefault="00CC7E40" w:rsidP="00346BD1">
      <w:pPr>
        <w:autoSpaceDE w:val="0"/>
        <w:autoSpaceDN w:val="0"/>
        <w:adjustRightInd w:val="0"/>
        <w:spacing w:after="0" w:line="240" w:lineRule="auto"/>
        <w:jc w:val="both"/>
        <w:rPr>
          <w:rFonts w:ascii="Times New Roman" w:hAnsi="Times New Roman"/>
          <w:sz w:val="24"/>
          <w:szCs w:val="24"/>
        </w:rPr>
      </w:pPr>
      <w:r w:rsidRPr="25A7E316">
        <w:rPr>
          <w:rFonts w:ascii="Times New Roman" w:hAnsi="Times New Roman"/>
          <w:sz w:val="24"/>
          <w:szCs w:val="24"/>
        </w:rPr>
        <w:t xml:space="preserve">El Fondo de Contingencias de las Entidades Estatales, es una cuenta especial, sin personería jurídica, administrada por la Fiduciaria la Previsora S.A., cuyo fideicomitente es el Ministerio de Hacienda y Crédito Público. Los recursos, así como los asuntos relacionados con pasivos del Fondo, serán administrados por la Dirección General de Crédito Público y Tesoro Nacional (DGCPTN). </w:t>
      </w:r>
    </w:p>
    <w:p w14:paraId="2D4CD66F" w14:textId="77777777" w:rsidR="00CC7E40" w:rsidRDefault="00CC7E40" w:rsidP="00346BD1">
      <w:pPr>
        <w:jc w:val="both"/>
        <w:rPr>
          <w:rFonts w:ascii="Times New Roman" w:hAnsi="Times New Roman" w:cs="Times New Roman"/>
          <w:sz w:val="24"/>
          <w:szCs w:val="24"/>
        </w:rPr>
      </w:pPr>
    </w:p>
    <w:p w14:paraId="4BCB557D" w14:textId="77777777" w:rsidR="00346BD1" w:rsidRPr="00346BD1" w:rsidRDefault="00346BD1" w:rsidP="00346BD1">
      <w:pPr>
        <w:jc w:val="both"/>
        <w:rPr>
          <w:rFonts w:ascii="Times New Roman" w:hAnsi="Times New Roman" w:cs="Times New Roman"/>
          <w:sz w:val="24"/>
          <w:szCs w:val="24"/>
        </w:rPr>
      </w:pPr>
      <w:r w:rsidRPr="00346BD1">
        <w:rPr>
          <w:rFonts w:ascii="Times New Roman" w:hAnsi="Times New Roman" w:cs="Times New Roman"/>
          <w:sz w:val="24"/>
          <w:szCs w:val="24"/>
        </w:rPr>
        <w:lastRenderedPageBreak/>
        <w:t xml:space="preserve">El Fondo de contingencias de las entidades estatales, tiene por objeto la implantación de un sistema para su manejo basado en un criterio preventivo de disciplina fiscal. Es un mecanismo de cobertura ante la ocurrencia de riesgos. </w:t>
      </w:r>
    </w:p>
    <w:p w14:paraId="529B6923" w14:textId="77777777" w:rsidR="00346BD1" w:rsidRPr="00346BD1" w:rsidRDefault="00346BD1" w:rsidP="00346BD1">
      <w:pPr>
        <w:jc w:val="both"/>
        <w:rPr>
          <w:rFonts w:ascii="Times New Roman" w:hAnsi="Times New Roman" w:cs="Times New Roman"/>
          <w:sz w:val="24"/>
          <w:szCs w:val="24"/>
        </w:rPr>
      </w:pPr>
    </w:p>
    <w:p w14:paraId="6DAFC910" w14:textId="2F1D3D8E" w:rsidR="00346BD1" w:rsidRDefault="00346BD1" w:rsidP="00346BD1">
      <w:pPr>
        <w:jc w:val="both"/>
        <w:rPr>
          <w:rFonts w:ascii="Times New Roman" w:hAnsi="Times New Roman" w:cs="Times New Roman"/>
          <w:sz w:val="24"/>
          <w:szCs w:val="24"/>
        </w:rPr>
      </w:pPr>
      <w:r w:rsidRPr="00346BD1">
        <w:rPr>
          <w:rFonts w:ascii="Times New Roman" w:hAnsi="Times New Roman" w:cs="Times New Roman"/>
          <w:sz w:val="24"/>
          <w:szCs w:val="24"/>
        </w:rPr>
        <w:t>Este Fondo, administra los recursos que transfiere la Agencia con el fin de cubrir obligaciones contingentes derivadas de la celebración de contratos de infraestructura bajo el esquema de acuerdos de concesión, o de la suscripción de operaciones de crédito público garantizadas por la Nación, dicho aporte de recursos se realiza en los montos y plazos calculados con las metodologías de valoración de pasivos contingentes que ha desarrollado el Ministerio de Hacienda y Crédito Público.</w:t>
      </w:r>
    </w:p>
    <w:p w14:paraId="151F569E" w14:textId="77777777" w:rsidR="00346BD1" w:rsidRPr="00FA79FC" w:rsidRDefault="00346BD1" w:rsidP="00134D50">
      <w:pPr>
        <w:rPr>
          <w:rFonts w:ascii="Times New Roman" w:hAnsi="Times New Roman" w:cs="Times New Roman"/>
          <w:sz w:val="24"/>
          <w:szCs w:val="24"/>
        </w:rPr>
      </w:pPr>
    </w:p>
    <w:p w14:paraId="759D550F" w14:textId="62D585B2" w:rsidR="00CC7E40" w:rsidRPr="00FA79FC" w:rsidRDefault="00FA79FC" w:rsidP="00FA79FC">
      <w:pPr>
        <w:jc w:val="both"/>
        <w:rPr>
          <w:rFonts w:ascii="Times New Roman" w:hAnsi="Times New Roman" w:cs="Times New Roman"/>
          <w:sz w:val="24"/>
          <w:szCs w:val="24"/>
        </w:rPr>
      </w:pPr>
      <w:r w:rsidRPr="00FA79FC">
        <w:rPr>
          <w:rFonts w:ascii="Times New Roman" w:hAnsi="Times New Roman" w:cs="Times New Roman"/>
          <w:sz w:val="24"/>
          <w:szCs w:val="24"/>
        </w:rPr>
        <w:t>El incremento del Encargo fiduciario - fiducia de administración y pagos</w:t>
      </w:r>
      <w:r>
        <w:rPr>
          <w:rFonts w:ascii="Times New Roman" w:hAnsi="Times New Roman" w:cs="Times New Roman"/>
          <w:sz w:val="24"/>
          <w:szCs w:val="24"/>
        </w:rPr>
        <w:t>, frente a diciembre de 202</w:t>
      </w:r>
      <w:r w:rsidR="00584738">
        <w:rPr>
          <w:rFonts w:ascii="Times New Roman" w:hAnsi="Times New Roman" w:cs="Times New Roman"/>
          <w:sz w:val="24"/>
          <w:szCs w:val="24"/>
        </w:rPr>
        <w:t>5</w:t>
      </w:r>
      <w:r w:rsidR="007B5FDF">
        <w:rPr>
          <w:rFonts w:ascii="Times New Roman" w:hAnsi="Times New Roman" w:cs="Times New Roman"/>
          <w:sz w:val="24"/>
          <w:szCs w:val="24"/>
        </w:rPr>
        <w:t>,</w:t>
      </w:r>
      <w:r w:rsidRPr="00FA79FC">
        <w:rPr>
          <w:rFonts w:ascii="Times New Roman" w:hAnsi="Times New Roman" w:cs="Times New Roman"/>
          <w:sz w:val="24"/>
          <w:szCs w:val="24"/>
        </w:rPr>
        <w:t xml:space="preserve"> corresponde al traslado de los aportes al Fondo de Contingencias de las Entidades Estatales</w:t>
      </w:r>
      <w:r w:rsidR="004D2329">
        <w:rPr>
          <w:rFonts w:ascii="Times New Roman" w:hAnsi="Times New Roman" w:cs="Times New Roman"/>
          <w:sz w:val="24"/>
          <w:szCs w:val="24"/>
        </w:rPr>
        <w:t>,</w:t>
      </w:r>
      <w:r w:rsidRPr="00FA79FC">
        <w:rPr>
          <w:rFonts w:ascii="Times New Roman" w:hAnsi="Times New Roman" w:cs="Times New Roman"/>
          <w:sz w:val="24"/>
          <w:szCs w:val="24"/>
        </w:rPr>
        <w:t xml:space="preserve"> con el fin de cubrir los diferentes riesgos programados para pago en diciembre de 2025</w:t>
      </w:r>
      <w:r w:rsidR="009B2050">
        <w:rPr>
          <w:rFonts w:ascii="Times New Roman" w:hAnsi="Times New Roman" w:cs="Times New Roman"/>
          <w:sz w:val="24"/>
          <w:szCs w:val="24"/>
        </w:rPr>
        <w:t xml:space="preserve"> que se desembolsaron en el primer trimestre 2026</w:t>
      </w:r>
      <w:r w:rsidR="007B5FDF">
        <w:rPr>
          <w:rFonts w:ascii="Times New Roman" w:hAnsi="Times New Roman" w:cs="Times New Roman"/>
          <w:sz w:val="24"/>
          <w:szCs w:val="24"/>
        </w:rPr>
        <w:t>, así como</w:t>
      </w:r>
      <w:r w:rsidRPr="00FA79FC">
        <w:rPr>
          <w:rFonts w:ascii="Times New Roman" w:hAnsi="Times New Roman" w:cs="Times New Roman"/>
          <w:sz w:val="24"/>
          <w:szCs w:val="24"/>
        </w:rPr>
        <w:t xml:space="preserve"> el registro de los rendimientos financieros genera</w:t>
      </w:r>
      <w:r w:rsidR="007B5FDF">
        <w:rPr>
          <w:rFonts w:ascii="Times New Roman" w:hAnsi="Times New Roman" w:cs="Times New Roman"/>
          <w:sz w:val="24"/>
          <w:szCs w:val="24"/>
        </w:rPr>
        <w:t>dos en el Fondo</w:t>
      </w:r>
      <w:r w:rsidR="0033384C">
        <w:rPr>
          <w:rFonts w:ascii="Times New Roman" w:hAnsi="Times New Roman" w:cs="Times New Roman"/>
          <w:sz w:val="24"/>
          <w:szCs w:val="24"/>
        </w:rPr>
        <w:t>,</w:t>
      </w:r>
      <w:r w:rsidR="007B5FDF">
        <w:rPr>
          <w:rFonts w:ascii="Times New Roman" w:hAnsi="Times New Roman" w:cs="Times New Roman"/>
          <w:sz w:val="24"/>
          <w:szCs w:val="24"/>
        </w:rPr>
        <w:t xml:space="preserve"> </w:t>
      </w:r>
      <w:r w:rsidRPr="00FA79FC">
        <w:rPr>
          <w:rFonts w:ascii="Times New Roman" w:hAnsi="Times New Roman" w:cs="Times New Roman"/>
          <w:sz w:val="24"/>
          <w:szCs w:val="24"/>
        </w:rPr>
        <w:t>en la subcuenta Infraestructura de Contratos para los proyectos de concesión del modo de transporte carretero.</w:t>
      </w:r>
    </w:p>
    <w:p w14:paraId="4641BFF2" w14:textId="3E45D79A" w:rsidR="00CC7E40" w:rsidRDefault="0033384C" w:rsidP="00134D50">
      <w:pPr>
        <w:rPr>
          <w:rFonts w:ascii="Times New Roman" w:hAnsi="Times New Roman" w:cs="Times New Roman"/>
          <w:sz w:val="24"/>
          <w:szCs w:val="24"/>
        </w:rPr>
      </w:pPr>
      <w:r w:rsidRPr="0033384C">
        <w:rPr>
          <w:rFonts w:ascii="Times New Roman" w:hAnsi="Times New Roman" w:cs="Times New Roman"/>
          <w:sz w:val="24"/>
          <w:szCs w:val="24"/>
        </w:rPr>
        <w:t>En el</w:t>
      </w:r>
      <w:r>
        <w:rPr>
          <w:rFonts w:ascii="Times New Roman" w:hAnsi="Times New Roman" w:cs="Times New Roman"/>
          <w:sz w:val="24"/>
          <w:szCs w:val="24"/>
        </w:rPr>
        <w:t xml:space="preserve"> siguiente cuadro se observa los valores aportados p</w:t>
      </w:r>
      <w:r w:rsidR="00AC4DBA">
        <w:rPr>
          <w:rFonts w:ascii="Times New Roman" w:hAnsi="Times New Roman" w:cs="Times New Roman"/>
          <w:sz w:val="24"/>
          <w:szCs w:val="24"/>
        </w:rPr>
        <w:t>a</w:t>
      </w:r>
      <w:r>
        <w:rPr>
          <w:rFonts w:ascii="Times New Roman" w:hAnsi="Times New Roman" w:cs="Times New Roman"/>
          <w:sz w:val="24"/>
          <w:szCs w:val="24"/>
        </w:rPr>
        <w:t>r</w:t>
      </w:r>
      <w:r w:rsidR="00AC4DBA">
        <w:rPr>
          <w:rFonts w:ascii="Times New Roman" w:hAnsi="Times New Roman" w:cs="Times New Roman"/>
          <w:sz w:val="24"/>
          <w:szCs w:val="24"/>
        </w:rPr>
        <w:t>a</w:t>
      </w:r>
      <w:r>
        <w:rPr>
          <w:rFonts w:ascii="Times New Roman" w:hAnsi="Times New Roman" w:cs="Times New Roman"/>
          <w:sz w:val="24"/>
          <w:szCs w:val="24"/>
        </w:rPr>
        <w:t xml:space="preserve"> </w:t>
      </w:r>
      <w:r w:rsidR="004D2329">
        <w:rPr>
          <w:rFonts w:ascii="Times New Roman" w:hAnsi="Times New Roman" w:cs="Times New Roman"/>
          <w:sz w:val="24"/>
          <w:szCs w:val="24"/>
        </w:rPr>
        <w:t xml:space="preserve">cada </w:t>
      </w:r>
      <w:r>
        <w:rPr>
          <w:rFonts w:ascii="Times New Roman" w:hAnsi="Times New Roman" w:cs="Times New Roman"/>
          <w:sz w:val="24"/>
          <w:szCs w:val="24"/>
        </w:rPr>
        <w:t>proyecto de concesión.</w:t>
      </w:r>
    </w:p>
    <w:p w14:paraId="020865E8" w14:textId="77777777" w:rsidR="0033384C" w:rsidRDefault="0033384C" w:rsidP="00134D50">
      <w:pPr>
        <w:rPr>
          <w:rFonts w:ascii="Times New Roman" w:hAnsi="Times New Roman" w:cs="Times New Roman"/>
          <w:sz w:val="24"/>
          <w:szCs w:val="24"/>
        </w:rPr>
      </w:pPr>
    </w:p>
    <w:tbl>
      <w:tblPr>
        <w:tblW w:w="5028" w:type="dxa"/>
        <w:tblInd w:w="17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3286"/>
        <w:gridCol w:w="1742"/>
      </w:tblGrid>
      <w:tr w:rsidR="0033384C" w:rsidRPr="0033384C" w14:paraId="36C19B10" w14:textId="77777777" w:rsidTr="0033384C">
        <w:trPr>
          <w:trHeight w:val="259"/>
          <w:tblHeader/>
        </w:trPr>
        <w:tc>
          <w:tcPr>
            <w:tcW w:w="0" w:type="auto"/>
            <w:vAlign w:val="center"/>
            <w:hideMark/>
          </w:tcPr>
          <w:p w14:paraId="7F8F2BF1" w14:textId="77777777" w:rsidR="0033384C" w:rsidRPr="0033384C" w:rsidRDefault="0033384C" w:rsidP="005807C9">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33384C">
              <w:rPr>
                <w:rFonts w:ascii="Times New Roman" w:eastAsia="Times New Roman" w:hAnsi="Times New Roman" w:cs="Times New Roman"/>
                <w:b/>
                <w:bCs/>
                <w:color w:val="000000"/>
                <w:kern w:val="0"/>
                <w:sz w:val="18"/>
                <w:szCs w:val="18"/>
                <w:lang w:eastAsia="es-CO"/>
                <w14:ligatures w14:val="none"/>
              </w:rPr>
              <w:t>Proyecto</w:t>
            </w:r>
          </w:p>
        </w:tc>
        <w:tc>
          <w:tcPr>
            <w:tcW w:w="0" w:type="auto"/>
            <w:vAlign w:val="center"/>
            <w:hideMark/>
          </w:tcPr>
          <w:p w14:paraId="3295C55F" w14:textId="77777777" w:rsidR="0033384C" w:rsidRPr="0033384C" w:rsidRDefault="0033384C" w:rsidP="005807C9">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33384C">
              <w:rPr>
                <w:rFonts w:ascii="Times New Roman" w:eastAsia="Times New Roman" w:hAnsi="Times New Roman" w:cs="Times New Roman"/>
                <w:b/>
                <w:bCs/>
                <w:color w:val="000000"/>
                <w:kern w:val="0"/>
                <w:sz w:val="18"/>
                <w:szCs w:val="18"/>
                <w:lang w:eastAsia="es-CO"/>
                <w14:ligatures w14:val="none"/>
              </w:rPr>
              <w:t>Valor aporte</w:t>
            </w:r>
          </w:p>
        </w:tc>
      </w:tr>
      <w:tr w:rsidR="00FC67EC" w:rsidRPr="0033384C" w14:paraId="3CFE6F1B" w14:textId="77777777" w:rsidTr="002A5816">
        <w:trPr>
          <w:trHeight w:val="259"/>
        </w:trPr>
        <w:tc>
          <w:tcPr>
            <w:tcW w:w="0" w:type="auto"/>
            <w:vAlign w:val="center"/>
            <w:hideMark/>
          </w:tcPr>
          <w:p w14:paraId="3C668E94" w14:textId="33DB69CD" w:rsidR="00FC67EC" w:rsidRPr="00E3056D" w:rsidRDefault="00FC67EC" w:rsidP="00FC67EC">
            <w:pPr>
              <w:spacing w:after="0" w:line="240" w:lineRule="auto"/>
              <w:rPr>
                <w:rFonts w:ascii="Times New Roman" w:eastAsia="Times New Roman" w:hAnsi="Times New Roman" w:cs="Times New Roman"/>
                <w:color w:val="000000"/>
                <w:kern w:val="0"/>
                <w:sz w:val="18"/>
                <w:szCs w:val="18"/>
                <w:lang w:eastAsia="es-CO"/>
                <w14:ligatures w14:val="none"/>
              </w:rPr>
            </w:pPr>
            <w:r w:rsidRPr="00E3056D">
              <w:rPr>
                <w:rFonts w:ascii="Times New Roman" w:hAnsi="Times New Roman" w:cs="Times New Roman"/>
                <w:color w:val="000000"/>
                <w:sz w:val="18"/>
                <w:szCs w:val="18"/>
              </w:rPr>
              <w:t>Popayán - Santander De Quilichao</w:t>
            </w:r>
          </w:p>
        </w:tc>
        <w:tc>
          <w:tcPr>
            <w:tcW w:w="0" w:type="auto"/>
            <w:vAlign w:val="center"/>
            <w:hideMark/>
          </w:tcPr>
          <w:p w14:paraId="45788E78" w14:textId="7BD34EA9" w:rsidR="00FC67EC" w:rsidRPr="00FC67EC" w:rsidRDefault="00FC67EC" w:rsidP="00FC67EC">
            <w:pPr>
              <w:spacing w:after="0" w:line="240" w:lineRule="auto"/>
              <w:jc w:val="right"/>
              <w:rPr>
                <w:rFonts w:ascii="Times New Roman" w:eastAsia="Times New Roman" w:hAnsi="Times New Roman" w:cs="Times New Roman"/>
                <w:kern w:val="0"/>
                <w:sz w:val="18"/>
                <w:szCs w:val="18"/>
                <w:lang w:eastAsia="es-CO"/>
                <w14:ligatures w14:val="none"/>
              </w:rPr>
            </w:pPr>
            <w:r w:rsidRPr="00FC67EC">
              <w:rPr>
                <w:rFonts w:ascii="Times New Roman" w:hAnsi="Times New Roman" w:cs="Times New Roman"/>
                <w:sz w:val="18"/>
                <w:szCs w:val="18"/>
              </w:rPr>
              <w:t>270.588.588.611</w:t>
            </w:r>
          </w:p>
        </w:tc>
      </w:tr>
      <w:tr w:rsidR="00FC67EC" w:rsidRPr="0033384C" w14:paraId="2D2C66B5" w14:textId="77777777" w:rsidTr="002A5816">
        <w:trPr>
          <w:trHeight w:val="259"/>
        </w:trPr>
        <w:tc>
          <w:tcPr>
            <w:tcW w:w="0" w:type="auto"/>
            <w:vAlign w:val="center"/>
            <w:hideMark/>
          </w:tcPr>
          <w:p w14:paraId="07F92CAA" w14:textId="4AEC2D4E" w:rsidR="00FC67EC" w:rsidRPr="00E3056D" w:rsidRDefault="00FC67EC" w:rsidP="00FC67EC">
            <w:pPr>
              <w:spacing w:after="0" w:line="240" w:lineRule="auto"/>
              <w:rPr>
                <w:rFonts w:ascii="Times New Roman" w:eastAsia="Times New Roman" w:hAnsi="Times New Roman" w:cs="Times New Roman"/>
                <w:color w:val="000000"/>
                <w:kern w:val="0"/>
                <w:sz w:val="18"/>
                <w:szCs w:val="18"/>
                <w:lang w:eastAsia="es-CO"/>
                <w14:ligatures w14:val="none"/>
              </w:rPr>
            </w:pPr>
            <w:r w:rsidRPr="00E3056D">
              <w:rPr>
                <w:rFonts w:ascii="Times New Roman" w:hAnsi="Times New Roman" w:cs="Times New Roman"/>
                <w:color w:val="000000"/>
                <w:sz w:val="18"/>
                <w:szCs w:val="18"/>
              </w:rPr>
              <w:t>Rumichaca- Pasto</w:t>
            </w:r>
          </w:p>
        </w:tc>
        <w:tc>
          <w:tcPr>
            <w:tcW w:w="0" w:type="auto"/>
            <w:vAlign w:val="center"/>
            <w:hideMark/>
          </w:tcPr>
          <w:p w14:paraId="7D331EAA" w14:textId="1122C3E3" w:rsidR="00FC67EC" w:rsidRPr="00FC67EC" w:rsidRDefault="00FC67EC" w:rsidP="00FC67EC">
            <w:pPr>
              <w:spacing w:after="0" w:line="240" w:lineRule="auto"/>
              <w:jc w:val="right"/>
              <w:rPr>
                <w:rFonts w:ascii="Times New Roman" w:eastAsia="Times New Roman" w:hAnsi="Times New Roman" w:cs="Times New Roman"/>
                <w:kern w:val="0"/>
                <w:sz w:val="18"/>
                <w:szCs w:val="18"/>
                <w:lang w:eastAsia="es-CO"/>
                <w14:ligatures w14:val="none"/>
              </w:rPr>
            </w:pPr>
            <w:r w:rsidRPr="00FC67EC">
              <w:rPr>
                <w:rFonts w:ascii="Times New Roman" w:hAnsi="Times New Roman" w:cs="Times New Roman"/>
                <w:sz w:val="18"/>
                <w:szCs w:val="18"/>
              </w:rPr>
              <w:t>116.577.216.908</w:t>
            </w:r>
          </w:p>
        </w:tc>
      </w:tr>
      <w:tr w:rsidR="00E3056D" w:rsidRPr="0033384C" w14:paraId="19DFE78C" w14:textId="77777777" w:rsidTr="002A5816">
        <w:trPr>
          <w:trHeight w:val="259"/>
        </w:trPr>
        <w:tc>
          <w:tcPr>
            <w:tcW w:w="0" w:type="auto"/>
            <w:vAlign w:val="center"/>
            <w:hideMark/>
          </w:tcPr>
          <w:p w14:paraId="1B6CE67A" w14:textId="7BD96552" w:rsidR="00E3056D" w:rsidRPr="00E3056D" w:rsidRDefault="00E3056D" w:rsidP="00E3056D">
            <w:pPr>
              <w:spacing w:after="0" w:line="240" w:lineRule="auto"/>
              <w:rPr>
                <w:rFonts w:ascii="Times New Roman" w:eastAsia="Times New Roman" w:hAnsi="Times New Roman" w:cs="Times New Roman"/>
                <w:color w:val="000000"/>
                <w:kern w:val="0"/>
                <w:sz w:val="18"/>
                <w:szCs w:val="18"/>
                <w:lang w:eastAsia="es-CO"/>
                <w14:ligatures w14:val="none"/>
              </w:rPr>
            </w:pPr>
            <w:r w:rsidRPr="00E3056D">
              <w:rPr>
                <w:rFonts w:ascii="Times New Roman" w:hAnsi="Times New Roman" w:cs="Times New Roman"/>
                <w:color w:val="000000"/>
                <w:sz w:val="18"/>
                <w:szCs w:val="18"/>
              </w:rPr>
              <w:t>Pamplona – Cucuta</w:t>
            </w:r>
          </w:p>
        </w:tc>
        <w:tc>
          <w:tcPr>
            <w:tcW w:w="0" w:type="auto"/>
            <w:vAlign w:val="center"/>
            <w:hideMark/>
          </w:tcPr>
          <w:p w14:paraId="3BD29D0E" w14:textId="49EA5182" w:rsidR="00E3056D" w:rsidRPr="00E3056D" w:rsidRDefault="00E3056D" w:rsidP="00E3056D">
            <w:pPr>
              <w:spacing w:after="0" w:line="240" w:lineRule="auto"/>
              <w:jc w:val="right"/>
              <w:rPr>
                <w:rFonts w:ascii="Times New Roman" w:eastAsia="Times New Roman" w:hAnsi="Times New Roman" w:cs="Times New Roman"/>
                <w:kern w:val="0"/>
                <w:sz w:val="18"/>
                <w:szCs w:val="18"/>
                <w:lang w:eastAsia="es-CO"/>
                <w14:ligatures w14:val="none"/>
              </w:rPr>
            </w:pPr>
            <w:r w:rsidRPr="00E3056D">
              <w:rPr>
                <w:rFonts w:ascii="Times New Roman" w:hAnsi="Times New Roman" w:cs="Times New Roman"/>
                <w:sz w:val="18"/>
                <w:szCs w:val="18"/>
              </w:rPr>
              <w:t>80.854.173.650</w:t>
            </w:r>
          </w:p>
        </w:tc>
      </w:tr>
      <w:tr w:rsidR="00E3056D" w:rsidRPr="0033384C" w14:paraId="13A01814" w14:textId="77777777" w:rsidTr="002A5816">
        <w:trPr>
          <w:trHeight w:val="259"/>
        </w:trPr>
        <w:tc>
          <w:tcPr>
            <w:tcW w:w="0" w:type="auto"/>
            <w:vAlign w:val="center"/>
            <w:hideMark/>
          </w:tcPr>
          <w:p w14:paraId="3DC2A7F2" w14:textId="36418E39" w:rsidR="00E3056D" w:rsidRPr="00E3056D" w:rsidRDefault="00E3056D" w:rsidP="00E3056D">
            <w:pPr>
              <w:spacing w:after="0" w:line="240" w:lineRule="auto"/>
              <w:rPr>
                <w:rFonts w:ascii="Times New Roman" w:eastAsia="Times New Roman" w:hAnsi="Times New Roman" w:cs="Times New Roman"/>
                <w:color w:val="000000"/>
                <w:kern w:val="0"/>
                <w:sz w:val="18"/>
                <w:szCs w:val="18"/>
                <w:lang w:eastAsia="es-CO"/>
                <w14:ligatures w14:val="none"/>
              </w:rPr>
            </w:pPr>
            <w:r w:rsidRPr="00E3056D">
              <w:rPr>
                <w:rFonts w:ascii="Times New Roman" w:hAnsi="Times New Roman" w:cs="Times New Roman"/>
                <w:color w:val="000000"/>
                <w:sz w:val="18"/>
                <w:szCs w:val="18"/>
              </w:rPr>
              <w:t>Autopista Al Mar 1</w:t>
            </w:r>
          </w:p>
        </w:tc>
        <w:tc>
          <w:tcPr>
            <w:tcW w:w="0" w:type="auto"/>
            <w:vAlign w:val="center"/>
            <w:hideMark/>
          </w:tcPr>
          <w:p w14:paraId="6FB1D0B1" w14:textId="0D981ADB" w:rsidR="00E3056D" w:rsidRPr="00E3056D" w:rsidRDefault="00E3056D" w:rsidP="00E3056D">
            <w:pPr>
              <w:spacing w:after="0" w:line="240" w:lineRule="auto"/>
              <w:jc w:val="right"/>
              <w:rPr>
                <w:rFonts w:ascii="Times New Roman" w:eastAsia="Times New Roman" w:hAnsi="Times New Roman" w:cs="Times New Roman"/>
                <w:kern w:val="0"/>
                <w:sz w:val="18"/>
                <w:szCs w:val="18"/>
                <w:lang w:eastAsia="es-CO"/>
                <w14:ligatures w14:val="none"/>
              </w:rPr>
            </w:pPr>
            <w:r w:rsidRPr="00E3056D">
              <w:rPr>
                <w:rFonts w:ascii="Times New Roman" w:hAnsi="Times New Roman" w:cs="Times New Roman"/>
                <w:sz w:val="18"/>
                <w:szCs w:val="18"/>
              </w:rPr>
              <w:t>23.753.191.741</w:t>
            </w:r>
          </w:p>
        </w:tc>
      </w:tr>
      <w:tr w:rsidR="00E3056D" w:rsidRPr="0033384C" w14:paraId="27780888" w14:textId="77777777" w:rsidTr="002A5816">
        <w:trPr>
          <w:trHeight w:val="259"/>
        </w:trPr>
        <w:tc>
          <w:tcPr>
            <w:tcW w:w="0" w:type="auto"/>
            <w:vAlign w:val="center"/>
            <w:hideMark/>
          </w:tcPr>
          <w:p w14:paraId="7FC881D1" w14:textId="1CE7E3EE" w:rsidR="00E3056D" w:rsidRPr="00E3056D" w:rsidRDefault="00E3056D" w:rsidP="00E3056D">
            <w:pPr>
              <w:spacing w:after="0" w:line="240" w:lineRule="auto"/>
              <w:rPr>
                <w:rFonts w:ascii="Times New Roman" w:eastAsia="Times New Roman" w:hAnsi="Times New Roman" w:cs="Times New Roman"/>
                <w:color w:val="000000"/>
                <w:kern w:val="0"/>
                <w:sz w:val="18"/>
                <w:szCs w:val="18"/>
                <w:lang w:eastAsia="es-CO"/>
                <w14:ligatures w14:val="none"/>
              </w:rPr>
            </w:pPr>
            <w:r w:rsidRPr="00E3056D">
              <w:rPr>
                <w:rFonts w:ascii="Times New Roman" w:hAnsi="Times New Roman" w:cs="Times New Roman"/>
                <w:color w:val="000000"/>
                <w:sz w:val="18"/>
                <w:szCs w:val="18"/>
              </w:rPr>
              <w:t>Briceño - Tunja - Sogamoso</w:t>
            </w:r>
          </w:p>
        </w:tc>
        <w:tc>
          <w:tcPr>
            <w:tcW w:w="0" w:type="auto"/>
            <w:vAlign w:val="center"/>
            <w:hideMark/>
          </w:tcPr>
          <w:p w14:paraId="4A2924DD" w14:textId="6F747C1A" w:rsidR="00E3056D" w:rsidRPr="00E3056D" w:rsidRDefault="00E3056D" w:rsidP="00E3056D">
            <w:pPr>
              <w:spacing w:after="0" w:line="240" w:lineRule="auto"/>
              <w:jc w:val="right"/>
              <w:rPr>
                <w:rFonts w:ascii="Times New Roman" w:eastAsia="Times New Roman" w:hAnsi="Times New Roman" w:cs="Times New Roman"/>
                <w:kern w:val="0"/>
                <w:sz w:val="18"/>
                <w:szCs w:val="18"/>
                <w:lang w:eastAsia="es-CO"/>
                <w14:ligatures w14:val="none"/>
              </w:rPr>
            </w:pPr>
            <w:r w:rsidRPr="00E3056D">
              <w:rPr>
                <w:rFonts w:ascii="Times New Roman" w:hAnsi="Times New Roman" w:cs="Times New Roman"/>
                <w:sz w:val="18"/>
                <w:szCs w:val="18"/>
              </w:rPr>
              <w:t>12.258.489.544</w:t>
            </w:r>
          </w:p>
        </w:tc>
      </w:tr>
      <w:tr w:rsidR="00E3056D" w:rsidRPr="0033384C" w14:paraId="450F6E7E" w14:textId="77777777" w:rsidTr="002A5816">
        <w:trPr>
          <w:trHeight w:val="259"/>
        </w:trPr>
        <w:tc>
          <w:tcPr>
            <w:tcW w:w="0" w:type="auto"/>
            <w:vAlign w:val="center"/>
            <w:hideMark/>
          </w:tcPr>
          <w:p w14:paraId="42EBFF81" w14:textId="755A00E1" w:rsidR="00E3056D" w:rsidRPr="00E3056D" w:rsidRDefault="00E3056D" w:rsidP="00E3056D">
            <w:pPr>
              <w:spacing w:after="0" w:line="240" w:lineRule="auto"/>
              <w:rPr>
                <w:rFonts w:ascii="Times New Roman" w:eastAsia="Times New Roman" w:hAnsi="Times New Roman" w:cs="Times New Roman"/>
                <w:color w:val="000000"/>
                <w:kern w:val="0"/>
                <w:sz w:val="18"/>
                <w:szCs w:val="18"/>
                <w:lang w:eastAsia="es-CO"/>
                <w14:ligatures w14:val="none"/>
              </w:rPr>
            </w:pPr>
            <w:r w:rsidRPr="00E3056D">
              <w:rPr>
                <w:rFonts w:ascii="Times New Roman" w:hAnsi="Times New Roman" w:cs="Times New Roman"/>
                <w:color w:val="000000"/>
                <w:sz w:val="18"/>
                <w:szCs w:val="18"/>
              </w:rPr>
              <w:t>Conexión Pacifico 1</w:t>
            </w:r>
          </w:p>
        </w:tc>
        <w:tc>
          <w:tcPr>
            <w:tcW w:w="0" w:type="auto"/>
            <w:vAlign w:val="center"/>
            <w:hideMark/>
          </w:tcPr>
          <w:p w14:paraId="72B5D73F" w14:textId="7C79B2D9" w:rsidR="00E3056D" w:rsidRPr="00E3056D" w:rsidRDefault="00E3056D" w:rsidP="00E3056D">
            <w:pPr>
              <w:spacing w:after="0" w:line="240" w:lineRule="auto"/>
              <w:jc w:val="right"/>
              <w:rPr>
                <w:rFonts w:ascii="Times New Roman" w:eastAsia="Times New Roman" w:hAnsi="Times New Roman" w:cs="Times New Roman"/>
                <w:kern w:val="0"/>
                <w:sz w:val="18"/>
                <w:szCs w:val="18"/>
                <w:lang w:eastAsia="es-CO"/>
                <w14:ligatures w14:val="none"/>
              </w:rPr>
            </w:pPr>
            <w:r w:rsidRPr="00E3056D">
              <w:rPr>
                <w:rFonts w:ascii="Times New Roman" w:hAnsi="Times New Roman" w:cs="Times New Roman"/>
                <w:sz w:val="18"/>
                <w:szCs w:val="18"/>
              </w:rPr>
              <w:t>9.648.252.727</w:t>
            </w:r>
          </w:p>
        </w:tc>
      </w:tr>
      <w:tr w:rsidR="00E3056D" w:rsidRPr="0033384C" w14:paraId="4922301B" w14:textId="77777777" w:rsidTr="002A5816">
        <w:trPr>
          <w:trHeight w:val="259"/>
        </w:trPr>
        <w:tc>
          <w:tcPr>
            <w:tcW w:w="0" w:type="auto"/>
            <w:vAlign w:val="center"/>
            <w:hideMark/>
          </w:tcPr>
          <w:p w14:paraId="7C0EB31C" w14:textId="1E26DFC6" w:rsidR="00E3056D" w:rsidRPr="00E3056D" w:rsidRDefault="00E3056D" w:rsidP="00E3056D">
            <w:pPr>
              <w:spacing w:after="0" w:line="240" w:lineRule="auto"/>
              <w:rPr>
                <w:rFonts w:ascii="Times New Roman" w:eastAsia="Times New Roman" w:hAnsi="Times New Roman" w:cs="Times New Roman"/>
                <w:color w:val="000000"/>
                <w:kern w:val="0"/>
                <w:sz w:val="18"/>
                <w:szCs w:val="18"/>
                <w:lang w:eastAsia="es-CO"/>
                <w14:ligatures w14:val="none"/>
              </w:rPr>
            </w:pPr>
            <w:r w:rsidRPr="00E3056D">
              <w:rPr>
                <w:rFonts w:ascii="Times New Roman" w:hAnsi="Times New Roman" w:cs="Times New Roman"/>
                <w:color w:val="000000"/>
                <w:sz w:val="18"/>
                <w:szCs w:val="18"/>
              </w:rPr>
              <w:t>Santana Mocoa- Neiva</w:t>
            </w:r>
          </w:p>
        </w:tc>
        <w:tc>
          <w:tcPr>
            <w:tcW w:w="0" w:type="auto"/>
            <w:vAlign w:val="center"/>
            <w:hideMark/>
          </w:tcPr>
          <w:p w14:paraId="5AFA231F" w14:textId="080FEFED" w:rsidR="00E3056D" w:rsidRPr="00E3056D" w:rsidRDefault="00E3056D" w:rsidP="00E3056D">
            <w:pPr>
              <w:spacing w:after="0" w:line="240" w:lineRule="auto"/>
              <w:jc w:val="right"/>
              <w:rPr>
                <w:rFonts w:ascii="Times New Roman" w:eastAsia="Times New Roman" w:hAnsi="Times New Roman" w:cs="Times New Roman"/>
                <w:kern w:val="0"/>
                <w:sz w:val="18"/>
                <w:szCs w:val="18"/>
                <w:lang w:eastAsia="es-CO"/>
                <w14:ligatures w14:val="none"/>
              </w:rPr>
            </w:pPr>
            <w:r w:rsidRPr="00E3056D">
              <w:rPr>
                <w:rFonts w:ascii="Times New Roman" w:hAnsi="Times New Roman" w:cs="Times New Roman"/>
                <w:sz w:val="18"/>
                <w:szCs w:val="18"/>
              </w:rPr>
              <w:t>6.602.441.998</w:t>
            </w:r>
          </w:p>
        </w:tc>
      </w:tr>
      <w:tr w:rsidR="0033384C" w:rsidRPr="0033384C" w14:paraId="45B189E3" w14:textId="77777777" w:rsidTr="007D3DD9">
        <w:trPr>
          <w:trHeight w:val="259"/>
        </w:trPr>
        <w:tc>
          <w:tcPr>
            <w:tcW w:w="0" w:type="auto"/>
            <w:tcBorders>
              <w:bottom w:val="single" w:sz="6" w:space="0" w:color="A6A6A6" w:themeColor="background1" w:themeShade="A6"/>
            </w:tcBorders>
            <w:vAlign w:val="center"/>
            <w:hideMark/>
          </w:tcPr>
          <w:p w14:paraId="3F9C5F77" w14:textId="77777777" w:rsidR="0033384C" w:rsidRPr="0033384C" w:rsidRDefault="0033384C" w:rsidP="005807C9">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33384C">
              <w:rPr>
                <w:rFonts w:ascii="Times New Roman" w:eastAsia="Times New Roman" w:hAnsi="Times New Roman" w:cs="Times New Roman"/>
                <w:b/>
                <w:bCs/>
                <w:color w:val="000000"/>
                <w:kern w:val="0"/>
                <w:sz w:val="18"/>
                <w:szCs w:val="18"/>
                <w:lang w:eastAsia="es-CO"/>
                <w14:ligatures w14:val="none"/>
              </w:rPr>
              <w:t>Total</w:t>
            </w:r>
          </w:p>
        </w:tc>
        <w:tc>
          <w:tcPr>
            <w:tcW w:w="0" w:type="auto"/>
            <w:tcBorders>
              <w:bottom w:val="single" w:sz="6" w:space="0" w:color="A6A6A6" w:themeColor="background1" w:themeShade="A6"/>
            </w:tcBorders>
            <w:vAlign w:val="center"/>
            <w:hideMark/>
          </w:tcPr>
          <w:p w14:paraId="6D072208" w14:textId="77777777" w:rsidR="0033384C" w:rsidRPr="0033384C" w:rsidRDefault="0033384C" w:rsidP="005807C9">
            <w:pPr>
              <w:spacing w:after="0" w:line="240" w:lineRule="auto"/>
              <w:jc w:val="right"/>
              <w:rPr>
                <w:rFonts w:ascii="Times New Roman" w:eastAsia="Times New Roman" w:hAnsi="Times New Roman" w:cs="Times New Roman"/>
                <w:b/>
                <w:bCs/>
                <w:kern w:val="0"/>
                <w:sz w:val="18"/>
                <w:szCs w:val="18"/>
                <w:lang w:eastAsia="es-CO"/>
                <w14:ligatures w14:val="none"/>
              </w:rPr>
            </w:pPr>
            <w:r w:rsidRPr="0033384C">
              <w:rPr>
                <w:rFonts w:ascii="Times New Roman" w:eastAsia="Times New Roman" w:hAnsi="Times New Roman" w:cs="Times New Roman"/>
                <w:b/>
                <w:bCs/>
                <w:kern w:val="0"/>
                <w:sz w:val="18"/>
                <w:szCs w:val="18"/>
                <w:lang w:eastAsia="es-CO"/>
                <w14:ligatures w14:val="none"/>
              </w:rPr>
              <w:t xml:space="preserve"> 520.282.355.179 </w:t>
            </w:r>
          </w:p>
        </w:tc>
      </w:tr>
      <w:tr w:rsidR="0033384C" w:rsidRPr="0033384C" w14:paraId="09DA358C" w14:textId="77777777" w:rsidTr="007D3DD9">
        <w:trPr>
          <w:trHeight w:val="259"/>
        </w:trPr>
        <w:tc>
          <w:tcPr>
            <w:tcW w:w="0" w:type="auto"/>
            <w:gridSpan w:val="2"/>
            <w:tcBorders>
              <w:top w:val="single" w:sz="6" w:space="0" w:color="A6A6A6" w:themeColor="background1" w:themeShade="A6"/>
              <w:left w:val="nil"/>
              <w:bottom w:val="nil"/>
              <w:right w:val="nil"/>
            </w:tcBorders>
            <w:vAlign w:val="center"/>
          </w:tcPr>
          <w:p w14:paraId="25D224CB" w14:textId="4847DD83" w:rsidR="0033384C" w:rsidRPr="0033384C" w:rsidRDefault="0033384C" w:rsidP="0033384C">
            <w:pPr>
              <w:spacing w:after="0" w:line="240" w:lineRule="auto"/>
              <w:rPr>
                <w:rFonts w:ascii="Times New Roman" w:eastAsia="Times New Roman" w:hAnsi="Times New Roman" w:cs="Times New Roman"/>
                <w:b/>
                <w:bCs/>
                <w:kern w:val="0"/>
                <w:sz w:val="18"/>
                <w:szCs w:val="18"/>
                <w:lang w:eastAsia="es-CO"/>
                <w14:ligatures w14:val="none"/>
              </w:rPr>
            </w:pPr>
            <w:r w:rsidRPr="00900784">
              <w:rPr>
                <w:rFonts w:ascii="Times New Roman" w:hAnsi="Times New Roman" w:cs="Times New Roman"/>
                <w:sz w:val="16"/>
                <w:szCs w:val="16"/>
              </w:rPr>
              <w:t xml:space="preserve">Cifras </w:t>
            </w:r>
            <w:r>
              <w:rPr>
                <w:rFonts w:ascii="Times New Roman" w:hAnsi="Times New Roman" w:cs="Times New Roman"/>
                <w:sz w:val="16"/>
                <w:szCs w:val="16"/>
              </w:rPr>
              <w:t>expresadas en</w:t>
            </w:r>
            <w:r w:rsidRPr="00900784">
              <w:rPr>
                <w:rFonts w:ascii="Times New Roman" w:hAnsi="Times New Roman" w:cs="Times New Roman"/>
                <w:sz w:val="16"/>
                <w:szCs w:val="16"/>
              </w:rPr>
              <w:t xml:space="preserve"> pesos</w:t>
            </w:r>
          </w:p>
        </w:tc>
      </w:tr>
      <w:tr w:rsidR="0033384C" w:rsidRPr="0033384C" w14:paraId="481B56E0" w14:textId="77777777" w:rsidTr="007D3DD9">
        <w:trPr>
          <w:trHeight w:val="259"/>
        </w:trPr>
        <w:tc>
          <w:tcPr>
            <w:tcW w:w="0" w:type="auto"/>
            <w:gridSpan w:val="2"/>
            <w:tcBorders>
              <w:top w:val="nil"/>
              <w:left w:val="nil"/>
              <w:bottom w:val="nil"/>
              <w:right w:val="nil"/>
            </w:tcBorders>
            <w:vAlign w:val="center"/>
          </w:tcPr>
          <w:p w14:paraId="1F2E23AD" w14:textId="2E5C4732" w:rsidR="0033384C" w:rsidRPr="0033384C" w:rsidRDefault="0033384C" w:rsidP="0033384C">
            <w:pPr>
              <w:spacing w:after="0" w:line="240" w:lineRule="auto"/>
              <w:rPr>
                <w:rFonts w:ascii="Times New Roman" w:eastAsia="Times New Roman" w:hAnsi="Times New Roman" w:cs="Times New Roman"/>
                <w:b/>
                <w:bCs/>
                <w:kern w:val="0"/>
                <w:sz w:val="18"/>
                <w:szCs w:val="18"/>
                <w:lang w:eastAsia="es-CO"/>
                <w14:ligatures w14:val="none"/>
              </w:rPr>
            </w:pPr>
            <w:r w:rsidRPr="00900784">
              <w:rPr>
                <w:rFonts w:ascii="Times New Roman" w:hAnsi="Times New Roman" w:cs="Times New Roman"/>
                <w:sz w:val="16"/>
                <w:szCs w:val="16"/>
              </w:rPr>
              <w:t>Elaboración: Área Contable – VGCOR.</w:t>
            </w:r>
          </w:p>
        </w:tc>
      </w:tr>
    </w:tbl>
    <w:p w14:paraId="6107B3F2" w14:textId="77777777" w:rsidR="0033384C" w:rsidRDefault="0033384C" w:rsidP="00134D50">
      <w:pPr>
        <w:rPr>
          <w:rFonts w:ascii="Times New Roman" w:hAnsi="Times New Roman" w:cs="Times New Roman"/>
          <w:sz w:val="24"/>
          <w:szCs w:val="24"/>
        </w:rPr>
      </w:pPr>
    </w:p>
    <w:p w14:paraId="3E3B4D2E" w14:textId="77777777" w:rsidR="00887C8A" w:rsidRPr="00887C8A" w:rsidRDefault="00887C8A" w:rsidP="00134D50">
      <w:pPr>
        <w:rPr>
          <w:rFonts w:ascii="Times New Roman" w:hAnsi="Times New Roman" w:cs="Times New Roman"/>
          <w:b/>
          <w:bCs/>
          <w:sz w:val="24"/>
          <w:szCs w:val="24"/>
        </w:rPr>
      </w:pPr>
    </w:p>
    <w:p w14:paraId="64D9047B" w14:textId="30F63DC3" w:rsidR="00C3254F" w:rsidRDefault="00F474BB" w:rsidP="00134D50">
      <w:pPr>
        <w:rPr>
          <w:rFonts w:ascii="Times New Roman" w:hAnsi="Times New Roman" w:cs="Times New Roman"/>
          <w:b/>
          <w:bCs/>
          <w:sz w:val="24"/>
          <w:szCs w:val="24"/>
        </w:rPr>
      </w:pPr>
      <w:r w:rsidRPr="00887C8A">
        <w:rPr>
          <w:rFonts w:ascii="Times New Roman" w:hAnsi="Times New Roman" w:cs="Times New Roman"/>
          <w:b/>
          <w:bCs/>
          <w:sz w:val="24"/>
          <w:szCs w:val="24"/>
        </w:rPr>
        <w:t>En administración</w:t>
      </w:r>
    </w:p>
    <w:p w14:paraId="539FF763" w14:textId="41CC18A5" w:rsidR="003D11B9" w:rsidRPr="00F77CDB" w:rsidRDefault="003D11B9" w:rsidP="003D11B9">
      <w:pPr>
        <w:jc w:val="both"/>
        <w:rPr>
          <w:rFonts w:ascii="Times New Roman" w:hAnsi="Times New Roman" w:cs="Times New Roman"/>
          <w:b/>
          <w:bCs/>
          <w:i/>
          <w:iCs/>
          <w:sz w:val="24"/>
          <w:szCs w:val="24"/>
          <w:u w:val="single"/>
        </w:rPr>
      </w:pPr>
      <w:r w:rsidRPr="00F77CDB">
        <w:rPr>
          <w:rFonts w:ascii="Times New Roman" w:hAnsi="Times New Roman" w:cs="Times New Roman"/>
          <w:i/>
          <w:iCs/>
          <w:sz w:val="24"/>
          <w:szCs w:val="24"/>
          <w:u w:val="single"/>
        </w:rPr>
        <w:t>Traslados al patrimonio del Fondo de Fuentes Alternativas de Pago para el Desarrollo Infraestructura (FIP</w:t>
      </w:r>
      <w:r w:rsidRPr="00F77CDB">
        <w:rPr>
          <w:rFonts w:ascii="Times New Roman" w:hAnsi="Times New Roman" w:cs="Times New Roman"/>
          <w:b/>
          <w:bCs/>
          <w:i/>
          <w:iCs/>
          <w:sz w:val="24"/>
          <w:szCs w:val="24"/>
          <w:u w:val="single"/>
        </w:rPr>
        <w:t>)</w:t>
      </w:r>
    </w:p>
    <w:p w14:paraId="1F999541" w14:textId="6EEF7571" w:rsidR="003D11B9" w:rsidRPr="003D11B9" w:rsidRDefault="003D11B9" w:rsidP="00134D50">
      <w:pPr>
        <w:rPr>
          <w:rFonts w:ascii="Times New Roman" w:hAnsi="Times New Roman" w:cs="Times New Roman"/>
          <w:sz w:val="24"/>
          <w:szCs w:val="24"/>
        </w:rPr>
      </w:pPr>
      <w:r w:rsidRPr="003D11B9">
        <w:rPr>
          <w:rFonts w:ascii="Times New Roman" w:hAnsi="Times New Roman" w:cs="Times New Roman"/>
          <w:sz w:val="24"/>
          <w:szCs w:val="24"/>
        </w:rPr>
        <w:t>El valor de $548.155.737.844, a nombre de FIDUCIARA LA PREVISORA, corresponde a los ingresos por traslados al Fondo de Fuentes Alternativas de Pago para el Desarrollo de Infraestructura “FIP”</w:t>
      </w:r>
      <w:r>
        <w:rPr>
          <w:rFonts w:ascii="Times New Roman" w:hAnsi="Times New Roman" w:cs="Times New Roman"/>
          <w:sz w:val="24"/>
          <w:szCs w:val="24"/>
        </w:rPr>
        <w:t>.</w:t>
      </w:r>
    </w:p>
    <w:p w14:paraId="19CC6229" w14:textId="77777777" w:rsidR="003D11B9" w:rsidRDefault="003D11B9" w:rsidP="00134D50">
      <w:pPr>
        <w:rPr>
          <w:rFonts w:ascii="Times New Roman" w:hAnsi="Times New Roman" w:cs="Times New Roman"/>
          <w:b/>
          <w:bCs/>
          <w:sz w:val="24"/>
          <w:szCs w:val="24"/>
        </w:rPr>
      </w:pPr>
    </w:p>
    <w:p w14:paraId="6858C3E4" w14:textId="4E5D848D" w:rsidR="00F474BB" w:rsidRPr="00F77CDB" w:rsidRDefault="00F474BB" w:rsidP="00134D50">
      <w:pPr>
        <w:rPr>
          <w:rFonts w:ascii="Times New Roman" w:hAnsi="Times New Roman" w:cs="Times New Roman"/>
          <w:i/>
          <w:iCs/>
          <w:sz w:val="24"/>
          <w:szCs w:val="24"/>
          <w:u w:val="single"/>
        </w:rPr>
      </w:pPr>
      <w:r w:rsidRPr="00F77CDB">
        <w:rPr>
          <w:rFonts w:ascii="Times New Roman" w:hAnsi="Times New Roman" w:cs="Times New Roman"/>
          <w:i/>
          <w:iCs/>
          <w:sz w:val="24"/>
          <w:szCs w:val="24"/>
          <w:u w:val="single"/>
        </w:rPr>
        <w:t>En administración – DTN- SCUN</w:t>
      </w:r>
    </w:p>
    <w:p w14:paraId="30644299" w14:textId="77777777" w:rsidR="003D11B9" w:rsidRPr="003D11B9" w:rsidRDefault="003D11B9" w:rsidP="003D11B9">
      <w:pPr>
        <w:rPr>
          <w:rFonts w:ascii="Times New Roman" w:hAnsi="Times New Roman" w:cs="Times New Roman"/>
          <w:sz w:val="24"/>
          <w:szCs w:val="24"/>
        </w:rPr>
      </w:pPr>
      <w:r w:rsidRPr="003D11B9">
        <w:rPr>
          <w:rFonts w:ascii="Times New Roman" w:hAnsi="Times New Roman" w:cs="Times New Roman"/>
          <w:sz w:val="24"/>
          <w:szCs w:val="24"/>
        </w:rPr>
        <w:t xml:space="preserve">Ministerio de Hacienda y Crédito Público – SCUN </w:t>
      </w:r>
      <w:r w:rsidRPr="003D11B9">
        <w:rPr>
          <w:rFonts w:ascii="Times New Roman" w:hAnsi="Times New Roman" w:cs="Times New Roman"/>
          <w:sz w:val="24"/>
          <w:szCs w:val="24"/>
        </w:rPr>
        <w:tab/>
      </w:r>
    </w:p>
    <w:p w14:paraId="115BAC72" w14:textId="77777777" w:rsidR="003D11B9" w:rsidRPr="003D11B9" w:rsidRDefault="003D11B9" w:rsidP="003D11B9">
      <w:pPr>
        <w:jc w:val="both"/>
        <w:rPr>
          <w:rFonts w:ascii="Times New Roman" w:hAnsi="Times New Roman" w:cs="Times New Roman"/>
          <w:sz w:val="24"/>
          <w:szCs w:val="24"/>
        </w:rPr>
      </w:pPr>
      <w:r w:rsidRPr="003D11B9">
        <w:rPr>
          <w:rFonts w:ascii="Times New Roman" w:hAnsi="Times New Roman" w:cs="Times New Roman"/>
          <w:sz w:val="24"/>
          <w:szCs w:val="24"/>
        </w:rPr>
        <w:t>El Sistema de Cuenta Única Nacional – SCUN es definido en el artículo 1º del Decreto 2785 del 29 de noviembre de 2013 como “el conjunto de procesos de recaudo, traslado, administración y giro de recursos realizados por los órganos que conforman el Presupuesto General de la Nación. Los lineamientos y procedimientos para el traslado de recursos al SCUN, su administración y giro serán establecidos por la Dirección General de Crédito Público y Tesoro Nacional del Ministerio de Hacienda y Crédito Público, conforme a las normas orgánicas del presupuesto”.</w:t>
      </w:r>
    </w:p>
    <w:p w14:paraId="04F3421F" w14:textId="77777777" w:rsidR="003D11B9" w:rsidRPr="003D11B9" w:rsidRDefault="003D11B9" w:rsidP="003D11B9">
      <w:pPr>
        <w:jc w:val="both"/>
        <w:rPr>
          <w:rFonts w:ascii="Times New Roman" w:hAnsi="Times New Roman" w:cs="Times New Roman"/>
          <w:sz w:val="24"/>
          <w:szCs w:val="24"/>
        </w:rPr>
      </w:pPr>
    </w:p>
    <w:p w14:paraId="10B7DCE9" w14:textId="6D4B2C38" w:rsidR="00F474BB" w:rsidRDefault="003D11B9" w:rsidP="003D11B9">
      <w:pPr>
        <w:jc w:val="both"/>
        <w:rPr>
          <w:rFonts w:ascii="Times New Roman" w:hAnsi="Times New Roman" w:cs="Times New Roman"/>
          <w:sz w:val="24"/>
          <w:szCs w:val="24"/>
        </w:rPr>
      </w:pPr>
      <w:r w:rsidRPr="003D11B9">
        <w:rPr>
          <w:rFonts w:ascii="Times New Roman" w:hAnsi="Times New Roman" w:cs="Times New Roman"/>
          <w:sz w:val="24"/>
          <w:szCs w:val="24"/>
        </w:rPr>
        <w:t xml:space="preserve">Esta subcuenta contable, presenta a 31 de </w:t>
      </w:r>
      <w:r>
        <w:rPr>
          <w:rFonts w:ascii="Times New Roman" w:hAnsi="Times New Roman" w:cs="Times New Roman"/>
          <w:sz w:val="24"/>
          <w:szCs w:val="24"/>
        </w:rPr>
        <w:t>marzo</w:t>
      </w:r>
      <w:r w:rsidRPr="003D11B9">
        <w:rPr>
          <w:rFonts w:ascii="Times New Roman" w:hAnsi="Times New Roman" w:cs="Times New Roman"/>
          <w:sz w:val="24"/>
          <w:szCs w:val="24"/>
        </w:rPr>
        <w:t xml:space="preserve"> de 202</w:t>
      </w:r>
      <w:r>
        <w:rPr>
          <w:rFonts w:ascii="Times New Roman" w:hAnsi="Times New Roman" w:cs="Times New Roman"/>
          <w:sz w:val="24"/>
          <w:szCs w:val="24"/>
        </w:rPr>
        <w:t>6</w:t>
      </w:r>
      <w:r w:rsidRPr="003D11B9">
        <w:rPr>
          <w:rFonts w:ascii="Times New Roman" w:hAnsi="Times New Roman" w:cs="Times New Roman"/>
          <w:sz w:val="24"/>
          <w:szCs w:val="24"/>
        </w:rPr>
        <w:t xml:space="preserve"> un saldo por valor de $175.170.581.433 que por su naturaleza y origen se concilia mensualmente con la Dirección del Tesoro Nacional, en el formato establecido para ello</w:t>
      </w:r>
      <w:r>
        <w:rPr>
          <w:rFonts w:ascii="Times New Roman" w:hAnsi="Times New Roman" w:cs="Times New Roman"/>
          <w:sz w:val="24"/>
          <w:szCs w:val="24"/>
        </w:rPr>
        <w:t>.</w:t>
      </w:r>
    </w:p>
    <w:p w14:paraId="00E08F71" w14:textId="77777777" w:rsidR="003D11B9" w:rsidRPr="00887C8A" w:rsidRDefault="003D11B9" w:rsidP="00134D50">
      <w:pPr>
        <w:rPr>
          <w:rFonts w:ascii="Times New Roman" w:hAnsi="Times New Roman" w:cs="Times New Roman"/>
          <w:sz w:val="24"/>
          <w:szCs w:val="24"/>
        </w:rPr>
      </w:pPr>
    </w:p>
    <w:p w14:paraId="0CF02C14" w14:textId="64F7445D" w:rsidR="00F474BB" w:rsidRPr="00F77CDB" w:rsidRDefault="00F474BB" w:rsidP="00134D50">
      <w:pPr>
        <w:rPr>
          <w:rFonts w:ascii="Times New Roman" w:hAnsi="Times New Roman" w:cs="Times New Roman"/>
          <w:i/>
          <w:iCs/>
          <w:sz w:val="24"/>
          <w:szCs w:val="24"/>
          <w:u w:val="single"/>
        </w:rPr>
      </w:pPr>
      <w:r w:rsidRPr="00F77CDB">
        <w:rPr>
          <w:rFonts w:ascii="Times New Roman" w:hAnsi="Times New Roman" w:cs="Times New Roman"/>
          <w:i/>
          <w:iCs/>
          <w:sz w:val="24"/>
          <w:szCs w:val="24"/>
          <w:u w:val="single"/>
        </w:rPr>
        <w:t>Convenios y contratos interadministrativos</w:t>
      </w:r>
    </w:p>
    <w:p w14:paraId="32904FD2" w14:textId="77777777" w:rsidR="00887C8A" w:rsidRDefault="00887C8A" w:rsidP="00134D50">
      <w:pPr>
        <w:rPr>
          <w:rFonts w:ascii="Times New Roman" w:hAnsi="Times New Roman" w:cs="Times New Roman"/>
          <w:sz w:val="24"/>
          <w:szCs w:val="24"/>
        </w:rPr>
      </w:pPr>
    </w:p>
    <w:p w14:paraId="4BB9175B" w14:textId="35FF1CCF" w:rsidR="00283B67" w:rsidRDefault="00283B67" w:rsidP="004D4E4F">
      <w:pPr>
        <w:jc w:val="both"/>
        <w:rPr>
          <w:rFonts w:ascii="Times New Roman" w:hAnsi="Times New Roman" w:cs="Times New Roman"/>
          <w:sz w:val="24"/>
          <w:szCs w:val="24"/>
        </w:rPr>
      </w:pPr>
      <w:r>
        <w:rPr>
          <w:rFonts w:ascii="Times New Roman" w:hAnsi="Times New Roman" w:cs="Times New Roman"/>
          <w:sz w:val="24"/>
          <w:szCs w:val="24"/>
        </w:rPr>
        <w:t>Durante el primer trimestre</w:t>
      </w:r>
      <w:r w:rsidR="009D1A4F" w:rsidRPr="009D1A4F">
        <w:rPr>
          <w:rFonts w:ascii="Times New Roman" w:hAnsi="Times New Roman" w:cs="Times New Roman"/>
          <w:sz w:val="24"/>
          <w:szCs w:val="24"/>
        </w:rPr>
        <w:t xml:space="preserve"> de 2026, se efectuaron los registros</w:t>
      </w:r>
      <w:r>
        <w:rPr>
          <w:rFonts w:ascii="Times New Roman" w:hAnsi="Times New Roman" w:cs="Times New Roman"/>
          <w:sz w:val="24"/>
          <w:szCs w:val="24"/>
        </w:rPr>
        <w:t xml:space="preserve"> contables correspondientes a</w:t>
      </w:r>
      <w:r w:rsidR="009D1A4F" w:rsidRPr="009D1A4F">
        <w:rPr>
          <w:rFonts w:ascii="Times New Roman" w:hAnsi="Times New Roman" w:cs="Times New Roman"/>
          <w:sz w:val="24"/>
          <w:szCs w:val="24"/>
        </w:rPr>
        <w:t xml:space="preserve"> </w:t>
      </w:r>
      <w:r>
        <w:rPr>
          <w:rFonts w:ascii="Times New Roman" w:hAnsi="Times New Roman" w:cs="Times New Roman"/>
          <w:sz w:val="24"/>
          <w:szCs w:val="24"/>
        </w:rPr>
        <w:t>la</w:t>
      </w:r>
      <w:r w:rsidR="009D1A4F" w:rsidRPr="009D1A4F">
        <w:rPr>
          <w:rFonts w:ascii="Times New Roman" w:hAnsi="Times New Roman" w:cs="Times New Roman"/>
          <w:sz w:val="24"/>
          <w:szCs w:val="24"/>
        </w:rPr>
        <w:t xml:space="preserve"> ejecución de recursos de los contratos y convenios suscritos</w:t>
      </w:r>
      <w:r>
        <w:rPr>
          <w:rFonts w:ascii="Times New Roman" w:hAnsi="Times New Roman" w:cs="Times New Roman"/>
          <w:sz w:val="24"/>
          <w:szCs w:val="24"/>
        </w:rPr>
        <w:t>,</w:t>
      </w:r>
      <w:r w:rsidR="009D1A4F" w:rsidRPr="009D1A4F">
        <w:rPr>
          <w:rFonts w:ascii="Times New Roman" w:hAnsi="Times New Roman" w:cs="Times New Roman"/>
          <w:sz w:val="24"/>
          <w:szCs w:val="24"/>
        </w:rPr>
        <w:t xml:space="preserve"> reportados por las áreas misionales</w:t>
      </w:r>
      <w:r>
        <w:rPr>
          <w:rFonts w:ascii="Times New Roman" w:hAnsi="Times New Roman" w:cs="Times New Roman"/>
          <w:sz w:val="24"/>
          <w:szCs w:val="24"/>
        </w:rPr>
        <w:t>. Asimismo,</w:t>
      </w:r>
      <w:r w:rsidR="00E044A2">
        <w:rPr>
          <w:rFonts w:ascii="Times New Roman" w:hAnsi="Times New Roman" w:cs="Times New Roman"/>
          <w:sz w:val="24"/>
          <w:szCs w:val="24"/>
        </w:rPr>
        <w:t xml:space="preserve"> se </w:t>
      </w:r>
      <w:r>
        <w:rPr>
          <w:rFonts w:ascii="Times New Roman" w:hAnsi="Times New Roman" w:cs="Times New Roman"/>
          <w:sz w:val="24"/>
          <w:szCs w:val="24"/>
        </w:rPr>
        <w:t>reconocieron los rendimientos sobre los</w:t>
      </w:r>
      <w:r w:rsidR="00E044A2">
        <w:rPr>
          <w:rFonts w:ascii="Times New Roman" w:hAnsi="Times New Roman" w:cs="Times New Roman"/>
          <w:sz w:val="24"/>
          <w:szCs w:val="24"/>
        </w:rPr>
        <w:t xml:space="preserve"> recursos entregados en administración</w:t>
      </w:r>
      <w:r>
        <w:rPr>
          <w:rFonts w:ascii="Times New Roman" w:hAnsi="Times New Roman" w:cs="Times New Roman"/>
          <w:sz w:val="24"/>
          <w:szCs w:val="24"/>
        </w:rPr>
        <w:t>,</w:t>
      </w:r>
      <w:r w:rsidR="00E044A2">
        <w:rPr>
          <w:rFonts w:ascii="Times New Roman" w:hAnsi="Times New Roman" w:cs="Times New Roman"/>
          <w:sz w:val="24"/>
          <w:szCs w:val="24"/>
        </w:rPr>
        <w:t xml:space="preserve"> </w:t>
      </w:r>
      <w:r>
        <w:rPr>
          <w:rFonts w:ascii="Times New Roman" w:hAnsi="Times New Roman" w:cs="Times New Roman"/>
          <w:sz w:val="24"/>
          <w:szCs w:val="24"/>
        </w:rPr>
        <w:t>los registros de los reintegros por aportes no ejecutados y los aportes realizados conforme a</w:t>
      </w:r>
      <w:r w:rsidR="00E044A2">
        <w:rPr>
          <w:rFonts w:ascii="Times New Roman" w:hAnsi="Times New Roman" w:cs="Times New Roman"/>
          <w:sz w:val="24"/>
          <w:szCs w:val="24"/>
        </w:rPr>
        <w:t xml:space="preserve"> las cláusulas </w:t>
      </w:r>
      <w:r w:rsidRPr="00283B67">
        <w:rPr>
          <w:rFonts w:ascii="Times New Roman" w:hAnsi="Times New Roman" w:cs="Times New Roman"/>
          <w:sz w:val="24"/>
          <w:szCs w:val="24"/>
        </w:rPr>
        <w:t>pactadas</w:t>
      </w:r>
      <w:r w:rsidR="009D1A4F" w:rsidRPr="009D1A4F">
        <w:rPr>
          <w:rFonts w:ascii="Times New Roman" w:hAnsi="Times New Roman" w:cs="Times New Roman"/>
          <w:sz w:val="24"/>
          <w:szCs w:val="24"/>
        </w:rPr>
        <w:t xml:space="preserve">. </w:t>
      </w:r>
    </w:p>
    <w:p w14:paraId="288101D4" w14:textId="77777777" w:rsidR="00283B67" w:rsidRDefault="00283B67" w:rsidP="004D4E4F">
      <w:pPr>
        <w:jc w:val="both"/>
        <w:rPr>
          <w:rFonts w:ascii="Times New Roman" w:hAnsi="Times New Roman" w:cs="Times New Roman"/>
          <w:sz w:val="24"/>
          <w:szCs w:val="24"/>
        </w:rPr>
      </w:pPr>
    </w:p>
    <w:p w14:paraId="54D3E3F9" w14:textId="7D81DE63" w:rsidR="00DC20A9" w:rsidRDefault="00283B67" w:rsidP="004D4E4F">
      <w:pPr>
        <w:jc w:val="both"/>
        <w:rPr>
          <w:rFonts w:ascii="Times New Roman" w:hAnsi="Times New Roman" w:cs="Times New Roman"/>
          <w:sz w:val="24"/>
          <w:szCs w:val="24"/>
        </w:rPr>
      </w:pPr>
      <w:r>
        <w:rPr>
          <w:rFonts w:ascii="Times New Roman" w:hAnsi="Times New Roman" w:cs="Times New Roman"/>
          <w:sz w:val="24"/>
          <w:szCs w:val="24"/>
        </w:rPr>
        <w:t>A</w:t>
      </w:r>
      <w:r w:rsidR="009D1A4F" w:rsidRPr="009D1A4F">
        <w:rPr>
          <w:rFonts w:ascii="Times New Roman" w:hAnsi="Times New Roman" w:cs="Times New Roman"/>
          <w:sz w:val="24"/>
          <w:szCs w:val="24"/>
        </w:rPr>
        <w:t xml:space="preserve"> continuación, se detallan los </w:t>
      </w:r>
      <w:r w:rsidR="00836081">
        <w:rPr>
          <w:rFonts w:ascii="Times New Roman" w:hAnsi="Times New Roman" w:cs="Times New Roman"/>
          <w:sz w:val="24"/>
          <w:szCs w:val="24"/>
        </w:rPr>
        <w:t xml:space="preserve">objetos </w:t>
      </w:r>
      <w:r>
        <w:rPr>
          <w:rFonts w:ascii="Times New Roman" w:hAnsi="Times New Roman" w:cs="Times New Roman"/>
          <w:sz w:val="24"/>
          <w:szCs w:val="24"/>
        </w:rPr>
        <w:t>contractuales</w:t>
      </w:r>
      <w:r w:rsidR="009D1A4F" w:rsidRPr="009D1A4F">
        <w:rPr>
          <w:rFonts w:ascii="Times New Roman" w:hAnsi="Times New Roman" w:cs="Times New Roman"/>
          <w:sz w:val="24"/>
          <w:szCs w:val="24"/>
        </w:rPr>
        <w:t xml:space="preserve">, </w:t>
      </w:r>
      <w:r w:rsidR="00E044A2">
        <w:rPr>
          <w:rFonts w:ascii="Times New Roman" w:hAnsi="Times New Roman" w:cs="Times New Roman"/>
          <w:sz w:val="24"/>
          <w:szCs w:val="24"/>
        </w:rPr>
        <w:t>los aportes entregados</w:t>
      </w:r>
      <w:r>
        <w:rPr>
          <w:rFonts w:ascii="Times New Roman" w:hAnsi="Times New Roman" w:cs="Times New Roman"/>
          <w:sz w:val="24"/>
          <w:szCs w:val="24"/>
        </w:rPr>
        <w:t xml:space="preserve"> en el trimestre</w:t>
      </w:r>
      <w:r w:rsidR="00E044A2">
        <w:rPr>
          <w:rFonts w:ascii="Times New Roman" w:hAnsi="Times New Roman" w:cs="Times New Roman"/>
          <w:sz w:val="24"/>
          <w:szCs w:val="24"/>
        </w:rPr>
        <w:t xml:space="preserve">, </w:t>
      </w:r>
      <w:r>
        <w:rPr>
          <w:rFonts w:ascii="Times New Roman" w:hAnsi="Times New Roman" w:cs="Times New Roman"/>
          <w:sz w:val="24"/>
          <w:szCs w:val="24"/>
        </w:rPr>
        <w:t>el movimiento y los saldos pendientes por ejecutar</w:t>
      </w:r>
      <w:r w:rsidR="009D1A4F" w:rsidRPr="009D1A4F">
        <w:rPr>
          <w:rFonts w:ascii="Times New Roman" w:hAnsi="Times New Roman" w:cs="Times New Roman"/>
          <w:sz w:val="24"/>
          <w:szCs w:val="24"/>
        </w:rPr>
        <w:t>,</w:t>
      </w:r>
      <w:r>
        <w:rPr>
          <w:rFonts w:ascii="Times New Roman" w:hAnsi="Times New Roman" w:cs="Times New Roman"/>
          <w:sz w:val="24"/>
          <w:szCs w:val="24"/>
        </w:rPr>
        <w:t xml:space="preserve"> </w:t>
      </w:r>
      <w:r w:rsidR="009D1A4F" w:rsidRPr="009D1A4F">
        <w:rPr>
          <w:rFonts w:ascii="Times New Roman" w:hAnsi="Times New Roman" w:cs="Times New Roman"/>
          <w:sz w:val="24"/>
          <w:szCs w:val="24"/>
        </w:rPr>
        <w:t xml:space="preserve">incluyendo aquellos que no </w:t>
      </w:r>
      <w:r w:rsidR="005D7347">
        <w:rPr>
          <w:rFonts w:ascii="Times New Roman" w:hAnsi="Times New Roman" w:cs="Times New Roman"/>
          <w:sz w:val="24"/>
          <w:szCs w:val="24"/>
        </w:rPr>
        <w:t>reportaron</w:t>
      </w:r>
      <w:r w:rsidR="009D1A4F" w:rsidRPr="009D1A4F">
        <w:rPr>
          <w:rFonts w:ascii="Times New Roman" w:hAnsi="Times New Roman" w:cs="Times New Roman"/>
          <w:sz w:val="24"/>
          <w:szCs w:val="24"/>
        </w:rPr>
        <w:t xml:space="preserve"> ejecución.</w:t>
      </w:r>
    </w:p>
    <w:p w14:paraId="55AB8E24" w14:textId="77777777" w:rsidR="009D1A4F" w:rsidRDefault="009D1A4F" w:rsidP="004D4E4F">
      <w:pPr>
        <w:jc w:val="both"/>
        <w:rPr>
          <w:rFonts w:ascii="Times New Roman" w:hAnsi="Times New Roman" w:cs="Times New Roman"/>
          <w:i/>
          <w:iCs/>
          <w:sz w:val="24"/>
          <w:szCs w:val="24"/>
        </w:rPr>
      </w:pPr>
    </w:p>
    <w:p w14:paraId="5EDC9739" w14:textId="1A228D06" w:rsidR="0089358A" w:rsidRDefault="0089358A" w:rsidP="004D4E4F">
      <w:pPr>
        <w:jc w:val="both"/>
        <w:rPr>
          <w:rFonts w:ascii="Times New Roman" w:hAnsi="Times New Roman" w:cs="Times New Roman"/>
          <w:sz w:val="24"/>
          <w:szCs w:val="24"/>
        </w:rPr>
      </w:pPr>
      <w:r w:rsidRPr="00836081">
        <w:rPr>
          <w:rFonts w:ascii="Times New Roman" w:hAnsi="Times New Roman" w:cs="Times New Roman"/>
          <w:i/>
          <w:iCs/>
          <w:sz w:val="24"/>
          <w:szCs w:val="24"/>
        </w:rPr>
        <w:t>Financiera De Desarrollo Territorial S A FINDETER:</w:t>
      </w:r>
    </w:p>
    <w:p w14:paraId="57F86FBC" w14:textId="77777777" w:rsidR="00DA79C0" w:rsidRDefault="00DA79C0" w:rsidP="004D4E4F">
      <w:pPr>
        <w:jc w:val="both"/>
        <w:rPr>
          <w:rFonts w:ascii="Times New Roman" w:hAnsi="Times New Roman" w:cs="Times New Roman"/>
          <w:sz w:val="24"/>
          <w:szCs w:val="24"/>
        </w:rPr>
      </w:pPr>
    </w:p>
    <w:p w14:paraId="26239D25" w14:textId="77777777" w:rsidR="00283B67" w:rsidRDefault="00283B67" w:rsidP="004D4E4F">
      <w:pPr>
        <w:jc w:val="both"/>
        <w:rPr>
          <w:rFonts w:ascii="Times New Roman" w:hAnsi="Times New Roman" w:cs="Times New Roman"/>
          <w:sz w:val="24"/>
          <w:szCs w:val="24"/>
        </w:rPr>
      </w:pPr>
      <w:r w:rsidRPr="00283B67">
        <w:rPr>
          <w:rFonts w:ascii="Times New Roman" w:hAnsi="Times New Roman" w:cs="Times New Roman"/>
          <w:sz w:val="24"/>
          <w:szCs w:val="24"/>
        </w:rPr>
        <w:t>Durante el primer trimestre de 2026, el área contable recibió únicamente la información correspondiente a la ejecución del mes de enero del Contrato/Convenio VE-809-2023, debido a modificaciones presentadas en los extractos del Fondo de Inversión Colectiva del Patrimonio Autónomo, originadas por cambios en la administración fiduciaria. Estas modificaciones dificultaron la identificación de los movimientos financieros.</w:t>
      </w:r>
    </w:p>
    <w:p w14:paraId="3380CC0D" w14:textId="66D7E68A" w:rsidR="00561F46" w:rsidRDefault="00283B67" w:rsidP="004D4E4F">
      <w:pPr>
        <w:jc w:val="both"/>
        <w:rPr>
          <w:rFonts w:ascii="Times New Roman" w:hAnsi="Times New Roman" w:cs="Times New Roman"/>
          <w:sz w:val="24"/>
          <w:szCs w:val="24"/>
        </w:rPr>
      </w:pPr>
      <w:r w:rsidRPr="00283B67">
        <w:rPr>
          <w:rFonts w:ascii="Times New Roman" w:hAnsi="Times New Roman" w:cs="Times New Roman"/>
          <w:sz w:val="24"/>
          <w:szCs w:val="24"/>
        </w:rPr>
        <w:lastRenderedPageBreak/>
        <w:t>No obstante, al momento de elaboración de la presente nota, la fiduciaria remitió la información correspondiente al período comprendido entre enero y marzo de 2026, la cual se encuentra en proceso de revisión por parte del área misional para su posterior entrega al área contable en el formato establecido.</w:t>
      </w:r>
    </w:p>
    <w:p w14:paraId="300C1400" w14:textId="77777777" w:rsidR="00283B67" w:rsidRDefault="00283B67" w:rsidP="004D4E4F">
      <w:pPr>
        <w:jc w:val="both"/>
        <w:rPr>
          <w:rFonts w:ascii="Times New Roman" w:hAnsi="Times New Roman" w:cs="Times New Roman"/>
          <w:i/>
          <w:iCs/>
          <w:sz w:val="24"/>
          <w:szCs w:val="24"/>
        </w:rPr>
      </w:pPr>
    </w:p>
    <w:p w14:paraId="566A50C1" w14:textId="63F7D92F" w:rsidR="00836081" w:rsidRPr="00836081" w:rsidRDefault="00836081" w:rsidP="004D4E4F">
      <w:pPr>
        <w:jc w:val="both"/>
        <w:rPr>
          <w:rFonts w:ascii="Times New Roman" w:hAnsi="Times New Roman" w:cs="Times New Roman"/>
          <w:i/>
          <w:iCs/>
          <w:sz w:val="24"/>
          <w:szCs w:val="24"/>
        </w:rPr>
      </w:pPr>
      <w:r w:rsidRPr="00836081">
        <w:rPr>
          <w:rFonts w:ascii="Times New Roman" w:hAnsi="Times New Roman" w:cs="Times New Roman"/>
          <w:i/>
          <w:iCs/>
          <w:sz w:val="24"/>
          <w:szCs w:val="24"/>
        </w:rPr>
        <w:t>Contrato/Convenio VE 809-2023</w:t>
      </w:r>
    </w:p>
    <w:p w14:paraId="1F8C229A" w14:textId="705B7E54" w:rsidR="0089358A" w:rsidRDefault="00836081" w:rsidP="004D4E4F">
      <w:pPr>
        <w:jc w:val="both"/>
        <w:rPr>
          <w:rFonts w:ascii="Times New Roman" w:hAnsi="Times New Roman" w:cs="Times New Roman"/>
          <w:sz w:val="24"/>
          <w:szCs w:val="24"/>
        </w:rPr>
      </w:pPr>
      <w:r w:rsidRPr="00836081">
        <w:rPr>
          <w:rFonts w:ascii="Times New Roman" w:hAnsi="Times New Roman" w:cs="Times New Roman"/>
          <w:sz w:val="24"/>
          <w:szCs w:val="24"/>
        </w:rPr>
        <w:t>Objeto:  Prestar el servicio de asistencia técnica para el desarrollo de proyectos del sector transporte en el modo férreo en los corredores férreos a cargo de la Agencia, a través del modelo de ejecución autorizado a FINDETER, en las condiciones pactadas.  ALCANCE DEL OBJETO:  Establece Contrato el marco en virtud del cual se adelantarán las actividades de asistencia técnica para la ejecución de los proyectos del modo férreo de transporte que se prioricen, en desarrollo de las políticas del Gobierno Nacional y en cumplimiento de las misiones, funciones y fines institucionales de las Partes.</w:t>
      </w:r>
    </w:p>
    <w:p w14:paraId="60312D9C" w14:textId="28FBBC39" w:rsidR="0089358A" w:rsidRDefault="00FF53B2" w:rsidP="004D4E4F">
      <w:pPr>
        <w:jc w:val="both"/>
        <w:rPr>
          <w:rFonts w:ascii="Times New Roman" w:hAnsi="Times New Roman" w:cs="Times New Roman"/>
          <w:sz w:val="24"/>
          <w:szCs w:val="24"/>
        </w:rPr>
      </w:pPr>
      <w:r w:rsidRPr="00FF53B2">
        <w:rPr>
          <w:rFonts w:ascii="Times New Roman" w:hAnsi="Times New Roman" w:cs="Times New Roman"/>
          <w:sz w:val="24"/>
          <w:szCs w:val="24"/>
        </w:rPr>
        <w:t>Durante el primer trimestre de 2026 se registró en enero el recaudo de rendimientos financieros generados en diciembre de 2025 por valor de $</w:t>
      </w:r>
      <w:r>
        <w:rPr>
          <w:rFonts w:ascii="Times New Roman" w:hAnsi="Times New Roman" w:cs="Times New Roman"/>
          <w:sz w:val="24"/>
          <w:szCs w:val="24"/>
        </w:rPr>
        <w:t>-</w:t>
      </w:r>
      <w:r w:rsidRPr="00FF53B2">
        <w:rPr>
          <w:rFonts w:ascii="Times New Roman" w:hAnsi="Times New Roman" w:cs="Times New Roman"/>
          <w:sz w:val="24"/>
          <w:szCs w:val="24"/>
        </w:rPr>
        <w:t>600.670.821,</w:t>
      </w:r>
      <w:r>
        <w:rPr>
          <w:rFonts w:ascii="Times New Roman" w:hAnsi="Times New Roman" w:cs="Times New Roman"/>
          <w:sz w:val="24"/>
          <w:szCs w:val="24"/>
        </w:rPr>
        <w:t xml:space="preserve"> </w:t>
      </w:r>
      <w:r w:rsidR="00836081">
        <w:rPr>
          <w:rFonts w:ascii="Times New Roman" w:hAnsi="Times New Roman" w:cs="Times New Roman"/>
          <w:sz w:val="24"/>
          <w:szCs w:val="24"/>
        </w:rPr>
        <w:t xml:space="preserve">y </w:t>
      </w:r>
      <w:r>
        <w:rPr>
          <w:rFonts w:ascii="Times New Roman" w:hAnsi="Times New Roman" w:cs="Times New Roman"/>
          <w:sz w:val="24"/>
          <w:szCs w:val="24"/>
        </w:rPr>
        <w:t>la</w:t>
      </w:r>
      <w:r w:rsidR="00836081">
        <w:rPr>
          <w:rFonts w:ascii="Times New Roman" w:hAnsi="Times New Roman" w:cs="Times New Roman"/>
          <w:sz w:val="24"/>
          <w:szCs w:val="24"/>
        </w:rPr>
        <w:t xml:space="preserve"> ejecución de recursos de </w:t>
      </w:r>
      <w:r w:rsidR="00A75829">
        <w:rPr>
          <w:rFonts w:ascii="Times New Roman" w:hAnsi="Times New Roman" w:cs="Times New Roman"/>
          <w:sz w:val="24"/>
          <w:szCs w:val="24"/>
        </w:rPr>
        <w:t>dicho mes</w:t>
      </w:r>
      <w:r w:rsidR="00836081">
        <w:rPr>
          <w:rFonts w:ascii="Times New Roman" w:hAnsi="Times New Roman" w:cs="Times New Roman"/>
          <w:sz w:val="24"/>
          <w:szCs w:val="24"/>
        </w:rPr>
        <w:t xml:space="preserve"> </w:t>
      </w:r>
      <w:r w:rsidR="00836081" w:rsidRPr="00A75829">
        <w:rPr>
          <w:rFonts w:ascii="Times New Roman" w:hAnsi="Times New Roman" w:cs="Times New Roman"/>
          <w:sz w:val="24"/>
          <w:szCs w:val="24"/>
        </w:rPr>
        <w:t>por $ -16.651.792.717</w:t>
      </w:r>
      <w:r w:rsidRPr="00A75829">
        <w:rPr>
          <w:rFonts w:ascii="Times New Roman" w:hAnsi="Times New Roman" w:cs="Times New Roman"/>
          <w:sz w:val="24"/>
          <w:szCs w:val="24"/>
        </w:rPr>
        <w:t>.</w:t>
      </w:r>
      <w:r w:rsidR="00A75829">
        <w:rPr>
          <w:rFonts w:ascii="Times New Roman" w:hAnsi="Times New Roman" w:cs="Times New Roman"/>
          <w:sz w:val="24"/>
          <w:szCs w:val="24"/>
        </w:rPr>
        <w:t xml:space="preserve"> Asimismo, </w:t>
      </w:r>
      <w:r w:rsidR="00146CF8">
        <w:rPr>
          <w:rFonts w:ascii="Times New Roman" w:hAnsi="Times New Roman" w:cs="Times New Roman"/>
          <w:sz w:val="24"/>
          <w:szCs w:val="24"/>
        </w:rPr>
        <w:t xml:space="preserve">durante el trimestre se efectuó </w:t>
      </w:r>
      <w:r w:rsidR="00A75829" w:rsidRPr="00A75829">
        <w:rPr>
          <w:rFonts w:ascii="Times New Roman" w:hAnsi="Times New Roman" w:cs="Times New Roman"/>
          <w:sz w:val="24"/>
          <w:szCs w:val="24"/>
        </w:rPr>
        <w:t>el pago de aportes por $47.785.610.058</w:t>
      </w:r>
      <w:r w:rsidR="00146CF8">
        <w:rPr>
          <w:rFonts w:ascii="Times New Roman" w:hAnsi="Times New Roman" w:cs="Times New Roman"/>
          <w:sz w:val="24"/>
          <w:szCs w:val="24"/>
        </w:rPr>
        <w:t>,</w:t>
      </w:r>
      <w:r w:rsidR="00A75829" w:rsidRPr="00A75829">
        <w:rPr>
          <w:rFonts w:ascii="Times New Roman" w:hAnsi="Times New Roman" w:cs="Times New Roman"/>
          <w:sz w:val="24"/>
          <w:szCs w:val="24"/>
        </w:rPr>
        <w:t xml:space="preserve"> conforme a la cláusula primera del Otrosí No. 2 de 2025</w:t>
      </w:r>
      <w:r w:rsidR="00197E5C">
        <w:rPr>
          <w:rFonts w:ascii="Times New Roman" w:hAnsi="Times New Roman" w:cs="Times New Roman"/>
          <w:sz w:val="24"/>
          <w:szCs w:val="24"/>
        </w:rPr>
        <w:t xml:space="preserve">. </w:t>
      </w:r>
      <w:r w:rsidRPr="00A75829">
        <w:rPr>
          <w:rFonts w:ascii="Times New Roman" w:hAnsi="Times New Roman" w:cs="Times New Roman"/>
          <w:sz w:val="24"/>
          <w:szCs w:val="24"/>
        </w:rPr>
        <w:t>El saldo pendiente por ejecutar al 31 de marzo de 2026 ascendió a $134.858.653.940</w:t>
      </w:r>
      <w:r>
        <w:rPr>
          <w:rFonts w:ascii="Times New Roman" w:hAnsi="Times New Roman" w:cs="Times New Roman"/>
          <w:sz w:val="24"/>
          <w:szCs w:val="24"/>
        </w:rPr>
        <w:t>.</w:t>
      </w:r>
    </w:p>
    <w:p w14:paraId="68F58AC1" w14:textId="77777777" w:rsidR="00197E5C" w:rsidRDefault="00197E5C" w:rsidP="004D4E4F">
      <w:pPr>
        <w:jc w:val="both"/>
        <w:rPr>
          <w:rFonts w:ascii="Times New Roman" w:hAnsi="Times New Roman" w:cs="Times New Roman"/>
          <w:i/>
          <w:iCs/>
          <w:sz w:val="24"/>
          <w:szCs w:val="24"/>
        </w:rPr>
      </w:pPr>
    </w:p>
    <w:p w14:paraId="4255BC42" w14:textId="11AD0A44" w:rsidR="0089358A" w:rsidRDefault="00836081" w:rsidP="004D4E4F">
      <w:pPr>
        <w:jc w:val="both"/>
        <w:rPr>
          <w:rFonts w:ascii="Times New Roman" w:hAnsi="Times New Roman" w:cs="Times New Roman"/>
          <w:i/>
          <w:iCs/>
          <w:sz w:val="24"/>
          <w:szCs w:val="24"/>
        </w:rPr>
      </w:pPr>
      <w:r w:rsidRPr="00836081">
        <w:rPr>
          <w:rFonts w:ascii="Times New Roman" w:hAnsi="Times New Roman" w:cs="Times New Roman"/>
          <w:i/>
          <w:iCs/>
          <w:sz w:val="24"/>
          <w:szCs w:val="24"/>
        </w:rPr>
        <w:t>Contrato Interadministrativo No. VE-629-2022</w:t>
      </w:r>
    </w:p>
    <w:p w14:paraId="556871E4" w14:textId="77777777" w:rsidR="0001221B" w:rsidRDefault="00836081" w:rsidP="004D4E4F">
      <w:pPr>
        <w:jc w:val="both"/>
        <w:rPr>
          <w:rFonts w:ascii="Times New Roman" w:hAnsi="Times New Roman" w:cs="Times New Roman"/>
          <w:sz w:val="24"/>
          <w:szCs w:val="24"/>
        </w:rPr>
      </w:pPr>
      <w:r>
        <w:rPr>
          <w:rFonts w:ascii="Times New Roman" w:hAnsi="Times New Roman" w:cs="Times New Roman"/>
          <w:sz w:val="24"/>
          <w:szCs w:val="24"/>
        </w:rPr>
        <w:t xml:space="preserve">Objeto: </w:t>
      </w:r>
      <w:r w:rsidRPr="00836081">
        <w:rPr>
          <w:rFonts w:ascii="Times New Roman" w:hAnsi="Times New Roman" w:cs="Times New Roman"/>
          <w:sz w:val="24"/>
          <w:szCs w:val="24"/>
        </w:rPr>
        <w:t>Prestar los servicios de asistencia técnica, a la Agencia Nacional de Infraestructura - ANI para el desarrollo de los proyectos requeridos en el corredor férreo Facatativá - Bogotá - Belencito y La Caro – Zipaquirá, a través del modelo de ejecución financiera autorizado a Findeter</w:t>
      </w:r>
      <w:r w:rsidR="0001221B">
        <w:rPr>
          <w:rFonts w:ascii="Times New Roman" w:hAnsi="Times New Roman" w:cs="Times New Roman"/>
          <w:sz w:val="24"/>
          <w:szCs w:val="24"/>
        </w:rPr>
        <w:t>.</w:t>
      </w:r>
    </w:p>
    <w:p w14:paraId="611FD98B" w14:textId="5B492315" w:rsidR="00836081" w:rsidRDefault="00FF53B2" w:rsidP="004D4E4F">
      <w:pPr>
        <w:jc w:val="both"/>
        <w:rPr>
          <w:rFonts w:ascii="Times New Roman" w:hAnsi="Times New Roman" w:cs="Times New Roman"/>
          <w:sz w:val="24"/>
          <w:szCs w:val="24"/>
        </w:rPr>
      </w:pPr>
      <w:r>
        <w:rPr>
          <w:rFonts w:ascii="Times New Roman" w:hAnsi="Times New Roman" w:cs="Times New Roman"/>
          <w:sz w:val="24"/>
          <w:szCs w:val="24"/>
        </w:rPr>
        <w:t>S</w:t>
      </w:r>
      <w:r w:rsidR="0001221B">
        <w:rPr>
          <w:rFonts w:ascii="Times New Roman" w:hAnsi="Times New Roman" w:cs="Times New Roman"/>
          <w:sz w:val="24"/>
          <w:szCs w:val="24"/>
        </w:rPr>
        <w:t>e re</w:t>
      </w:r>
      <w:r>
        <w:rPr>
          <w:rFonts w:ascii="Times New Roman" w:hAnsi="Times New Roman" w:cs="Times New Roman"/>
          <w:sz w:val="24"/>
          <w:szCs w:val="24"/>
        </w:rPr>
        <w:t>gistró</w:t>
      </w:r>
      <w:r w:rsidR="0001221B">
        <w:rPr>
          <w:rFonts w:ascii="Times New Roman" w:hAnsi="Times New Roman" w:cs="Times New Roman"/>
          <w:sz w:val="24"/>
          <w:szCs w:val="24"/>
        </w:rPr>
        <w:t xml:space="preserve"> en enero el recaudo de rendimientos generados de diciembre de 2025 por </w:t>
      </w:r>
      <w:r>
        <w:rPr>
          <w:rFonts w:ascii="Times New Roman" w:hAnsi="Times New Roman" w:cs="Times New Roman"/>
          <w:sz w:val="24"/>
          <w:szCs w:val="24"/>
        </w:rPr>
        <w:t xml:space="preserve">valor de </w:t>
      </w:r>
      <w:r w:rsidR="0001221B">
        <w:t>$</w:t>
      </w:r>
      <w:r w:rsidR="0001221B" w:rsidRPr="0001221B">
        <w:rPr>
          <w:rFonts w:ascii="Times New Roman" w:hAnsi="Times New Roman" w:cs="Times New Roman"/>
          <w:sz w:val="24"/>
          <w:szCs w:val="24"/>
        </w:rPr>
        <w:t>-199.982.981</w:t>
      </w:r>
      <w:r>
        <w:rPr>
          <w:rFonts w:ascii="Times New Roman" w:hAnsi="Times New Roman" w:cs="Times New Roman"/>
          <w:sz w:val="24"/>
          <w:szCs w:val="24"/>
        </w:rPr>
        <w:t xml:space="preserve">. </w:t>
      </w:r>
      <w:r w:rsidRPr="00FF53B2">
        <w:rPr>
          <w:rFonts w:ascii="Times New Roman" w:hAnsi="Times New Roman" w:cs="Times New Roman"/>
          <w:sz w:val="24"/>
          <w:szCs w:val="24"/>
        </w:rPr>
        <w:t>El saldo pendiente por ejecutar al cierre del período fue de $32.194.431.458.</w:t>
      </w:r>
    </w:p>
    <w:p w14:paraId="23DE9AB7" w14:textId="77777777" w:rsidR="00836081" w:rsidRDefault="00836081" w:rsidP="004D4E4F">
      <w:pPr>
        <w:jc w:val="both"/>
        <w:rPr>
          <w:rFonts w:ascii="Times New Roman" w:hAnsi="Times New Roman" w:cs="Times New Roman"/>
          <w:sz w:val="24"/>
          <w:szCs w:val="24"/>
        </w:rPr>
      </w:pPr>
    </w:p>
    <w:p w14:paraId="2B6C9884" w14:textId="78E75B6A" w:rsidR="00775140" w:rsidRPr="00775140" w:rsidRDefault="00775140" w:rsidP="00775140">
      <w:pPr>
        <w:jc w:val="both"/>
        <w:rPr>
          <w:rFonts w:ascii="Times New Roman" w:hAnsi="Times New Roman" w:cs="Times New Roman"/>
          <w:sz w:val="24"/>
          <w:szCs w:val="24"/>
        </w:rPr>
      </w:pPr>
      <w:r w:rsidRPr="00775140">
        <w:rPr>
          <w:rFonts w:ascii="Times New Roman" w:hAnsi="Times New Roman" w:cs="Times New Roman"/>
          <w:i/>
          <w:iCs/>
          <w:sz w:val="24"/>
          <w:szCs w:val="24"/>
        </w:rPr>
        <w:t>Instituto Nacional De Vías – INVÍAS</w:t>
      </w:r>
      <w:r>
        <w:rPr>
          <w:rFonts w:ascii="Times New Roman" w:hAnsi="Times New Roman" w:cs="Times New Roman"/>
          <w:sz w:val="24"/>
          <w:szCs w:val="24"/>
        </w:rPr>
        <w:t>:</w:t>
      </w:r>
    </w:p>
    <w:p w14:paraId="0023DB5F" w14:textId="2BA39200" w:rsidR="00775140" w:rsidRPr="00775140" w:rsidRDefault="00775140" w:rsidP="00775140">
      <w:pPr>
        <w:jc w:val="both"/>
        <w:rPr>
          <w:rFonts w:ascii="Times New Roman" w:hAnsi="Times New Roman" w:cs="Times New Roman"/>
          <w:sz w:val="24"/>
          <w:szCs w:val="24"/>
        </w:rPr>
      </w:pPr>
      <w:r w:rsidRPr="00775140">
        <w:rPr>
          <w:rFonts w:ascii="Times New Roman" w:hAnsi="Times New Roman" w:cs="Times New Roman"/>
          <w:sz w:val="24"/>
          <w:szCs w:val="24"/>
        </w:rPr>
        <w:t>El saldo registrado al cierre de</w:t>
      </w:r>
      <w:r>
        <w:rPr>
          <w:rFonts w:ascii="Times New Roman" w:hAnsi="Times New Roman" w:cs="Times New Roman"/>
          <w:sz w:val="24"/>
          <w:szCs w:val="24"/>
        </w:rPr>
        <w:t>l primer trimestre del 2026</w:t>
      </w:r>
      <w:r w:rsidRPr="00775140">
        <w:rPr>
          <w:rFonts w:ascii="Times New Roman" w:hAnsi="Times New Roman" w:cs="Times New Roman"/>
          <w:sz w:val="24"/>
          <w:szCs w:val="24"/>
        </w:rPr>
        <w:t xml:space="preserve"> por valor de $21.754.153.842 corresponde a los saldos de los siguientes convenios interadministrativos: </w:t>
      </w:r>
    </w:p>
    <w:p w14:paraId="7AA36FB3" w14:textId="77777777" w:rsidR="00775140" w:rsidRPr="00775140" w:rsidRDefault="00775140" w:rsidP="00775140">
      <w:pPr>
        <w:jc w:val="both"/>
        <w:rPr>
          <w:rFonts w:ascii="Times New Roman" w:hAnsi="Times New Roman" w:cs="Times New Roman"/>
          <w:sz w:val="24"/>
          <w:szCs w:val="24"/>
        </w:rPr>
      </w:pPr>
    </w:p>
    <w:p w14:paraId="76EFD350" w14:textId="77777777" w:rsidR="00775140" w:rsidRDefault="00775140" w:rsidP="00775140">
      <w:pPr>
        <w:jc w:val="both"/>
        <w:rPr>
          <w:rFonts w:ascii="Times New Roman" w:hAnsi="Times New Roman" w:cs="Times New Roman"/>
          <w:sz w:val="24"/>
          <w:szCs w:val="24"/>
        </w:rPr>
      </w:pPr>
      <w:r w:rsidRPr="00775140">
        <w:rPr>
          <w:rFonts w:ascii="Times New Roman" w:hAnsi="Times New Roman" w:cs="Times New Roman"/>
          <w:sz w:val="24"/>
          <w:szCs w:val="24"/>
        </w:rPr>
        <w:t>Convenio Interadministrativo No. 017 de 2017: Objeto: Aunar esfuerzos en la atención de puntos críticos de socavación en el tramo de Santa Marta – Rio Palomino ubicados inicialmente del PR 61+080 al PR 61+350 en el Cerro Los Muchachitos, tramo que se encuentra concesionado en virtud del Contrato de Concesión No. 445 de 1994.</w:t>
      </w:r>
    </w:p>
    <w:p w14:paraId="6B011BF7" w14:textId="7DB009AE" w:rsidR="00775140" w:rsidRPr="00775140" w:rsidRDefault="00775140" w:rsidP="00775140">
      <w:pPr>
        <w:jc w:val="both"/>
        <w:rPr>
          <w:rFonts w:ascii="Times New Roman" w:hAnsi="Times New Roman" w:cs="Times New Roman"/>
          <w:sz w:val="24"/>
          <w:szCs w:val="24"/>
        </w:rPr>
      </w:pPr>
      <w:r w:rsidRPr="00775140">
        <w:rPr>
          <w:rFonts w:ascii="Times New Roman" w:hAnsi="Times New Roman" w:cs="Times New Roman"/>
          <w:sz w:val="24"/>
          <w:szCs w:val="24"/>
        </w:rPr>
        <w:lastRenderedPageBreak/>
        <w:t>Saldo del por ejecutar</w:t>
      </w:r>
      <w:r>
        <w:rPr>
          <w:rFonts w:ascii="Times New Roman" w:hAnsi="Times New Roman" w:cs="Times New Roman"/>
          <w:sz w:val="24"/>
          <w:szCs w:val="24"/>
        </w:rPr>
        <w:t xml:space="preserve"> </w:t>
      </w:r>
      <w:r w:rsidRPr="00775140">
        <w:rPr>
          <w:rFonts w:ascii="Times New Roman" w:hAnsi="Times New Roman" w:cs="Times New Roman"/>
          <w:sz w:val="24"/>
          <w:szCs w:val="24"/>
        </w:rPr>
        <w:t>$2.662.720.695</w:t>
      </w:r>
      <w:r>
        <w:rPr>
          <w:rFonts w:ascii="Times New Roman" w:hAnsi="Times New Roman" w:cs="Times New Roman"/>
          <w:sz w:val="24"/>
          <w:szCs w:val="24"/>
        </w:rPr>
        <w:t>, no se reportó ejecución.</w:t>
      </w:r>
    </w:p>
    <w:p w14:paraId="1C620767" w14:textId="77777777" w:rsidR="00384D33" w:rsidRDefault="00775140" w:rsidP="00775140">
      <w:pPr>
        <w:jc w:val="both"/>
        <w:rPr>
          <w:rFonts w:ascii="Times New Roman" w:hAnsi="Times New Roman" w:cs="Times New Roman"/>
          <w:sz w:val="24"/>
          <w:szCs w:val="24"/>
        </w:rPr>
      </w:pPr>
      <w:r w:rsidRPr="00775140">
        <w:rPr>
          <w:rFonts w:ascii="Times New Roman" w:hAnsi="Times New Roman" w:cs="Times New Roman"/>
          <w:sz w:val="24"/>
          <w:szCs w:val="24"/>
        </w:rPr>
        <w:t>Convenio Interadministrativo ANI No. CI-023-2022, por valor de $50.000.000.000. Objeto: aunar esfuerzos técnicos y financieros para el mejoramiento mediante la construcción para la solución integral del paso a la altura del kilómetro 58 de la cabecera municipal de Guayabetal de la vía Bogotá – Villavicencio.</w:t>
      </w:r>
    </w:p>
    <w:p w14:paraId="5E735C6C" w14:textId="4447757A" w:rsidR="00775140" w:rsidRPr="00775140" w:rsidRDefault="00775140" w:rsidP="00775140">
      <w:pPr>
        <w:jc w:val="both"/>
        <w:rPr>
          <w:rFonts w:ascii="Times New Roman" w:hAnsi="Times New Roman" w:cs="Times New Roman"/>
          <w:sz w:val="24"/>
          <w:szCs w:val="24"/>
        </w:rPr>
      </w:pPr>
      <w:r w:rsidRPr="00775140">
        <w:rPr>
          <w:rFonts w:ascii="Times New Roman" w:hAnsi="Times New Roman" w:cs="Times New Roman"/>
          <w:sz w:val="24"/>
          <w:szCs w:val="24"/>
        </w:rPr>
        <w:t>Saldo del por ejecutar: $7.034.089.865</w:t>
      </w:r>
      <w:r w:rsidR="00384D33">
        <w:rPr>
          <w:rFonts w:ascii="Times New Roman" w:hAnsi="Times New Roman" w:cs="Times New Roman"/>
          <w:sz w:val="24"/>
          <w:szCs w:val="24"/>
        </w:rPr>
        <w:t>, no se reportó ejecución.</w:t>
      </w:r>
    </w:p>
    <w:p w14:paraId="61CCDADE" w14:textId="77777777" w:rsidR="00131EAB" w:rsidRDefault="00775140" w:rsidP="00775140">
      <w:pPr>
        <w:jc w:val="both"/>
        <w:rPr>
          <w:rFonts w:ascii="Times New Roman" w:hAnsi="Times New Roman" w:cs="Times New Roman"/>
          <w:sz w:val="24"/>
          <w:szCs w:val="24"/>
        </w:rPr>
      </w:pPr>
      <w:r w:rsidRPr="00775140">
        <w:rPr>
          <w:rFonts w:ascii="Times New Roman" w:hAnsi="Times New Roman" w:cs="Times New Roman"/>
          <w:sz w:val="24"/>
          <w:szCs w:val="24"/>
        </w:rPr>
        <w:t>Convenio Interadministrativo ANI No. CI-022-2022.  Por valor $30.000.000.000.  Objeto:  Aunar esfuerzos entre el Instituto Nacional de Vías – Invias y la Agencia Nacional de Infraestructura para la atención de obras de infraestructura en el corredor Bogotá Villavicencio”. Se efectuaron nuevos aportes que para el año 2024 se efectuó aporte por valor de $10.000.000.000 y para el año 2025 se efectuó aporte por valor de $ 2.356.898.105.</w:t>
      </w:r>
    </w:p>
    <w:p w14:paraId="0AAD71DB" w14:textId="5AB7D4A3" w:rsidR="00775140" w:rsidRPr="00775140" w:rsidRDefault="00775140" w:rsidP="00775140">
      <w:pPr>
        <w:jc w:val="both"/>
        <w:rPr>
          <w:rFonts w:ascii="Times New Roman" w:hAnsi="Times New Roman" w:cs="Times New Roman"/>
          <w:sz w:val="24"/>
          <w:szCs w:val="24"/>
        </w:rPr>
      </w:pPr>
      <w:r w:rsidRPr="00775140">
        <w:rPr>
          <w:rFonts w:ascii="Times New Roman" w:hAnsi="Times New Roman" w:cs="Times New Roman"/>
          <w:sz w:val="24"/>
          <w:szCs w:val="24"/>
        </w:rPr>
        <w:t>Saldo del por ejecutar: $5.057.343.282</w:t>
      </w:r>
      <w:r w:rsidR="00131EAB">
        <w:rPr>
          <w:rFonts w:ascii="Times New Roman" w:hAnsi="Times New Roman" w:cs="Times New Roman"/>
          <w:sz w:val="24"/>
          <w:szCs w:val="24"/>
        </w:rPr>
        <w:t>, no se reportó ejecución.</w:t>
      </w:r>
    </w:p>
    <w:p w14:paraId="3AF59123" w14:textId="5E513581" w:rsidR="00775140" w:rsidRDefault="00775140" w:rsidP="00775140">
      <w:pPr>
        <w:jc w:val="both"/>
        <w:rPr>
          <w:rFonts w:ascii="Times New Roman" w:hAnsi="Times New Roman" w:cs="Times New Roman"/>
          <w:sz w:val="24"/>
          <w:szCs w:val="24"/>
        </w:rPr>
      </w:pPr>
      <w:r w:rsidRPr="00775140">
        <w:rPr>
          <w:rFonts w:ascii="Times New Roman" w:hAnsi="Times New Roman" w:cs="Times New Roman"/>
          <w:sz w:val="24"/>
          <w:szCs w:val="24"/>
        </w:rPr>
        <w:t>Convenio Interadministrativo ANI No. 021 de 2022, por valor $7.000.000.000. Objeto: Aunar esfuerzos entre el Instituto Nacional de Vías – Invias y la Agencia Nacional de Infraestructura para atención de emergencias por ola invernal en el corredor Puerto Salgar (Cundinamarca) hasta San Roque (Cesar) sobre la ruta nacional 45.</w:t>
      </w:r>
    </w:p>
    <w:p w14:paraId="4B33CB2E" w14:textId="49E8331D" w:rsidR="00602C42" w:rsidRDefault="00602C42" w:rsidP="00775140">
      <w:pPr>
        <w:jc w:val="both"/>
        <w:rPr>
          <w:rFonts w:ascii="Times New Roman" w:hAnsi="Times New Roman" w:cs="Times New Roman"/>
          <w:sz w:val="24"/>
          <w:szCs w:val="24"/>
        </w:rPr>
      </w:pPr>
      <w:r w:rsidRPr="00602C42">
        <w:rPr>
          <w:rFonts w:ascii="Times New Roman" w:hAnsi="Times New Roman" w:cs="Times New Roman"/>
          <w:sz w:val="24"/>
          <w:szCs w:val="24"/>
        </w:rPr>
        <w:t>Saldo del por ejecutar: $7.000.000.000, no se reportó ejecución.</w:t>
      </w:r>
    </w:p>
    <w:p w14:paraId="7BC48700" w14:textId="2EC129C9" w:rsidR="00775140" w:rsidRDefault="00775140" w:rsidP="00775140">
      <w:pPr>
        <w:jc w:val="both"/>
        <w:rPr>
          <w:rFonts w:ascii="Times New Roman" w:hAnsi="Times New Roman" w:cs="Times New Roman"/>
          <w:sz w:val="24"/>
          <w:szCs w:val="24"/>
        </w:rPr>
      </w:pPr>
      <w:r w:rsidRPr="00775140">
        <w:rPr>
          <w:rFonts w:ascii="Times New Roman" w:hAnsi="Times New Roman" w:cs="Times New Roman"/>
          <w:sz w:val="24"/>
          <w:szCs w:val="24"/>
        </w:rPr>
        <w:t xml:space="preserve">Los citados convenios, generaron operaciones recíprocas que fueron conciliadas y reportadas en el </w:t>
      </w:r>
      <w:r w:rsidR="00D82FFF">
        <w:rPr>
          <w:rFonts w:ascii="Times New Roman" w:hAnsi="Times New Roman" w:cs="Times New Roman"/>
          <w:sz w:val="24"/>
          <w:szCs w:val="24"/>
        </w:rPr>
        <w:t xml:space="preserve">sistema </w:t>
      </w:r>
      <w:r w:rsidRPr="00775140">
        <w:rPr>
          <w:rFonts w:ascii="Times New Roman" w:hAnsi="Times New Roman" w:cs="Times New Roman"/>
          <w:sz w:val="24"/>
          <w:szCs w:val="24"/>
        </w:rPr>
        <w:t>CHIP en la</w:t>
      </w:r>
      <w:r w:rsidR="00602C42">
        <w:rPr>
          <w:rFonts w:ascii="Times New Roman" w:hAnsi="Times New Roman" w:cs="Times New Roman"/>
          <w:sz w:val="24"/>
          <w:szCs w:val="24"/>
        </w:rPr>
        <w:t>s</w:t>
      </w:r>
      <w:r w:rsidRPr="00775140">
        <w:rPr>
          <w:rFonts w:ascii="Times New Roman" w:hAnsi="Times New Roman" w:cs="Times New Roman"/>
          <w:sz w:val="24"/>
          <w:szCs w:val="24"/>
        </w:rPr>
        <w:t xml:space="preserve"> cuenta</w:t>
      </w:r>
      <w:r w:rsidR="00602C42">
        <w:rPr>
          <w:rFonts w:ascii="Times New Roman" w:hAnsi="Times New Roman" w:cs="Times New Roman"/>
          <w:sz w:val="24"/>
          <w:szCs w:val="24"/>
        </w:rPr>
        <w:t>s</w:t>
      </w:r>
      <w:r w:rsidRPr="00775140">
        <w:rPr>
          <w:rFonts w:ascii="Times New Roman" w:hAnsi="Times New Roman" w:cs="Times New Roman"/>
          <w:sz w:val="24"/>
          <w:szCs w:val="24"/>
        </w:rPr>
        <w:t xml:space="preserve"> contable</w:t>
      </w:r>
      <w:r w:rsidR="00602C42">
        <w:rPr>
          <w:rFonts w:ascii="Times New Roman" w:hAnsi="Times New Roman" w:cs="Times New Roman"/>
          <w:sz w:val="24"/>
          <w:szCs w:val="24"/>
        </w:rPr>
        <w:t>s</w:t>
      </w:r>
      <w:r w:rsidRPr="00775140">
        <w:rPr>
          <w:rFonts w:ascii="Times New Roman" w:hAnsi="Times New Roman" w:cs="Times New Roman"/>
          <w:sz w:val="24"/>
          <w:szCs w:val="24"/>
        </w:rPr>
        <w:t xml:space="preserve"> correlativa</w:t>
      </w:r>
      <w:r w:rsidR="00602C42">
        <w:rPr>
          <w:rFonts w:ascii="Times New Roman" w:hAnsi="Times New Roman" w:cs="Times New Roman"/>
          <w:sz w:val="24"/>
          <w:szCs w:val="24"/>
        </w:rPr>
        <w:t>s</w:t>
      </w:r>
      <w:r w:rsidRPr="00775140">
        <w:rPr>
          <w:rFonts w:ascii="Times New Roman" w:hAnsi="Times New Roman" w:cs="Times New Roman"/>
          <w:sz w:val="24"/>
          <w:szCs w:val="24"/>
        </w:rPr>
        <w:t>.</w:t>
      </w:r>
    </w:p>
    <w:p w14:paraId="5B2B372F" w14:textId="77777777" w:rsidR="00775140" w:rsidRDefault="00775140" w:rsidP="004D4E4F">
      <w:pPr>
        <w:jc w:val="both"/>
        <w:rPr>
          <w:rFonts w:ascii="Times New Roman" w:hAnsi="Times New Roman" w:cs="Times New Roman"/>
          <w:sz w:val="24"/>
          <w:szCs w:val="24"/>
        </w:rPr>
      </w:pPr>
    </w:p>
    <w:p w14:paraId="7F9AEBF4" w14:textId="1F7E06D0" w:rsidR="00D82FFF" w:rsidRDefault="00D82FFF" w:rsidP="00D82FFF">
      <w:pPr>
        <w:jc w:val="both"/>
        <w:rPr>
          <w:rFonts w:ascii="Times New Roman" w:hAnsi="Times New Roman" w:cs="Times New Roman"/>
          <w:i/>
          <w:iCs/>
          <w:sz w:val="24"/>
          <w:szCs w:val="24"/>
        </w:rPr>
      </w:pPr>
      <w:r w:rsidRPr="00D82FFF">
        <w:rPr>
          <w:rFonts w:ascii="Times New Roman" w:hAnsi="Times New Roman" w:cs="Times New Roman"/>
          <w:i/>
          <w:iCs/>
          <w:sz w:val="24"/>
          <w:szCs w:val="24"/>
        </w:rPr>
        <w:t>Cenit Transporte y Logística De Hidrocarburos S.A.S.</w:t>
      </w:r>
      <w:r>
        <w:rPr>
          <w:rFonts w:ascii="Times New Roman" w:hAnsi="Times New Roman" w:cs="Times New Roman"/>
          <w:i/>
          <w:iCs/>
          <w:sz w:val="24"/>
          <w:szCs w:val="24"/>
        </w:rPr>
        <w:t>:</w:t>
      </w:r>
    </w:p>
    <w:p w14:paraId="7FAFA4EF" w14:textId="77777777" w:rsidR="00345496" w:rsidRDefault="00345496" w:rsidP="00D82FFF">
      <w:pPr>
        <w:jc w:val="both"/>
        <w:rPr>
          <w:rFonts w:ascii="Times New Roman" w:hAnsi="Times New Roman" w:cs="Times New Roman"/>
          <w:i/>
          <w:iCs/>
          <w:sz w:val="24"/>
          <w:szCs w:val="24"/>
        </w:rPr>
      </w:pPr>
    </w:p>
    <w:p w14:paraId="5B80551C" w14:textId="77777777" w:rsidR="00781654" w:rsidRPr="00A11B39" w:rsidRDefault="00781654" w:rsidP="00781654">
      <w:pPr>
        <w:jc w:val="both"/>
        <w:rPr>
          <w:rFonts w:ascii="Times New Roman" w:hAnsi="Times New Roman" w:cs="Times New Roman"/>
          <w:sz w:val="24"/>
          <w:szCs w:val="24"/>
        </w:rPr>
      </w:pPr>
      <w:r>
        <w:rPr>
          <w:rFonts w:ascii="Times New Roman" w:hAnsi="Times New Roman" w:cs="Times New Roman"/>
          <w:sz w:val="24"/>
          <w:szCs w:val="24"/>
        </w:rPr>
        <w:t xml:space="preserve">Convenio Interadministrativo de Cooperación </w:t>
      </w:r>
      <w:r w:rsidRPr="00A11B39">
        <w:rPr>
          <w:rFonts w:ascii="Times New Roman" w:hAnsi="Times New Roman" w:cs="Times New Roman"/>
          <w:sz w:val="24"/>
          <w:szCs w:val="24"/>
        </w:rPr>
        <w:t>No. CI-013-2023</w:t>
      </w:r>
      <w:r>
        <w:rPr>
          <w:rFonts w:ascii="Times New Roman" w:hAnsi="Times New Roman" w:cs="Times New Roman"/>
          <w:sz w:val="24"/>
          <w:szCs w:val="24"/>
        </w:rPr>
        <w:t xml:space="preserve">. </w:t>
      </w:r>
      <w:r w:rsidRPr="00A11B39">
        <w:rPr>
          <w:rFonts w:ascii="Times New Roman" w:hAnsi="Times New Roman" w:cs="Times New Roman"/>
          <w:sz w:val="24"/>
          <w:szCs w:val="24"/>
        </w:rPr>
        <w:t>Valor del convenio $193.851.779.190, valor aportado a 31 de diciembre de 2025 $ 44.044.234.181</w:t>
      </w:r>
      <w:r>
        <w:rPr>
          <w:rFonts w:ascii="Times New Roman" w:hAnsi="Times New Roman" w:cs="Times New Roman"/>
          <w:sz w:val="24"/>
          <w:szCs w:val="24"/>
        </w:rPr>
        <w:t>.</w:t>
      </w:r>
    </w:p>
    <w:p w14:paraId="654E0A9B" w14:textId="77777777" w:rsidR="00781654" w:rsidRPr="00A11B39" w:rsidRDefault="00781654" w:rsidP="00781654">
      <w:pPr>
        <w:jc w:val="both"/>
        <w:rPr>
          <w:rFonts w:ascii="Times New Roman" w:hAnsi="Times New Roman" w:cs="Times New Roman"/>
          <w:sz w:val="24"/>
          <w:szCs w:val="24"/>
        </w:rPr>
      </w:pPr>
      <w:r w:rsidRPr="00A11B39">
        <w:rPr>
          <w:rFonts w:ascii="Times New Roman" w:hAnsi="Times New Roman" w:cs="Times New Roman"/>
          <w:sz w:val="24"/>
          <w:szCs w:val="24"/>
        </w:rPr>
        <w:t xml:space="preserve">Objeto: aunar esfuerzos para que CENIT realice las obras de protección, traslado o reubicación del tramo del Poliducto comprendido entre el PK 13+000 y el PK 45+000 en nomenclatura de CENIT, que, para efectos del corredor vial, corresponde con el tramo ubicado en el sector el </w:t>
      </w:r>
      <w:proofErr w:type="spellStart"/>
      <w:r w:rsidRPr="00A11B39">
        <w:rPr>
          <w:rFonts w:ascii="Times New Roman" w:hAnsi="Times New Roman" w:cs="Times New Roman"/>
          <w:sz w:val="24"/>
          <w:szCs w:val="24"/>
        </w:rPr>
        <w:t>Gallineral</w:t>
      </w:r>
      <w:proofErr w:type="spellEnd"/>
      <w:r w:rsidRPr="00A11B39">
        <w:rPr>
          <w:rFonts w:ascii="Times New Roman" w:hAnsi="Times New Roman" w:cs="Times New Roman"/>
          <w:sz w:val="24"/>
          <w:szCs w:val="24"/>
        </w:rPr>
        <w:t xml:space="preserve"> PR 16+030 al PR 47 +370 (Ruta 4001) de acuerdo con lo establecido en la sección 1.206 de la Parte Especial del Contrato APP.   </w:t>
      </w:r>
    </w:p>
    <w:p w14:paraId="51E34349" w14:textId="6FC90FF3" w:rsidR="00781654" w:rsidRDefault="00781654" w:rsidP="00D82FFF">
      <w:pPr>
        <w:jc w:val="both"/>
        <w:rPr>
          <w:rFonts w:ascii="Times New Roman" w:hAnsi="Times New Roman" w:cs="Times New Roman"/>
          <w:sz w:val="24"/>
          <w:szCs w:val="24"/>
        </w:rPr>
      </w:pPr>
      <w:r w:rsidRPr="00FE6C34">
        <w:rPr>
          <w:rFonts w:ascii="Times New Roman" w:hAnsi="Times New Roman" w:cs="Times New Roman"/>
          <w:sz w:val="24"/>
          <w:szCs w:val="24"/>
        </w:rPr>
        <w:t>El saldo pendiente por ejecutar al 31 de marzo de 2026 asciende a</w:t>
      </w:r>
      <w:r>
        <w:rPr>
          <w:rFonts w:ascii="Times New Roman" w:hAnsi="Times New Roman" w:cs="Times New Roman"/>
          <w:sz w:val="24"/>
          <w:szCs w:val="24"/>
        </w:rPr>
        <w:t xml:space="preserve"> </w:t>
      </w:r>
      <w:r w:rsidRPr="00DC20A9">
        <w:rPr>
          <w:rFonts w:ascii="Times New Roman" w:hAnsi="Times New Roman" w:cs="Times New Roman"/>
          <w:sz w:val="24"/>
          <w:szCs w:val="24"/>
        </w:rPr>
        <w:t>$</w:t>
      </w:r>
      <w:r w:rsidRPr="00781654">
        <w:rPr>
          <w:rFonts w:ascii="Times New Roman" w:hAnsi="Times New Roman" w:cs="Times New Roman"/>
          <w:sz w:val="24"/>
          <w:szCs w:val="24"/>
        </w:rPr>
        <w:t>12.486.397.489</w:t>
      </w:r>
      <w:r>
        <w:rPr>
          <w:rFonts w:ascii="Times New Roman" w:hAnsi="Times New Roman" w:cs="Times New Roman"/>
          <w:sz w:val="24"/>
          <w:szCs w:val="24"/>
        </w:rPr>
        <w:t>, no se reportó ejecución.</w:t>
      </w:r>
    </w:p>
    <w:p w14:paraId="61CCE45B" w14:textId="77777777" w:rsidR="00D82FFF" w:rsidRDefault="00D82FFF" w:rsidP="004D4E4F">
      <w:pPr>
        <w:jc w:val="both"/>
        <w:rPr>
          <w:rFonts w:ascii="Times New Roman" w:hAnsi="Times New Roman" w:cs="Times New Roman"/>
          <w:sz w:val="24"/>
          <w:szCs w:val="24"/>
        </w:rPr>
      </w:pPr>
    </w:p>
    <w:p w14:paraId="709C4D99" w14:textId="77777777" w:rsidR="00D3603F" w:rsidRDefault="00D3603F" w:rsidP="004D4E4F">
      <w:pPr>
        <w:jc w:val="both"/>
        <w:rPr>
          <w:rFonts w:ascii="Times New Roman" w:hAnsi="Times New Roman" w:cs="Times New Roman"/>
          <w:sz w:val="24"/>
          <w:szCs w:val="24"/>
        </w:rPr>
      </w:pPr>
    </w:p>
    <w:p w14:paraId="0F92B7C9" w14:textId="77777777" w:rsidR="00D3603F" w:rsidRPr="00DC20A9" w:rsidRDefault="00D3603F" w:rsidP="004D4E4F">
      <w:pPr>
        <w:jc w:val="both"/>
        <w:rPr>
          <w:rFonts w:ascii="Times New Roman" w:hAnsi="Times New Roman" w:cs="Times New Roman"/>
          <w:sz w:val="24"/>
          <w:szCs w:val="24"/>
        </w:rPr>
      </w:pPr>
    </w:p>
    <w:p w14:paraId="20BC33F9" w14:textId="77777777" w:rsidR="00DC20A9" w:rsidRPr="00547E47" w:rsidRDefault="00DC20A9" w:rsidP="004D4E4F">
      <w:pPr>
        <w:jc w:val="both"/>
        <w:rPr>
          <w:rFonts w:ascii="Times New Roman" w:hAnsi="Times New Roman" w:cs="Times New Roman"/>
          <w:i/>
          <w:iCs/>
          <w:sz w:val="24"/>
          <w:szCs w:val="24"/>
        </w:rPr>
      </w:pPr>
      <w:r w:rsidRPr="00547E47">
        <w:rPr>
          <w:rFonts w:ascii="Times New Roman" w:hAnsi="Times New Roman" w:cs="Times New Roman"/>
          <w:i/>
          <w:iCs/>
          <w:sz w:val="24"/>
          <w:szCs w:val="24"/>
        </w:rPr>
        <w:lastRenderedPageBreak/>
        <w:t xml:space="preserve">Financiera De Desarrollo Nacional S.A:  </w:t>
      </w:r>
    </w:p>
    <w:p w14:paraId="6F22AA40" w14:textId="77777777" w:rsidR="00DC20A9" w:rsidRPr="00DC20A9" w:rsidRDefault="00DC20A9" w:rsidP="004D4E4F">
      <w:pPr>
        <w:jc w:val="both"/>
        <w:rPr>
          <w:rFonts w:ascii="Times New Roman" w:hAnsi="Times New Roman" w:cs="Times New Roman"/>
          <w:sz w:val="24"/>
          <w:szCs w:val="24"/>
        </w:rPr>
      </w:pPr>
    </w:p>
    <w:p w14:paraId="2CBE978D" w14:textId="1EE97E49" w:rsidR="00197E5C" w:rsidRDefault="00D20BE3" w:rsidP="004D4E4F">
      <w:pPr>
        <w:jc w:val="both"/>
        <w:rPr>
          <w:rFonts w:ascii="Times New Roman" w:hAnsi="Times New Roman" w:cs="Times New Roman"/>
          <w:sz w:val="24"/>
          <w:szCs w:val="24"/>
        </w:rPr>
      </w:pPr>
      <w:r>
        <w:rPr>
          <w:rFonts w:ascii="Times New Roman" w:hAnsi="Times New Roman" w:cs="Times New Roman"/>
          <w:sz w:val="24"/>
          <w:szCs w:val="24"/>
        </w:rPr>
        <w:t xml:space="preserve">Convenio Interadministrativo </w:t>
      </w:r>
      <w:r w:rsidR="00DC20A9" w:rsidRPr="00DC20A9">
        <w:rPr>
          <w:rFonts w:ascii="Times New Roman" w:hAnsi="Times New Roman" w:cs="Times New Roman"/>
          <w:sz w:val="24"/>
          <w:szCs w:val="24"/>
        </w:rPr>
        <w:t>No 24 de 2017</w:t>
      </w:r>
      <w:r w:rsidR="00197E5C">
        <w:rPr>
          <w:rFonts w:ascii="Times New Roman" w:hAnsi="Times New Roman" w:cs="Times New Roman"/>
          <w:sz w:val="24"/>
          <w:szCs w:val="24"/>
        </w:rPr>
        <w:t>.</w:t>
      </w:r>
    </w:p>
    <w:p w14:paraId="1B2740BF" w14:textId="3D823EC0" w:rsidR="00FE6C34" w:rsidRDefault="00197E5C" w:rsidP="004D4E4F">
      <w:pPr>
        <w:jc w:val="both"/>
        <w:rPr>
          <w:rFonts w:ascii="Times New Roman" w:hAnsi="Times New Roman" w:cs="Times New Roman"/>
          <w:sz w:val="24"/>
          <w:szCs w:val="24"/>
        </w:rPr>
      </w:pPr>
      <w:r>
        <w:rPr>
          <w:rFonts w:ascii="Times New Roman" w:hAnsi="Times New Roman" w:cs="Times New Roman"/>
          <w:sz w:val="24"/>
          <w:szCs w:val="24"/>
        </w:rPr>
        <w:t>O</w:t>
      </w:r>
      <w:r w:rsidR="00DC20A9" w:rsidRPr="00DC20A9">
        <w:rPr>
          <w:rFonts w:ascii="Times New Roman" w:hAnsi="Times New Roman" w:cs="Times New Roman"/>
          <w:sz w:val="24"/>
          <w:szCs w:val="24"/>
        </w:rPr>
        <w:t xml:space="preserve">bjeto: Aunar los esfuerzos de la Agencia y la Financiera para desarrollar y llevar a cabo la estructuración financiera y legal, del corredor férreo comprendido entre los municipios de La Dorada en el departamento de Caldas y Chiriguaná en el departamento del Cesar, con sus respectivos ramales incluyendo interoperabilidad con el tramo Chiriguaná – Santa Marta actualmente concesionado a FENOCO. </w:t>
      </w:r>
      <w:proofErr w:type="spellStart"/>
      <w:r w:rsidR="00DC20A9" w:rsidRPr="00DC20A9">
        <w:rPr>
          <w:rFonts w:ascii="Times New Roman" w:hAnsi="Times New Roman" w:cs="Times New Roman"/>
          <w:sz w:val="24"/>
          <w:szCs w:val="24"/>
        </w:rPr>
        <w:t>ii</w:t>
      </w:r>
      <w:proofErr w:type="spellEnd"/>
      <w:r w:rsidR="00DC20A9" w:rsidRPr="00DC20A9">
        <w:rPr>
          <w:rFonts w:ascii="Times New Roman" w:hAnsi="Times New Roman" w:cs="Times New Roman"/>
          <w:sz w:val="24"/>
          <w:szCs w:val="24"/>
        </w:rPr>
        <w:t xml:space="preserve">. Estructurar y diseñar la operación de financiamiento desde el punto de vista financiero y legal de la rehabilitación del corredor férreo objeto de estructuración. </w:t>
      </w:r>
    </w:p>
    <w:p w14:paraId="401E01E6" w14:textId="3E6A629F" w:rsidR="00FE6C34" w:rsidRDefault="00FE6C34" w:rsidP="004D4E4F">
      <w:pPr>
        <w:jc w:val="both"/>
        <w:rPr>
          <w:rFonts w:ascii="Times New Roman" w:hAnsi="Times New Roman" w:cs="Times New Roman"/>
          <w:sz w:val="24"/>
          <w:szCs w:val="24"/>
        </w:rPr>
      </w:pPr>
      <w:r w:rsidRPr="00FE6C34">
        <w:rPr>
          <w:rFonts w:ascii="Times New Roman" w:hAnsi="Times New Roman" w:cs="Times New Roman"/>
          <w:sz w:val="24"/>
          <w:szCs w:val="24"/>
        </w:rPr>
        <w:t>Durante el primer trimestre de 2026 se registró un neto entre rendimientos y ejecución por valor de $</w:t>
      </w:r>
      <w:r>
        <w:rPr>
          <w:rFonts w:ascii="Times New Roman" w:hAnsi="Times New Roman" w:cs="Times New Roman"/>
          <w:sz w:val="24"/>
          <w:szCs w:val="24"/>
        </w:rPr>
        <w:t>-</w:t>
      </w:r>
      <w:r w:rsidRPr="00FE6C34">
        <w:rPr>
          <w:rFonts w:ascii="Times New Roman" w:hAnsi="Times New Roman" w:cs="Times New Roman"/>
          <w:sz w:val="24"/>
          <w:szCs w:val="24"/>
        </w:rPr>
        <w:t>418.3</w:t>
      </w:r>
      <w:r w:rsidR="00207CF3">
        <w:rPr>
          <w:rFonts w:ascii="Times New Roman" w:hAnsi="Times New Roman" w:cs="Times New Roman"/>
          <w:sz w:val="24"/>
          <w:szCs w:val="24"/>
        </w:rPr>
        <w:t>41</w:t>
      </w:r>
      <w:r w:rsidRPr="00FE6C34">
        <w:rPr>
          <w:rFonts w:ascii="Times New Roman" w:hAnsi="Times New Roman" w:cs="Times New Roman"/>
          <w:sz w:val="24"/>
          <w:szCs w:val="24"/>
        </w:rPr>
        <w:t xml:space="preserve"> y un reintegro de aportes no ejecutados por $</w:t>
      </w:r>
      <w:r>
        <w:rPr>
          <w:rFonts w:ascii="Times New Roman" w:hAnsi="Times New Roman" w:cs="Times New Roman"/>
          <w:sz w:val="24"/>
          <w:szCs w:val="24"/>
        </w:rPr>
        <w:t>-</w:t>
      </w:r>
      <w:r w:rsidRPr="00FE6C34">
        <w:rPr>
          <w:rFonts w:ascii="Times New Roman" w:hAnsi="Times New Roman" w:cs="Times New Roman"/>
          <w:sz w:val="24"/>
          <w:szCs w:val="24"/>
        </w:rPr>
        <w:t>177.215.418. El saldo pendiente por ejecutar al 31 de marzo de 2026 ascendió a $211.725.24</w:t>
      </w:r>
      <w:r w:rsidR="00207CF3">
        <w:rPr>
          <w:rFonts w:ascii="Times New Roman" w:hAnsi="Times New Roman" w:cs="Times New Roman"/>
          <w:sz w:val="24"/>
          <w:szCs w:val="24"/>
        </w:rPr>
        <w:t>6</w:t>
      </w:r>
      <w:r w:rsidRPr="00FE6C34">
        <w:rPr>
          <w:rFonts w:ascii="Times New Roman" w:hAnsi="Times New Roman" w:cs="Times New Roman"/>
          <w:sz w:val="24"/>
          <w:szCs w:val="24"/>
        </w:rPr>
        <w:t>. El convenio se encuentra en proceso de liquidación.</w:t>
      </w:r>
    </w:p>
    <w:p w14:paraId="3DF491FE" w14:textId="77777777" w:rsidR="00FE6C34" w:rsidRDefault="00FE6C34" w:rsidP="004D4E4F">
      <w:pPr>
        <w:jc w:val="both"/>
        <w:rPr>
          <w:rFonts w:ascii="Times New Roman" w:hAnsi="Times New Roman" w:cs="Times New Roman"/>
          <w:sz w:val="24"/>
          <w:szCs w:val="24"/>
        </w:rPr>
      </w:pPr>
    </w:p>
    <w:p w14:paraId="475DE308" w14:textId="178805CD" w:rsidR="00D30F36" w:rsidRDefault="00D20BE3" w:rsidP="004D4E4F">
      <w:pPr>
        <w:jc w:val="both"/>
        <w:rPr>
          <w:rFonts w:ascii="Times New Roman" w:hAnsi="Times New Roman" w:cs="Times New Roman"/>
          <w:sz w:val="24"/>
          <w:szCs w:val="24"/>
        </w:rPr>
      </w:pPr>
      <w:r>
        <w:rPr>
          <w:rFonts w:ascii="Times New Roman" w:hAnsi="Times New Roman" w:cs="Times New Roman"/>
          <w:sz w:val="24"/>
          <w:szCs w:val="24"/>
        </w:rPr>
        <w:t xml:space="preserve">Contrato Interadministrativo </w:t>
      </w:r>
      <w:r w:rsidR="00DC20A9" w:rsidRPr="00DC20A9">
        <w:rPr>
          <w:rFonts w:ascii="Times New Roman" w:hAnsi="Times New Roman" w:cs="Times New Roman"/>
          <w:sz w:val="24"/>
          <w:szCs w:val="24"/>
        </w:rPr>
        <w:t>No. VE-631-2022</w:t>
      </w:r>
      <w:r w:rsidR="00D30F36">
        <w:rPr>
          <w:rFonts w:ascii="Times New Roman" w:hAnsi="Times New Roman" w:cs="Times New Roman"/>
          <w:sz w:val="24"/>
          <w:szCs w:val="24"/>
        </w:rPr>
        <w:t>.</w:t>
      </w:r>
    </w:p>
    <w:p w14:paraId="676C7AC9" w14:textId="77DB823E" w:rsidR="0078534A" w:rsidRDefault="00DC20A9" w:rsidP="004D4E4F">
      <w:pPr>
        <w:jc w:val="both"/>
        <w:rPr>
          <w:rFonts w:ascii="Times New Roman" w:hAnsi="Times New Roman" w:cs="Times New Roman"/>
          <w:sz w:val="24"/>
          <w:szCs w:val="24"/>
        </w:rPr>
      </w:pPr>
      <w:r w:rsidRPr="00DC20A9">
        <w:rPr>
          <w:rFonts w:ascii="Times New Roman" w:hAnsi="Times New Roman" w:cs="Times New Roman"/>
          <w:sz w:val="24"/>
          <w:szCs w:val="24"/>
        </w:rPr>
        <w:t xml:space="preserve">Objeto: Adelantar los estudios y diseños a nivel de prefactibilidad, para la reactivación del Corredor Férreo del Pacífico desde el puerto de Buenaventura y su conexión con el Corredor Férreo Central. </w:t>
      </w:r>
    </w:p>
    <w:p w14:paraId="04500FB1" w14:textId="77777777" w:rsidR="0078534A" w:rsidRPr="0078534A" w:rsidRDefault="0078534A" w:rsidP="004D4E4F">
      <w:pPr>
        <w:jc w:val="both"/>
        <w:rPr>
          <w:rFonts w:ascii="Times New Roman" w:hAnsi="Times New Roman" w:cs="Times New Roman"/>
          <w:sz w:val="24"/>
          <w:szCs w:val="24"/>
        </w:rPr>
      </w:pPr>
      <w:r w:rsidRPr="0078534A">
        <w:rPr>
          <w:rFonts w:ascii="Times New Roman" w:hAnsi="Times New Roman" w:cs="Times New Roman"/>
          <w:sz w:val="24"/>
          <w:szCs w:val="24"/>
        </w:rPr>
        <w:t>Durante el primer trimestre de 2026 se registró un neto entre rendimientos y ejecución por valor de $45.158.802, quedando un saldo pendiente por ejecutar de $3.939.580.211.</w:t>
      </w:r>
    </w:p>
    <w:p w14:paraId="36CFF685" w14:textId="7C6FC1B3" w:rsidR="0078534A" w:rsidRDefault="0078534A" w:rsidP="004D4E4F">
      <w:pPr>
        <w:jc w:val="both"/>
        <w:rPr>
          <w:rFonts w:ascii="Times New Roman" w:hAnsi="Times New Roman" w:cs="Times New Roman"/>
          <w:sz w:val="24"/>
          <w:szCs w:val="24"/>
        </w:rPr>
      </w:pPr>
      <w:r w:rsidRPr="0078534A">
        <w:rPr>
          <w:rFonts w:ascii="Times New Roman" w:hAnsi="Times New Roman" w:cs="Times New Roman"/>
          <w:sz w:val="24"/>
          <w:szCs w:val="24"/>
        </w:rPr>
        <w:t>No obstante, se informa que la ejecución y los rendimientos correspondientes al mes de marzo serán registrados contablemente en abril de 2026. Una vez efectuado dicho registro, el neto entre rendimientos y ejecución corresponde a $21.829.022 y el saldo pendiente por ejecutar asciende a $3.961.409.233.</w:t>
      </w:r>
    </w:p>
    <w:p w14:paraId="7EB9C5CD" w14:textId="77777777" w:rsidR="0078534A" w:rsidRDefault="0078534A" w:rsidP="004D4E4F">
      <w:pPr>
        <w:jc w:val="both"/>
        <w:rPr>
          <w:rFonts w:ascii="Times New Roman" w:hAnsi="Times New Roman" w:cs="Times New Roman"/>
          <w:sz w:val="24"/>
          <w:szCs w:val="24"/>
        </w:rPr>
      </w:pPr>
    </w:p>
    <w:p w14:paraId="14D7CC61" w14:textId="67626CB1" w:rsidR="00D30F36" w:rsidRDefault="00D20BE3" w:rsidP="004D4E4F">
      <w:pPr>
        <w:jc w:val="both"/>
        <w:rPr>
          <w:rFonts w:ascii="Times New Roman" w:hAnsi="Times New Roman" w:cs="Times New Roman"/>
          <w:sz w:val="24"/>
          <w:szCs w:val="24"/>
        </w:rPr>
      </w:pPr>
      <w:r>
        <w:rPr>
          <w:rFonts w:ascii="Times New Roman" w:hAnsi="Times New Roman" w:cs="Times New Roman"/>
          <w:sz w:val="24"/>
          <w:szCs w:val="24"/>
        </w:rPr>
        <w:t xml:space="preserve">Contrato Interadministrativo </w:t>
      </w:r>
      <w:r w:rsidR="00DC20A9" w:rsidRPr="00DC20A9">
        <w:rPr>
          <w:rFonts w:ascii="Times New Roman" w:hAnsi="Times New Roman" w:cs="Times New Roman"/>
          <w:sz w:val="24"/>
          <w:szCs w:val="24"/>
        </w:rPr>
        <w:t>No. VE-800-2023.</w:t>
      </w:r>
    </w:p>
    <w:p w14:paraId="5539F886" w14:textId="35C87064" w:rsidR="0078534A" w:rsidRDefault="00DC20A9" w:rsidP="004D4E4F">
      <w:pPr>
        <w:jc w:val="both"/>
        <w:rPr>
          <w:rFonts w:ascii="Times New Roman" w:hAnsi="Times New Roman" w:cs="Times New Roman"/>
          <w:sz w:val="24"/>
          <w:szCs w:val="24"/>
        </w:rPr>
      </w:pPr>
      <w:r w:rsidRPr="00DC20A9">
        <w:rPr>
          <w:rFonts w:ascii="Times New Roman" w:hAnsi="Times New Roman" w:cs="Times New Roman"/>
          <w:sz w:val="24"/>
          <w:szCs w:val="24"/>
        </w:rPr>
        <w:t>Objeto: Asesorar a la ANI en la definición de la estructura de gobernanza para el desarrollo</w:t>
      </w:r>
      <w:r w:rsidR="00547E47">
        <w:rPr>
          <w:rFonts w:ascii="Times New Roman" w:hAnsi="Times New Roman" w:cs="Times New Roman"/>
          <w:sz w:val="24"/>
          <w:szCs w:val="24"/>
        </w:rPr>
        <w:t xml:space="preserve"> </w:t>
      </w:r>
      <w:r w:rsidRPr="00DC20A9">
        <w:rPr>
          <w:rFonts w:ascii="Times New Roman" w:hAnsi="Times New Roman" w:cs="Times New Roman"/>
          <w:sz w:val="24"/>
          <w:szCs w:val="24"/>
        </w:rPr>
        <w:t>de proyectos de Asociación Público-Privada de infraestructura hospitalaria, así como</w:t>
      </w:r>
      <w:r w:rsidR="00547E47">
        <w:rPr>
          <w:rFonts w:ascii="Times New Roman" w:hAnsi="Times New Roman" w:cs="Times New Roman"/>
          <w:sz w:val="24"/>
          <w:szCs w:val="24"/>
        </w:rPr>
        <w:t xml:space="preserve"> </w:t>
      </w:r>
      <w:r w:rsidRPr="00DC20A9">
        <w:rPr>
          <w:rFonts w:ascii="Times New Roman" w:hAnsi="Times New Roman" w:cs="Times New Roman"/>
          <w:sz w:val="24"/>
          <w:szCs w:val="24"/>
        </w:rPr>
        <w:t>adelantar la estructuración integral o actualización de un proyecto hospitalario</w:t>
      </w:r>
      <w:r w:rsidR="00547E47">
        <w:rPr>
          <w:rFonts w:ascii="Times New Roman" w:hAnsi="Times New Roman" w:cs="Times New Roman"/>
          <w:sz w:val="24"/>
          <w:szCs w:val="24"/>
        </w:rPr>
        <w:t xml:space="preserve"> </w:t>
      </w:r>
      <w:r w:rsidRPr="00DC20A9">
        <w:rPr>
          <w:rFonts w:ascii="Times New Roman" w:hAnsi="Times New Roman" w:cs="Times New Roman"/>
          <w:sz w:val="24"/>
          <w:szCs w:val="24"/>
        </w:rPr>
        <w:t>seleccionado por la ANI (en adelante Proyecto) de conformidad con el alcance</w:t>
      </w:r>
      <w:r w:rsidR="00547E47">
        <w:rPr>
          <w:rFonts w:ascii="Times New Roman" w:hAnsi="Times New Roman" w:cs="Times New Roman"/>
          <w:sz w:val="24"/>
          <w:szCs w:val="24"/>
        </w:rPr>
        <w:t xml:space="preserve"> </w:t>
      </w:r>
      <w:r w:rsidRPr="00DC20A9">
        <w:rPr>
          <w:rFonts w:ascii="Times New Roman" w:hAnsi="Times New Roman" w:cs="Times New Roman"/>
          <w:sz w:val="24"/>
          <w:szCs w:val="24"/>
        </w:rPr>
        <w:t>establecido en el contrato.</w:t>
      </w:r>
    </w:p>
    <w:p w14:paraId="70C877F5" w14:textId="2B8B5C59" w:rsidR="0078534A" w:rsidRPr="0078534A" w:rsidRDefault="0078534A" w:rsidP="004D4E4F">
      <w:pPr>
        <w:jc w:val="both"/>
        <w:rPr>
          <w:rFonts w:ascii="Times New Roman" w:hAnsi="Times New Roman" w:cs="Times New Roman"/>
          <w:sz w:val="24"/>
          <w:szCs w:val="24"/>
        </w:rPr>
      </w:pPr>
      <w:r w:rsidRPr="0078534A">
        <w:rPr>
          <w:rFonts w:ascii="Times New Roman" w:hAnsi="Times New Roman" w:cs="Times New Roman"/>
          <w:sz w:val="24"/>
          <w:szCs w:val="24"/>
        </w:rPr>
        <w:t>Durante el primer trimestre de 2026 se registró un neto entre rendimientos y ejecución por valor de $</w:t>
      </w:r>
      <w:r>
        <w:rPr>
          <w:rFonts w:ascii="Times New Roman" w:hAnsi="Times New Roman" w:cs="Times New Roman"/>
          <w:sz w:val="24"/>
          <w:szCs w:val="24"/>
        </w:rPr>
        <w:t>-</w:t>
      </w:r>
      <w:r w:rsidRPr="0078534A">
        <w:rPr>
          <w:rFonts w:ascii="Times New Roman" w:hAnsi="Times New Roman" w:cs="Times New Roman"/>
          <w:sz w:val="24"/>
          <w:szCs w:val="24"/>
        </w:rPr>
        <w:t>6.356.870, quedando un saldo pendiente por ejecutar de $5.860.047.500.</w:t>
      </w:r>
    </w:p>
    <w:p w14:paraId="7A4CCDF7" w14:textId="1C6287A5" w:rsidR="0078534A" w:rsidRDefault="0078534A" w:rsidP="004D4E4F">
      <w:pPr>
        <w:jc w:val="both"/>
        <w:rPr>
          <w:rFonts w:ascii="Times New Roman" w:hAnsi="Times New Roman" w:cs="Times New Roman"/>
          <w:sz w:val="24"/>
          <w:szCs w:val="24"/>
        </w:rPr>
      </w:pPr>
      <w:r w:rsidRPr="0078534A">
        <w:rPr>
          <w:rFonts w:ascii="Times New Roman" w:hAnsi="Times New Roman" w:cs="Times New Roman"/>
          <w:sz w:val="24"/>
          <w:szCs w:val="24"/>
        </w:rPr>
        <w:t xml:space="preserve">Asimismo, se informa que la ejecución y los rendimientos correspondientes al mes de marzo serán registrados en abril de 2026. Una vez efectuado el registro, el neto entre rendimientos </w:t>
      </w:r>
      <w:r w:rsidRPr="0078534A">
        <w:rPr>
          <w:rFonts w:ascii="Times New Roman" w:hAnsi="Times New Roman" w:cs="Times New Roman"/>
          <w:sz w:val="24"/>
          <w:szCs w:val="24"/>
        </w:rPr>
        <w:lastRenderedPageBreak/>
        <w:t>y ejecución asciende a $</w:t>
      </w:r>
      <w:r>
        <w:rPr>
          <w:rFonts w:ascii="Times New Roman" w:hAnsi="Times New Roman" w:cs="Times New Roman"/>
          <w:sz w:val="24"/>
          <w:szCs w:val="24"/>
        </w:rPr>
        <w:t>-</w:t>
      </w:r>
      <w:r w:rsidRPr="0078534A">
        <w:rPr>
          <w:rFonts w:ascii="Times New Roman" w:hAnsi="Times New Roman" w:cs="Times New Roman"/>
          <w:sz w:val="24"/>
          <w:szCs w:val="24"/>
        </w:rPr>
        <w:t>1.904.140.711 y el saldo pendiente por ejecutar corresponde a $3.955.906.789.</w:t>
      </w:r>
    </w:p>
    <w:p w14:paraId="513E698E" w14:textId="35FCD5B9" w:rsidR="00DC20A9" w:rsidRDefault="00DC20A9" w:rsidP="004D4E4F">
      <w:pPr>
        <w:jc w:val="both"/>
        <w:rPr>
          <w:rFonts w:ascii="Times New Roman" w:hAnsi="Times New Roman" w:cs="Times New Roman"/>
          <w:sz w:val="24"/>
          <w:szCs w:val="24"/>
        </w:rPr>
      </w:pPr>
      <w:r w:rsidRPr="00DC20A9">
        <w:rPr>
          <w:rFonts w:ascii="Times New Roman" w:hAnsi="Times New Roman" w:cs="Times New Roman"/>
          <w:sz w:val="24"/>
          <w:szCs w:val="24"/>
        </w:rPr>
        <w:t xml:space="preserve">No se generan operaciones recíprocas con </w:t>
      </w:r>
      <w:r w:rsidR="002C6B03">
        <w:rPr>
          <w:rFonts w:ascii="Times New Roman" w:hAnsi="Times New Roman" w:cs="Times New Roman"/>
          <w:sz w:val="24"/>
          <w:szCs w:val="24"/>
        </w:rPr>
        <w:t>la Financiera</w:t>
      </w:r>
      <w:r w:rsidRPr="00DC20A9">
        <w:rPr>
          <w:rFonts w:ascii="Times New Roman" w:hAnsi="Times New Roman" w:cs="Times New Roman"/>
          <w:sz w:val="24"/>
          <w:szCs w:val="24"/>
        </w:rPr>
        <w:t xml:space="preserve">, debido a lo indicado por </w:t>
      </w:r>
      <w:r w:rsidR="0078534A">
        <w:rPr>
          <w:rFonts w:ascii="Times New Roman" w:hAnsi="Times New Roman" w:cs="Times New Roman"/>
          <w:sz w:val="24"/>
          <w:szCs w:val="24"/>
        </w:rPr>
        <w:t xml:space="preserve">su </w:t>
      </w:r>
      <w:r w:rsidRPr="00DC20A9">
        <w:rPr>
          <w:rFonts w:ascii="Times New Roman" w:hAnsi="Times New Roman" w:cs="Times New Roman"/>
          <w:sz w:val="24"/>
          <w:szCs w:val="24"/>
        </w:rPr>
        <w:t>área contable:</w:t>
      </w:r>
      <w:r w:rsidR="0078534A">
        <w:rPr>
          <w:rFonts w:ascii="Times New Roman" w:hAnsi="Times New Roman" w:cs="Times New Roman"/>
          <w:sz w:val="24"/>
          <w:szCs w:val="24"/>
        </w:rPr>
        <w:t xml:space="preserve"> “</w:t>
      </w:r>
      <w:r w:rsidRPr="00DC20A9">
        <w:rPr>
          <w:rFonts w:ascii="Times New Roman" w:hAnsi="Times New Roman" w:cs="Times New Roman"/>
          <w:sz w:val="24"/>
          <w:szCs w:val="24"/>
        </w:rPr>
        <w:t>En relación a los recursos que se entregan en contratos de fiducia con una entidad financiera no se genera operación reciproca alguna,  en el caso de la FDN Id 043400000 los recursos entregados en administración así como la ejecución de los mismos se administra y se contabiliza en forma separada independiente de los de FDN generando para cada convenio o encargo fiduciario sus propios Estados financieros, esto en cumplimiento a la normatividad de la Superfinanciera.  Por lo anterior, no se debe reportar como Operaciones Reciprocas los recursos que hacen parte del Convenio”.</w:t>
      </w:r>
    </w:p>
    <w:p w14:paraId="6016A1F4" w14:textId="77777777" w:rsidR="002250F5" w:rsidRDefault="002250F5" w:rsidP="002250F5">
      <w:pPr>
        <w:jc w:val="both"/>
        <w:rPr>
          <w:rFonts w:ascii="Times New Roman" w:hAnsi="Times New Roman" w:cs="Times New Roman"/>
          <w:i/>
          <w:iCs/>
          <w:sz w:val="24"/>
          <w:szCs w:val="24"/>
        </w:rPr>
      </w:pPr>
    </w:p>
    <w:p w14:paraId="50EB0958" w14:textId="577289A0" w:rsidR="002250F5" w:rsidRPr="00FE69A1" w:rsidRDefault="002250F5" w:rsidP="002250F5">
      <w:pPr>
        <w:jc w:val="both"/>
        <w:rPr>
          <w:rFonts w:ascii="Times New Roman" w:hAnsi="Times New Roman" w:cs="Times New Roman"/>
          <w:sz w:val="24"/>
          <w:szCs w:val="24"/>
        </w:rPr>
      </w:pPr>
      <w:r w:rsidRPr="00547E47">
        <w:rPr>
          <w:rFonts w:ascii="Times New Roman" w:hAnsi="Times New Roman" w:cs="Times New Roman"/>
          <w:i/>
          <w:iCs/>
          <w:sz w:val="24"/>
          <w:szCs w:val="24"/>
        </w:rPr>
        <w:t>Corporación Agencia Nacional De Gobierno Digital:</w:t>
      </w:r>
    </w:p>
    <w:p w14:paraId="63D25B05" w14:textId="77777777" w:rsidR="002250F5" w:rsidRPr="00DC20A9" w:rsidRDefault="002250F5" w:rsidP="002250F5">
      <w:pPr>
        <w:jc w:val="both"/>
        <w:rPr>
          <w:rFonts w:ascii="Times New Roman" w:hAnsi="Times New Roman" w:cs="Times New Roman"/>
          <w:sz w:val="24"/>
          <w:szCs w:val="24"/>
        </w:rPr>
      </w:pPr>
    </w:p>
    <w:p w14:paraId="17FAB7CB" w14:textId="58312046" w:rsidR="002250F5" w:rsidRDefault="00D20BE3" w:rsidP="002250F5">
      <w:pPr>
        <w:jc w:val="both"/>
        <w:rPr>
          <w:rFonts w:ascii="Times New Roman" w:hAnsi="Times New Roman" w:cs="Times New Roman"/>
          <w:sz w:val="24"/>
          <w:szCs w:val="24"/>
        </w:rPr>
      </w:pPr>
      <w:r w:rsidRPr="00D20BE3">
        <w:rPr>
          <w:rFonts w:ascii="Times New Roman" w:hAnsi="Times New Roman" w:cs="Times New Roman"/>
          <w:sz w:val="24"/>
          <w:szCs w:val="24"/>
        </w:rPr>
        <w:t>Convenio Derivado No. 01 del Convenio Marco Interadministrativo No. 939 de 2023, celebrado entre la Agencia Nacional de Infraestructura y la Corporación Agencia Nacional de Gobierno Digital</w:t>
      </w:r>
      <w:r w:rsidR="002250F5" w:rsidRPr="00DC20A9">
        <w:rPr>
          <w:rFonts w:ascii="Times New Roman" w:hAnsi="Times New Roman" w:cs="Times New Roman"/>
          <w:sz w:val="24"/>
          <w:szCs w:val="24"/>
        </w:rPr>
        <w:t>– N</w:t>
      </w:r>
      <w:r>
        <w:rPr>
          <w:rFonts w:ascii="Times New Roman" w:hAnsi="Times New Roman" w:cs="Times New Roman"/>
          <w:sz w:val="24"/>
          <w:szCs w:val="24"/>
        </w:rPr>
        <w:t>umeración</w:t>
      </w:r>
      <w:r w:rsidR="002250F5" w:rsidRPr="00DC20A9">
        <w:rPr>
          <w:rFonts w:ascii="Times New Roman" w:hAnsi="Times New Roman" w:cs="Times New Roman"/>
          <w:sz w:val="24"/>
          <w:szCs w:val="24"/>
        </w:rPr>
        <w:t xml:space="preserve"> ANI CI-014-2023.</w:t>
      </w:r>
    </w:p>
    <w:p w14:paraId="0869AC95" w14:textId="77777777" w:rsidR="002250F5" w:rsidRDefault="002250F5" w:rsidP="002250F5">
      <w:pPr>
        <w:jc w:val="both"/>
        <w:rPr>
          <w:rFonts w:ascii="Times New Roman" w:hAnsi="Times New Roman" w:cs="Times New Roman"/>
          <w:sz w:val="24"/>
          <w:szCs w:val="24"/>
        </w:rPr>
      </w:pPr>
      <w:r>
        <w:rPr>
          <w:rFonts w:ascii="Times New Roman" w:hAnsi="Times New Roman" w:cs="Times New Roman"/>
          <w:sz w:val="24"/>
          <w:szCs w:val="24"/>
        </w:rPr>
        <w:t>O</w:t>
      </w:r>
      <w:r w:rsidRPr="00DC20A9">
        <w:rPr>
          <w:rFonts w:ascii="Times New Roman" w:hAnsi="Times New Roman" w:cs="Times New Roman"/>
          <w:sz w:val="24"/>
          <w:szCs w:val="24"/>
        </w:rPr>
        <w:t xml:space="preserve">bjeto: aunar esfuerzos técnicos, administrativos, operativos, jurídicos, tecnológicos y financieros entre las partes en el marco de sus misionalidades, para la consultoría y asesoría en la implementación de soluciones que apoyen la gestión integral de la contribución nacional de valorización del proyecto barranquilla - Cartagena. </w:t>
      </w:r>
    </w:p>
    <w:p w14:paraId="590E8EB1" w14:textId="77777777" w:rsidR="002250F5" w:rsidRDefault="002250F5" w:rsidP="002250F5">
      <w:pPr>
        <w:jc w:val="both"/>
        <w:rPr>
          <w:rFonts w:ascii="Times New Roman" w:hAnsi="Times New Roman" w:cs="Times New Roman"/>
          <w:sz w:val="24"/>
          <w:szCs w:val="24"/>
        </w:rPr>
      </w:pPr>
      <w:r w:rsidRPr="007F3839">
        <w:rPr>
          <w:rFonts w:ascii="Times New Roman" w:hAnsi="Times New Roman" w:cs="Times New Roman"/>
          <w:sz w:val="24"/>
          <w:szCs w:val="24"/>
        </w:rPr>
        <w:t>El valor del convenio asciende a $3.372.045.484 con un aporte de la ANI por $ 3.239.725.000 y por parte de la Agencia Nacional Digital aporte en especie por $ 132.320.484.</w:t>
      </w:r>
    </w:p>
    <w:p w14:paraId="1E850FD8" w14:textId="5C97325C" w:rsidR="002250F5" w:rsidRDefault="002250F5" w:rsidP="002250F5">
      <w:pPr>
        <w:jc w:val="both"/>
        <w:rPr>
          <w:rFonts w:ascii="Times New Roman" w:hAnsi="Times New Roman" w:cs="Times New Roman"/>
          <w:sz w:val="24"/>
          <w:szCs w:val="24"/>
        </w:rPr>
      </w:pPr>
      <w:r w:rsidRPr="007F3839">
        <w:rPr>
          <w:rFonts w:ascii="Times New Roman" w:hAnsi="Times New Roman" w:cs="Times New Roman"/>
          <w:sz w:val="24"/>
          <w:szCs w:val="24"/>
        </w:rPr>
        <w:t>Durante el primer trimestre de 2026 se registró un reintegro de recursos por valor de $</w:t>
      </w:r>
      <w:r>
        <w:rPr>
          <w:rFonts w:ascii="Times New Roman" w:hAnsi="Times New Roman" w:cs="Times New Roman"/>
          <w:sz w:val="24"/>
          <w:szCs w:val="24"/>
        </w:rPr>
        <w:t>-</w:t>
      </w:r>
      <w:r w:rsidRPr="007F3839">
        <w:rPr>
          <w:rFonts w:ascii="Times New Roman" w:hAnsi="Times New Roman" w:cs="Times New Roman"/>
          <w:sz w:val="24"/>
          <w:szCs w:val="24"/>
        </w:rPr>
        <w:t>698.270.000. El saldo pendiente por ejecutar al 31 de marzo de 2026 fue de $2.538.</w:t>
      </w:r>
      <w:r w:rsidRPr="00695923">
        <w:rPr>
          <w:rFonts w:ascii="Times New Roman" w:hAnsi="Times New Roman" w:cs="Times New Roman"/>
          <w:sz w:val="24"/>
          <w:szCs w:val="24"/>
        </w:rPr>
        <w:t>505.384</w:t>
      </w:r>
      <w:r>
        <w:rPr>
          <w:rFonts w:ascii="Times New Roman" w:hAnsi="Times New Roman" w:cs="Times New Roman"/>
          <w:sz w:val="24"/>
          <w:szCs w:val="24"/>
        </w:rPr>
        <w:t>,</w:t>
      </w:r>
      <w:r w:rsidRPr="007F3839">
        <w:rPr>
          <w:rFonts w:ascii="Times New Roman" w:hAnsi="Times New Roman" w:cs="Times New Roman"/>
          <w:sz w:val="24"/>
          <w:szCs w:val="24"/>
        </w:rPr>
        <w:t xml:space="preserve"> no </w:t>
      </w:r>
      <w:r>
        <w:rPr>
          <w:rFonts w:ascii="Times New Roman" w:hAnsi="Times New Roman" w:cs="Times New Roman"/>
          <w:sz w:val="24"/>
          <w:szCs w:val="24"/>
        </w:rPr>
        <w:t xml:space="preserve">se </w:t>
      </w:r>
      <w:r w:rsidRPr="007F3839">
        <w:rPr>
          <w:rFonts w:ascii="Times New Roman" w:hAnsi="Times New Roman" w:cs="Times New Roman"/>
          <w:sz w:val="24"/>
          <w:szCs w:val="24"/>
        </w:rPr>
        <w:t>reportó ejecución durante el período y actualmente se encuentra en proceso de liquidación.</w:t>
      </w:r>
    </w:p>
    <w:p w14:paraId="71BD8863" w14:textId="77777777" w:rsidR="002250F5" w:rsidRPr="00DC20A9" w:rsidRDefault="002250F5" w:rsidP="002250F5">
      <w:pPr>
        <w:jc w:val="both"/>
        <w:rPr>
          <w:rFonts w:ascii="Times New Roman" w:hAnsi="Times New Roman" w:cs="Times New Roman"/>
          <w:sz w:val="24"/>
          <w:szCs w:val="24"/>
        </w:rPr>
      </w:pPr>
    </w:p>
    <w:p w14:paraId="0F2643A4" w14:textId="09365F65" w:rsidR="002250F5" w:rsidRDefault="00D20BE3" w:rsidP="002250F5">
      <w:pPr>
        <w:jc w:val="both"/>
        <w:rPr>
          <w:rFonts w:ascii="Times New Roman" w:hAnsi="Times New Roman" w:cs="Times New Roman"/>
          <w:sz w:val="24"/>
          <w:szCs w:val="24"/>
        </w:rPr>
      </w:pPr>
      <w:r w:rsidRPr="00D20BE3">
        <w:rPr>
          <w:rFonts w:ascii="Times New Roman" w:hAnsi="Times New Roman" w:cs="Times New Roman"/>
          <w:sz w:val="24"/>
          <w:szCs w:val="24"/>
        </w:rPr>
        <w:t>Convenio Derivado No. 02 del Convenio Marco Interadministrativo No. 939 de 2023, celebrado entre la Agencia Nacional de Infraestructura y la Corporación Agencia Nacional de Gobierno Digital</w:t>
      </w:r>
      <w:r w:rsidR="002250F5" w:rsidRPr="00DC20A9">
        <w:rPr>
          <w:rFonts w:ascii="Times New Roman" w:hAnsi="Times New Roman" w:cs="Times New Roman"/>
          <w:sz w:val="24"/>
          <w:szCs w:val="24"/>
        </w:rPr>
        <w:t xml:space="preserve"> – </w:t>
      </w:r>
      <w:r w:rsidRPr="00D20BE3">
        <w:rPr>
          <w:rFonts w:ascii="Times New Roman" w:hAnsi="Times New Roman" w:cs="Times New Roman"/>
          <w:sz w:val="24"/>
          <w:szCs w:val="24"/>
        </w:rPr>
        <w:t>Numeración</w:t>
      </w:r>
      <w:r w:rsidR="002250F5" w:rsidRPr="00DC20A9">
        <w:rPr>
          <w:rFonts w:ascii="Times New Roman" w:hAnsi="Times New Roman" w:cs="Times New Roman"/>
          <w:sz w:val="24"/>
          <w:szCs w:val="24"/>
        </w:rPr>
        <w:t xml:space="preserve"> ANI CI-015-2023</w:t>
      </w:r>
      <w:r w:rsidR="002250F5">
        <w:rPr>
          <w:rFonts w:ascii="Times New Roman" w:hAnsi="Times New Roman" w:cs="Times New Roman"/>
          <w:sz w:val="24"/>
          <w:szCs w:val="24"/>
        </w:rPr>
        <w:t>.</w:t>
      </w:r>
    </w:p>
    <w:p w14:paraId="49FD9FDA" w14:textId="77777777" w:rsidR="002250F5" w:rsidRDefault="002250F5" w:rsidP="002250F5">
      <w:pPr>
        <w:jc w:val="both"/>
        <w:rPr>
          <w:rFonts w:ascii="Times New Roman" w:hAnsi="Times New Roman" w:cs="Times New Roman"/>
          <w:sz w:val="24"/>
          <w:szCs w:val="24"/>
        </w:rPr>
      </w:pPr>
      <w:r>
        <w:rPr>
          <w:rFonts w:ascii="Times New Roman" w:hAnsi="Times New Roman" w:cs="Times New Roman"/>
          <w:sz w:val="24"/>
          <w:szCs w:val="24"/>
        </w:rPr>
        <w:t>O</w:t>
      </w:r>
      <w:r w:rsidRPr="00DC20A9">
        <w:rPr>
          <w:rFonts w:ascii="Times New Roman" w:hAnsi="Times New Roman" w:cs="Times New Roman"/>
          <w:sz w:val="24"/>
          <w:szCs w:val="24"/>
        </w:rPr>
        <w:t xml:space="preserve">bjeto: aunar esfuerzos técnicos, administrativos, tecnológicos, operativos financieros y jurídicos entre la agencia nacional de infraestructura y la agencia nacional digital para el fortalecimiento integral de la capacidad de cómputo, seguridad de la información, almacenamiento, redes, virtualización y conexos de la infraestructura tecnológica, para para soportar los servicios y procesos ti de la agencia nacional de infraestructura en virtud del convenio marco 939 – 2023. Valor del convenio $22.036.988.010, con un aporte de la ANI </w:t>
      </w:r>
      <w:r w:rsidRPr="00DC20A9">
        <w:rPr>
          <w:rFonts w:ascii="Times New Roman" w:hAnsi="Times New Roman" w:cs="Times New Roman"/>
          <w:sz w:val="24"/>
          <w:szCs w:val="24"/>
        </w:rPr>
        <w:lastRenderedPageBreak/>
        <w:t xml:space="preserve">por $ 21.820.000.000 y por parte de la Agencia Nacional Digital se realizará un aporte en especie por un valor $ 216.988.010. </w:t>
      </w:r>
    </w:p>
    <w:p w14:paraId="21EA4DA8" w14:textId="77777777" w:rsidR="002250F5" w:rsidRDefault="002250F5" w:rsidP="002250F5">
      <w:pPr>
        <w:jc w:val="both"/>
        <w:rPr>
          <w:rFonts w:ascii="Times New Roman" w:hAnsi="Times New Roman" w:cs="Times New Roman"/>
          <w:sz w:val="24"/>
          <w:szCs w:val="24"/>
        </w:rPr>
      </w:pPr>
      <w:r w:rsidRPr="00D4523C">
        <w:rPr>
          <w:rFonts w:ascii="Times New Roman" w:hAnsi="Times New Roman" w:cs="Times New Roman"/>
          <w:sz w:val="24"/>
          <w:szCs w:val="24"/>
        </w:rPr>
        <w:t xml:space="preserve">Al 31 de marzo de 2026 el saldo pendiente por ejecutar correspondió a $4.455.334.900. </w:t>
      </w:r>
      <w:r>
        <w:rPr>
          <w:rFonts w:ascii="Times New Roman" w:hAnsi="Times New Roman" w:cs="Times New Roman"/>
          <w:sz w:val="24"/>
          <w:szCs w:val="24"/>
        </w:rPr>
        <w:t xml:space="preserve">no se </w:t>
      </w:r>
      <w:r w:rsidRPr="00D4523C">
        <w:rPr>
          <w:rFonts w:ascii="Times New Roman" w:hAnsi="Times New Roman" w:cs="Times New Roman"/>
          <w:sz w:val="24"/>
          <w:szCs w:val="24"/>
        </w:rPr>
        <w:t>reportó ejecución</w:t>
      </w:r>
      <w:r>
        <w:rPr>
          <w:rFonts w:ascii="Times New Roman" w:hAnsi="Times New Roman" w:cs="Times New Roman"/>
          <w:sz w:val="24"/>
          <w:szCs w:val="24"/>
        </w:rPr>
        <w:t>.</w:t>
      </w:r>
    </w:p>
    <w:p w14:paraId="30A781FA" w14:textId="77777777" w:rsidR="00B576A6" w:rsidRDefault="00B576A6" w:rsidP="002250F5">
      <w:pPr>
        <w:jc w:val="both"/>
        <w:rPr>
          <w:rFonts w:ascii="Times New Roman" w:hAnsi="Times New Roman" w:cs="Times New Roman"/>
          <w:sz w:val="24"/>
          <w:szCs w:val="24"/>
        </w:rPr>
      </w:pPr>
    </w:p>
    <w:p w14:paraId="0FFDE4A3" w14:textId="77777777" w:rsidR="00B576A6" w:rsidRPr="00DC20A9" w:rsidRDefault="00B576A6" w:rsidP="00B576A6">
      <w:pPr>
        <w:jc w:val="both"/>
        <w:rPr>
          <w:rFonts w:ascii="Times New Roman" w:hAnsi="Times New Roman" w:cs="Times New Roman"/>
          <w:sz w:val="24"/>
          <w:szCs w:val="24"/>
        </w:rPr>
      </w:pPr>
      <w:r w:rsidRPr="00547E47">
        <w:rPr>
          <w:rFonts w:ascii="Times New Roman" w:hAnsi="Times New Roman" w:cs="Times New Roman"/>
          <w:i/>
          <w:iCs/>
          <w:sz w:val="24"/>
          <w:szCs w:val="24"/>
        </w:rPr>
        <w:t>Departamento de Boyacá</w:t>
      </w:r>
      <w:r w:rsidRPr="00DC20A9">
        <w:rPr>
          <w:rFonts w:ascii="Times New Roman" w:hAnsi="Times New Roman" w:cs="Times New Roman"/>
          <w:sz w:val="24"/>
          <w:szCs w:val="24"/>
        </w:rPr>
        <w:t>:</w:t>
      </w:r>
    </w:p>
    <w:p w14:paraId="1A390D1F" w14:textId="77777777" w:rsidR="00B576A6" w:rsidRPr="00DC20A9" w:rsidRDefault="00B576A6" w:rsidP="00B576A6">
      <w:pPr>
        <w:jc w:val="both"/>
        <w:rPr>
          <w:rFonts w:ascii="Times New Roman" w:hAnsi="Times New Roman" w:cs="Times New Roman"/>
          <w:sz w:val="24"/>
          <w:szCs w:val="24"/>
        </w:rPr>
      </w:pPr>
    </w:p>
    <w:p w14:paraId="19B911D1" w14:textId="0A1BA238" w:rsidR="00B576A6" w:rsidRDefault="00D20BE3" w:rsidP="00B576A6">
      <w:pPr>
        <w:jc w:val="both"/>
        <w:rPr>
          <w:rFonts w:ascii="Times New Roman" w:hAnsi="Times New Roman" w:cs="Times New Roman"/>
          <w:sz w:val="24"/>
          <w:szCs w:val="24"/>
        </w:rPr>
      </w:pPr>
      <w:r>
        <w:rPr>
          <w:rFonts w:ascii="Times New Roman" w:hAnsi="Times New Roman" w:cs="Times New Roman"/>
          <w:sz w:val="24"/>
          <w:szCs w:val="24"/>
        </w:rPr>
        <w:t>Convenio Interadministrativo</w:t>
      </w:r>
      <w:r w:rsidR="00B576A6" w:rsidRPr="00DC20A9">
        <w:rPr>
          <w:rFonts w:ascii="Times New Roman" w:hAnsi="Times New Roman" w:cs="Times New Roman"/>
          <w:sz w:val="24"/>
          <w:szCs w:val="24"/>
        </w:rPr>
        <w:t xml:space="preserve"> </w:t>
      </w:r>
      <w:r>
        <w:rPr>
          <w:rFonts w:ascii="Times New Roman" w:hAnsi="Times New Roman" w:cs="Times New Roman"/>
          <w:sz w:val="24"/>
          <w:szCs w:val="24"/>
        </w:rPr>
        <w:t xml:space="preserve">Marco de </w:t>
      </w:r>
      <w:r w:rsidR="00B576A6" w:rsidRPr="00DC20A9">
        <w:rPr>
          <w:rFonts w:ascii="Times New Roman" w:hAnsi="Times New Roman" w:cs="Times New Roman"/>
          <w:sz w:val="24"/>
          <w:szCs w:val="24"/>
        </w:rPr>
        <w:t>C</w:t>
      </w:r>
      <w:r>
        <w:rPr>
          <w:rFonts w:ascii="Times New Roman" w:hAnsi="Times New Roman" w:cs="Times New Roman"/>
          <w:sz w:val="24"/>
          <w:szCs w:val="24"/>
        </w:rPr>
        <w:t>olaboración</w:t>
      </w:r>
      <w:r w:rsidR="00B576A6" w:rsidRPr="00DC20A9">
        <w:rPr>
          <w:rFonts w:ascii="Times New Roman" w:hAnsi="Times New Roman" w:cs="Times New Roman"/>
          <w:sz w:val="24"/>
          <w:szCs w:val="24"/>
        </w:rPr>
        <w:t xml:space="preserve"> No. 008 ANI – 001 de 2.015.</w:t>
      </w:r>
    </w:p>
    <w:p w14:paraId="6BED3133" w14:textId="77777777" w:rsidR="00B576A6" w:rsidRDefault="00B576A6" w:rsidP="00B576A6">
      <w:pPr>
        <w:jc w:val="both"/>
        <w:rPr>
          <w:rFonts w:ascii="Times New Roman" w:hAnsi="Times New Roman" w:cs="Times New Roman"/>
          <w:color w:val="EE0000"/>
          <w:sz w:val="24"/>
          <w:szCs w:val="24"/>
        </w:rPr>
      </w:pPr>
      <w:r w:rsidRPr="00DC20A9">
        <w:rPr>
          <w:rFonts w:ascii="Times New Roman" w:hAnsi="Times New Roman" w:cs="Times New Roman"/>
          <w:sz w:val="24"/>
          <w:szCs w:val="24"/>
        </w:rPr>
        <w:t>Objeto: Unión articulación y coordinación de esfuerzos humanos técnicos, tecnológicos y logísticos entre la Agencia Nacional de Infraestructura y el Departamento de Boyacá, para la construcción de obras en cumplimiento de la acción popular, Briceño Tunja Sogamoso intersección Patriotas y para el cumplimiento de la acción popular, Briceño Tunja Sogamoso- Glorieta de Tunja</w:t>
      </w:r>
      <w:r>
        <w:rPr>
          <w:rFonts w:ascii="Times New Roman" w:hAnsi="Times New Roman" w:cs="Times New Roman"/>
          <w:sz w:val="24"/>
          <w:szCs w:val="24"/>
        </w:rPr>
        <w:t>.</w:t>
      </w:r>
    </w:p>
    <w:p w14:paraId="05856D2A" w14:textId="77777777" w:rsidR="00B576A6" w:rsidRDefault="00B576A6" w:rsidP="00B576A6">
      <w:pPr>
        <w:jc w:val="both"/>
        <w:rPr>
          <w:rFonts w:ascii="Times New Roman" w:hAnsi="Times New Roman" w:cs="Times New Roman"/>
          <w:color w:val="EE0000"/>
          <w:sz w:val="24"/>
          <w:szCs w:val="24"/>
        </w:rPr>
      </w:pPr>
    </w:p>
    <w:p w14:paraId="6AB98CA4" w14:textId="77777777" w:rsidR="00B576A6" w:rsidRPr="00DC20A9" w:rsidRDefault="00B576A6" w:rsidP="00B576A6">
      <w:pPr>
        <w:jc w:val="both"/>
        <w:rPr>
          <w:rFonts w:ascii="Times New Roman" w:hAnsi="Times New Roman" w:cs="Times New Roman"/>
          <w:sz w:val="24"/>
          <w:szCs w:val="24"/>
        </w:rPr>
      </w:pPr>
      <w:r w:rsidRPr="00D4523C">
        <w:rPr>
          <w:rFonts w:ascii="Times New Roman" w:hAnsi="Times New Roman" w:cs="Times New Roman"/>
          <w:sz w:val="24"/>
          <w:szCs w:val="24"/>
        </w:rPr>
        <w:t>El saldo pendiente por ejecutar al 31 de marzo de 2026 asciende a</w:t>
      </w:r>
      <w:r w:rsidRPr="00DC20A9">
        <w:rPr>
          <w:rFonts w:ascii="Times New Roman" w:hAnsi="Times New Roman" w:cs="Times New Roman"/>
          <w:sz w:val="24"/>
          <w:szCs w:val="24"/>
        </w:rPr>
        <w:t xml:space="preserve"> $2.323.620.615</w:t>
      </w:r>
      <w:r>
        <w:rPr>
          <w:rFonts w:ascii="Times New Roman" w:hAnsi="Times New Roman" w:cs="Times New Roman"/>
          <w:sz w:val="24"/>
          <w:szCs w:val="24"/>
        </w:rPr>
        <w:t>, no se reportó ejecución</w:t>
      </w:r>
    </w:p>
    <w:p w14:paraId="6B556C1B" w14:textId="77777777" w:rsidR="00B576A6" w:rsidRPr="00DC20A9" w:rsidRDefault="00B576A6" w:rsidP="00B576A6">
      <w:pPr>
        <w:jc w:val="both"/>
        <w:rPr>
          <w:rFonts w:ascii="Times New Roman" w:hAnsi="Times New Roman" w:cs="Times New Roman"/>
          <w:sz w:val="24"/>
          <w:szCs w:val="24"/>
        </w:rPr>
      </w:pPr>
    </w:p>
    <w:p w14:paraId="513B99ED" w14:textId="77777777" w:rsidR="00522577" w:rsidRDefault="00D20BE3" w:rsidP="00B576A6">
      <w:pPr>
        <w:jc w:val="both"/>
        <w:rPr>
          <w:rFonts w:ascii="Times New Roman" w:hAnsi="Times New Roman" w:cs="Times New Roman"/>
          <w:sz w:val="24"/>
          <w:szCs w:val="24"/>
        </w:rPr>
      </w:pPr>
      <w:r>
        <w:rPr>
          <w:rFonts w:ascii="Times New Roman" w:hAnsi="Times New Roman" w:cs="Times New Roman"/>
          <w:sz w:val="24"/>
          <w:szCs w:val="24"/>
        </w:rPr>
        <w:t>Convenio Interadministrativo</w:t>
      </w:r>
      <w:r w:rsidR="00B576A6" w:rsidRPr="00DC20A9">
        <w:rPr>
          <w:rFonts w:ascii="Times New Roman" w:hAnsi="Times New Roman" w:cs="Times New Roman"/>
          <w:sz w:val="24"/>
          <w:szCs w:val="24"/>
        </w:rPr>
        <w:t xml:space="preserve"> </w:t>
      </w:r>
      <w:r>
        <w:rPr>
          <w:rFonts w:ascii="Times New Roman" w:hAnsi="Times New Roman" w:cs="Times New Roman"/>
          <w:sz w:val="24"/>
          <w:szCs w:val="24"/>
        </w:rPr>
        <w:t>Específico</w:t>
      </w:r>
      <w:r w:rsidR="00B576A6" w:rsidRPr="00DC20A9">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DC20A9">
        <w:rPr>
          <w:rFonts w:ascii="Times New Roman" w:hAnsi="Times New Roman" w:cs="Times New Roman"/>
          <w:sz w:val="24"/>
          <w:szCs w:val="24"/>
        </w:rPr>
        <w:t>C</w:t>
      </w:r>
      <w:r>
        <w:rPr>
          <w:rFonts w:ascii="Times New Roman" w:hAnsi="Times New Roman" w:cs="Times New Roman"/>
          <w:sz w:val="24"/>
          <w:szCs w:val="24"/>
        </w:rPr>
        <w:t>olaboración</w:t>
      </w:r>
      <w:r w:rsidRPr="00DC20A9">
        <w:rPr>
          <w:rFonts w:ascii="Times New Roman" w:hAnsi="Times New Roman" w:cs="Times New Roman"/>
          <w:sz w:val="24"/>
          <w:szCs w:val="24"/>
        </w:rPr>
        <w:t xml:space="preserve"> </w:t>
      </w:r>
      <w:r w:rsidR="00B576A6" w:rsidRPr="00DC20A9">
        <w:rPr>
          <w:rFonts w:ascii="Times New Roman" w:hAnsi="Times New Roman" w:cs="Times New Roman"/>
          <w:sz w:val="24"/>
          <w:szCs w:val="24"/>
        </w:rPr>
        <w:t xml:space="preserve">No. 001 de 2016. </w:t>
      </w:r>
    </w:p>
    <w:p w14:paraId="472143AA" w14:textId="1F105939" w:rsidR="00B576A6" w:rsidRDefault="00B576A6" w:rsidP="00B576A6">
      <w:pPr>
        <w:jc w:val="both"/>
        <w:rPr>
          <w:rFonts w:ascii="Times New Roman" w:hAnsi="Times New Roman" w:cs="Times New Roman"/>
          <w:sz w:val="24"/>
          <w:szCs w:val="24"/>
        </w:rPr>
      </w:pPr>
      <w:r w:rsidRPr="00DC20A9">
        <w:rPr>
          <w:rFonts w:ascii="Times New Roman" w:hAnsi="Times New Roman" w:cs="Times New Roman"/>
          <w:sz w:val="24"/>
          <w:szCs w:val="24"/>
        </w:rPr>
        <w:t xml:space="preserve"> </w:t>
      </w:r>
    </w:p>
    <w:p w14:paraId="622DB456" w14:textId="77777777" w:rsidR="00B576A6" w:rsidRPr="00DC20A9" w:rsidRDefault="00B576A6" w:rsidP="00B576A6">
      <w:pPr>
        <w:jc w:val="both"/>
        <w:rPr>
          <w:rFonts w:ascii="Times New Roman" w:hAnsi="Times New Roman" w:cs="Times New Roman"/>
          <w:sz w:val="24"/>
          <w:szCs w:val="24"/>
        </w:rPr>
      </w:pPr>
      <w:r w:rsidRPr="00DC20A9">
        <w:rPr>
          <w:rFonts w:ascii="Times New Roman" w:hAnsi="Times New Roman" w:cs="Times New Roman"/>
          <w:sz w:val="24"/>
          <w:szCs w:val="24"/>
        </w:rPr>
        <w:t>Objeto: Unión, articulación y coordinación de esfuerzos humanos, técnicos tecnológicos y logísticos, entre la Agencia Nacional de Infraestructura y el Departamento de Boyacá para realizar la adquisición predial en cumplimiento de la acción popular, Briceño Tunja, Sogamoso Intersección patriotas.</w:t>
      </w:r>
    </w:p>
    <w:p w14:paraId="0E6C3072" w14:textId="77777777" w:rsidR="00B576A6" w:rsidRPr="00DC20A9" w:rsidRDefault="00B576A6" w:rsidP="00B576A6">
      <w:pPr>
        <w:jc w:val="both"/>
        <w:rPr>
          <w:rFonts w:ascii="Times New Roman" w:hAnsi="Times New Roman" w:cs="Times New Roman"/>
          <w:sz w:val="24"/>
          <w:szCs w:val="24"/>
        </w:rPr>
      </w:pPr>
      <w:r w:rsidRPr="00FE6C34">
        <w:rPr>
          <w:rFonts w:ascii="Times New Roman" w:hAnsi="Times New Roman" w:cs="Times New Roman"/>
          <w:sz w:val="24"/>
          <w:szCs w:val="24"/>
        </w:rPr>
        <w:t>El saldo pendiente por ejecutar al 31 de marzo de 2026 asciende a</w:t>
      </w:r>
      <w:r>
        <w:rPr>
          <w:rFonts w:ascii="Times New Roman" w:hAnsi="Times New Roman" w:cs="Times New Roman"/>
          <w:sz w:val="24"/>
          <w:szCs w:val="24"/>
        </w:rPr>
        <w:t xml:space="preserve"> </w:t>
      </w:r>
      <w:r w:rsidRPr="00DC20A9">
        <w:rPr>
          <w:rFonts w:ascii="Times New Roman" w:hAnsi="Times New Roman" w:cs="Times New Roman"/>
          <w:sz w:val="24"/>
          <w:szCs w:val="24"/>
        </w:rPr>
        <w:t>$968.488.277</w:t>
      </w:r>
      <w:r>
        <w:rPr>
          <w:rFonts w:ascii="Times New Roman" w:hAnsi="Times New Roman" w:cs="Times New Roman"/>
          <w:sz w:val="24"/>
          <w:szCs w:val="24"/>
        </w:rPr>
        <w:t>, no se reportó ejecución.</w:t>
      </w:r>
      <w:r w:rsidRPr="00DC20A9">
        <w:rPr>
          <w:rFonts w:ascii="Times New Roman" w:hAnsi="Times New Roman" w:cs="Times New Roman"/>
          <w:sz w:val="24"/>
          <w:szCs w:val="24"/>
        </w:rPr>
        <w:t xml:space="preserve">  </w:t>
      </w:r>
    </w:p>
    <w:p w14:paraId="678B39C9" w14:textId="77777777" w:rsidR="00B576A6" w:rsidRPr="00DC20A9" w:rsidRDefault="00B576A6" w:rsidP="00B576A6">
      <w:pPr>
        <w:jc w:val="both"/>
        <w:rPr>
          <w:rFonts w:ascii="Times New Roman" w:hAnsi="Times New Roman" w:cs="Times New Roman"/>
          <w:sz w:val="24"/>
          <w:szCs w:val="24"/>
        </w:rPr>
      </w:pPr>
      <w:r w:rsidRPr="00FE6C34">
        <w:rPr>
          <w:rFonts w:ascii="Times New Roman" w:hAnsi="Times New Roman" w:cs="Times New Roman"/>
          <w:sz w:val="24"/>
          <w:szCs w:val="24"/>
        </w:rPr>
        <w:t>Se informa que los dos convenios vigentes con el Departamento de Boyacá generan operaciones recíprocas, las cuales fueron conciliadas trimestralmente y reportadas en el</w:t>
      </w:r>
      <w:r>
        <w:rPr>
          <w:rFonts w:ascii="Times New Roman" w:hAnsi="Times New Roman" w:cs="Times New Roman"/>
          <w:sz w:val="24"/>
          <w:szCs w:val="24"/>
        </w:rPr>
        <w:t xml:space="preserve"> sistema </w:t>
      </w:r>
      <w:r w:rsidRPr="00DC20A9">
        <w:rPr>
          <w:rFonts w:ascii="Times New Roman" w:hAnsi="Times New Roman" w:cs="Times New Roman"/>
          <w:sz w:val="24"/>
          <w:szCs w:val="24"/>
        </w:rPr>
        <w:t>CHIP en la</w:t>
      </w:r>
      <w:r>
        <w:rPr>
          <w:rFonts w:ascii="Times New Roman" w:hAnsi="Times New Roman" w:cs="Times New Roman"/>
          <w:sz w:val="24"/>
          <w:szCs w:val="24"/>
        </w:rPr>
        <w:t>s</w:t>
      </w:r>
      <w:r w:rsidRPr="00DC20A9">
        <w:rPr>
          <w:rFonts w:ascii="Times New Roman" w:hAnsi="Times New Roman" w:cs="Times New Roman"/>
          <w:sz w:val="24"/>
          <w:szCs w:val="24"/>
        </w:rPr>
        <w:t xml:space="preserve"> cuenta</w:t>
      </w:r>
      <w:r>
        <w:rPr>
          <w:rFonts w:ascii="Times New Roman" w:hAnsi="Times New Roman" w:cs="Times New Roman"/>
          <w:sz w:val="24"/>
          <w:szCs w:val="24"/>
        </w:rPr>
        <w:t>s</w:t>
      </w:r>
      <w:r w:rsidRPr="00DC20A9">
        <w:rPr>
          <w:rFonts w:ascii="Times New Roman" w:hAnsi="Times New Roman" w:cs="Times New Roman"/>
          <w:sz w:val="24"/>
          <w:szCs w:val="24"/>
        </w:rPr>
        <w:t xml:space="preserve"> contable</w:t>
      </w:r>
      <w:r>
        <w:rPr>
          <w:rFonts w:ascii="Times New Roman" w:hAnsi="Times New Roman" w:cs="Times New Roman"/>
          <w:sz w:val="24"/>
          <w:szCs w:val="24"/>
        </w:rPr>
        <w:t>s</w:t>
      </w:r>
      <w:r w:rsidRPr="00DC20A9">
        <w:rPr>
          <w:rFonts w:ascii="Times New Roman" w:hAnsi="Times New Roman" w:cs="Times New Roman"/>
          <w:sz w:val="24"/>
          <w:szCs w:val="24"/>
        </w:rPr>
        <w:t xml:space="preserve"> correlativa</w:t>
      </w:r>
      <w:r>
        <w:rPr>
          <w:rFonts w:ascii="Times New Roman" w:hAnsi="Times New Roman" w:cs="Times New Roman"/>
          <w:sz w:val="24"/>
          <w:szCs w:val="24"/>
        </w:rPr>
        <w:t>s</w:t>
      </w:r>
      <w:r w:rsidRPr="00DC20A9">
        <w:rPr>
          <w:rFonts w:ascii="Times New Roman" w:hAnsi="Times New Roman" w:cs="Times New Roman"/>
          <w:sz w:val="24"/>
          <w:szCs w:val="24"/>
        </w:rPr>
        <w:t xml:space="preserve">, en atención a lo estipulado en la Resolución CGN No. 090 de 2020. </w:t>
      </w:r>
    </w:p>
    <w:p w14:paraId="0EAFF95C" w14:textId="77777777" w:rsidR="00B576A6" w:rsidRDefault="00B576A6" w:rsidP="002250F5">
      <w:pPr>
        <w:jc w:val="both"/>
        <w:rPr>
          <w:rFonts w:ascii="Times New Roman" w:hAnsi="Times New Roman" w:cs="Times New Roman"/>
          <w:sz w:val="24"/>
          <w:szCs w:val="24"/>
        </w:rPr>
      </w:pPr>
    </w:p>
    <w:p w14:paraId="45D8F4BF" w14:textId="77777777" w:rsidR="00797288" w:rsidRPr="00797288" w:rsidRDefault="00797288" w:rsidP="00797288">
      <w:pPr>
        <w:jc w:val="both"/>
        <w:rPr>
          <w:rFonts w:ascii="Times New Roman" w:hAnsi="Times New Roman" w:cs="Times New Roman"/>
          <w:i/>
          <w:iCs/>
          <w:sz w:val="24"/>
          <w:szCs w:val="24"/>
        </w:rPr>
      </w:pPr>
      <w:r w:rsidRPr="00797288">
        <w:rPr>
          <w:rFonts w:ascii="Times New Roman" w:hAnsi="Times New Roman" w:cs="Times New Roman"/>
          <w:i/>
          <w:iCs/>
          <w:sz w:val="24"/>
          <w:szCs w:val="24"/>
        </w:rPr>
        <w:t>Instituto Colombiano de Crédito Educativo y Estudios Técnicos en el Exterior Mariano Ospina Perez ICETEX</w:t>
      </w:r>
    </w:p>
    <w:p w14:paraId="32D41202" w14:textId="77777777" w:rsidR="00797288" w:rsidRPr="00797288" w:rsidRDefault="00797288" w:rsidP="00797288">
      <w:pPr>
        <w:jc w:val="both"/>
        <w:rPr>
          <w:rFonts w:ascii="Times New Roman" w:hAnsi="Times New Roman" w:cs="Times New Roman"/>
          <w:sz w:val="24"/>
          <w:szCs w:val="24"/>
        </w:rPr>
      </w:pPr>
      <w:r w:rsidRPr="00797288">
        <w:rPr>
          <w:rFonts w:ascii="Times New Roman" w:hAnsi="Times New Roman" w:cs="Times New Roman"/>
          <w:sz w:val="24"/>
          <w:szCs w:val="24"/>
        </w:rPr>
        <w:t xml:space="preserve">Contrato Interadministrativo No. VGCOR-826-2025 </w:t>
      </w:r>
    </w:p>
    <w:p w14:paraId="2D47EB7B" w14:textId="4B932261" w:rsidR="00797288" w:rsidRPr="00797288" w:rsidRDefault="00797288" w:rsidP="00797288">
      <w:pPr>
        <w:jc w:val="both"/>
        <w:rPr>
          <w:rFonts w:ascii="Times New Roman" w:hAnsi="Times New Roman" w:cs="Times New Roman"/>
          <w:sz w:val="24"/>
          <w:szCs w:val="24"/>
        </w:rPr>
      </w:pPr>
      <w:r>
        <w:rPr>
          <w:rFonts w:ascii="Times New Roman" w:hAnsi="Times New Roman" w:cs="Times New Roman"/>
          <w:sz w:val="24"/>
          <w:szCs w:val="24"/>
        </w:rPr>
        <w:lastRenderedPageBreak/>
        <w:t>O</w:t>
      </w:r>
      <w:r w:rsidRPr="00797288">
        <w:rPr>
          <w:rFonts w:ascii="Times New Roman" w:hAnsi="Times New Roman" w:cs="Times New Roman"/>
          <w:sz w:val="24"/>
          <w:szCs w:val="24"/>
        </w:rPr>
        <w:t>bjeto: Constituir y regular un Fondo en Administración denominado "FONDO AGENCIA NACIONAL DE INFRAESTRUCTURA", con los recursos girados por la Agencia Nacional de Infraestructura como Constituyente - mandante al ICETEX, quien actuará como administrador – mandatario.  Los recursos del fondo en administración estarán destinados a otorgar subsidios, para apoyar el pago de la matrícula de empleados de la ANI que estén admitidos o estudiando programas en el nivel académico de pregrado o posgrado, relacionados con la misionalidad de la Agencia, que podrán ser cursados en modalidad presencial, a distancia, virtual, dual u otros desarrollos que combinen e integren las anteriores modalidades, en Instituciones de Educación Superior en Colombia de carácter público o privado reconocidas por el Ministerio de Educación Nacional, de acuerdo con los requisitos que señale el Reglamento Operativo del Fondo.</w:t>
      </w:r>
      <w:r>
        <w:rPr>
          <w:rFonts w:ascii="Times New Roman" w:hAnsi="Times New Roman" w:cs="Times New Roman"/>
          <w:sz w:val="24"/>
          <w:szCs w:val="24"/>
        </w:rPr>
        <w:t xml:space="preserve"> Valor $</w:t>
      </w:r>
      <w:r w:rsidRPr="00797288">
        <w:rPr>
          <w:rFonts w:ascii="Times New Roman" w:hAnsi="Times New Roman" w:cs="Times New Roman"/>
          <w:sz w:val="24"/>
          <w:szCs w:val="24"/>
        </w:rPr>
        <w:t>250.000.000</w:t>
      </w:r>
    </w:p>
    <w:p w14:paraId="6A5CE32F" w14:textId="7A06232F" w:rsidR="00DC20A9" w:rsidRDefault="00797288" w:rsidP="00797288">
      <w:pPr>
        <w:jc w:val="both"/>
        <w:rPr>
          <w:rFonts w:ascii="Times New Roman" w:hAnsi="Times New Roman" w:cs="Times New Roman"/>
          <w:sz w:val="24"/>
          <w:szCs w:val="24"/>
        </w:rPr>
      </w:pPr>
      <w:r w:rsidRPr="00797288">
        <w:rPr>
          <w:rFonts w:ascii="Times New Roman" w:hAnsi="Times New Roman" w:cs="Times New Roman"/>
          <w:sz w:val="24"/>
          <w:szCs w:val="24"/>
        </w:rPr>
        <w:t xml:space="preserve">A 31 de </w:t>
      </w:r>
      <w:r>
        <w:rPr>
          <w:rFonts w:ascii="Times New Roman" w:hAnsi="Times New Roman" w:cs="Times New Roman"/>
          <w:sz w:val="24"/>
          <w:szCs w:val="24"/>
        </w:rPr>
        <w:t>marzo de 2026,</w:t>
      </w:r>
      <w:r w:rsidRPr="00797288">
        <w:rPr>
          <w:rFonts w:ascii="Times New Roman" w:hAnsi="Times New Roman" w:cs="Times New Roman"/>
          <w:sz w:val="24"/>
          <w:szCs w:val="24"/>
        </w:rPr>
        <w:t xml:space="preserve"> no presentó ejecución.</w:t>
      </w:r>
    </w:p>
    <w:p w14:paraId="64BED54A" w14:textId="77777777" w:rsidR="00DC20A9" w:rsidRPr="00887C8A" w:rsidRDefault="00DC20A9" w:rsidP="004D4E4F">
      <w:pPr>
        <w:jc w:val="both"/>
        <w:rPr>
          <w:rFonts w:ascii="Times New Roman" w:hAnsi="Times New Roman" w:cs="Times New Roman"/>
          <w:sz w:val="24"/>
          <w:szCs w:val="24"/>
        </w:rPr>
      </w:pPr>
    </w:p>
    <w:p w14:paraId="3A8E9BF8" w14:textId="35A1FEB5" w:rsidR="00887C8A" w:rsidRPr="00F77CDB" w:rsidRDefault="00887C8A" w:rsidP="004D4E4F">
      <w:pPr>
        <w:jc w:val="both"/>
        <w:rPr>
          <w:rFonts w:ascii="Times New Roman" w:hAnsi="Times New Roman" w:cs="Times New Roman"/>
          <w:i/>
          <w:iCs/>
          <w:sz w:val="24"/>
          <w:szCs w:val="24"/>
          <w:u w:val="single"/>
        </w:rPr>
      </w:pPr>
      <w:r w:rsidRPr="00F77CDB">
        <w:rPr>
          <w:rFonts w:ascii="Times New Roman" w:hAnsi="Times New Roman" w:cs="Times New Roman"/>
          <w:i/>
          <w:iCs/>
          <w:sz w:val="24"/>
          <w:szCs w:val="24"/>
          <w:u w:val="single"/>
        </w:rPr>
        <w:t>Fondo contingencias - sentencias y conciliaciones</w:t>
      </w:r>
    </w:p>
    <w:p w14:paraId="2C43C1FB" w14:textId="77777777" w:rsidR="00887C8A" w:rsidRPr="00887C8A" w:rsidRDefault="00887C8A" w:rsidP="004D4E4F">
      <w:pPr>
        <w:jc w:val="both"/>
        <w:rPr>
          <w:rFonts w:ascii="Times New Roman" w:hAnsi="Times New Roman" w:cs="Times New Roman"/>
          <w:sz w:val="24"/>
          <w:szCs w:val="24"/>
        </w:rPr>
      </w:pPr>
    </w:p>
    <w:p w14:paraId="6B89664C" w14:textId="77777777" w:rsidR="00887C8A" w:rsidRPr="00887C8A" w:rsidRDefault="00887C8A" w:rsidP="004D4E4F">
      <w:pPr>
        <w:spacing w:after="0" w:line="240" w:lineRule="auto"/>
        <w:jc w:val="both"/>
        <w:rPr>
          <w:rFonts w:ascii="Times New Roman" w:hAnsi="Times New Roman" w:cs="Times New Roman"/>
          <w:sz w:val="24"/>
          <w:szCs w:val="24"/>
        </w:rPr>
      </w:pPr>
      <w:r w:rsidRPr="00887C8A">
        <w:rPr>
          <w:rFonts w:ascii="Times New Roman" w:hAnsi="Times New Roman" w:cs="Times New Roman"/>
          <w:sz w:val="24"/>
          <w:szCs w:val="24"/>
        </w:rPr>
        <w:t>Ministerio de Hacienda y Crédito Público</w:t>
      </w:r>
    </w:p>
    <w:p w14:paraId="112651BF" w14:textId="77777777" w:rsidR="00887C8A" w:rsidRPr="00887C8A" w:rsidRDefault="00887C8A" w:rsidP="004D4E4F">
      <w:pPr>
        <w:spacing w:after="0" w:line="240" w:lineRule="auto"/>
        <w:jc w:val="both"/>
        <w:rPr>
          <w:rFonts w:ascii="Times New Roman" w:hAnsi="Times New Roman" w:cs="Times New Roman"/>
          <w:sz w:val="24"/>
          <w:szCs w:val="24"/>
          <w:u w:val="single"/>
        </w:rPr>
      </w:pPr>
    </w:p>
    <w:p w14:paraId="061AC1AA" w14:textId="3005E493" w:rsidR="00887C8A" w:rsidRPr="00A234DF" w:rsidRDefault="00887C8A" w:rsidP="004D4E4F">
      <w:pPr>
        <w:spacing w:after="0" w:line="240" w:lineRule="auto"/>
        <w:jc w:val="both"/>
        <w:rPr>
          <w:rFonts w:ascii="Times New Roman" w:eastAsia="Times New Roman" w:hAnsi="Times New Roman" w:cs="Times New Roman"/>
          <w:sz w:val="24"/>
          <w:szCs w:val="24"/>
        </w:rPr>
      </w:pPr>
      <w:r w:rsidRPr="00A234DF">
        <w:rPr>
          <w:rFonts w:ascii="Times New Roman" w:hAnsi="Times New Roman"/>
          <w:sz w:val="24"/>
          <w:szCs w:val="24"/>
        </w:rPr>
        <w:t>El sald</w:t>
      </w:r>
      <w:r>
        <w:rPr>
          <w:rFonts w:ascii="Times New Roman" w:hAnsi="Times New Roman"/>
          <w:sz w:val="24"/>
          <w:szCs w:val="24"/>
        </w:rPr>
        <w:t>o de $</w:t>
      </w:r>
      <w:r w:rsidR="00457DD8" w:rsidRPr="00457DD8">
        <w:rPr>
          <w:rFonts w:ascii="Times New Roman" w:hAnsi="Times New Roman"/>
          <w:sz w:val="24"/>
          <w:szCs w:val="24"/>
        </w:rPr>
        <w:t>27.118.380.598</w:t>
      </w:r>
      <w:r>
        <w:rPr>
          <w:rFonts w:ascii="Times New Roman" w:hAnsi="Times New Roman"/>
          <w:sz w:val="24"/>
          <w:szCs w:val="24"/>
        </w:rPr>
        <w:t xml:space="preserve">, corresponde a los </w:t>
      </w:r>
      <w:r>
        <w:rPr>
          <w:rFonts w:ascii="Times New Roman" w:eastAsia="Times New Roman" w:hAnsi="Times New Roman" w:cs="Times New Roman"/>
          <w:sz w:val="24"/>
          <w:szCs w:val="24"/>
        </w:rPr>
        <w:t>r</w:t>
      </w:r>
      <w:r w:rsidRPr="39842B92">
        <w:rPr>
          <w:rFonts w:ascii="Times New Roman" w:eastAsia="Times New Roman" w:hAnsi="Times New Roman" w:cs="Times New Roman"/>
          <w:sz w:val="24"/>
          <w:szCs w:val="24"/>
        </w:rPr>
        <w:t xml:space="preserve">endimientos generados </w:t>
      </w:r>
      <w:r w:rsidR="00071400">
        <w:rPr>
          <w:rFonts w:ascii="Times New Roman" w:eastAsia="Times New Roman" w:hAnsi="Times New Roman" w:cs="Times New Roman"/>
          <w:sz w:val="24"/>
          <w:szCs w:val="24"/>
        </w:rPr>
        <w:t xml:space="preserve">sobre recursos </w:t>
      </w:r>
      <w:r w:rsidRPr="39842B92">
        <w:rPr>
          <w:rFonts w:ascii="Times New Roman" w:eastAsia="Times New Roman" w:hAnsi="Times New Roman" w:cs="Times New Roman"/>
          <w:sz w:val="24"/>
          <w:szCs w:val="24"/>
        </w:rPr>
        <w:t xml:space="preserve">aportados al </w:t>
      </w:r>
      <w:r w:rsidR="005C1C24">
        <w:rPr>
          <w:rFonts w:ascii="Times New Roman" w:eastAsia="Times New Roman" w:hAnsi="Times New Roman" w:cs="Times New Roman"/>
          <w:sz w:val="24"/>
          <w:szCs w:val="24"/>
        </w:rPr>
        <w:t>F</w:t>
      </w:r>
      <w:r w:rsidRPr="39842B92">
        <w:rPr>
          <w:rFonts w:ascii="Times New Roman" w:eastAsia="Times New Roman" w:hAnsi="Times New Roman" w:cs="Times New Roman"/>
          <w:sz w:val="24"/>
          <w:szCs w:val="24"/>
        </w:rPr>
        <w:t xml:space="preserve">ondo de </w:t>
      </w:r>
      <w:r w:rsidR="005C1C24">
        <w:rPr>
          <w:rFonts w:ascii="Times New Roman" w:eastAsia="Times New Roman" w:hAnsi="Times New Roman" w:cs="Times New Roman"/>
          <w:sz w:val="24"/>
          <w:szCs w:val="24"/>
        </w:rPr>
        <w:t>C</w:t>
      </w:r>
      <w:r w:rsidRPr="39842B92">
        <w:rPr>
          <w:rFonts w:ascii="Times New Roman" w:eastAsia="Times New Roman" w:hAnsi="Times New Roman" w:cs="Times New Roman"/>
          <w:sz w:val="24"/>
          <w:szCs w:val="24"/>
        </w:rPr>
        <w:t>ontingencia</w:t>
      </w:r>
      <w:r w:rsidR="005C1C24">
        <w:rPr>
          <w:rFonts w:ascii="Times New Roman" w:eastAsia="Times New Roman" w:hAnsi="Times New Roman" w:cs="Times New Roman"/>
          <w:sz w:val="24"/>
          <w:szCs w:val="24"/>
        </w:rPr>
        <w:t>s</w:t>
      </w:r>
      <w:r w:rsidRPr="39842B92">
        <w:rPr>
          <w:rFonts w:ascii="Times New Roman" w:eastAsia="Times New Roman" w:hAnsi="Times New Roman" w:cs="Times New Roman"/>
          <w:sz w:val="24"/>
          <w:szCs w:val="24"/>
        </w:rPr>
        <w:t xml:space="preserve"> en el rubro de Sentencias y Conciliaciones, de acuerdo con la "</w:t>
      </w:r>
      <w:r w:rsidRPr="39842B92">
        <w:rPr>
          <w:rFonts w:ascii="Times New Roman" w:eastAsia="Times New Roman" w:hAnsi="Times New Roman" w:cs="Times New Roman"/>
          <w:i/>
          <w:iCs/>
          <w:sz w:val="24"/>
          <w:szCs w:val="24"/>
        </w:rPr>
        <w:t>Actualización del procedimiento contable para el registro de los procesos judiciales, arbitrajes, conciliaciones extrajudiciales y embargos sobre cuentas bancarias en el sistema integrado de información financiera (SIIF)"</w:t>
      </w:r>
      <w:r>
        <w:rPr>
          <w:rFonts w:ascii="Times New Roman" w:eastAsia="Times New Roman" w:hAnsi="Times New Roman" w:cs="Times New Roman"/>
          <w:sz w:val="24"/>
          <w:szCs w:val="24"/>
        </w:rPr>
        <w:t>.</w:t>
      </w:r>
    </w:p>
    <w:p w14:paraId="346A7B23" w14:textId="77777777" w:rsidR="00887C8A" w:rsidRPr="00F474BB" w:rsidRDefault="00887C8A" w:rsidP="00134D50"/>
    <w:p w14:paraId="026F5B05" w14:textId="77777777" w:rsidR="003924EC" w:rsidRDefault="003924EC" w:rsidP="003924EC">
      <w:pPr>
        <w:autoSpaceDE w:val="0"/>
        <w:autoSpaceDN w:val="0"/>
        <w:adjustRightInd w:val="0"/>
        <w:spacing w:after="0" w:line="240" w:lineRule="auto"/>
        <w:rPr>
          <w:rFonts w:ascii="Times New Roman" w:hAnsi="Times New Roman" w:cs="Times New Roman"/>
          <w:kern w:val="0"/>
          <w:sz w:val="24"/>
          <w:szCs w:val="24"/>
        </w:rPr>
      </w:pPr>
    </w:p>
    <w:p w14:paraId="2A647284" w14:textId="77777777" w:rsidR="006C2860" w:rsidRDefault="006C2860" w:rsidP="006A487B">
      <w:pPr>
        <w:spacing w:after="0" w:line="240" w:lineRule="auto"/>
        <w:jc w:val="both"/>
        <w:rPr>
          <w:rFonts w:ascii="Times New Roman" w:hAnsi="Times New Roman" w:cs="Times New Roman"/>
          <w:sz w:val="24"/>
          <w:szCs w:val="24"/>
        </w:rPr>
      </w:pPr>
    </w:p>
    <w:p w14:paraId="34953775" w14:textId="0B348CB9" w:rsidR="00DF1712" w:rsidRPr="00AD55B4" w:rsidRDefault="00E40A74" w:rsidP="00C9079F">
      <w:pPr>
        <w:pStyle w:val="Ttulo3"/>
        <w:rPr>
          <w:rFonts w:ascii="Times New Roman" w:hAnsi="Times New Roman" w:cs="Times New Roman"/>
          <w:b/>
          <w:bCs/>
          <w:sz w:val="24"/>
        </w:rPr>
      </w:pPr>
      <w:bookmarkStart w:id="16" w:name="_Toc230185821"/>
      <w:r w:rsidRPr="00AD55B4">
        <w:rPr>
          <w:rFonts w:ascii="Times New Roman" w:hAnsi="Times New Roman" w:cs="Times New Roman"/>
          <w:b/>
          <w:bCs/>
          <w:sz w:val="24"/>
        </w:rPr>
        <w:t xml:space="preserve">Nota </w:t>
      </w:r>
      <w:r w:rsidR="000E6B93" w:rsidRPr="00AD55B4">
        <w:rPr>
          <w:rFonts w:ascii="Times New Roman" w:hAnsi="Times New Roman" w:cs="Times New Roman"/>
          <w:b/>
          <w:bCs/>
          <w:sz w:val="24"/>
        </w:rPr>
        <w:t>2.</w:t>
      </w:r>
      <w:r w:rsidR="007A49D9">
        <w:rPr>
          <w:rFonts w:ascii="Times New Roman" w:hAnsi="Times New Roman" w:cs="Times New Roman"/>
          <w:b/>
          <w:bCs/>
          <w:sz w:val="24"/>
        </w:rPr>
        <w:t xml:space="preserve"> </w:t>
      </w:r>
      <w:r w:rsidR="00DF1712" w:rsidRPr="00AD55B4">
        <w:rPr>
          <w:rFonts w:ascii="Times New Roman" w:hAnsi="Times New Roman" w:cs="Times New Roman"/>
          <w:b/>
          <w:bCs/>
          <w:sz w:val="24"/>
        </w:rPr>
        <w:t>PASIVOS</w:t>
      </w:r>
      <w:bookmarkStart w:id="17" w:name="_Toc28337432"/>
      <w:bookmarkEnd w:id="16"/>
    </w:p>
    <w:p w14:paraId="11285C60" w14:textId="77777777" w:rsidR="00C9079F" w:rsidRDefault="00C9079F" w:rsidP="00C9079F"/>
    <w:tbl>
      <w:tblPr>
        <w:tblW w:w="5000" w:type="pct"/>
        <w:tblCellMar>
          <w:left w:w="70" w:type="dxa"/>
          <w:right w:w="70" w:type="dxa"/>
        </w:tblCellMar>
        <w:tblLook w:val="04A0" w:firstRow="1" w:lastRow="0" w:firstColumn="1" w:lastColumn="0" w:noHBand="0" w:noVBand="1"/>
      </w:tblPr>
      <w:tblGrid>
        <w:gridCol w:w="3133"/>
        <w:gridCol w:w="1580"/>
        <w:gridCol w:w="1580"/>
        <w:gridCol w:w="1550"/>
        <w:gridCol w:w="985"/>
      </w:tblGrid>
      <w:tr w:rsidR="002D3E9F" w:rsidRPr="002D3E9F" w14:paraId="75CA2DEC" w14:textId="77777777" w:rsidTr="00894371">
        <w:trPr>
          <w:trHeight w:val="300"/>
        </w:trPr>
        <w:tc>
          <w:tcPr>
            <w:tcW w:w="1774"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6C98B832" w14:textId="77777777" w:rsidR="002D3E9F" w:rsidRPr="002D3E9F" w:rsidRDefault="002D3E9F" w:rsidP="002D3E9F">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2D3E9F">
              <w:rPr>
                <w:rFonts w:ascii="Times New Roman" w:eastAsia="Times New Roman" w:hAnsi="Times New Roman" w:cs="Times New Roman"/>
                <w:b/>
                <w:bCs/>
                <w:color w:val="FFFFFF"/>
                <w:kern w:val="0"/>
                <w:sz w:val="18"/>
                <w:szCs w:val="18"/>
                <w:lang w:eastAsia="es-CO"/>
                <w14:ligatures w14:val="none"/>
              </w:rPr>
              <w:t>Descripción</w:t>
            </w:r>
          </w:p>
        </w:tc>
        <w:tc>
          <w:tcPr>
            <w:tcW w:w="895" w:type="pct"/>
            <w:tcBorders>
              <w:top w:val="single" w:sz="4" w:space="0" w:color="auto"/>
              <w:left w:val="nil"/>
              <w:bottom w:val="single" w:sz="4" w:space="0" w:color="auto"/>
              <w:right w:val="single" w:sz="4" w:space="0" w:color="auto"/>
            </w:tcBorders>
            <w:shd w:val="clear" w:color="000000" w:fill="0070C0"/>
            <w:vAlign w:val="center"/>
            <w:hideMark/>
          </w:tcPr>
          <w:p w14:paraId="39DF37B9" w14:textId="77777777" w:rsidR="002D3E9F" w:rsidRPr="002D3E9F" w:rsidRDefault="002D3E9F" w:rsidP="002D3E9F">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2D3E9F">
              <w:rPr>
                <w:rFonts w:ascii="Times New Roman" w:eastAsia="Times New Roman" w:hAnsi="Times New Roman" w:cs="Times New Roman"/>
                <w:b/>
                <w:bCs/>
                <w:color w:val="FFFFFF"/>
                <w:kern w:val="0"/>
                <w:sz w:val="18"/>
                <w:szCs w:val="18"/>
                <w:lang w:eastAsia="es-CO"/>
                <w14:ligatures w14:val="none"/>
              </w:rPr>
              <w:t>Pasivos</w:t>
            </w:r>
          </w:p>
        </w:tc>
        <w:tc>
          <w:tcPr>
            <w:tcW w:w="895" w:type="pct"/>
            <w:tcBorders>
              <w:top w:val="single" w:sz="4" w:space="0" w:color="auto"/>
              <w:left w:val="nil"/>
              <w:bottom w:val="single" w:sz="4" w:space="0" w:color="auto"/>
              <w:right w:val="single" w:sz="4" w:space="0" w:color="auto"/>
            </w:tcBorders>
            <w:shd w:val="clear" w:color="000000" w:fill="0070C0"/>
            <w:vAlign w:val="center"/>
            <w:hideMark/>
          </w:tcPr>
          <w:p w14:paraId="43697ADD" w14:textId="77777777" w:rsidR="002D3E9F" w:rsidRPr="002D3E9F" w:rsidRDefault="002D3E9F" w:rsidP="002D3E9F">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2D3E9F">
              <w:rPr>
                <w:rFonts w:ascii="Times New Roman" w:eastAsia="Times New Roman" w:hAnsi="Times New Roman" w:cs="Times New Roman"/>
                <w:b/>
                <w:bCs/>
                <w:color w:val="FFFFFF"/>
                <w:kern w:val="0"/>
                <w:sz w:val="18"/>
                <w:szCs w:val="18"/>
                <w:lang w:eastAsia="es-CO"/>
                <w14:ligatures w14:val="none"/>
              </w:rPr>
              <w:t>Pasivos</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409B5524" w14:textId="77777777" w:rsidR="002D3E9F" w:rsidRPr="002D3E9F" w:rsidRDefault="002D3E9F" w:rsidP="002D3E9F">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2D3E9F">
              <w:rPr>
                <w:rFonts w:ascii="Times New Roman" w:eastAsia="Times New Roman" w:hAnsi="Times New Roman" w:cs="Times New Roman"/>
                <w:b/>
                <w:bCs/>
                <w:color w:val="FFFFFF"/>
                <w:kern w:val="0"/>
                <w:sz w:val="18"/>
                <w:szCs w:val="18"/>
                <w:lang w:eastAsia="es-CO"/>
                <w14:ligatures w14:val="none"/>
              </w:rPr>
              <w:t>Variaciones</w:t>
            </w:r>
          </w:p>
        </w:tc>
        <w:tc>
          <w:tcPr>
            <w:tcW w:w="558"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221E0C4A" w14:textId="77777777" w:rsidR="002D3E9F" w:rsidRPr="002D3E9F" w:rsidRDefault="002D3E9F" w:rsidP="002D3E9F">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2D3E9F">
              <w:rPr>
                <w:rFonts w:ascii="Times New Roman" w:eastAsia="Times New Roman" w:hAnsi="Times New Roman" w:cs="Times New Roman"/>
                <w:b/>
                <w:bCs/>
                <w:color w:val="FFFFFF"/>
                <w:kern w:val="0"/>
                <w:sz w:val="18"/>
                <w:szCs w:val="18"/>
                <w:lang w:eastAsia="es-CO"/>
                <w14:ligatures w14:val="none"/>
              </w:rPr>
              <w:t>Porcentaje</w:t>
            </w:r>
          </w:p>
        </w:tc>
      </w:tr>
      <w:tr w:rsidR="002D3E9F" w:rsidRPr="002D3E9F" w14:paraId="1BE501FC" w14:textId="77777777" w:rsidTr="00894371">
        <w:trPr>
          <w:trHeight w:val="480"/>
        </w:trPr>
        <w:tc>
          <w:tcPr>
            <w:tcW w:w="1774" w:type="pct"/>
            <w:vMerge/>
            <w:tcBorders>
              <w:top w:val="single" w:sz="4" w:space="0" w:color="auto"/>
              <w:left w:val="single" w:sz="4" w:space="0" w:color="auto"/>
              <w:bottom w:val="single" w:sz="4" w:space="0" w:color="auto"/>
              <w:right w:val="single" w:sz="4" w:space="0" w:color="auto"/>
            </w:tcBorders>
            <w:vAlign w:val="center"/>
            <w:hideMark/>
          </w:tcPr>
          <w:p w14:paraId="6850BC08" w14:textId="77777777" w:rsidR="002D3E9F" w:rsidRPr="002D3E9F" w:rsidRDefault="002D3E9F" w:rsidP="002D3E9F">
            <w:pPr>
              <w:spacing w:after="0" w:line="240" w:lineRule="auto"/>
              <w:rPr>
                <w:rFonts w:ascii="Times New Roman" w:eastAsia="Times New Roman" w:hAnsi="Times New Roman" w:cs="Times New Roman"/>
                <w:b/>
                <w:bCs/>
                <w:color w:val="FFFFFF"/>
                <w:kern w:val="0"/>
                <w:sz w:val="18"/>
                <w:szCs w:val="18"/>
                <w:lang w:eastAsia="es-CO"/>
                <w14:ligatures w14:val="none"/>
              </w:rPr>
            </w:pPr>
          </w:p>
        </w:tc>
        <w:tc>
          <w:tcPr>
            <w:tcW w:w="895" w:type="pct"/>
            <w:tcBorders>
              <w:top w:val="nil"/>
              <w:left w:val="nil"/>
              <w:bottom w:val="single" w:sz="4" w:space="0" w:color="auto"/>
              <w:right w:val="single" w:sz="4" w:space="0" w:color="auto"/>
            </w:tcBorders>
            <w:shd w:val="clear" w:color="000000" w:fill="0070C0"/>
            <w:vAlign w:val="center"/>
            <w:hideMark/>
          </w:tcPr>
          <w:p w14:paraId="7C4A5E23" w14:textId="77777777" w:rsidR="002D3E9F" w:rsidRPr="002D3E9F" w:rsidRDefault="002D3E9F" w:rsidP="002D3E9F">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2D3E9F">
              <w:rPr>
                <w:rFonts w:ascii="Times New Roman" w:eastAsia="Times New Roman" w:hAnsi="Times New Roman" w:cs="Times New Roman"/>
                <w:b/>
                <w:bCs/>
                <w:color w:val="FFFFFF"/>
                <w:kern w:val="0"/>
                <w:sz w:val="18"/>
                <w:szCs w:val="18"/>
                <w:lang w:eastAsia="es-CO"/>
                <w14:ligatures w14:val="none"/>
              </w:rPr>
              <w:t xml:space="preserve">marzo de 2026 ($) </w:t>
            </w:r>
          </w:p>
        </w:tc>
        <w:tc>
          <w:tcPr>
            <w:tcW w:w="895" w:type="pct"/>
            <w:tcBorders>
              <w:top w:val="nil"/>
              <w:left w:val="nil"/>
              <w:bottom w:val="single" w:sz="4" w:space="0" w:color="auto"/>
              <w:right w:val="single" w:sz="4" w:space="0" w:color="auto"/>
            </w:tcBorders>
            <w:shd w:val="clear" w:color="000000" w:fill="0070C0"/>
            <w:vAlign w:val="center"/>
            <w:hideMark/>
          </w:tcPr>
          <w:p w14:paraId="4C0A5FBF" w14:textId="77777777" w:rsidR="002D3E9F" w:rsidRPr="002D3E9F" w:rsidRDefault="002D3E9F" w:rsidP="002D3E9F">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2D3E9F">
              <w:rPr>
                <w:rFonts w:ascii="Times New Roman" w:eastAsia="Times New Roman" w:hAnsi="Times New Roman" w:cs="Times New Roman"/>
                <w:b/>
                <w:bCs/>
                <w:color w:val="FFFFFF"/>
                <w:kern w:val="0"/>
                <w:sz w:val="18"/>
                <w:szCs w:val="18"/>
                <w:lang w:eastAsia="es-CO"/>
                <w14:ligatures w14:val="none"/>
              </w:rPr>
              <w:t>diciembre de 2025 ($)</w:t>
            </w: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4508061E" w14:textId="77777777" w:rsidR="002D3E9F" w:rsidRPr="002D3E9F" w:rsidRDefault="002D3E9F" w:rsidP="002D3E9F">
            <w:pPr>
              <w:spacing w:after="0" w:line="240" w:lineRule="auto"/>
              <w:rPr>
                <w:rFonts w:ascii="Times New Roman" w:eastAsia="Times New Roman" w:hAnsi="Times New Roman" w:cs="Times New Roman"/>
                <w:b/>
                <w:bCs/>
                <w:color w:val="FFFFFF"/>
                <w:kern w:val="0"/>
                <w:sz w:val="18"/>
                <w:szCs w:val="18"/>
                <w:lang w:eastAsia="es-CO"/>
                <w14:ligatures w14:val="none"/>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14:paraId="5FDF7DAB" w14:textId="77777777" w:rsidR="002D3E9F" w:rsidRPr="002D3E9F" w:rsidRDefault="002D3E9F" w:rsidP="002D3E9F">
            <w:pPr>
              <w:spacing w:after="0" w:line="240" w:lineRule="auto"/>
              <w:rPr>
                <w:rFonts w:ascii="Times New Roman" w:eastAsia="Times New Roman" w:hAnsi="Times New Roman" w:cs="Times New Roman"/>
                <w:b/>
                <w:bCs/>
                <w:color w:val="FFFFFF"/>
                <w:kern w:val="0"/>
                <w:sz w:val="18"/>
                <w:szCs w:val="18"/>
                <w:lang w:eastAsia="es-CO"/>
                <w14:ligatures w14:val="none"/>
              </w:rPr>
            </w:pPr>
          </w:p>
        </w:tc>
      </w:tr>
      <w:tr w:rsidR="002D3E9F" w:rsidRPr="002D3E9F" w14:paraId="5AF1D237" w14:textId="77777777" w:rsidTr="00894371">
        <w:trPr>
          <w:trHeight w:val="300"/>
        </w:trPr>
        <w:tc>
          <w:tcPr>
            <w:tcW w:w="1774" w:type="pct"/>
            <w:tcBorders>
              <w:top w:val="nil"/>
              <w:left w:val="single" w:sz="4" w:space="0" w:color="auto"/>
              <w:bottom w:val="single" w:sz="4" w:space="0" w:color="auto"/>
              <w:right w:val="single" w:sz="4" w:space="0" w:color="auto"/>
            </w:tcBorders>
            <w:noWrap/>
            <w:vAlign w:val="center"/>
            <w:hideMark/>
          </w:tcPr>
          <w:p w14:paraId="3B89D380" w14:textId="77777777" w:rsidR="002D3E9F" w:rsidRPr="002D3E9F" w:rsidRDefault="002D3E9F" w:rsidP="002D3E9F">
            <w:pPr>
              <w:spacing w:after="0" w:line="240" w:lineRule="auto"/>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Préstamos por pagar</w:t>
            </w:r>
          </w:p>
        </w:tc>
        <w:tc>
          <w:tcPr>
            <w:tcW w:w="895" w:type="pct"/>
            <w:tcBorders>
              <w:top w:val="nil"/>
              <w:left w:val="nil"/>
              <w:bottom w:val="single" w:sz="4" w:space="0" w:color="auto"/>
              <w:right w:val="single" w:sz="4" w:space="0" w:color="auto"/>
            </w:tcBorders>
            <w:noWrap/>
            <w:vAlign w:val="center"/>
            <w:hideMark/>
          </w:tcPr>
          <w:p w14:paraId="31839CC2"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 xml:space="preserve">22.810.025.275.070 </w:t>
            </w:r>
          </w:p>
        </w:tc>
        <w:tc>
          <w:tcPr>
            <w:tcW w:w="895" w:type="pct"/>
            <w:tcBorders>
              <w:top w:val="nil"/>
              <w:left w:val="nil"/>
              <w:bottom w:val="single" w:sz="4" w:space="0" w:color="auto"/>
              <w:right w:val="single" w:sz="4" w:space="0" w:color="auto"/>
            </w:tcBorders>
            <w:noWrap/>
            <w:vAlign w:val="center"/>
            <w:hideMark/>
          </w:tcPr>
          <w:p w14:paraId="21218E5A"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 xml:space="preserve">23.693.640.888.693 </w:t>
            </w:r>
          </w:p>
        </w:tc>
        <w:tc>
          <w:tcPr>
            <w:tcW w:w="878" w:type="pct"/>
            <w:tcBorders>
              <w:top w:val="nil"/>
              <w:left w:val="nil"/>
              <w:bottom w:val="single" w:sz="4" w:space="0" w:color="auto"/>
              <w:right w:val="single" w:sz="4" w:space="0" w:color="auto"/>
            </w:tcBorders>
            <w:noWrap/>
            <w:vAlign w:val="center"/>
            <w:hideMark/>
          </w:tcPr>
          <w:p w14:paraId="1F5EDE4D"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 xml:space="preserve">-883.615.613.623 </w:t>
            </w:r>
          </w:p>
        </w:tc>
        <w:tc>
          <w:tcPr>
            <w:tcW w:w="558" w:type="pct"/>
            <w:tcBorders>
              <w:top w:val="nil"/>
              <w:left w:val="nil"/>
              <w:bottom w:val="single" w:sz="4" w:space="0" w:color="auto"/>
              <w:right w:val="single" w:sz="4" w:space="0" w:color="auto"/>
            </w:tcBorders>
            <w:noWrap/>
            <w:vAlign w:val="center"/>
            <w:hideMark/>
          </w:tcPr>
          <w:p w14:paraId="1582EE04"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-3,73%</w:t>
            </w:r>
          </w:p>
        </w:tc>
      </w:tr>
      <w:tr w:rsidR="002D3E9F" w:rsidRPr="002D3E9F" w14:paraId="7E0270DD" w14:textId="77777777" w:rsidTr="00894371">
        <w:trPr>
          <w:trHeight w:val="300"/>
        </w:trPr>
        <w:tc>
          <w:tcPr>
            <w:tcW w:w="1774" w:type="pct"/>
            <w:tcBorders>
              <w:top w:val="single" w:sz="4" w:space="0" w:color="auto"/>
              <w:left w:val="single" w:sz="4" w:space="0" w:color="auto"/>
              <w:bottom w:val="single" w:sz="4" w:space="0" w:color="auto"/>
              <w:right w:val="single" w:sz="4" w:space="0" w:color="auto"/>
            </w:tcBorders>
            <w:noWrap/>
            <w:vAlign w:val="center"/>
            <w:hideMark/>
          </w:tcPr>
          <w:p w14:paraId="0A1A5BC1" w14:textId="77777777" w:rsidR="002D3E9F" w:rsidRPr="002D3E9F" w:rsidRDefault="002D3E9F" w:rsidP="002D3E9F">
            <w:pPr>
              <w:spacing w:after="0" w:line="240" w:lineRule="auto"/>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Cuentas por pagar</w:t>
            </w:r>
          </w:p>
        </w:tc>
        <w:tc>
          <w:tcPr>
            <w:tcW w:w="895" w:type="pct"/>
            <w:tcBorders>
              <w:top w:val="single" w:sz="4" w:space="0" w:color="auto"/>
              <w:left w:val="nil"/>
              <w:bottom w:val="single" w:sz="4" w:space="0" w:color="auto"/>
              <w:right w:val="single" w:sz="4" w:space="0" w:color="auto"/>
            </w:tcBorders>
            <w:noWrap/>
            <w:vAlign w:val="center"/>
            <w:hideMark/>
          </w:tcPr>
          <w:p w14:paraId="303EB170"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 xml:space="preserve">5.866.634.230.239 </w:t>
            </w:r>
          </w:p>
        </w:tc>
        <w:tc>
          <w:tcPr>
            <w:tcW w:w="895" w:type="pct"/>
            <w:tcBorders>
              <w:top w:val="single" w:sz="4" w:space="0" w:color="auto"/>
              <w:left w:val="nil"/>
              <w:bottom w:val="single" w:sz="4" w:space="0" w:color="auto"/>
              <w:right w:val="single" w:sz="4" w:space="0" w:color="auto"/>
            </w:tcBorders>
            <w:noWrap/>
            <w:vAlign w:val="center"/>
            <w:hideMark/>
          </w:tcPr>
          <w:p w14:paraId="7029E39C"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 xml:space="preserve">5.875.799.501.233 </w:t>
            </w:r>
          </w:p>
        </w:tc>
        <w:tc>
          <w:tcPr>
            <w:tcW w:w="878" w:type="pct"/>
            <w:tcBorders>
              <w:top w:val="single" w:sz="4" w:space="0" w:color="auto"/>
              <w:left w:val="nil"/>
              <w:bottom w:val="single" w:sz="4" w:space="0" w:color="auto"/>
              <w:right w:val="single" w:sz="4" w:space="0" w:color="auto"/>
            </w:tcBorders>
            <w:noWrap/>
            <w:vAlign w:val="center"/>
            <w:hideMark/>
          </w:tcPr>
          <w:p w14:paraId="120DD448"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 xml:space="preserve">-9.165.270.994 </w:t>
            </w:r>
          </w:p>
        </w:tc>
        <w:tc>
          <w:tcPr>
            <w:tcW w:w="558" w:type="pct"/>
            <w:tcBorders>
              <w:top w:val="single" w:sz="4" w:space="0" w:color="auto"/>
              <w:left w:val="nil"/>
              <w:bottom w:val="single" w:sz="4" w:space="0" w:color="auto"/>
              <w:right w:val="single" w:sz="4" w:space="0" w:color="auto"/>
            </w:tcBorders>
            <w:noWrap/>
            <w:vAlign w:val="center"/>
            <w:hideMark/>
          </w:tcPr>
          <w:p w14:paraId="37958455"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-0,16%</w:t>
            </w:r>
          </w:p>
        </w:tc>
      </w:tr>
      <w:tr w:rsidR="002D3E9F" w:rsidRPr="002D3E9F" w14:paraId="6409F672" w14:textId="77777777" w:rsidTr="00894371">
        <w:trPr>
          <w:trHeight w:val="300"/>
        </w:trPr>
        <w:tc>
          <w:tcPr>
            <w:tcW w:w="1774" w:type="pct"/>
            <w:tcBorders>
              <w:top w:val="single" w:sz="4" w:space="0" w:color="auto"/>
              <w:left w:val="single" w:sz="4" w:space="0" w:color="auto"/>
              <w:bottom w:val="single" w:sz="4" w:space="0" w:color="auto"/>
              <w:right w:val="single" w:sz="4" w:space="0" w:color="auto"/>
            </w:tcBorders>
            <w:noWrap/>
            <w:vAlign w:val="center"/>
            <w:hideMark/>
          </w:tcPr>
          <w:p w14:paraId="3EB0D322" w14:textId="77777777" w:rsidR="002D3E9F" w:rsidRPr="002D3E9F" w:rsidRDefault="002D3E9F" w:rsidP="002D3E9F">
            <w:pPr>
              <w:spacing w:after="0" w:line="240" w:lineRule="auto"/>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Beneficios a los empleados</w:t>
            </w:r>
          </w:p>
        </w:tc>
        <w:tc>
          <w:tcPr>
            <w:tcW w:w="895" w:type="pct"/>
            <w:tcBorders>
              <w:top w:val="single" w:sz="4" w:space="0" w:color="auto"/>
              <w:left w:val="nil"/>
              <w:bottom w:val="single" w:sz="4" w:space="0" w:color="auto"/>
              <w:right w:val="single" w:sz="4" w:space="0" w:color="auto"/>
            </w:tcBorders>
            <w:noWrap/>
            <w:vAlign w:val="center"/>
            <w:hideMark/>
          </w:tcPr>
          <w:p w14:paraId="20A09B24"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 xml:space="preserve">10.533.713.405 </w:t>
            </w:r>
          </w:p>
        </w:tc>
        <w:tc>
          <w:tcPr>
            <w:tcW w:w="895" w:type="pct"/>
            <w:tcBorders>
              <w:top w:val="single" w:sz="4" w:space="0" w:color="auto"/>
              <w:left w:val="nil"/>
              <w:bottom w:val="single" w:sz="4" w:space="0" w:color="auto"/>
              <w:right w:val="single" w:sz="4" w:space="0" w:color="auto"/>
            </w:tcBorders>
            <w:noWrap/>
            <w:vAlign w:val="center"/>
            <w:hideMark/>
          </w:tcPr>
          <w:p w14:paraId="4C6C7B1C"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 xml:space="preserve">6.612.573.756 </w:t>
            </w:r>
          </w:p>
        </w:tc>
        <w:tc>
          <w:tcPr>
            <w:tcW w:w="878" w:type="pct"/>
            <w:tcBorders>
              <w:top w:val="single" w:sz="4" w:space="0" w:color="auto"/>
              <w:left w:val="nil"/>
              <w:bottom w:val="single" w:sz="4" w:space="0" w:color="auto"/>
              <w:right w:val="single" w:sz="4" w:space="0" w:color="auto"/>
            </w:tcBorders>
            <w:noWrap/>
            <w:vAlign w:val="center"/>
            <w:hideMark/>
          </w:tcPr>
          <w:p w14:paraId="78BBC280"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 xml:space="preserve">3.921.139.649 </w:t>
            </w:r>
          </w:p>
        </w:tc>
        <w:tc>
          <w:tcPr>
            <w:tcW w:w="558" w:type="pct"/>
            <w:tcBorders>
              <w:top w:val="single" w:sz="4" w:space="0" w:color="auto"/>
              <w:left w:val="nil"/>
              <w:bottom w:val="single" w:sz="4" w:space="0" w:color="auto"/>
              <w:right w:val="single" w:sz="4" w:space="0" w:color="auto"/>
            </w:tcBorders>
            <w:noWrap/>
            <w:vAlign w:val="center"/>
            <w:hideMark/>
          </w:tcPr>
          <w:p w14:paraId="5621A6D4"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59,30%</w:t>
            </w:r>
          </w:p>
        </w:tc>
      </w:tr>
      <w:tr w:rsidR="002D3E9F" w:rsidRPr="002D3E9F" w14:paraId="20B07D9C" w14:textId="77777777" w:rsidTr="00894371">
        <w:trPr>
          <w:trHeight w:val="300"/>
        </w:trPr>
        <w:tc>
          <w:tcPr>
            <w:tcW w:w="1774" w:type="pct"/>
            <w:tcBorders>
              <w:top w:val="single" w:sz="4" w:space="0" w:color="auto"/>
              <w:left w:val="single" w:sz="4" w:space="0" w:color="auto"/>
              <w:bottom w:val="single" w:sz="4" w:space="0" w:color="auto"/>
              <w:right w:val="single" w:sz="4" w:space="0" w:color="auto"/>
            </w:tcBorders>
            <w:noWrap/>
            <w:vAlign w:val="center"/>
            <w:hideMark/>
          </w:tcPr>
          <w:p w14:paraId="6D404EAD" w14:textId="77777777" w:rsidR="002D3E9F" w:rsidRPr="002D3E9F" w:rsidRDefault="002D3E9F" w:rsidP="002D3E9F">
            <w:pPr>
              <w:spacing w:after="0" w:line="240" w:lineRule="auto"/>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Provisiones</w:t>
            </w:r>
          </w:p>
        </w:tc>
        <w:tc>
          <w:tcPr>
            <w:tcW w:w="895" w:type="pct"/>
            <w:tcBorders>
              <w:top w:val="single" w:sz="4" w:space="0" w:color="auto"/>
              <w:left w:val="nil"/>
              <w:bottom w:val="single" w:sz="4" w:space="0" w:color="auto"/>
              <w:right w:val="single" w:sz="4" w:space="0" w:color="auto"/>
            </w:tcBorders>
            <w:noWrap/>
            <w:vAlign w:val="center"/>
            <w:hideMark/>
          </w:tcPr>
          <w:p w14:paraId="571725D4"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 xml:space="preserve">8.578.073.972.482 </w:t>
            </w:r>
          </w:p>
        </w:tc>
        <w:tc>
          <w:tcPr>
            <w:tcW w:w="895" w:type="pct"/>
            <w:tcBorders>
              <w:top w:val="single" w:sz="4" w:space="0" w:color="auto"/>
              <w:left w:val="nil"/>
              <w:bottom w:val="single" w:sz="4" w:space="0" w:color="auto"/>
              <w:right w:val="single" w:sz="4" w:space="0" w:color="auto"/>
            </w:tcBorders>
            <w:noWrap/>
            <w:vAlign w:val="center"/>
            <w:hideMark/>
          </w:tcPr>
          <w:p w14:paraId="2E130DE8"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 xml:space="preserve">8.579.406.297.277 </w:t>
            </w:r>
          </w:p>
        </w:tc>
        <w:tc>
          <w:tcPr>
            <w:tcW w:w="878" w:type="pct"/>
            <w:tcBorders>
              <w:top w:val="single" w:sz="4" w:space="0" w:color="auto"/>
              <w:left w:val="nil"/>
              <w:bottom w:val="single" w:sz="4" w:space="0" w:color="auto"/>
              <w:right w:val="single" w:sz="4" w:space="0" w:color="auto"/>
            </w:tcBorders>
            <w:noWrap/>
            <w:vAlign w:val="center"/>
            <w:hideMark/>
          </w:tcPr>
          <w:p w14:paraId="2C095998"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 xml:space="preserve">-1.332.324.795 </w:t>
            </w:r>
          </w:p>
        </w:tc>
        <w:tc>
          <w:tcPr>
            <w:tcW w:w="558" w:type="pct"/>
            <w:tcBorders>
              <w:top w:val="single" w:sz="4" w:space="0" w:color="auto"/>
              <w:left w:val="nil"/>
              <w:bottom w:val="single" w:sz="4" w:space="0" w:color="auto"/>
              <w:right w:val="single" w:sz="4" w:space="0" w:color="auto"/>
            </w:tcBorders>
            <w:noWrap/>
            <w:vAlign w:val="center"/>
            <w:hideMark/>
          </w:tcPr>
          <w:p w14:paraId="7DBEEDAA"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-0,02%</w:t>
            </w:r>
          </w:p>
        </w:tc>
      </w:tr>
      <w:tr w:rsidR="002D3E9F" w:rsidRPr="002D3E9F" w14:paraId="40F9DC23" w14:textId="77777777" w:rsidTr="00894371">
        <w:trPr>
          <w:trHeight w:val="300"/>
        </w:trPr>
        <w:tc>
          <w:tcPr>
            <w:tcW w:w="1774" w:type="pct"/>
            <w:tcBorders>
              <w:top w:val="single" w:sz="4" w:space="0" w:color="auto"/>
              <w:left w:val="single" w:sz="4" w:space="0" w:color="auto"/>
              <w:bottom w:val="single" w:sz="4" w:space="0" w:color="auto"/>
              <w:right w:val="single" w:sz="4" w:space="0" w:color="auto"/>
            </w:tcBorders>
            <w:noWrap/>
            <w:vAlign w:val="center"/>
            <w:hideMark/>
          </w:tcPr>
          <w:p w14:paraId="2DCF7E0C" w14:textId="77777777" w:rsidR="002D3E9F" w:rsidRPr="002D3E9F" w:rsidRDefault="002D3E9F" w:rsidP="002D3E9F">
            <w:pPr>
              <w:spacing w:after="0" w:line="240" w:lineRule="auto"/>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Otros pasivos</w:t>
            </w:r>
          </w:p>
        </w:tc>
        <w:tc>
          <w:tcPr>
            <w:tcW w:w="895" w:type="pct"/>
            <w:tcBorders>
              <w:top w:val="single" w:sz="4" w:space="0" w:color="auto"/>
              <w:left w:val="nil"/>
              <w:bottom w:val="single" w:sz="4" w:space="0" w:color="auto"/>
              <w:right w:val="single" w:sz="4" w:space="0" w:color="auto"/>
            </w:tcBorders>
            <w:noWrap/>
            <w:vAlign w:val="center"/>
            <w:hideMark/>
          </w:tcPr>
          <w:p w14:paraId="0C236AEE"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 xml:space="preserve">29.425.361.132.769 </w:t>
            </w:r>
          </w:p>
        </w:tc>
        <w:tc>
          <w:tcPr>
            <w:tcW w:w="895" w:type="pct"/>
            <w:tcBorders>
              <w:top w:val="single" w:sz="4" w:space="0" w:color="auto"/>
              <w:left w:val="nil"/>
              <w:bottom w:val="single" w:sz="4" w:space="0" w:color="auto"/>
              <w:right w:val="single" w:sz="4" w:space="0" w:color="auto"/>
            </w:tcBorders>
            <w:noWrap/>
            <w:vAlign w:val="center"/>
            <w:hideMark/>
          </w:tcPr>
          <w:p w14:paraId="45C9D466"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 xml:space="preserve">29.824.834.756.820 </w:t>
            </w:r>
          </w:p>
        </w:tc>
        <w:tc>
          <w:tcPr>
            <w:tcW w:w="878" w:type="pct"/>
            <w:tcBorders>
              <w:top w:val="single" w:sz="4" w:space="0" w:color="auto"/>
              <w:left w:val="nil"/>
              <w:bottom w:val="single" w:sz="4" w:space="0" w:color="auto"/>
              <w:right w:val="single" w:sz="4" w:space="0" w:color="auto"/>
            </w:tcBorders>
            <w:noWrap/>
            <w:vAlign w:val="center"/>
            <w:hideMark/>
          </w:tcPr>
          <w:p w14:paraId="6AE61FC6"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 xml:space="preserve">-399.473.624.051 </w:t>
            </w:r>
          </w:p>
        </w:tc>
        <w:tc>
          <w:tcPr>
            <w:tcW w:w="558" w:type="pct"/>
            <w:tcBorders>
              <w:top w:val="single" w:sz="4" w:space="0" w:color="auto"/>
              <w:left w:val="nil"/>
              <w:bottom w:val="single" w:sz="4" w:space="0" w:color="auto"/>
              <w:right w:val="single" w:sz="4" w:space="0" w:color="auto"/>
            </w:tcBorders>
            <w:noWrap/>
            <w:vAlign w:val="center"/>
            <w:hideMark/>
          </w:tcPr>
          <w:p w14:paraId="195DDD27" w14:textId="77777777" w:rsidR="002D3E9F" w:rsidRPr="002D3E9F" w:rsidRDefault="002D3E9F" w:rsidP="002D3E9F">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D3E9F">
              <w:rPr>
                <w:rFonts w:ascii="Times New Roman" w:eastAsia="Times New Roman" w:hAnsi="Times New Roman" w:cs="Times New Roman"/>
                <w:color w:val="000000"/>
                <w:kern w:val="0"/>
                <w:sz w:val="18"/>
                <w:szCs w:val="18"/>
                <w:lang w:eastAsia="es-CO"/>
                <w14:ligatures w14:val="none"/>
              </w:rPr>
              <w:t>-1,34%</w:t>
            </w:r>
          </w:p>
        </w:tc>
      </w:tr>
      <w:tr w:rsidR="002D3E9F" w:rsidRPr="002D3E9F" w14:paraId="0AD2EBCF" w14:textId="77777777" w:rsidTr="00894371">
        <w:trPr>
          <w:trHeight w:val="300"/>
        </w:trPr>
        <w:tc>
          <w:tcPr>
            <w:tcW w:w="1774" w:type="pct"/>
            <w:tcBorders>
              <w:top w:val="single" w:sz="4" w:space="0" w:color="auto"/>
              <w:left w:val="single" w:sz="4" w:space="0" w:color="auto"/>
              <w:bottom w:val="single" w:sz="4" w:space="0" w:color="auto"/>
              <w:right w:val="single" w:sz="4" w:space="0" w:color="auto"/>
            </w:tcBorders>
            <w:noWrap/>
            <w:vAlign w:val="center"/>
            <w:hideMark/>
          </w:tcPr>
          <w:p w14:paraId="4C7F02AE" w14:textId="77777777" w:rsidR="002D3E9F" w:rsidRPr="002D3E9F" w:rsidRDefault="002D3E9F" w:rsidP="002D3E9F">
            <w:pPr>
              <w:spacing w:after="0" w:line="240" w:lineRule="auto"/>
              <w:jc w:val="center"/>
              <w:rPr>
                <w:rFonts w:ascii="Times New Roman" w:eastAsia="Times New Roman" w:hAnsi="Times New Roman" w:cs="Times New Roman"/>
                <w:b/>
                <w:bCs/>
                <w:color w:val="000000"/>
                <w:kern w:val="0"/>
                <w:sz w:val="18"/>
                <w:szCs w:val="18"/>
                <w:lang w:eastAsia="es-CO"/>
                <w14:ligatures w14:val="none"/>
              </w:rPr>
            </w:pPr>
            <w:proofErr w:type="gramStart"/>
            <w:r w:rsidRPr="002D3E9F">
              <w:rPr>
                <w:rFonts w:ascii="Times New Roman" w:eastAsia="Times New Roman" w:hAnsi="Times New Roman" w:cs="Times New Roman"/>
                <w:b/>
                <w:bCs/>
                <w:color w:val="000000"/>
                <w:kern w:val="0"/>
                <w:sz w:val="18"/>
                <w:szCs w:val="18"/>
                <w:lang w:eastAsia="es-CO"/>
                <w14:ligatures w14:val="none"/>
              </w:rPr>
              <w:t>Total  Pasivos</w:t>
            </w:r>
            <w:proofErr w:type="gramEnd"/>
          </w:p>
        </w:tc>
        <w:tc>
          <w:tcPr>
            <w:tcW w:w="895" w:type="pct"/>
            <w:tcBorders>
              <w:top w:val="single" w:sz="4" w:space="0" w:color="auto"/>
              <w:left w:val="nil"/>
              <w:bottom w:val="single" w:sz="4" w:space="0" w:color="auto"/>
              <w:right w:val="single" w:sz="4" w:space="0" w:color="auto"/>
            </w:tcBorders>
            <w:shd w:val="clear" w:color="000000" w:fill="D9D9D9"/>
            <w:noWrap/>
            <w:vAlign w:val="center"/>
            <w:hideMark/>
          </w:tcPr>
          <w:p w14:paraId="3F96B07E" w14:textId="77777777" w:rsidR="002D3E9F" w:rsidRPr="002D3E9F" w:rsidRDefault="002D3E9F" w:rsidP="002D3E9F">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2D3E9F">
              <w:rPr>
                <w:rFonts w:ascii="Times New Roman" w:eastAsia="Times New Roman" w:hAnsi="Times New Roman" w:cs="Times New Roman"/>
                <w:b/>
                <w:bCs/>
                <w:color w:val="000000"/>
                <w:kern w:val="0"/>
                <w:sz w:val="18"/>
                <w:szCs w:val="18"/>
                <w:lang w:eastAsia="es-CO"/>
                <w14:ligatures w14:val="none"/>
              </w:rPr>
              <w:t>66.690.628.323.964</w:t>
            </w:r>
          </w:p>
        </w:tc>
        <w:tc>
          <w:tcPr>
            <w:tcW w:w="895" w:type="pct"/>
            <w:tcBorders>
              <w:top w:val="single" w:sz="4" w:space="0" w:color="auto"/>
              <w:left w:val="nil"/>
              <w:bottom w:val="single" w:sz="4" w:space="0" w:color="auto"/>
              <w:right w:val="single" w:sz="4" w:space="0" w:color="auto"/>
            </w:tcBorders>
            <w:shd w:val="clear" w:color="000000" w:fill="D9D9D9"/>
            <w:noWrap/>
            <w:vAlign w:val="center"/>
            <w:hideMark/>
          </w:tcPr>
          <w:p w14:paraId="12FD9F1A" w14:textId="77777777" w:rsidR="002D3E9F" w:rsidRPr="002D3E9F" w:rsidRDefault="002D3E9F" w:rsidP="002D3E9F">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2D3E9F">
              <w:rPr>
                <w:rFonts w:ascii="Times New Roman" w:eastAsia="Times New Roman" w:hAnsi="Times New Roman" w:cs="Times New Roman"/>
                <w:b/>
                <w:bCs/>
                <w:color w:val="000000"/>
                <w:kern w:val="0"/>
                <w:sz w:val="18"/>
                <w:szCs w:val="18"/>
                <w:lang w:eastAsia="es-CO"/>
                <w14:ligatures w14:val="none"/>
              </w:rPr>
              <w:t>67.980.294.017.778</w:t>
            </w:r>
          </w:p>
        </w:tc>
        <w:tc>
          <w:tcPr>
            <w:tcW w:w="878" w:type="pct"/>
            <w:tcBorders>
              <w:top w:val="single" w:sz="4" w:space="0" w:color="auto"/>
              <w:left w:val="nil"/>
              <w:bottom w:val="single" w:sz="4" w:space="0" w:color="auto"/>
              <w:right w:val="single" w:sz="4" w:space="0" w:color="auto"/>
            </w:tcBorders>
            <w:shd w:val="clear" w:color="000000" w:fill="D9D9D9"/>
            <w:noWrap/>
            <w:vAlign w:val="center"/>
            <w:hideMark/>
          </w:tcPr>
          <w:p w14:paraId="26CD6D4E" w14:textId="77777777" w:rsidR="002D3E9F" w:rsidRPr="002D3E9F" w:rsidRDefault="002D3E9F" w:rsidP="002D3E9F">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2D3E9F">
              <w:rPr>
                <w:rFonts w:ascii="Times New Roman" w:eastAsia="Times New Roman" w:hAnsi="Times New Roman" w:cs="Times New Roman"/>
                <w:b/>
                <w:bCs/>
                <w:color w:val="000000"/>
                <w:kern w:val="0"/>
                <w:sz w:val="18"/>
                <w:szCs w:val="18"/>
                <w:lang w:eastAsia="es-CO"/>
                <w14:ligatures w14:val="none"/>
              </w:rPr>
              <w:t>-1.289.665.693.814</w:t>
            </w:r>
          </w:p>
        </w:tc>
        <w:tc>
          <w:tcPr>
            <w:tcW w:w="558" w:type="pct"/>
            <w:tcBorders>
              <w:top w:val="single" w:sz="4" w:space="0" w:color="auto"/>
              <w:left w:val="nil"/>
              <w:bottom w:val="single" w:sz="4" w:space="0" w:color="auto"/>
              <w:right w:val="single" w:sz="4" w:space="0" w:color="auto"/>
            </w:tcBorders>
            <w:shd w:val="clear" w:color="000000" w:fill="D0D0D0"/>
            <w:noWrap/>
            <w:vAlign w:val="center"/>
            <w:hideMark/>
          </w:tcPr>
          <w:p w14:paraId="31E72067" w14:textId="77777777" w:rsidR="002D3E9F" w:rsidRPr="002D3E9F" w:rsidRDefault="002D3E9F" w:rsidP="002D3E9F">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2D3E9F">
              <w:rPr>
                <w:rFonts w:ascii="Times New Roman" w:eastAsia="Times New Roman" w:hAnsi="Times New Roman" w:cs="Times New Roman"/>
                <w:b/>
                <w:bCs/>
                <w:color w:val="000000"/>
                <w:kern w:val="0"/>
                <w:sz w:val="18"/>
                <w:szCs w:val="18"/>
                <w:lang w:eastAsia="es-CO"/>
                <w14:ligatures w14:val="none"/>
              </w:rPr>
              <w:t>-1,90%</w:t>
            </w:r>
          </w:p>
        </w:tc>
      </w:tr>
    </w:tbl>
    <w:p w14:paraId="27D3A06E" w14:textId="77777777" w:rsidR="002D3E9F" w:rsidRDefault="002D3E9F" w:rsidP="00C9079F"/>
    <w:p w14:paraId="206F7938" w14:textId="418031BC" w:rsidR="00AD55B4" w:rsidRDefault="00ED4037" w:rsidP="00616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D55B4" w:rsidRPr="00AD55B4">
        <w:rPr>
          <w:rFonts w:ascii="Times New Roman" w:hAnsi="Times New Roman" w:cs="Times New Roman"/>
          <w:sz w:val="24"/>
          <w:szCs w:val="24"/>
        </w:rPr>
        <w:t xml:space="preserve">l </w:t>
      </w:r>
      <w:r w:rsidR="00C92F01">
        <w:rPr>
          <w:rFonts w:ascii="Times New Roman" w:hAnsi="Times New Roman" w:cs="Times New Roman"/>
          <w:sz w:val="24"/>
          <w:szCs w:val="24"/>
        </w:rPr>
        <w:t>31</w:t>
      </w:r>
      <w:r w:rsidR="00AD55B4" w:rsidRPr="00AD55B4">
        <w:rPr>
          <w:rFonts w:ascii="Times New Roman" w:hAnsi="Times New Roman" w:cs="Times New Roman"/>
          <w:sz w:val="24"/>
          <w:szCs w:val="24"/>
        </w:rPr>
        <w:t xml:space="preserve"> de </w:t>
      </w:r>
      <w:r w:rsidR="00C92F01">
        <w:rPr>
          <w:rFonts w:ascii="Times New Roman" w:hAnsi="Times New Roman" w:cs="Times New Roman"/>
          <w:sz w:val="24"/>
          <w:szCs w:val="24"/>
        </w:rPr>
        <w:t>marzo</w:t>
      </w:r>
      <w:r w:rsidR="00AD55B4" w:rsidRPr="00AD55B4">
        <w:rPr>
          <w:rFonts w:ascii="Times New Roman" w:hAnsi="Times New Roman" w:cs="Times New Roman"/>
          <w:sz w:val="24"/>
          <w:szCs w:val="24"/>
        </w:rPr>
        <w:t xml:space="preserve"> de 202</w:t>
      </w:r>
      <w:r w:rsidR="00616BA7">
        <w:rPr>
          <w:rFonts w:ascii="Times New Roman" w:hAnsi="Times New Roman" w:cs="Times New Roman"/>
          <w:sz w:val="24"/>
          <w:szCs w:val="24"/>
        </w:rPr>
        <w:t>6</w:t>
      </w:r>
      <w:r>
        <w:rPr>
          <w:rFonts w:ascii="Times New Roman" w:hAnsi="Times New Roman" w:cs="Times New Roman"/>
          <w:sz w:val="24"/>
          <w:szCs w:val="24"/>
        </w:rPr>
        <w:t>, los pasivos</w:t>
      </w:r>
      <w:r w:rsidR="00AD55B4" w:rsidRPr="00AD55B4">
        <w:rPr>
          <w:rFonts w:ascii="Times New Roman" w:hAnsi="Times New Roman" w:cs="Times New Roman"/>
          <w:sz w:val="24"/>
          <w:szCs w:val="24"/>
        </w:rPr>
        <w:t xml:space="preserve"> presentan un</w:t>
      </w:r>
      <w:r w:rsidR="00C92F01">
        <w:rPr>
          <w:rFonts w:ascii="Times New Roman" w:hAnsi="Times New Roman" w:cs="Times New Roman"/>
          <w:sz w:val="24"/>
          <w:szCs w:val="24"/>
        </w:rPr>
        <w:t>a disminución</w:t>
      </w:r>
      <w:r w:rsidR="00AD55B4" w:rsidRPr="00AD55B4">
        <w:rPr>
          <w:rFonts w:ascii="Times New Roman" w:hAnsi="Times New Roman" w:cs="Times New Roman"/>
          <w:sz w:val="24"/>
          <w:szCs w:val="24"/>
        </w:rPr>
        <w:t xml:space="preserve"> del </w:t>
      </w:r>
      <w:r w:rsidR="00C92F01">
        <w:rPr>
          <w:rFonts w:ascii="Times New Roman" w:hAnsi="Times New Roman" w:cs="Times New Roman"/>
          <w:sz w:val="24"/>
          <w:szCs w:val="24"/>
        </w:rPr>
        <w:t>1</w:t>
      </w:r>
      <w:r w:rsidR="00AD55B4" w:rsidRPr="00AD55B4">
        <w:rPr>
          <w:rFonts w:ascii="Times New Roman" w:hAnsi="Times New Roman" w:cs="Times New Roman"/>
          <w:sz w:val="24"/>
          <w:szCs w:val="24"/>
        </w:rPr>
        <w:t>.</w:t>
      </w:r>
      <w:r w:rsidR="00C92F01">
        <w:rPr>
          <w:rFonts w:ascii="Times New Roman" w:hAnsi="Times New Roman" w:cs="Times New Roman"/>
          <w:sz w:val="24"/>
          <w:szCs w:val="24"/>
        </w:rPr>
        <w:t>90</w:t>
      </w:r>
      <w:r w:rsidR="00AD55B4" w:rsidRPr="00AD55B4">
        <w:rPr>
          <w:rFonts w:ascii="Times New Roman" w:hAnsi="Times New Roman" w:cs="Times New Roman"/>
          <w:sz w:val="24"/>
          <w:szCs w:val="24"/>
        </w:rPr>
        <w:t>%</w:t>
      </w:r>
      <w:r>
        <w:rPr>
          <w:rFonts w:ascii="Times New Roman" w:hAnsi="Times New Roman" w:cs="Times New Roman"/>
          <w:sz w:val="24"/>
          <w:szCs w:val="24"/>
        </w:rPr>
        <w:t>, respecto al saldo registrado en diciembre de 2025,</w:t>
      </w:r>
      <w:r w:rsidR="00AD55B4" w:rsidRPr="00AD55B4">
        <w:rPr>
          <w:rFonts w:ascii="Times New Roman" w:hAnsi="Times New Roman" w:cs="Times New Roman"/>
          <w:sz w:val="24"/>
          <w:szCs w:val="24"/>
        </w:rPr>
        <w:t xml:space="preserve"> </w:t>
      </w:r>
      <w:r w:rsidR="00B136E5">
        <w:rPr>
          <w:rFonts w:ascii="Times New Roman" w:hAnsi="Times New Roman" w:cs="Times New Roman"/>
          <w:sz w:val="24"/>
          <w:szCs w:val="24"/>
        </w:rPr>
        <w:t>equivalente a</w:t>
      </w:r>
      <w:r w:rsidR="00AD55B4" w:rsidRPr="00AD55B4">
        <w:rPr>
          <w:rFonts w:ascii="Times New Roman" w:hAnsi="Times New Roman" w:cs="Times New Roman"/>
          <w:sz w:val="24"/>
          <w:szCs w:val="24"/>
        </w:rPr>
        <w:t xml:space="preserve"> una variación de $</w:t>
      </w:r>
      <w:r w:rsidR="00C92F01" w:rsidRPr="00C92F01">
        <w:rPr>
          <w:rFonts w:ascii="Times New Roman" w:hAnsi="Times New Roman" w:cs="Times New Roman"/>
          <w:sz w:val="24"/>
          <w:szCs w:val="24"/>
        </w:rPr>
        <w:t>-1.289.665.693.814</w:t>
      </w:r>
      <w:r>
        <w:rPr>
          <w:rFonts w:ascii="Times New Roman" w:hAnsi="Times New Roman" w:cs="Times New Roman"/>
          <w:sz w:val="24"/>
          <w:szCs w:val="24"/>
        </w:rPr>
        <w:t>.</w:t>
      </w:r>
      <w:r w:rsidR="00AD55B4" w:rsidRPr="00AD55B4">
        <w:rPr>
          <w:rFonts w:ascii="Times New Roman" w:hAnsi="Times New Roman" w:cs="Times New Roman"/>
          <w:sz w:val="24"/>
          <w:szCs w:val="24"/>
        </w:rPr>
        <w:t xml:space="preserve"> Esta </w:t>
      </w:r>
      <w:r w:rsidR="00AD55B4" w:rsidRPr="00AD55B4">
        <w:rPr>
          <w:rFonts w:ascii="Times New Roman" w:hAnsi="Times New Roman" w:cs="Times New Roman"/>
          <w:sz w:val="24"/>
          <w:szCs w:val="24"/>
        </w:rPr>
        <w:lastRenderedPageBreak/>
        <w:t xml:space="preserve">variación se explica principalmente por </w:t>
      </w:r>
      <w:r w:rsidR="00F417E9">
        <w:rPr>
          <w:rFonts w:ascii="Times New Roman" w:hAnsi="Times New Roman" w:cs="Times New Roman"/>
          <w:sz w:val="24"/>
          <w:szCs w:val="24"/>
        </w:rPr>
        <w:t>la</w:t>
      </w:r>
      <w:r w:rsidR="00B136E5">
        <w:rPr>
          <w:rFonts w:ascii="Times New Roman" w:hAnsi="Times New Roman" w:cs="Times New Roman"/>
          <w:sz w:val="24"/>
          <w:szCs w:val="24"/>
        </w:rPr>
        <w:t>s</w:t>
      </w:r>
      <w:r w:rsidR="00F417E9">
        <w:rPr>
          <w:rFonts w:ascii="Times New Roman" w:hAnsi="Times New Roman" w:cs="Times New Roman"/>
          <w:sz w:val="24"/>
          <w:szCs w:val="24"/>
        </w:rPr>
        <w:t xml:space="preserve"> </w:t>
      </w:r>
      <w:r w:rsidR="00C92F01">
        <w:rPr>
          <w:rFonts w:ascii="Times New Roman" w:hAnsi="Times New Roman" w:cs="Times New Roman"/>
          <w:sz w:val="24"/>
          <w:szCs w:val="24"/>
        </w:rPr>
        <w:t>disminuci</w:t>
      </w:r>
      <w:r w:rsidR="00B136E5">
        <w:rPr>
          <w:rFonts w:ascii="Times New Roman" w:hAnsi="Times New Roman" w:cs="Times New Roman"/>
          <w:sz w:val="24"/>
          <w:szCs w:val="24"/>
        </w:rPr>
        <w:t>ones</w:t>
      </w:r>
      <w:r w:rsidR="00F417E9">
        <w:rPr>
          <w:rFonts w:ascii="Times New Roman" w:hAnsi="Times New Roman" w:cs="Times New Roman"/>
          <w:sz w:val="24"/>
          <w:szCs w:val="24"/>
        </w:rPr>
        <w:t xml:space="preserve"> en</w:t>
      </w:r>
      <w:r w:rsidR="00AD55B4" w:rsidRPr="00AD55B4">
        <w:rPr>
          <w:rFonts w:ascii="Times New Roman" w:hAnsi="Times New Roman" w:cs="Times New Roman"/>
          <w:sz w:val="24"/>
          <w:szCs w:val="24"/>
        </w:rPr>
        <w:t xml:space="preserve"> los grupos</w:t>
      </w:r>
      <w:r w:rsidR="00C92F01">
        <w:rPr>
          <w:rFonts w:ascii="Times New Roman" w:hAnsi="Times New Roman" w:cs="Times New Roman"/>
          <w:sz w:val="24"/>
          <w:szCs w:val="24"/>
        </w:rPr>
        <w:t xml:space="preserve"> Préstamos por pagar, Otros pasivos y </w:t>
      </w:r>
      <w:r w:rsidR="00F417E9">
        <w:rPr>
          <w:rFonts w:ascii="Times New Roman" w:hAnsi="Times New Roman" w:cs="Times New Roman"/>
          <w:sz w:val="24"/>
          <w:szCs w:val="24"/>
        </w:rPr>
        <w:t>C</w:t>
      </w:r>
      <w:r w:rsidR="00C92F01">
        <w:rPr>
          <w:rFonts w:ascii="Times New Roman" w:hAnsi="Times New Roman" w:cs="Times New Roman"/>
          <w:sz w:val="24"/>
          <w:szCs w:val="24"/>
        </w:rPr>
        <w:t>uentas por pagar.</w:t>
      </w:r>
    </w:p>
    <w:p w14:paraId="3A66593B" w14:textId="77777777" w:rsidR="00616BA7" w:rsidRDefault="00616BA7" w:rsidP="00616BA7">
      <w:pPr>
        <w:spacing w:after="0" w:line="240" w:lineRule="auto"/>
        <w:jc w:val="both"/>
        <w:rPr>
          <w:rFonts w:ascii="Times New Roman" w:hAnsi="Times New Roman" w:cs="Times New Roman"/>
          <w:sz w:val="24"/>
          <w:szCs w:val="24"/>
        </w:rPr>
      </w:pPr>
    </w:p>
    <w:p w14:paraId="44FF35F3" w14:textId="38BF4F60" w:rsidR="00C92F01" w:rsidRDefault="00CF0954" w:rsidP="00616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el grupo </w:t>
      </w:r>
      <w:r w:rsidRPr="003D24FE">
        <w:rPr>
          <w:rFonts w:ascii="Times New Roman" w:hAnsi="Times New Roman" w:cs="Times New Roman"/>
          <w:i/>
          <w:iCs/>
          <w:sz w:val="24"/>
          <w:szCs w:val="24"/>
        </w:rPr>
        <w:t>Préstamos por pagar</w:t>
      </w:r>
      <w:r w:rsidR="00F417E9">
        <w:rPr>
          <w:rFonts w:ascii="Times New Roman" w:hAnsi="Times New Roman" w:cs="Times New Roman"/>
          <w:sz w:val="24"/>
          <w:szCs w:val="24"/>
        </w:rPr>
        <w:t>,</w:t>
      </w:r>
      <w:r>
        <w:rPr>
          <w:rFonts w:ascii="Times New Roman" w:hAnsi="Times New Roman" w:cs="Times New Roman"/>
          <w:sz w:val="24"/>
          <w:szCs w:val="24"/>
        </w:rPr>
        <w:t xml:space="preserve"> la disminución obedece a </w:t>
      </w:r>
      <w:r w:rsidR="00B136E5">
        <w:rPr>
          <w:rFonts w:ascii="Times New Roman" w:hAnsi="Times New Roman" w:cs="Times New Roman"/>
          <w:sz w:val="24"/>
          <w:szCs w:val="24"/>
        </w:rPr>
        <w:t>la reducción</w:t>
      </w:r>
      <w:r>
        <w:rPr>
          <w:rFonts w:ascii="Times New Roman" w:hAnsi="Times New Roman" w:cs="Times New Roman"/>
          <w:sz w:val="24"/>
          <w:szCs w:val="24"/>
        </w:rPr>
        <w:t xml:space="preserve"> de la subcuenta </w:t>
      </w:r>
      <w:r w:rsidRPr="00CF0954">
        <w:rPr>
          <w:rFonts w:ascii="Times New Roman" w:hAnsi="Times New Roman" w:cs="Times New Roman"/>
          <w:sz w:val="24"/>
          <w:szCs w:val="24"/>
        </w:rPr>
        <w:t>Pasivo financiero por acuerdos de concesión (concedente)</w:t>
      </w:r>
      <w:r w:rsidR="00F417E9">
        <w:rPr>
          <w:rFonts w:ascii="Times New Roman" w:hAnsi="Times New Roman" w:cs="Times New Roman"/>
          <w:sz w:val="24"/>
          <w:szCs w:val="24"/>
        </w:rPr>
        <w:t>, originada</w:t>
      </w:r>
      <w:r>
        <w:rPr>
          <w:rFonts w:ascii="Times New Roman" w:hAnsi="Times New Roman" w:cs="Times New Roman"/>
          <w:sz w:val="24"/>
          <w:szCs w:val="24"/>
        </w:rPr>
        <w:t xml:space="preserve"> por:</w:t>
      </w:r>
    </w:p>
    <w:p w14:paraId="7B32BE64" w14:textId="77777777" w:rsidR="00616BA7" w:rsidRDefault="00616BA7" w:rsidP="00616BA7">
      <w:pPr>
        <w:spacing w:after="0" w:line="240" w:lineRule="auto"/>
        <w:jc w:val="both"/>
        <w:rPr>
          <w:rFonts w:ascii="Times New Roman" w:hAnsi="Times New Roman" w:cs="Times New Roman"/>
          <w:sz w:val="24"/>
          <w:szCs w:val="24"/>
        </w:rPr>
      </w:pPr>
    </w:p>
    <w:p w14:paraId="0A5CB1F8" w14:textId="53128FF4" w:rsidR="00CF0954" w:rsidRDefault="00F417E9" w:rsidP="00616BA7">
      <w:pPr>
        <w:pStyle w:val="Prrafodelista"/>
        <w:numPr>
          <w:ilvl w:val="0"/>
          <w:numId w:val="25"/>
        </w:numPr>
        <w:jc w:val="both"/>
      </w:pPr>
      <w:r>
        <w:t>La e</w:t>
      </w:r>
      <w:r w:rsidR="00CF0954">
        <w:t>jecución de recursos por valor de $</w:t>
      </w:r>
      <w:r w:rsidR="00CF0954" w:rsidRPr="00CF0954">
        <w:t>332.770.586.993</w:t>
      </w:r>
      <w:r w:rsidR="00CF0954">
        <w:t xml:space="preserve"> del proyecto de concesión </w:t>
      </w:r>
      <w:r w:rsidR="00CF0954" w:rsidRPr="00CF0954">
        <w:t>Rumichaca</w:t>
      </w:r>
      <w:r w:rsidR="00CF0954">
        <w:t xml:space="preserve"> –</w:t>
      </w:r>
      <w:r w:rsidR="00CF0954" w:rsidRPr="00CF0954">
        <w:t xml:space="preserve"> Pasto</w:t>
      </w:r>
      <w:r w:rsidR="00CF0954">
        <w:t xml:space="preserve">, concesionario </w:t>
      </w:r>
      <w:r w:rsidR="00CF0954" w:rsidRPr="00CF0954">
        <w:t>CONCESIONARIA VIAL UNIÓN DEL SUR S.A.S.</w:t>
      </w:r>
      <w:r>
        <w:t>, así como la</w:t>
      </w:r>
      <w:r w:rsidR="00CF0954">
        <w:t xml:space="preserve"> ejecución de recursos por valor de $</w:t>
      </w:r>
      <w:r w:rsidR="005F7784">
        <w:t>94</w:t>
      </w:r>
      <w:r w:rsidR="00CF0954" w:rsidRPr="00CF0954">
        <w:t>.</w:t>
      </w:r>
      <w:r w:rsidR="005F7784">
        <w:t>230</w:t>
      </w:r>
      <w:r w:rsidR="00CF0954">
        <w:t xml:space="preserve"> del proyecto </w:t>
      </w:r>
      <w:r w:rsidR="00700BCE" w:rsidRPr="00700BCE">
        <w:t>Desarrollo Vial del Oriente de Medellín</w:t>
      </w:r>
      <w:r w:rsidR="00700BCE">
        <w:t xml:space="preserve">, concesionario </w:t>
      </w:r>
      <w:r w:rsidR="00700BCE" w:rsidRPr="00700BCE">
        <w:t>DEVIMED S.A.</w:t>
      </w:r>
    </w:p>
    <w:p w14:paraId="69942898" w14:textId="1036C081" w:rsidR="00CD5576" w:rsidRPr="00226222" w:rsidRDefault="00AA6A1B" w:rsidP="00616BA7">
      <w:pPr>
        <w:pStyle w:val="Prrafodelista"/>
        <w:numPr>
          <w:ilvl w:val="0"/>
          <w:numId w:val="25"/>
        </w:numPr>
        <w:jc w:val="both"/>
      </w:pPr>
      <w:r>
        <w:t>El a</w:t>
      </w:r>
      <w:r w:rsidR="00226222" w:rsidRPr="00226222">
        <w:t>juste</w:t>
      </w:r>
      <w:r>
        <w:t xml:space="preserve"> derivado de la</w:t>
      </w:r>
      <w:r w:rsidR="00226222" w:rsidRPr="00226222">
        <w:t xml:space="preserve"> a</w:t>
      </w:r>
      <w:r w:rsidR="00CD5576" w:rsidRPr="00226222">
        <w:t xml:space="preserve">ctualización del informe de inversión </w:t>
      </w:r>
      <w:r>
        <w:t xml:space="preserve">correspondiente a la vigencia </w:t>
      </w:r>
      <w:r w:rsidR="00CD5576" w:rsidRPr="00226222">
        <w:t xml:space="preserve">2025 del proyecto Troncal Magdalena 1 Puerto Salgar – Barrancabermeja por valor de $550.844.932.400, concesionario AUTOPISTA MAGDALENA MEDIO SAS, </w:t>
      </w:r>
      <w:r>
        <w:t xml:space="preserve">con </w:t>
      </w:r>
      <w:r w:rsidR="00CD5576" w:rsidRPr="00226222">
        <w:t>afect</w:t>
      </w:r>
      <w:r>
        <w:t>ación</w:t>
      </w:r>
      <w:r w:rsidR="00CD5576" w:rsidRPr="00226222">
        <w:t xml:space="preserve"> </w:t>
      </w:r>
      <w:r>
        <w:t>a</w:t>
      </w:r>
      <w:r w:rsidR="00CD5576" w:rsidRPr="00226222">
        <w:t>l patrimonio.</w:t>
      </w:r>
    </w:p>
    <w:p w14:paraId="6E375A11" w14:textId="77777777" w:rsidR="00C92F01" w:rsidRPr="00226222" w:rsidRDefault="00C92F01" w:rsidP="00616BA7">
      <w:pPr>
        <w:spacing w:after="0" w:line="240" w:lineRule="auto"/>
        <w:jc w:val="both"/>
        <w:rPr>
          <w:rFonts w:ascii="Times New Roman" w:hAnsi="Times New Roman" w:cs="Times New Roman"/>
          <w:sz w:val="24"/>
          <w:szCs w:val="24"/>
        </w:rPr>
      </w:pPr>
    </w:p>
    <w:p w14:paraId="5D879DD7" w14:textId="0A621081" w:rsidR="00226222" w:rsidRPr="00226222" w:rsidRDefault="00226222" w:rsidP="00616BA7">
      <w:pPr>
        <w:spacing w:after="0" w:line="240" w:lineRule="auto"/>
        <w:jc w:val="both"/>
        <w:rPr>
          <w:rFonts w:ascii="Times New Roman" w:hAnsi="Times New Roman" w:cs="Times New Roman"/>
          <w:sz w:val="24"/>
          <w:szCs w:val="24"/>
        </w:rPr>
      </w:pPr>
      <w:r w:rsidRPr="00226222">
        <w:rPr>
          <w:rFonts w:ascii="Times New Roman" w:hAnsi="Times New Roman" w:cs="Times New Roman"/>
          <w:sz w:val="24"/>
          <w:szCs w:val="24"/>
        </w:rPr>
        <w:t xml:space="preserve">En el grupo </w:t>
      </w:r>
      <w:r w:rsidRPr="003D24FE">
        <w:rPr>
          <w:rFonts w:ascii="Times New Roman" w:hAnsi="Times New Roman" w:cs="Times New Roman"/>
          <w:i/>
          <w:iCs/>
          <w:sz w:val="24"/>
          <w:szCs w:val="24"/>
        </w:rPr>
        <w:t>Otros pasivos</w:t>
      </w:r>
      <w:r w:rsidRPr="00226222">
        <w:rPr>
          <w:rFonts w:ascii="Times New Roman" w:hAnsi="Times New Roman" w:cs="Times New Roman"/>
          <w:sz w:val="24"/>
          <w:szCs w:val="24"/>
        </w:rPr>
        <w:t xml:space="preserve">, se presenta </w:t>
      </w:r>
      <w:r w:rsidR="00776549">
        <w:rPr>
          <w:rFonts w:ascii="Times New Roman" w:hAnsi="Times New Roman" w:cs="Times New Roman"/>
          <w:sz w:val="24"/>
          <w:szCs w:val="24"/>
        </w:rPr>
        <w:t xml:space="preserve">una </w:t>
      </w:r>
      <w:r w:rsidRPr="00226222">
        <w:rPr>
          <w:rFonts w:ascii="Times New Roman" w:hAnsi="Times New Roman" w:cs="Times New Roman"/>
          <w:sz w:val="24"/>
          <w:szCs w:val="24"/>
        </w:rPr>
        <w:t xml:space="preserve">disminución por valor de $-399.473.624.051, </w:t>
      </w:r>
      <w:r w:rsidR="00776549">
        <w:rPr>
          <w:rFonts w:ascii="Times New Roman" w:hAnsi="Times New Roman" w:cs="Times New Roman"/>
          <w:sz w:val="24"/>
          <w:szCs w:val="24"/>
        </w:rPr>
        <w:t xml:space="preserve">originada por el </w:t>
      </w:r>
      <w:r w:rsidRPr="00226222">
        <w:rPr>
          <w:rFonts w:ascii="Times New Roman" w:hAnsi="Times New Roman" w:cs="Times New Roman"/>
          <w:sz w:val="24"/>
          <w:szCs w:val="24"/>
        </w:rPr>
        <w:t xml:space="preserve">ajuste </w:t>
      </w:r>
      <w:r w:rsidR="00776549">
        <w:rPr>
          <w:rFonts w:ascii="Times New Roman" w:hAnsi="Times New Roman" w:cs="Times New Roman"/>
          <w:sz w:val="24"/>
          <w:szCs w:val="24"/>
        </w:rPr>
        <w:t xml:space="preserve">derivado de la </w:t>
      </w:r>
      <w:r w:rsidRPr="00226222">
        <w:rPr>
          <w:rFonts w:ascii="Times New Roman" w:hAnsi="Times New Roman" w:cs="Times New Roman"/>
          <w:sz w:val="24"/>
          <w:szCs w:val="24"/>
        </w:rPr>
        <w:t>actualización del informe de inversión de</w:t>
      </w:r>
      <w:r w:rsidR="00776549">
        <w:rPr>
          <w:rFonts w:ascii="Times New Roman" w:hAnsi="Times New Roman" w:cs="Times New Roman"/>
          <w:sz w:val="24"/>
          <w:szCs w:val="24"/>
        </w:rPr>
        <w:t xml:space="preserve"> la vigencia</w:t>
      </w:r>
      <w:r w:rsidRPr="00226222">
        <w:rPr>
          <w:rFonts w:ascii="Times New Roman" w:hAnsi="Times New Roman" w:cs="Times New Roman"/>
          <w:sz w:val="24"/>
          <w:szCs w:val="24"/>
        </w:rPr>
        <w:t xml:space="preserve"> 2025 del proyecto Troncal Magdalena 1 Puerto Salgar – Barrancabermeja, concesionario AUTOPISTA MAGDALENA MEDIO SAS</w:t>
      </w:r>
      <w:r w:rsidR="00776549">
        <w:rPr>
          <w:rFonts w:ascii="Times New Roman" w:hAnsi="Times New Roman" w:cs="Times New Roman"/>
          <w:sz w:val="24"/>
          <w:szCs w:val="24"/>
        </w:rPr>
        <w:t>.</w:t>
      </w:r>
    </w:p>
    <w:p w14:paraId="234E0E91" w14:textId="77777777" w:rsidR="00226222" w:rsidRDefault="00226222" w:rsidP="00616BA7">
      <w:pPr>
        <w:spacing w:after="0" w:line="240" w:lineRule="auto"/>
        <w:jc w:val="both"/>
        <w:rPr>
          <w:rFonts w:ascii="Times New Roman" w:hAnsi="Times New Roman" w:cs="Times New Roman"/>
          <w:sz w:val="24"/>
          <w:szCs w:val="24"/>
        </w:rPr>
      </w:pPr>
    </w:p>
    <w:p w14:paraId="66F898E6" w14:textId="0998A4DE" w:rsidR="004C7843" w:rsidRPr="004C7843" w:rsidRDefault="00AF3DC2" w:rsidP="00616BA7">
      <w:pPr>
        <w:spacing w:after="0" w:line="240" w:lineRule="auto"/>
        <w:jc w:val="both"/>
        <w:rPr>
          <w:rFonts w:ascii="Times New Roman" w:hAnsi="Times New Roman" w:cs="Times New Roman"/>
          <w:sz w:val="24"/>
          <w:szCs w:val="24"/>
        </w:rPr>
      </w:pPr>
      <w:r w:rsidRPr="00AF3DC2">
        <w:rPr>
          <w:rFonts w:ascii="Times New Roman" w:hAnsi="Times New Roman" w:cs="Times New Roman"/>
          <w:sz w:val="24"/>
          <w:szCs w:val="24"/>
        </w:rPr>
        <w:t xml:space="preserve">En el grupo </w:t>
      </w:r>
      <w:r w:rsidR="00776549" w:rsidRPr="003D24FE">
        <w:rPr>
          <w:rFonts w:ascii="Times New Roman" w:hAnsi="Times New Roman" w:cs="Times New Roman"/>
          <w:i/>
          <w:iCs/>
          <w:sz w:val="24"/>
          <w:szCs w:val="24"/>
        </w:rPr>
        <w:t>C</w:t>
      </w:r>
      <w:r w:rsidR="004C7843" w:rsidRPr="003D24FE">
        <w:rPr>
          <w:rFonts w:ascii="Times New Roman" w:hAnsi="Times New Roman" w:cs="Times New Roman"/>
          <w:i/>
          <w:iCs/>
          <w:sz w:val="24"/>
          <w:szCs w:val="24"/>
        </w:rPr>
        <w:t>uentas por pagar</w:t>
      </w:r>
      <w:r w:rsidR="004C7843" w:rsidRPr="00AF3DC2">
        <w:rPr>
          <w:rFonts w:ascii="Times New Roman" w:hAnsi="Times New Roman" w:cs="Times New Roman"/>
          <w:sz w:val="24"/>
          <w:szCs w:val="24"/>
        </w:rPr>
        <w:t xml:space="preserve"> – Créditos judiciales</w:t>
      </w:r>
      <w:r w:rsidR="00776549">
        <w:rPr>
          <w:rFonts w:ascii="Times New Roman" w:hAnsi="Times New Roman" w:cs="Times New Roman"/>
          <w:sz w:val="24"/>
          <w:szCs w:val="24"/>
        </w:rPr>
        <w:t>,</w:t>
      </w:r>
      <w:r w:rsidRPr="00AF3DC2">
        <w:rPr>
          <w:rFonts w:ascii="Times New Roman" w:hAnsi="Times New Roman" w:cs="Times New Roman"/>
          <w:sz w:val="24"/>
          <w:szCs w:val="24"/>
        </w:rPr>
        <w:t xml:space="preserve"> se presenta disminución por valor de</w:t>
      </w:r>
      <w:r w:rsidR="00776549">
        <w:rPr>
          <w:rFonts w:ascii="Times New Roman" w:hAnsi="Times New Roman" w:cs="Times New Roman"/>
          <w:sz w:val="24"/>
          <w:szCs w:val="24"/>
        </w:rPr>
        <w:t xml:space="preserve">   </w:t>
      </w:r>
      <w:r w:rsidRPr="00AF3DC2">
        <w:rPr>
          <w:rFonts w:ascii="Times New Roman" w:hAnsi="Times New Roman" w:cs="Times New Roman"/>
          <w:sz w:val="24"/>
          <w:szCs w:val="24"/>
        </w:rPr>
        <w:t xml:space="preserve"> $-9.165.270.994 </w:t>
      </w:r>
      <w:r w:rsidR="00776549">
        <w:rPr>
          <w:rFonts w:ascii="Times New Roman" w:hAnsi="Times New Roman" w:cs="Times New Roman"/>
          <w:sz w:val="24"/>
          <w:szCs w:val="24"/>
        </w:rPr>
        <w:t xml:space="preserve">explicada </w:t>
      </w:r>
      <w:r w:rsidRPr="00AF3DC2">
        <w:rPr>
          <w:rFonts w:ascii="Times New Roman" w:hAnsi="Times New Roman" w:cs="Times New Roman"/>
          <w:sz w:val="24"/>
          <w:szCs w:val="24"/>
        </w:rPr>
        <w:t xml:space="preserve">principalmente por </w:t>
      </w:r>
      <w:r w:rsidR="00776549">
        <w:rPr>
          <w:rFonts w:ascii="Times New Roman" w:hAnsi="Times New Roman" w:cs="Times New Roman"/>
          <w:sz w:val="24"/>
          <w:szCs w:val="24"/>
        </w:rPr>
        <w:t>la reducción de</w:t>
      </w:r>
      <w:r w:rsidRPr="00AF3DC2">
        <w:rPr>
          <w:rFonts w:ascii="Times New Roman" w:hAnsi="Times New Roman" w:cs="Times New Roman"/>
          <w:sz w:val="24"/>
          <w:szCs w:val="24"/>
        </w:rPr>
        <w:t xml:space="preserve"> la subcuenta Laudos arbitrales y conciliaciones extrajudiciales</w:t>
      </w:r>
      <w:r>
        <w:rPr>
          <w:rFonts w:ascii="Times New Roman" w:hAnsi="Times New Roman" w:cs="Times New Roman"/>
          <w:sz w:val="24"/>
          <w:szCs w:val="24"/>
        </w:rPr>
        <w:t xml:space="preserve"> </w:t>
      </w:r>
      <w:r w:rsidR="00616BA7">
        <w:rPr>
          <w:rFonts w:ascii="Times New Roman" w:hAnsi="Times New Roman" w:cs="Times New Roman"/>
          <w:sz w:val="24"/>
          <w:szCs w:val="24"/>
        </w:rPr>
        <w:t>por valor de $</w:t>
      </w:r>
      <w:r w:rsidR="00616BA7" w:rsidRPr="00616BA7">
        <w:rPr>
          <w:rFonts w:ascii="Times New Roman" w:hAnsi="Times New Roman" w:cs="Times New Roman"/>
          <w:sz w:val="24"/>
          <w:szCs w:val="24"/>
        </w:rPr>
        <w:t>-5.211.238.969</w:t>
      </w:r>
      <w:r w:rsidR="00616BA7">
        <w:rPr>
          <w:rFonts w:ascii="Times New Roman" w:hAnsi="Times New Roman" w:cs="Times New Roman"/>
          <w:sz w:val="24"/>
          <w:szCs w:val="24"/>
        </w:rPr>
        <w:t xml:space="preserve">, </w:t>
      </w:r>
      <w:r w:rsidR="00776549">
        <w:rPr>
          <w:rFonts w:ascii="Times New Roman" w:hAnsi="Times New Roman" w:cs="Times New Roman"/>
          <w:sz w:val="24"/>
          <w:szCs w:val="24"/>
        </w:rPr>
        <w:t xml:space="preserve">como resultado del </w:t>
      </w:r>
      <w:r>
        <w:rPr>
          <w:rFonts w:ascii="Times New Roman" w:hAnsi="Times New Roman" w:cs="Times New Roman"/>
          <w:sz w:val="24"/>
          <w:szCs w:val="24"/>
        </w:rPr>
        <w:t xml:space="preserve">pago de cuentas por pagar </w:t>
      </w:r>
      <w:r w:rsidR="004C7843" w:rsidRPr="004C7843">
        <w:rPr>
          <w:rFonts w:ascii="Times New Roman" w:hAnsi="Times New Roman" w:cs="Times New Roman"/>
          <w:sz w:val="24"/>
          <w:szCs w:val="24"/>
        </w:rPr>
        <w:t>constituidas a 31 de diciembre de 2025</w:t>
      </w:r>
      <w:r w:rsidR="00616BA7">
        <w:rPr>
          <w:rFonts w:ascii="Times New Roman" w:hAnsi="Times New Roman" w:cs="Times New Roman"/>
          <w:sz w:val="24"/>
          <w:szCs w:val="24"/>
        </w:rPr>
        <w:t xml:space="preserve">, </w:t>
      </w:r>
      <w:r w:rsidR="005205B6">
        <w:rPr>
          <w:rFonts w:ascii="Times New Roman" w:hAnsi="Times New Roman" w:cs="Times New Roman"/>
          <w:sz w:val="24"/>
          <w:szCs w:val="24"/>
        </w:rPr>
        <w:t>así como, el</w:t>
      </w:r>
      <w:r w:rsidR="00E1719F">
        <w:rPr>
          <w:rFonts w:ascii="Times New Roman" w:hAnsi="Times New Roman" w:cs="Times New Roman"/>
          <w:sz w:val="24"/>
          <w:szCs w:val="24"/>
        </w:rPr>
        <w:t xml:space="preserve"> reconocimiento y pago de crédito judicial, </w:t>
      </w:r>
      <w:r w:rsidR="00616BA7">
        <w:rPr>
          <w:rFonts w:ascii="Times New Roman" w:hAnsi="Times New Roman" w:cs="Times New Roman"/>
          <w:sz w:val="24"/>
          <w:szCs w:val="24"/>
        </w:rPr>
        <w:t>así:</w:t>
      </w:r>
    </w:p>
    <w:p w14:paraId="6A0E9AA0" w14:textId="77777777" w:rsidR="004C7843" w:rsidRPr="004C7843" w:rsidRDefault="004C7843" w:rsidP="00616BA7">
      <w:pPr>
        <w:spacing w:after="0" w:line="240" w:lineRule="auto"/>
        <w:rPr>
          <w:rFonts w:ascii="Times New Roman" w:hAnsi="Times New Roman" w:cs="Times New Roman"/>
          <w:sz w:val="24"/>
          <w:szCs w:val="24"/>
        </w:rPr>
      </w:pPr>
    </w:p>
    <w:p w14:paraId="4D4EDB9E" w14:textId="254B5A36" w:rsidR="004C7843" w:rsidRPr="004C7843" w:rsidRDefault="00776549" w:rsidP="00616BA7">
      <w:pPr>
        <w:pStyle w:val="Prrafodelista"/>
        <w:numPr>
          <w:ilvl w:val="0"/>
          <w:numId w:val="25"/>
        </w:numPr>
        <w:jc w:val="both"/>
      </w:pPr>
      <w:r w:rsidRPr="00776549">
        <w:t>Pago por valor de</w:t>
      </w:r>
      <w:r w:rsidR="004C7843" w:rsidRPr="004C7843">
        <w:t xml:space="preserve"> $147.887.671 a favor de la Concesión Ruta Al Mar S.A.S., del proyecto de concesión IP Antioquia Bolívar, Contrato No. APP 016 de 2015, por concepto del reembolso de la parte de los gastos administrativos a cargo de la ANI, correspondientes a la audiencia de pruebas en el arbitraje internacional iniciado por Concesión Ruta al Mar S.A.S. contra la Agencia Nacional de Infraestructura de Colombia – Caso No. 01-23-0002-8303 en los términos de la Orden Procesal No. 6 del 15 de agosto de 2025 emitida por el Tribunal.</w:t>
      </w:r>
    </w:p>
    <w:p w14:paraId="654C2106" w14:textId="77777777" w:rsidR="004C7843" w:rsidRPr="004C7843" w:rsidRDefault="004C7843" w:rsidP="00616BA7">
      <w:pPr>
        <w:spacing w:after="0" w:line="240" w:lineRule="auto"/>
        <w:jc w:val="both"/>
        <w:rPr>
          <w:rFonts w:ascii="Times New Roman" w:hAnsi="Times New Roman" w:cs="Times New Roman"/>
          <w:sz w:val="24"/>
          <w:szCs w:val="24"/>
        </w:rPr>
      </w:pPr>
    </w:p>
    <w:p w14:paraId="349BE136" w14:textId="7D0EF12E" w:rsidR="004C7843" w:rsidRPr="004C7843" w:rsidRDefault="00776549" w:rsidP="00616BA7">
      <w:pPr>
        <w:pStyle w:val="Prrafodelista"/>
        <w:numPr>
          <w:ilvl w:val="0"/>
          <w:numId w:val="25"/>
        </w:numPr>
        <w:jc w:val="both"/>
      </w:pPr>
      <w:r w:rsidRPr="00776549">
        <w:t xml:space="preserve">Pago por valor de </w:t>
      </w:r>
      <w:r w:rsidR="004C7843" w:rsidRPr="004C7843">
        <w:t>$3.359.386.298 a favor del Concesionario Vías de las Américas S.A.S., por concepto de reembolso de la parte que le correspondía pagar a la ANI por los honorarios de los árbitros y secretaria y los gastos de funcionamiento, administración y otros gastos, valor que fue fijado por el Tribunal arbitral mediante Auto 19 (Acta 14) proferido el 15 de mayo de 2025 en el marco del trámite arbitral CCB Caso 147140, iniciado por el Concesionario Vías de las Américas S.A.S, contra la ANI en relación con el proyecto de Concesión Vial Vías de las Américas.</w:t>
      </w:r>
    </w:p>
    <w:p w14:paraId="5B1B9C06" w14:textId="77777777" w:rsidR="004C7843" w:rsidRPr="004C7843" w:rsidRDefault="004C7843" w:rsidP="00616BA7">
      <w:pPr>
        <w:spacing w:after="0" w:line="240" w:lineRule="auto"/>
        <w:jc w:val="both"/>
        <w:rPr>
          <w:rFonts w:ascii="Times New Roman" w:hAnsi="Times New Roman" w:cs="Times New Roman"/>
          <w:sz w:val="24"/>
          <w:szCs w:val="24"/>
        </w:rPr>
      </w:pPr>
    </w:p>
    <w:p w14:paraId="3EA20D90" w14:textId="2C6954AD" w:rsidR="004C7843" w:rsidRPr="006D2DED" w:rsidRDefault="00776549" w:rsidP="00616BA7">
      <w:pPr>
        <w:pStyle w:val="Prrafodelista"/>
        <w:numPr>
          <w:ilvl w:val="0"/>
          <w:numId w:val="25"/>
        </w:numPr>
        <w:jc w:val="both"/>
      </w:pPr>
      <w:r w:rsidRPr="006D2DED">
        <w:t xml:space="preserve">Pago por valor de  </w:t>
      </w:r>
      <w:r w:rsidR="004C7843" w:rsidRPr="006D2DED">
        <w:t xml:space="preserve">$1.703.965.000 a favor de la Concesionaria San Rafael S.A., por concepto de reembolso de la parte que le correspondía pagar a la ANI por los honorarios de los árbitros y secretaria y los gastos administrativos y otros gastos, valor que fue fijado por el Tribunal arbitral mediante Auto 25 (Acta 17) proferido el 22 de agosto de 2025, en el marco del trámite arbitral CCB Caso 149184 (Acumulado </w:t>
      </w:r>
      <w:r w:rsidR="004C7843" w:rsidRPr="006D2DED">
        <w:lastRenderedPageBreak/>
        <w:t>con el Caso 153636), iniciado por el Concesionario San Rafael S.A, contra la ANI en relación con el proyecto de Concesión Vial Girardot Ibagué – Cajamarca.</w:t>
      </w:r>
    </w:p>
    <w:p w14:paraId="6AEFB538" w14:textId="77777777" w:rsidR="002D3E9F" w:rsidRPr="006D2DED" w:rsidRDefault="002D3E9F" w:rsidP="00616BA7">
      <w:pPr>
        <w:spacing w:after="0" w:line="240" w:lineRule="auto"/>
        <w:rPr>
          <w:rFonts w:ascii="Times New Roman" w:hAnsi="Times New Roman" w:cs="Times New Roman"/>
          <w:sz w:val="24"/>
          <w:szCs w:val="24"/>
        </w:rPr>
      </w:pPr>
    </w:p>
    <w:p w14:paraId="39F52EC4" w14:textId="60E7434E" w:rsidR="00E1719F" w:rsidRDefault="00E1719F" w:rsidP="00E1719F">
      <w:pPr>
        <w:pStyle w:val="Prrafodelista"/>
        <w:numPr>
          <w:ilvl w:val="0"/>
          <w:numId w:val="25"/>
        </w:numPr>
        <w:jc w:val="both"/>
        <w:rPr>
          <w:color w:val="000000"/>
        </w:rPr>
      </w:pPr>
      <w:r>
        <w:t>R</w:t>
      </w:r>
      <w:r w:rsidRPr="00E1719F">
        <w:t xml:space="preserve">econocimiento de crédito judicial y pago de </w:t>
      </w:r>
      <w:r w:rsidR="005205B6">
        <w:t>p</w:t>
      </w:r>
      <w:r w:rsidRPr="00E1719F">
        <w:t xml:space="preserve">rocesos </w:t>
      </w:r>
      <w:r w:rsidR="005205B6">
        <w:t>j</w:t>
      </w:r>
      <w:r w:rsidRPr="00E1719F">
        <w:t>udicial terminado</w:t>
      </w:r>
      <w:r w:rsidR="005205B6">
        <w:t xml:space="preserve"> </w:t>
      </w:r>
      <w:r w:rsidRPr="00E1719F">
        <w:t>desfavorable, y que de conformidad al numeral 2.6 de la resolución 080 de 02 de junio de 2021 de la Contaduría General de la Nación; con la liquidación de la sentencia condenatoria ejecutoriada, la entidad registrará el crédito judicialmente reconocido como una cuenta por pagar; por lo anterior</w:t>
      </w:r>
      <w:r w:rsidRPr="00E1719F">
        <w:rPr>
          <w:color w:val="000000"/>
        </w:rPr>
        <w:t xml:space="preserve"> se presentaron los siguientes movimientos:</w:t>
      </w:r>
    </w:p>
    <w:p w14:paraId="0D7B0194" w14:textId="77777777" w:rsidR="00E1719F" w:rsidRPr="00E1719F" w:rsidRDefault="00E1719F" w:rsidP="00E1719F">
      <w:pPr>
        <w:pStyle w:val="Prrafodelista"/>
        <w:rPr>
          <w:color w:val="000000"/>
        </w:rPr>
      </w:pPr>
    </w:p>
    <w:p w14:paraId="0E0FE4C8" w14:textId="21F97B82" w:rsidR="00E1719F" w:rsidRPr="002E0251" w:rsidRDefault="00E1719F" w:rsidP="00E1719F">
      <w:pPr>
        <w:pStyle w:val="Prrafodelista"/>
        <w:spacing w:after="160" w:line="259" w:lineRule="auto"/>
        <w:jc w:val="both"/>
        <w:rPr>
          <w:color w:val="000000"/>
        </w:rPr>
      </w:pPr>
      <w:r>
        <w:t>U</w:t>
      </w:r>
      <w:r w:rsidRPr="00104C8F">
        <w:t>n valor $ 67.394.97</w:t>
      </w:r>
      <w:r>
        <w:t>4</w:t>
      </w:r>
      <w:r w:rsidRPr="00104C8F">
        <w:t xml:space="preserve"> reconocimiento y pago del crédito Judicial teniendo en cuenta la Resolución </w:t>
      </w:r>
      <w:r w:rsidRPr="00104C8F">
        <w:rPr>
          <w:color w:val="000000"/>
        </w:rPr>
        <w:t>20267010002315 de fecha 02-03-2026</w:t>
      </w:r>
      <w:r w:rsidRPr="00104C8F">
        <w:rPr>
          <w:i/>
          <w:iCs/>
        </w:rPr>
        <w:t xml:space="preserve"> “Por la cual se ordena el pago de la condena impuesta a la Agencia Nacional de Infraestructura</w:t>
      </w:r>
      <w:r w:rsidRPr="00104C8F">
        <w:t xml:space="preserve">”, mediante sentencia de primera instancia </w:t>
      </w:r>
      <w:r w:rsidRPr="00104C8F">
        <w:rPr>
          <w:color w:val="000000"/>
        </w:rPr>
        <w:t xml:space="preserve">proferida el 14 de septiembre de 2017 por el Tribunal Administrativo de Boyacá y modificado en sentencia de segunda instancia del 26 de marzo de 2025 por el Consejo de Estado – Sección Tercera – Subsección “B” con </w:t>
      </w:r>
      <w:r w:rsidRPr="002E0251">
        <w:rPr>
          <w:color w:val="000000"/>
        </w:rPr>
        <w:t>constancia de ejecutoria de fecha 19 de septiembre de 2025</w:t>
      </w:r>
      <w:r w:rsidRPr="002E0251">
        <w:t xml:space="preserve">, dentro del proceso judicial con radicado </w:t>
      </w:r>
      <w:r w:rsidRPr="002E0251">
        <w:rPr>
          <w:color w:val="000000"/>
        </w:rPr>
        <w:t>1500123310052008004390</w:t>
      </w:r>
      <w:r w:rsidRPr="002E0251">
        <w:t xml:space="preserve"> con Ekogui:</w:t>
      </w:r>
      <w:r w:rsidRPr="002E0251">
        <w:rPr>
          <w:color w:val="000000"/>
        </w:rPr>
        <w:t xml:space="preserve"> 137167.</w:t>
      </w:r>
    </w:p>
    <w:p w14:paraId="12C87C63" w14:textId="58387EEE" w:rsidR="00E1719F" w:rsidRPr="002E0251" w:rsidRDefault="00E1719F" w:rsidP="00F86D96">
      <w:pPr>
        <w:ind w:left="708"/>
        <w:jc w:val="both"/>
        <w:rPr>
          <w:rFonts w:ascii="Times New Roman" w:eastAsia="Times New Roman" w:hAnsi="Times New Roman" w:cs="Times New Roman"/>
          <w:kern w:val="0"/>
          <w:sz w:val="24"/>
          <w:szCs w:val="24"/>
          <w:lang w:eastAsia="es-CO"/>
          <w14:ligatures w14:val="none"/>
        </w:rPr>
      </w:pPr>
      <w:r w:rsidRPr="002E0251">
        <w:rPr>
          <w:rFonts w:ascii="Times New Roman" w:hAnsi="Times New Roman" w:cs="Times New Roman"/>
          <w:color w:val="000000" w:themeColor="text1"/>
          <w:sz w:val="24"/>
          <w:szCs w:val="24"/>
        </w:rPr>
        <w:t>Su contrapartida se produjo con disminución en la subcuenta de provisiones Administrativas por valor de $ 1.332.324.795 y crédito</w:t>
      </w:r>
      <w:r w:rsidRPr="002E0251">
        <w:rPr>
          <w:rFonts w:ascii="Times New Roman" w:eastAsia="Times New Roman" w:hAnsi="Times New Roman" w:cs="Times New Roman"/>
          <w:kern w:val="0"/>
          <w:sz w:val="24"/>
          <w:szCs w:val="24"/>
          <w:lang w:eastAsia="es-CO"/>
          <w14:ligatures w14:val="none"/>
        </w:rPr>
        <w:t xml:space="preserve"> en la </w:t>
      </w:r>
      <w:r w:rsidRPr="002E0251">
        <w:rPr>
          <w:rFonts w:ascii="Times New Roman" w:hAnsi="Times New Roman" w:cs="Times New Roman"/>
          <w:color w:val="000000" w:themeColor="text1"/>
          <w:sz w:val="24"/>
          <w:szCs w:val="24"/>
        </w:rPr>
        <w:t>subcuenta Litigios y demandas por valor de</w:t>
      </w:r>
      <w:r w:rsidR="00F86D96" w:rsidRPr="002E0251">
        <w:rPr>
          <w:rFonts w:ascii="Times New Roman" w:hAnsi="Times New Roman" w:cs="Times New Roman"/>
          <w:color w:val="000000" w:themeColor="text1"/>
          <w:sz w:val="24"/>
          <w:szCs w:val="24"/>
        </w:rPr>
        <w:t xml:space="preserve"> </w:t>
      </w:r>
      <w:r w:rsidRPr="002E0251">
        <w:rPr>
          <w:rFonts w:ascii="Times New Roman" w:hAnsi="Times New Roman" w:cs="Times New Roman"/>
          <w:color w:val="000000" w:themeColor="text1"/>
          <w:sz w:val="24"/>
          <w:szCs w:val="24"/>
        </w:rPr>
        <w:t>$ 1.264.929.821</w:t>
      </w:r>
      <w:r w:rsidR="00F86D96" w:rsidRPr="002E0251">
        <w:rPr>
          <w:rFonts w:ascii="Times New Roman" w:hAnsi="Times New Roman" w:cs="Times New Roman"/>
          <w:color w:val="000000" w:themeColor="text1"/>
          <w:sz w:val="24"/>
          <w:szCs w:val="24"/>
        </w:rPr>
        <w:t>.</w:t>
      </w:r>
    </w:p>
    <w:p w14:paraId="2C6A68F9" w14:textId="7C39F274" w:rsidR="008128D9" w:rsidRPr="002E0251" w:rsidRDefault="005F04F9" w:rsidP="00B42A58">
      <w:pPr>
        <w:jc w:val="both"/>
        <w:rPr>
          <w:rFonts w:ascii="Times New Roman" w:hAnsi="Times New Roman" w:cs="Times New Roman"/>
          <w:sz w:val="24"/>
          <w:szCs w:val="24"/>
        </w:rPr>
      </w:pPr>
      <w:r w:rsidRPr="002E0251">
        <w:rPr>
          <w:rFonts w:ascii="Times New Roman" w:hAnsi="Times New Roman" w:cs="Times New Roman"/>
          <w:sz w:val="24"/>
          <w:szCs w:val="24"/>
        </w:rPr>
        <w:t>En relación</w:t>
      </w:r>
      <w:r w:rsidR="002E0251" w:rsidRPr="002E0251">
        <w:rPr>
          <w:rFonts w:ascii="Times New Roman" w:hAnsi="Times New Roman" w:cs="Times New Roman"/>
          <w:sz w:val="24"/>
          <w:szCs w:val="24"/>
        </w:rPr>
        <w:t xml:space="preserve"> </w:t>
      </w:r>
      <w:r w:rsidR="00B42A58">
        <w:rPr>
          <w:rFonts w:ascii="Times New Roman" w:hAnsi="Times New Roman" w:cs="Times New Roman"/>
          <w:sz w:val="24"/>
          <w:szCs w:val="24"/>
        </w:rPr>
        <w:t>con el</w:t>
      </w:r>
      <w:r w:rsidR="002E0251">
        <w:rPr>
          <w:rFonts w:ascii="Times New Roman" w:hAnsi="Times New Roman" w:cs="Times New Roman"/>
          <w:sz w:val="24"/>
          <w:szCs w:val="24"/>
        </w:rPr>
        <w:t xml:space="preserve"> grupo de </w:t>
      </w:r>
      <w:r w:rsidR="002E0251" w:rsidRPr="002E0251">
        <w:rPr>
          <w:rFonts w:ascii="Times New Roman" w:hAnsi="Times New Roman" w:cs="Times New Roman"/>
          <w:sz w:val="24"/>
          <w:szCs w:val="24"/>
        </w:rPr>
        <w:t>provisiones</w:t>
      </w:r>
      <w:r w:rsidR="00B42A58">
        <w:rPr>
          <w:rFonts w:ascii="Times New Roman" w:hAnsi="Times New Roman" w:cs="Times New Roman"/>
          <w:sz w:val="24"/>
          <w:szCs w:val="24"/>
        </w:rPr>
        <w:t>,</w:t>
      </w:r>
      <w:r w:rsidR="002E0251">
        <w:rPr>
          <w:rFonts w:ascii="Times New Roman" w:hAnsi="Times New Roman" w:cs="Times New Roman"/>
          <w:sz w:val="24"/>
          <w:szCs w:val="24"/>
        </w:rPr>
        <w:t xml:space="preserve"> se informa que la cuenta de Litigios y demandas se present</w:t>
      </w:r>
      <w:r w:rsidR="00B42A58">
        <w:rPr>
          <w:rFonts w:ascii="Times New Roman" w:hAnsi="Times New Roman" w:cs="Times New Roman"/>
          <w:sz w:val="24"/>
          <w:szCs w:val="24"/>
        </w:rPr>
        <w:t>ó</w:t>
      </w:r>
      <w:r w:rsidR="002E0251">
        <w:rPr>
          <w:rFonts w:ascii="Times New Roman" w:hAnsi="Times New Roman" w:cs="Times New Roman"/>
          <w:sz w:val="24"/>
          <w:szCs w:val="24"/>
        </w:rPr>
        <w:t xml:space="preserve"> una variación al cierre de marzo de 2026 frente a</w:t>
      </w:r>
      <w:r w:rsidR="00B42A58">
        <w:rPr>
          <w:rFonts w:ascii="Times New Roman" w:hAnsi="Times New Roman" w:cs="Times New Roman"/>
          <w:sz w:val="24"/>
          <w:szCs w:val="24"/>
        </w:rPr>
        <w:t>l saldo de</w:t>
      </w:r>
      <w:r w:rsidR="002E0251">
        <w:rPr>
          <w:rFonts w:ascii="Times New Roman" w:hAnsi="Times New Roman" w:cs="Times New Roman"/>
          <w:sz w:val="24"/>
          <w:szCs w:val="24"/>
        </w:rPr>
        <w:t xml:space="preserve"> diciembre de 2025, por valor de $</w:t>
      </w:r>
      <w:r w:rsidR="002E0251" w:rsidRPr="002E0251">
        <w:rPr>
          <w:rFonts w:ascii="Times New Roman" w:hAnsi="Times New Roman" w:cs="Times New Roman"/>
          <w:sz w:val="24"/>
          <w:szCs w:val="24"/>
        </w:rPr>
        <w:t>-1.332.324.795</w:t>
      </w:r>
      <w:r w:rsidR="002E0251">
        <w:rPr>
          <w:rFonts w:ascii="Times New Roman" w:hAnsi="Times New Roman" w:cs="Times New Roman"/>
          <w:sz w:val="24"/>
          <w:szCs w:val="24"/>
        </w:rPr>
        <w:t xml:space="preserve"> </w:t>
      </w:r>
      <w:r w:rsidR="00B42A58">
        <w:rPr>
          <w:rFonts w:ascii="Times New Roman" w:hAnsi="Times New Roman" w:cs="Times New Roman"/>
          <w:sz w:val="24"/>
          <w:szCs w:val="24"/>
        </w:rPr>
        <w:t>correspondiente</w:t>
      </w:r>
      <w:r w:rsidR="002E0251">
        <w:rPr>
          <w:rFonts w:ascii="Times New Roman" w:hAnsi="Times New Roman" w:cs="Times New Roman"/>
          <w:sz w:val="24"/>
          <w:szCs w:val="24"/>
        </w:rPr>
        <w:t xml:space="preserve"> a la cancelación de</w:t>
      </w:r>
      <w:r w:rsidR="00B42A58">
        <w:rPr>
          <w:rFonts w:ascii="Times New Roman" w:hAnsi="Times New Roman" w:cs="Times New Roman"/>
          <w:sz w:val="24"/>
          <w:szCs w:val="24"/>
        </w:rPr>
        <w:t xml:space="preserve"> un</w:t>
      </w:r>
      <w:r w:rsidR="002E0251">
        <w:rPr>
          <w:rFonts w:ascii="Times New Roman" w:hAnsi="Times New Roman" w:cs="Times New Roman"/>
          <w:sz w:val="24"/>
          <w:szCs w:val="24"/>
        </w:rPr>
        <w:t xml:space="preserve"> crédito judicial </w:t>
      </w:r>
      <w:r w:rsidR="00B42A58">
        <w:rPr>
          <w:rFonts w:ascii="Times New Roman" w:hAnsi="Times New Roman" w:cs="Times New Roman"/>
          <w:sz w:val="24"/>
          <w:szCs w:val="24"/>
        </w:rPr>
        <w:t xml:space="preserve">derivada de </w:t>
      </w:r>
      <w:r w:rsidR="002E0251">
        <w:rPr>
          <w:rFonts w:ascii="Times New Roman" w:hAnsi="Times New Roman" w:cs="Times New Roman"/>
          <w:sz w:val="24"/>
          <w:szCs w:val="24"/>
        </w:rPr>
        <w:t>la ordenación de</w:t>
      </w:r>
      <w:r w:rsidR="00B42A58">
        <w:rPr>
          <w:rFonts w:ascii="Times New Roman" w:hAnsi="Times New Roman" w:cs="Times New Roman"/>
          <w:sz w:val="24"/>
          <w:szCs w:val="24"/>
        </w:rPr>
        <w:t xml:space="preserve"> </w:t>
      </w:r>
      <w:r w:rsidR="002E0251">
        <w:rPr>
          <w:rFonts w:ascii="Times New Roman" w:hAnsi="Times New Roman" w:cs="Times New Roman"/>
          <w:sz w:val="24"/>
          <w:szCs w:val="24"/>
        </w:rPr>
        <w:t xml:space="preserve">conformidad con la </w:t>
      </w:r>
      <w:r w:rsidR="002E0251" w:rsidRPr="002E0251">
        <w:rPr>
          <w:rFonts w:ascii="Times New Roman" w:hAnsi="Times New Roman" w:cs="Times New Roman"/>
          <w:sz w:val="24"/>
          <w:szCs w:val="24"/>
        </w:rPr>
        <w:t>Resolución 20267010002315 del 2</w:t>
      </w:r>
      <w:r w:rsidR="00B42A58">
        <w:rPr>
          <w:rFonts w:ascii="Times New Roman" w:hAnsi="Times New Roman" w:cs="Times New Roman"/>
          <w:sz w:val="24"/>
          <w:szCs w:val="24"/>
        </w:rPr>
        <w:t xml:space="preserve"> de marzo de </w:t>
      </w:r>
      <w:r w:rsidR="002E0251" w:rsidRPr="002E0251">
        <w:rPr>
          <w:rFonts w:ascii="Times New Roman" w:hAnsi="Times New Roman" w:cs="Times New Roman"/>
          <w:sz w:val="24"/>
          <w:szCs w:val="24"/>
        </w:rPr>
        <w:t>2026, dentro del proceso judicial con radicado</w:t>
      </w:r>
      <w:r w:rsidR="002E0251">
        <w:rPr>
          <w:rFonts w:ascii="Times New Roman" w:hAnsi="Times New Roman" w:cs="Times New Roman"/>
          <w:sz w:val="24"/>
          <w:szCs w:val="24"/>
        </w:rPr>
        <w:t xml:space="preserve"> No.</w:t>
      </w:r>
      <w:r w:rsidR="002E0251" w:rsidRPr="002E0251">
        <w:rPr>
          <w:rFonts w:ascii="Times New Roman" w:hAnsi="Times New Roman" w:cs="Times New Roman"/>
          <w:sz w:val="24"/>
          <w:szCs w:val="24"/>
        </w:rPr>
        <w:t xml:space="preserve"> 1500123310052008004390</w:t>
      </w:r>
      <w:r w:rsidR="002E0251">
        <w:rPr>
          <w:rFonts w:ascii="Times New Roman" w:hAnsi="Times New Roman" w:cs="Times New Roman"/>
          <w:sz w:val="24"/>
          <w:szCs w:val="24"/>
        </w:rPr>
        <w:t>,</w:t>
      </w:r>
      <w:r w:rsidR="002E0251" w:rsidRPr="002E0251">
        <w:rPr>
          <w:rFonts w:ascii="Times New Roman" w:hAnsi="Times New Roman" w:cs="Times New Roman"/>
          <w:sz w:val="24"/>
          <w:szCs w:val="24"/>
        </w:rPr>
        <w:t xml:space="preserve"> </w:t>
      </w:r>
      <w:r w:rsidR="00B42A58">
        <w:rPr>
          <w:rFonts w:ascii="Times New Roman" w:hAnsi="Times New Roman" w:cs="Times New Roman"/>
          <w:sz w:val="24"/>
          <w:szCs w:val="24"/>
        </w:rPr>
        <w:t xml:space="preserve">registrado en </w:t>
      </w:r>
      <w:r w:rsidR="002E0251" w:rsidRPr="002E0251">
        <w:rPr>
          <w:rFonts w:ascii="Times New Roman" w:hAnsi="Times New Roman" w:cs="Times New Roman"/>
          <w:sz w:val="24"/>
          <w:szCs w:val="24"/>
        </w:rPr>
        <w:t>Ekogui</w:t>
      </w:r>
      <w:r w:rsidR="00B42A58">
        <w:rPr>
          <w:rFonts w:ascii="Times New Roman" w:hAnsi="Times New Roman" w:cs="Times New Roman"/>
          <w:sz w:val="24"/>
          <w:szCs w:val="24"/>
        </w:rPr>
        <w:t xml:space="preserve"> con consecutivo No.</w:t>
      </w:r>
      <w:r w:rsidR="002E0251" w:rsidRPr="002E0251">
        <w:rPr>
          <w:rFonts w:ascii="Times New Roman" w:hAnsi="Times New Roman" w:cs="Times New Roman"/>
          <w:sz w:val="24"/>
          <w:szCs w:val="24"/>
        </w:rPr>
        <w:t xml:space="preserve"> 137167.</w:t>
      </w:r>
    </w:p>
    <w:p w14:paraId="112DA522" w14:textId="77777777" w:rsidR="00DA2E86" w:rsidRPr="006D2DED" w:rsidRDefault="00DA2E86" w:rsidP="00772049">
      <w:pPr>
        <w:rPr>
          <w:rFonts w:ascii="Times New Roman" w:hAnsi="Times New Roman" w:cs="Times New Roman"/>
          <w:sz w:val="24"/>
          <w:szCs w:val="24"/>
        </w:rPr>
      </w:pPr>
    </w:p>
    <w:p w14:paraId="5BE94037" w14:textId="305E272F" w:rsidR="00314B1C" w:rsidRPr="006D2DED" w:rsidRDefault="00E40A74" w:rsidP="00903644">
      <w:pPr>
        <w:pStyle w:val="Ttulo3"/>
        <w:rPr>
          <w:rFonts w:ascii="Times New Roman" w:hAnsi="Times New Roman" w:cs="Times New Roman"/>
          <w:b/>
          <w:bCs/>
          <w:sz w:val="24"/>
        </w:rPr>
      </w:pPr>
      <w:bookmarkStart w:id="18" w:name="_Toc230185822"/>
      <w:r w:rsidRPr="006D2DED">
        <w:rPr>
          <w:rFonts w:ascii="Times New Roman" w:hAnsi="Times New Roman" w:cs="Times New Roman"/>
          <w:b/>
          <w:bCs/>
          <w:sz w:val="24"/>
        </w:rPr>
        <w:t xml:space="preserve">Nota </w:t>
      </w:r>
      <w:r w:rsidR="009D3BE5" w:rsidRPr="006D2DED">
        <w:rPr>
          <w:rFonts w:ascii="Times New Roman" w:hAnsi="Times New Roman" w:cs="Times New Roman"/>
          <w:b/>
          <w:bCs/>
          <w:sz w:val="24"/>
        </w:rPr>
        <w:t>3.</w:t>
      </w:r>
      <w:r w:rsidR="00315AC4" w:rsidRPr="006D2DED">
        <w:rPr>
          <w:rFonts w:ascii="Times New Roman" w:hAnsi="Times New Roman" w:cs="Times New Roman"/>
          <w:b/>
          <w:bCs/>
          <w:sz w:val="24"/>
        </w:rPr>
        <w:t xml:space="preserve"> PATRIMONIO</w:t>
      </w:r>
      <w:bookmarkEnd w:id="18"/>
    </w:p>
    <w:bookmarkEnd w:id="17"/>
    <w:p w14:paraId="684CF088" w14:textId="27972FD4" w:rsidR="00B005D5" w:rsidRPr="00706093" w:rsidRDefault="00B005D5" w:rsidP="00B005D5">
      <w:pPr>
        <w:jc w:val="both"/>
        <w:rPr>
          <w:rFonts w:ascii="Arial Narrow" w:hAnsi="Arial Narrow"/>
        </w:rPr>
      </w:pPr>
    </w:p>
    <w:p w14:paraId="42B13852" w14:textId="504CA65D" w:rsidR="00424D05" w:rsidRDefault="00424D05" w:rsidP="009D2E75">
      <w:pPr>
        <w:jc w:val="both"/>
        <w:rPr>
          <w:rFonts w:ascii="Times New Roman" w:hAnsi="Times New Roman" w:cs="Times New Roman"/>
          <w:sz w:val="24"/>
          <w:szCs w:val="24"/>
          <w:lang w:eastAsia="es-CO"/>
        </w:rPr>
      </w:pPr>
    </w:p>
    <w:tbl>
      <w:tblPr>
        <w:tblW w:w="5000" w:type="pct"/>
        <w:tblCellMar>
          <w:left w:w="70" w:type="dxa"/>
          <w:right w:w="70" w:type="dxa"/>
        </w:tblCellMar>
        <w:tblLook w:val="04A0" w:firstRow="1" w:lastRow="0" w:firstColumn="1" w:lastColumn="0" w:noHBand="0" w:noVBand="1"/>
      </w:tblPr>
      <w:tblGrid>
        <w:gridCol w:w="3132"/>
        <w:gridCol w:w="1580"/>
        <w:gridCol w:w="1580"/>
        <w:gridCol w:w="1550"/>
        <w:gridCol w:w="986"/>
      </w:tblGrid>
      <w:tr w:rsidR="00424D05" w:rsidRPr="00424D05" w14:paraId="59F1B10C" w14:textId="77777777" w:rsidTr="00894371">
        <w:trPr>
          <w:trHeight w:val="300"/>
        </w:trPr>
        <w:tc>
          <w:tcPr>
            <w:tcW w:w="1812"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23CA6DEB"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Descripción</w:t>
            </w:r>
          </w:p>
        </w:tc>
        <w:tc>
          <w:tcPr>
            <w:tcW w:w="921" w:type="pct"/>
            <w:tcBorders>
              <w:top w:val="single" w:sz="4" w:space="0" w:color="auto"/>
              <w:left w:val="nil"/>
              <w:bottom w:val="single" w:sz="4" w:space="0" w:color="auto"/>
              <w:right w:val="single" w:sz="4" w:space="0" w:color="auto"/>
            </w:tcBorders>
            <w:shd w:val="clear" w:color="000000" w:fill="0070C0"/>
            <w:vAlign w:val="center"/>
            <w:hideMark/>
          </w:tcPr>
          <w:p w14:paraId="27E798D4"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Patrimonio</w:t>
            </w:r>
          </w:p>
        </w:tc>
        <w:tc>
          <w:tcPr>
            <w:tcW w:w="870" w:type="pct"/>
            <w:tcBorders>
              <w:top w:val="single" w:sz="4" w:space="0" w:color="auto"/>
              <w:left w:val="nil"/>
              <w:bottom w:val="single" w:sz="4" w:space="0" w:color="auto"/>
              <w:right w:val="single" w:sz="4" w:space="0" w:color="auto"/>
            </w:tcBorders>
            <w:shd w:val="clear" w:color="000000" w:fill="0070C0"/>
            <w:vAlign w:val="center"/>
            <w:hideMark/>
          </w:tcPr>
          <w:p w14:paraId="7ADEC94A"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Patrimonio</w:t>
            </w:r>
          </w:p>
        </w:tc>
        <w:tc>
          <w:tcPr>
            <w:tcW w:w="789"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4FDD18A3"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Variaciones</w:t>
            </w:r>
          </w:p>
        </w:tc>
        <w:tc>
          <w:tcPr>
            <w:tcW w:w="607"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70070FAF"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Porcentaje</w:t>
            </w:r>
          </w:p>
        </w:tc>
      </w:tr>
      <w:tr w:rsidR="00424D05" w:rsidRPr="00424D05" w14:paraId="0FD0607D" w14:textId="77777777" w:rsidTr="00894371">
        <w:trPr>
          <w:trHeight w:val="480"/>
        </w:trPr>
        <w:tc>
          <w:tcPr>
            <w:tcW w:w="1812" w:type="pct"/>
            <w:vMerge/>
            <w:tcBorders>
              <w:top w:val="single" w:sz="4" w:space="0" w:color="auto"/>
              <w:left w:val="single" w:sz="4" w:space="0" w:color="auto"/>
              <w:bottom w:val="single" w:sz="4" w:space="0" w:color="auto"/>
              <w:right w:val="single" w:sz="4" w:space="0" w:color="auto"/>
            </w:tcBorders>
            <w:vAlign w:val="center"/>
            <w:hideMark/>
          </w:tcPr>
          <w:p w14:paraId="2821F898" w14:textId="77777777" w:rsidR="00424D05" w:rsidRPr="00424D05" w:rsidRDefault="00424D05" w:rsidP="00424D05">
            <w:pPr>
              <w:spacing w:after="0" w:line="240" w:lineRule="auto"/>
              <w:rPr>
                <w:rFonts w:ascii="Times New Roman" w:eastAsia="Times New Roman" w:hAnsi="Times New Roman" w:cs="Times New Roman"/>
                <w:b/>
                <w:bCs/>
                <w:color w:val="FFFFFF"/>
                <w:kern w:val="0"/>
                <w:sz w:val="18"/>
                <w:szCs w:val="18"/>
                <w:lang w:eastAsia="es-CO"/>
                <w14:ligatures w14:val="none"/>
              </w:rPr>
            </w:pPr>
          </w:p>
        </w:tc>
        <w:tc>
          <w:tcPr>
            <w:tcW w:w="921" w:type="pct"/>
            <w:tcBorders>
              <w:top w:val="nil"/>
              <w:left w:val="nil"/>
              <w:bottom w:val="single" w:sz="4" w:space="0" w:color="auto"/>
              <w:right w:val="single" w:sz="4" w:space="0" w:color="auto"/>
            </w:tcBorders>
            <w:shd w:val="clear" w:color="000000" w:fill="0070C0"/>
            <w:vAlign w:val="center"/>
            <w:hideMark/>
          </w:tcPr>
          <w:p w14:paraId="3A4AB3E3"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 xml:space="preserve">marzo de 2026 ($) </w:t>
            </w:r>
          </w:p>
        </w:tc>
        <w:tc>
          <w:tcPr>
            <w:tcW w:w="870" w:type="pct"/>
            <w:tcBorders>
              <w:top w:val="nil"/>
              <w:left w:val="nil"/>
              <w:bottom w:val="single" w:sz="4" w:space="0" w:color="auto"/>
              <w:right w:val="single" w:sz="4" w:space="0" w:color="auto"/>
            </w:tcBorders>
            <w:shd w:val="clear" w:color="000000" w:fill="0070C0"/>
            <w:vAlign w:val="center"/>
            <w:hideMark/>
          </w:tcPr>
          <w:p w14:paraId="5EE3EF0B"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diciembre de 2025 ($)</w:t>
            </w:r>
          </w:p>
        </w:tc>
        <w:tc>
          <w:tcPr>
            <w:tcW w:w="789" w:type="pct"/>
            <w:vMerge/>
            <w:tcBorders>
              <w:top w:val="single" w:sz="4" w:space="0" w:color="auto"/>
              <w:left w:val="single" w:sz="4" w:space="0" w:color="auto"/>
              <w:bottom w:val="single" w:sz="4" w:space="0" w:color="auto"/>
              <w:right w:val="single" w:sz="4" w:space="0" w:color="auto"/>
            </w:tcBorders>
            <w:vAlign w:val="center"/>
            <w:hideMark/>
          </w:tcPr>
          <w:p w14:paraId="69566231" w14:textId="77777777" w:rsidR="00424D05" w:rsidRPr="00424D05" w:rsidRDefault="00424D05" w:rsidP="00424D05">
            <w:pPr>
              <w:spacing w:after="0" w:line="240" w:lineRule="auto"/>
              <w:rPr>
                <w:rFonts w:ascii="Times New Roman" w:eastAsia="Times New Roman" w:hAnsi="Times New Roman" w:cs="Times New Roman"/>
                <w:b/>
                <w:bCs/>
                <w:color w:val="FFFFFF"/>
                <w:kern w:val="0"/>
                <w:sz w:val="18"/>
                <w:szCs w:val="18"/>
                <w:lang w:eastAsia="es-CO"/>
                <w14:ligatures w14:val="none"/>
              </w:rPr>
            </w:pPr>
          </w:p>
        </w:tc>
        <w:tc>
          <w:tcPr>
            <w:tcW w:w="607" w:type="pct"/>
            <w:vMerge/>
            <w:tcBorders>
              <w:top w:val="single" w:sz="4" w:space="0" w:color="auto"/>
              <w:left w:val="single" w:sz="4" w:space="0" w:color="auto"/>
              <w:bottom w:val="single" w:sz="4" w:space="0" w:color="auto"/>
              <w:right w:val="single" w:sz="4" w:space="0" w:color="auto"/>
            </w:tcBorders>
            <w:vAlign w:val="center"/>
            <w:hideMark/>
          </w:tcPr>
          <w:p w14:paraId="3201F2E7" w14:textId="77777777" w:rsidR="00424D05" w:rsidRPr="00424D05" w:rsidRDefault="00424D05" w:rsidP="00424D05">
            <w:pPr>
              <w:spacing w:after="0" w:line="240" w:lineRule="auto"/>
              <w:rPr>
                <w:rFonts w:ascii="Times New Roman" w:eastAsia="Times New Roman" w:hAnsi="Times New Roman" w:cs="Times New Roman"/>
                <w:b/>
                <w:bCs/>
                <w:color w:val="FFFFFF"/>
                <w:kern w:val="0"/>
                <w:sz w:val="18"/>
                <w:szCs w:val="18"/>
                <w:lang w:eastAsia="es-CO"/>
                <w14:ligatures w14:val="none"/>
              </w:rPr>
            </w:pPr>
          </w:p>
        </w:tc>
      </w:tr>
      <w:tr w:rsidR="00424D05" w:rsidRPr="00424D05" w14:paraId="2A49DB75" w14:textId="77777777" w:rsidTr="00894371">
        <w:trPr>
          <w:trHeight w:val="300"/>
        </w:trPr>
        <w:tc>
          <w:tcPr>
            <w:tcW w:w="1812" w:type="pct"/>
            <w:tcBorders>
              <w:top w:val="nil"/>
              <w:left w:val="single" w:sz="4" w:space="0" w:color="auto"/>
              <w:bottom w:val="single" w:sz="4" w:space="0" w:color="auto"/>
              <w:right w:val="single" w:sz="4" w:space="0" w:color="auto"/>
            </w:tcBorders>
            <w:noWrap/>
            <w:vAlign w:val="center"/>
            <w:hideMark/>
          </w:tcPr>
          <w:p w14:paraId="48124359"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Capital fiscal</w:t>
            </w:r>
          </w:p>
        </w:tc>
        <w:tc>
          <w:tcPr>
            <w:tcW w:w="921" w:type="pct"/>
            <w:tcBorders>
              <w:top w:val="nil"/>
              <w:left w:val="nil"/>
              <w:bottom w:val="single" w:sz="4" w:space="0" w:color="auto"/>
              <w:right w:val="single" w:sz="4" w:space="0" w:color="auto"/>
            </w:tcBorders>
            <w:noWrap/>
            <w:vAlign w:val="center"/>
            <w:hideMark/>
          </w:tcPr>
          <w:p w14:paraId="7FAE800D"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13.090.486.611.979 </w:t>
            </w:r>
          </w:p>
        </w:tc>
        <w:tc>
          <w:tcPr>
            <w:tcW w:w="870" w:type="pct"/>
            <w:tcBorders>
              <w:top w:val="nil"/>
              <w:left w:val="nil"/>
              <w:bottom w:val="single" w:sz="4" w:space="0" w:color="auto"/>
              <w:right w:val="single" w:sz="4" w:space="0" w:color="auto"/>
            </w:tcBorders>
            <w:noWrap/>
            <w:vAlign w:val="center"/>
            <w:hideMark/>
          </w:tcPr>
          <w:p w14:paraId="647360F1"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13.090.486.611.979 </w:t>
            </w:r>
          </w:p>
        </w:tc>
        <w:tc>
          <w:tcPr>
            <w:tcW w:w="789" w:type="pct"/>
            <w:tcBorders>
              <w:top w:val="nil"/>
              <w:left w:val="nil"/>
              <w:bottom w:val="single" w:sz="4" w:space="0" w:color="auto"/>
              <w:right w:val="single" w:sz="4" w:space="0" w:color="auto"/>
            </w:tcBorders>
            <w:noWrap/>
            <w:vAlign w:val="center"/>
            <w:hideMark/>
          </w:tcPr>
          <w:p w14:paraId="395ADEE2"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0 </w:t>
            </w:r>
          </w:p>
        </w:tc>
        <w:tc>
          <w:tcPr>
            <w:tcW w:w="607" w:type="pct"/>
            <w:tcBorders>
              <w:top w:val="nil"/>
              <w:left w:val="nil"/>
              <w:bottom w:val="single" w:sz="4" w:space="0" w:color="auto"/>
              <w:right w:val="single" w:sz="4" w:space="0" w:color="auto"/>
            </w:tcBorders>
            <w:noWrap/>
            <w:vAlign w:val="center"/>
            <w:hideMark/>
          </w:tcPr>
          <w:p w14:paraId="6E255C11"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0,00%</w:t>
            </w:r>
          </w:p>
        </w:tc>
      </w:tr>
      <w:tr w:rsidR="00424D05" w:rsidRPr="00424D05" w14:paraId="705CA100" w14:textId="77777777" w:rsidTr="00894371">
        <w:trPr>
          <w:trHeight w:val="300"/>
        </w:trPr>
        <w:tc>
          <w:tcPr>
            <w:tcW w:w="1812" w:type="pct"/>
            <w:tcBorders>
              <w:top w:val="single" w:sz="4" w:space="0" w:color="auto"/>
              <w:left w:val="single" w:sz="4" w:space="0" w:color="auto"/>
              <w:bottom w:val="single" w:sz="4" w:space="0" w:color="auto"/>
              <w:right w:val="single" w:sz="4" w:space="0" w:color="auto"/>
            </w:tcBorders>
            <w:noWrap/>
            <w:vAlign w:val="center"/>
            <w:hideMark/>
          </w:tcPr>
          <w:p w14:paraId="6E74E4E7"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Resultados de ejercicios anteriores</w:t>
            </w:r>
          </w:p>
        </w:tc>
        <w:tc>
          <w:tcPr>
            <w:tcW w:w="921" w:type="pct"/>
            <w:tcBorders>
              <w:top w:val="single" w:sz="4" w:space="0" w:color="auto"/>
              <w:left w:val="nil"/>
              <w:bottom w:val="single" w:sz="4" w:space="0" w:color="auto"/>
              <w:right w:val="single" w:sz="4" w:space="0" w:color="auto"/>
            </w:tcBorders>
            <w:noWrap/>
            <w:vAlign w:val="center"/>
            <w:hideMark/>
          </w:tcPr>
          <w:p w14:paraId="157E641D"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16.681.417.541.062 </w:t>
            </w:r>
          </w:p>
        </w:tc>
        <w:tc>
          <w:tcPr>
            <w:tcW w:w="870" w:type="pct"/>
            <w:tcBorders>
              <w:top w:val="single" w:sz="4" w:space="0" w:color="auto"/>
              <w:left w:val="nil"/>
              <w:bottom w:val="single" w:sz="4" w:space="0" w:color="auto"/>
              <w:right w:val="single" w:sz="4" w:space="0" w:color="auto"/>
            </w:tcBorders>
            <w:noWrap/>
            <w:vAlign w:val="center"/>
            <w:hideMark/>
          </w:tcPr>
          <w:p w14:paraId="2CD3591E"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19.534.764.986.816 </w:t>
            </w:r>
          </w:p>
        </w:tc>
        <w:tc>
          <w:tcPr>
            <w:tcW w:w="789" w:type="pct"/>
            <w:tcBorders>
              <w:top w:val="single" w:sz="4" w:space="0" w:color="auto"/>
              <w:left w:val="nil"/>
              <w:bottom w:val="single" w:sz="4" w:space="0" w:color="auto"/>
              <w:right w:val="single" w:sz="4" w:space="0" w:color="auto"/>
            </w:tcBorders>
            <w:noWrap/>
            <w:vAlign w:val="center"/>
            <w:hideMark/>
          </w:tcPr>
          <w:p w14:paraId="430EB0A9"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-2.853.347.445.754 </w:t>
            </w:r>
          </w:p>
        </w:tc>
        <w:tc>
          <w:tcPr>
            <w:tcW w:w="607" w:type="pct"/>
            <w:tcBorders>
              <w:top w:val="single" w:sz="4" w:space="0" w:color="auto"/>
              <w:left w:val="nil"/>
              <w:bottom w:val="single" w:sz="4" w:space="0" w:color="auto"/>
              <w:right w:val="single" w:sz="4" w:space="0" w:color="auto"/>
            </w:tcBorders>
            <w:noWrap/>
            <w:vAlign w:val="center"/>
            <w:hideMark/>
          </w:tcPr>
          <w:p w14:paraId="259C184A"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-14,61%</w:t>
            </w:r>
          </w:p>
        </w:tc>
      </w:tr>
      <w:tr w:rsidR="00424D05" w:rsidRPr="00424D05" w14:paraId="035A59C7" w14:textId="77777777" w:rsidTr="00894371">
        <w:trPr>
          <w:trHeight w:val="300"/>
        </w:trPr>
        <w:tc>
          <w:tcPr>
            <w:tcW w:w="1812" w:type="pct"/>
            <w:tcBorders>
              <w:top w:val="single" w:sz="4" w:space="0" w:color="auto"/>
              <w:left w:val="single" w:sz="4" w:space="0" w:color="auto"/>
              <w:bottom w:val="single" w:sz="4" w:space="0" w:color="auto"/>
              <w:right w:val="single" w:sz="4" w:space="0" w:color="auto"/>
            </w:tcBorders>
            <w:noWrap/>
            <w:vAlign w:val="center"/>
            <w:hideMark/>
          </w:tcPr>
          <w:p w14:paraId="2C998033"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Resultado del ejercicio</w:t>
            </w:r>
          </w:p>
        </w:tc>
        <w:tc>
          <w:tcPr>
            <w:tcW w:w="921" w:type="pct"/>
            <w:tcBorders>
              <w:top w:val="single" w:sz="4" w:space="0" w:color="auto"/>
              <w:left w:val="nil"/>
              <w:bottom w:val="single" w:sz="4" w:space="0" w:color="auto"/>
              <w:right w:val="single" w:sz="4" w:space="0" w:color="auto"/>
            </w:tcBorders>
            <w:noWrap/>
            <w:vAlign w:val="center"/>
            <w:hideMark/>
          </w:tcPr>
          <w:p w14:paraId="17D80078"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4.934.859.116.374 </w:t>
            </w:r>
          </w:p>
        </w:tc>
        <w:tc>
          <w:tcPr>
            <w:tcW w:w="870" w:type="pct"/>
            <w:tcBorders>
              <w:top w:val="single" w:sz="4" w:space="0" w:color="auto"/>
              <w:left w:val="nil"/>
              <w:bottom w:val="single" w:sz="4" w:space="0" w:color="auto"/>
              <w:right w:val="single" w:sz="4" w:space="0" w:color="auto"/>
            </w:tcBorders>
            <w:noWrap/>
            <w:vAlign w:val="center"/>
            <w:hideMark/>
          </w:tcPr>
          <w:p w14:paraId="5496AA33"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-3.085.795.828.829 </w:t>
            </w:r>
          </w:p>
        </w:tc>
        <w:tc>
          <w:tcPr>
            <w:tcW w:w="789" w:type="pct"/>
            <w:tcBorders>
              <w:top w:val="single" w:sz="4" w:space="0" w:color="auto"/>
              <w:left w:val="nil"/>
              <w:bottom w:val="single" w:sz="4" w:space="0" w:color="auto"/>
              <w:right w:val="single" w:sz="4" w:space="0" w:color="auto"/>
            </w:tcBorders>
            <w:noWrap/>
            <w:vAlign w:val="center"/>
            <w:hideMark/>
          </w:tcPr>
          <w:p w14:paraId="330C3F9E"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8.020.654.945.203 </w:t>
            </w:r>
          </w:p>
        </w:tc>
        <w:tc>
          <w:tcPr>
            <w:tcW w:w="607" w:type="pct"/>
            <w:tcBorders>
              <w:top w:val="single" w:sz="4" w:space="0" w:color="auto"/>
              <w:left w:val="nil"/>
              <w:bottom w:val="single" w:sz="4" w:space="0" w:color="auto"/>
              <w:right w:val="single" w:sz="4" w:space="0" w:color="auto"/>
            </w:tcBorders>
            <w:noWrap/>
            <w:vAlign w:val="center"/>
            <w:hideMark/>
          </w:tcPr>
          <w:p w14:paraId="77F1691C"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-259,92%</w:t>
            </w:r>
          </w:p>
        </w:tc>
      </w:tr>
      <w:tr w:rsidR="00424D05" w:rsidRPr="00424D05" w14:paraId="7681D877" w14:textId="77777777" w:rsidTr="00894371">
        <w:trPr>
          <w:trHeight w:val="300"/>
        </w:trPr>
        <w:tc>
          <w:tcPr>
            <w:tcW w:w="1812" w:type="pct"/>
            <w:tcBorders>
              <w:top w:val="single" w:sz="4" w:space="0" w:color="auto"/>
              <w:left w:val="single" w:sz="4" w:space="0" w:color="auto"/>
              <w:bottom w:val="single" w:sz="4" w:space="0" w:color="auto"/>
              <w:right w:val="single" w:sz="4" w:space="0" w:color="auto"/>
            </w:tcBorders>
            <w:noWrap/>
            <w:vAlign w:val="center"/>
            <w:hideMark/>
          </w:tcPr>
          <w:p w14:paraId="3C32CB7C" w14:textId="77777777" w:rsidR="00424D05" w:rsidRPr="00424D05" w:rsidRDefault="00424D05" w:rsidP="00424D05">
            <w:pPr>
              <w:spacing w:after="0" w:line="240" w:lineRule="auto"/>
              <w:jc w:val="center"/>
              <w:rPr>
                <w:rFonts w:ascii="Times New Roman" w:eastAsia="Times New Roman" w:hAnsi="Times New Roman" w:cs="Times New Roman"/>
                <w:b/>
                <w:bCs/>
                <w:color w:val="000000"/>
                <w:kern w:val="0"/>
                <w:sz w:val="18"/>
                <w:szCs w:val="18"/>
                <w:lang w:eastAsia="es-CO"/>
                <w14:ligatures w14:val="none"/>
              </w:rPr>
            </w:pPr>
            <w:proofErr w:type="gramStart"/>
            <w:r w:rsidRPr="00424D05">
              <w:rPr>
                <w:rFonts w:ascii="Times New Roman" w:eastAsia="Times New Roman" w:hAnsi="Times New Roman" w:cs="Times New Roman"/>
                <w:b/>
                <w:bCs/>
                <w:color w:val="000000"/>
                <w:kern w:val="0"/>
                <w:sz w:val="18"/>
                <w:szCs w:val="18"/>
                <w:lang w:eastAsia="es-CO"/>
                <w14:ligatures w14:val="none"/>
              </w:rPr>
              <w:t>Total  Patrimonio</w:t>
            </w:r>
            <w:proofErr w:type="gramEnd"/>
          </w:p>
        </w:tc>
        <w:tc>
          <w:tcPr>
            <w:tcW w:w="921" w:type="pct"/>
            <w:tcBorders>
              <w:top w:val="single" w:sz="4" w:space="0" w:color="auto"/>
              <w:left w:val="nil"/>
              <w:bottom w:val="single" w:sz="4" w:space="0" w:color="auto"/>
              <w:right w:val="single" w:sz="4" w:space="0" w:color="auto"/>
            </w:tcBorders>
            <w:shd w:val="clear" w:color="000000" w:fill="D9D9D9"/>
            <w:noWrap/>
            <w:vAlign w:val="center"/>
            <w:hideMark/>
          </w:tcPr>
          <w:p w14:paraId="03B523A0"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34.706.763.269.415</w:t>
            </w:r>
          </w:p>
        </w:tc>
        <w:tc>
          <w:tcPr>
            <w:tcW w:w="870" w:type="pct"/>
            <w:tcBorders>
              <w:top w:val="single" w:sz="4" w:space="0" w:color="auto"/>
              <w:left w:val="nil"/>
              <w:bottom w:val="single" w:sz="4" w:space="0" w:color="auto"/>
              <w:right w:val="single" w:sz="4" w:space="0" w:color="auto"/>
            </w:tcBorders>
            <w:shd w:val="clear" w:color="000000" w:fill="D9D9D9"/>
            <w:noWrap/>
            <w:vAlign w:val="center"/>
            <w:hideMark/>
          </w:tcPr>
          <w:p w14:paraId="572460DA"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29.539.455.769.965</w:t>
            </w:r>
          </w:p>
        </w:tc>
        <w:tc>
          <w:tcPr>
            <w:tcW w:w="789" w:type="pct"/>
            <w:tcBorders>
              <w:top w:val="single" w:sz="4" w:space="0" w:color="auto"/>
              <w:left w:val="nil"/>
              <w:bottom w:val="single" w:sz="4" w:space="0" w:color="auto"/>
              <w:right w:val="single" w:sz="4" w:space="0" w:color="auto"/>
            </w:tcBorders>
            <w:shd w:val="clear" w:color="000000" w:fill="D9D9D9"/>
            <w:noWrap/>
            <w:vAlign w:val="center"/>
            <w:hideMark/>
          </w:tcPr>
          <w:p w14:paraId="29A48016"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5.167.307.499.450</w:t>
            </w:r>
          </w:p>
        </w:tc>
        <w:tc>
          <w:tcPr>
            <w:tcW w:w="607" w:type="pct"/>
            <w:tcBorders>
              <w:top w:val="single" w:sz="4" w:space="0" w:color="auto"/>
              <w:left w:val="nil"/>
              <w:bottom w:val="single" w:sz="4" w:space="0" w:color="auto"/>
              <w:right w:val="single" w:sz="4" w:space="0" w:color="auto"/>
            </w:tcBorders>
            <w:shd w:val="clear" w:color="000000" w:fill="D0D0D0"/>
            <w:noWrap/>
            <w:vAlign w:val="center"/>
            <w:hideMark/>
          </w:tcPr>
          <w:p w14:paraId="26D28D42"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17,49%</w:t>
            </w:r>
          </w:p>
        </w:tc>
      </w:tr>
    </w:tbl>
    <w:p w14:paraId="3F256788" w14:textId="16D9F5A3" w:rsidR="00AF0F03" w:rsidRPr="00F16BE0" w:rsidRDefault="00AF0F03" w:rsidP="009D2E75">
      <w:pPr>
        <w:jc w:val="both"/>
        <w:rPr>
          <w:rFonts w:ascii="Times New Roman" w:hAnsi="Times New Roman" w:cs="Times New Roman"/>
          <w:sz w:val="24"/>
          <w:szCs w:val="24"/>
          <w:lang w:eastAsia="es-CO"/>
        </w:rPr>
      </w:pPr>
    </w:p>
    <w:p w14:paraId="71C9355B" w14:textId="2718DD2E" w:rsidR="00B064CC" w:rsidRPr="001B13CE" w:rsidRDefault="005D1968" w:rsidP="009D2E75">
      <w:pPr>
        <w:jc w:val="both"/>
        <w:rPr>
          <w:rFonts w:ascii="Times New Roman" w:hAnsi="Times New Roman" w:cs="Times New Roman"/>
          <w:sz w:val="24"/>
          <w:szCs w:val="24"/>
          <w:lang w:eastAsia="es-CO"/>
        </w:rPr>
      </w:pPr>
      <w:r w:rsidRPr="001B13CE">
        <w:rPr>
          <w:rFonts w:ascii="Times New Roman" w:hAnsi="Times New Roman" w:cs="Times New Roman"/>
          <w:sz w:val="24"/>
          <w:szCs w:val="24"/>
          <w:lang w:eastAsia="es-CO"/>
        </w:rPr>
        <w:t>Resultado de ejercicios anteriores</w:t>
      </w:r>
    </w:p>
    <w:p w14:paraId="5FCEE210" w14:textId="69559942" w:rsidR="0021202D" w:rsidRDefault="001B13CE" w:rsidP="002E3BEA">
      <w:pPr>
        <w:jc w:val="both"/>
        <w:rPr>
          <w:rFonts w:ascii="Times New Roman" w:hAnsi="Times New Roman" w:cs="Times New Roman"/>
          <w:sz w:val="24"/>
          <w:szCs w:val="24"/>
          <w:lang w:eastAsia="es-CO"/>
        </w:rPr>
      </w:pPr>
      <w:r w:rsidRPr="001B13CE">
        <w:rPr>
          <w:rFonts w:ascii="Times New Roman" w:hAnsi="Times New Roman" w:cs="Times New Roman"/>
          <w:sz w:val="24"/>
          <w:szCs w:val="24"/>
          <w:lang w:eastAsia="es-CO"/>
        </w:rPr>
        <w:lastRenderedPageBreak/>
        <w:t xml:space="preserve">Durante el primer trimestre del 2026, </w:t>
      </w:r>
      <w:r w:rsidR="002E3BEA">
        <w:rPr>
          <w:rFonts w:ascii="Times New Roman" w:hAnsi="Times New Roman" w:cs="Times New Roman"/>
          <w:sz w:val="24"/>
          <w:szCs w:val="24"/>
          <w:lang w:eastAsia="es-CO"/>
        </w:rPr>
        <w:t>se efectuó la reclasificación del resultado del ejercicio del período 2025</w:t>
      </w:r>
      <w:r w:rsidR="0021202D">
        <w:rPr>
          <w:rFonts w:ascii="Times New Roman" w:hAnsi="Times New Roman" w:cs="Times New Roman"/>
          <w:sz w:val="24"/>
          <w:szCs w:val="24"/>
          <w:lang w:eastAsia="es-CO"/>
        </w:rPr>
        <w:t>,</w:t>
      </w:r>
      <w:r w:rsidR="002E3BEA">
        <w:rPr>
          <w:rFonts w:ascii="Times New Roman" w:hAnsi="Times New Roman" w:cs="Times New Roman"/>
          <w:sz w:val="24"/>
          <w:szCs w:val="24"/>
          <w:lang w:eastAsia="es-CO"/>
        </w:rPr>
        <w:t xml:space="preserve"> por valor de $</w:t>
      </w:r>
      <w:r w:rsidR="002E3BEA" w:rsidRPr="002E3BEA">
        <w:t xml:space="preserve"> </w:t>
      </w:r>
      <w:r w:rsidR="002E3BEA" w:rsidRPr="002E3BEA">
        <w:rPr>
          <w:rFonts w:ascii="Times New Roman" w:hAnsi="Times New Roman" w:cs="Times New Roman"/>
          <w:sz w:val="24"/>
          <w:szCs w:val="24"/>
          <w:lang w:eastAsia="es-CO"/>
        </w:rPr>
        <w:t>-3.085.795.828.829</w:t>
      </w:r>
      <w:r w:rsidR="0021202D">
        <w:rPr>
          <w:rFonts w:ascii="Times New Roman" w:hAnsi="Times New Roman" w:cs="Times New Roman"/>
          <w:sz w:val="24"/>
          <w:szCs w:val="24"/>
          <w:lang w:eastAsia="es-CO"/>
        </w:rPr>
        <w:t xml:space="preserve"> al código contable </w:t>
      </w:r>
      <w:r w:rsidR="0021202D" w:rsidRPr="0021202D">
        <w:rPr>
          <w:rFonts w:ascii="Times New Roman" w:hAnsi="Times New Roman" w:cs="Times New Roman"/>
          <w:sz w:val="24"/>
          <w:szCs w:val="24"/>
          <w:lang w:eastAsia="es-CO"/>
        </w:rPr>
        <w:t>Pérdidas o déficits acumulados</w:t>
      </w:r>
      <w:r w:rsidR="0021202D">
        <w:rPr>
          <w:rFonts w:ascii="Times New Roman" w:hAnsi="Times New Roman" w:cs="Times New Roman"/>
          <w:sz w:val="24"/>
          <w:szCs w:val="24"/>
          <w:lang w:eastAsia="es-CO"/>
        </w:rPr>
        <w:t>.</w:t>
      </w:r>
    </w:p>
    <w:p w14:paraId="0E25A3A6" w14:textId="0BE19D20" w:rsidR="001B13CE" w:rsidRDefault="0021202D" w:rsidP="002E3BEA">
      <w:pPr>
        <w:jc w:val="both"/>
        <w:rPr>
          <w:rFonts w:ascii="Times New Roman" w:hAnsi="Times New Roman" w:cs="Times New Roman"/>
          <w:sz w:val="24"/>
          <w:szCs w:val="24"/>
          <w:lang w:eastAsia="es-CO"/>
        </w:rPr>
      </w:pPr>
      <w:r>
        <w:rPr>
          <w:rFonts w:ascii="Times New Roman" w:hAnsi="Times New Roman" w:cs="Times New Roman"/>
          <w:sz w:val="24"/>
          <w:szCs w:val="24"/>
          <w:lang w:eastAsia="es-CO"/>
        </w:rPr>
        <w:t>Así mismo,</w:t>
      </w:r>
      <w:r w:rsidRPr="0021202D">
        <w:rPr>
          <w:rFonts w:ascii="Times New Roman" w:hAnsi="Times New Roman" w:cs="Times New Roman"/>
          <w:sz w:val="24"/>
          <w:szCs w:val="24"/>
          <w:lang w:eastAsia="es-CO"/>
        </w:rPr>
        <w:t xml:space="preserve"> </w:t>
      </w:r>
      <w:r w:rsidR="001B13CE" w:rsidRPr="001B13CE">
        <w:rPr>
          <w:rFonts w:ascii="Times New Roman" w:hAnsi="Times New Roman" w:cs="Times New Roman"/>
          <w:sz w:val="24"/>
          <w:szCs w:val="24"/>
          <w:lang w:eastAsia="es-CO"/>
        </w:rPr>
        <w:t>se registraron incrementos</w:t>
      </w:r>
      <w:r w:rsidR="002E3BEA">
        <w:rPr>
          <w:rFonts w:ascii="Times New Roman" w:hAnsi="Times New Roman" w:cs="Times New Roman"/>
          <w:sz w:val="24"/>
          <w:szCs w:val="24"/>
          <w:lang w:eastAsia="es-CO"/>
        </w:rPr>
        <w:t xml:space="preserve"> y </w:t>
      </w:r>
      <w:r w:rsidR="002E3BEA" w:rsidRPr="001B13CE">
        <w:rPr>
          <w:rFonts w:ascii="Times New Roman" w:hAnsi="Times New Roman" w:cs="Times New Roman"/>
          <w:sz w:val="24"/>
          <w:szCs w:val="24"/>
          <w:lang w:eastAsia="es-CO"/>
        </w:rPr>
        <w:t xml:space="preserve">disminuciones </w:t>
      </w:r>
      <w:r w:rsidR="001B13CE" w:rsidRPr="001B13CE">
        <w:rPr>
          <w:rFonts w:ascii="Times New Roman" w:hAnsi="Times New Roman" w:cs="Times New Roman"/>
          <w:sz w:val="24"/>
          <w:szCs w:val="24"/>
          <w:lang w:eastAsia="es-CO"/>
        </w:rPr>
        <w:t>en el código contable Corrección de errores de un periodo contable anterior, por</w:t>
      </w:r>
      <w:r>
        <w:rPr>
          <w:rFonts w:ascii="Times New Roman" w:hAnsi="Times New Roman" w:cs="Times New Roman"/>
          <w:sz w:val="24"/>
          <w:szCs w:val="24"/>
          <w:lang w:eastAsia="es-CO"/>
        </w:rPr>
        <w:t xml:space="preserve"> un</w:t>
      </w:r>
      <w:r w:rsidR="001B13CE" w:rsidRPr="001B13CE">
        <w:rPr>
          <w:rFonts w:ascii="Times New Roman" w:hAnsi="Times New Roman" w:cs="Times New Roman"/>
          <w:sz w:val="24"/>
          <w:szCs w:val="24"/>
          <w:lang w:eastAsia="es-CO"/>
        </w:rPr>
        <w:t xml:space="preserve"> valor neto de $232.448.383.076, originados en los siguientes conceptos:</w:t>
      </w:r>
    </w:p>
    <w:p w14:paraId="390682DC" w14:textId="77777777" w:rsidR="002E3BEA" w:rsidRDefault="002E3BEA" w:rsidP="002E3BEA">
      <w:pPr>
        <w:jc w:val="both"/>
        <w:rPr>
          <w:rFonts w:ascii="Times New Roman" w:hAnsi="Times New Roman" w:cs="Times New Roman"/>
          <w:sz w:val="24"/>
          <w:szCs w:val="24"/>
          <w:lang w:eastAsia="es-CO"/>
        </w:rPr>
      </w:pPr>
      <w:r>
        <w:rPr>
          <w:rFonts w:ascii="Times New Roman" w:hAnsi="Times New Roman" w:cs="Times New Roman"/>
          <w:sz w:val="24"/>
          <w:szCs w:val="24"/>
          <w:lang w:eastAsia="es-CO"/>
        </w:rPr>
        <w:t>Incrementos:</w:t>
      </w:r>
    </w:p>
    <w:p w14:paraId="49D7082A" w14:textId="381D0A08" w:rsidR="002E3BEA" w:rsidRDefault="002E3BEA" w:rsidP="00D46F1F">
      <w:pPr>
        <w:pStyle w:val="Prrafodelista"/>
        <w:numPr>
          <w:ilvl w:val="0"/>
          <w:numId w:val="25"/>
        </w:numPr>
        <w:jc w:val="both"/>
        <w:rPr>
          <w:lang w:eastAsia="es-CO"/>
        </w:rPr>
      </w:pPr>
      <w:r w:rsidRPr="00E42327">
        <w:rPr>
          <w:lang w:eastAsia="es-CO"/>
        </w:rPr>
        <w:t xml:space="preserve">Registro de ajuste </w:t>
      </w:r>
      <w:r>
        <w:rPr>
          <w:lang w:eastAsia="es-CO"/>
        </w:rPr>
        <w:t>por valor de $</w:t>
      </w:r>
      <w:r w:rsidRPr="00E42327">
        <w:rPr>
          <w:lang w:eastAsia="es-CO"/>
        </w:rPr>
        <w:t>170</w:t>
      </w:r>
      <w:r>
        <w:rPr>
          <w:lang w:eastAsia="es-CO"/>
        </w:rPr>
        <w:t>.</w:t>
      </w:r>
      <w:r w:rsidRPr="00E42327">
        <w:rPr>
          <w:lang w:eastAsia="es-CO"/>
        </w:rPr>
        <w:t>010</w:t>
      </w:r>
      <w:r>
        <w:rPr>
          <w:lang w:eastAsia="es-CO"/>
        </w:rPr>
        <w:t>.</w:t>
      </w:r>
      <w:r w:rsidRPr="00E42327">
        <w:rPr>
          <w:lang w:eastAsia="es-CO"/>
        </w:rPr>
        <w:t>452</w:t>
      </w:r>
      <w:r>
        <w:rPr>
          <w:lang w:eastAsia="es-CO"/>
        </w:rPr>
        <w:t>.</w:t>
      </w:r>
      <w:r w:rsidRPr="00E42327">
        <w:rPr>
          <w:lang w:eastAsia="es-CO"/>
        </w:rPr>
        <w:t>766</w:t>
      </w:r>
      <w:r>
        <w:rPr>
          <w:lang w:eastAsia="es-CO"/>
        </w:rPr>
        <w:t xml:space="preserve"> </w:t>
      </w:r>
      <w:r w:rsidRPr="00E42327">
        <w:rPr>
          <w:lang w:eastAsia="es-CO"/>
        </w:rPr>
        <w:t xml:space="preserve">a comprobante </w:t>
      </w:r>
      <w:r>
        <w:rPr>
          <w:lang w:eastAsia="es-CO"/>
        </w:rPr>
        <w:t>contable</w:t>
      </w:r>
      <w:r w:rsidRPr="00E42327">
        <w:rPr>
          <w:lang w:eastAsia="es-CO"/>
        </w:rPr>
        <w:t xml:space="preserve"> de mayo de 2025, correspondiente a la Resolución No. 20253110004365 del 4 de abril de 2025, del proyecto Autopista Conexión Pacífico 3, por materialización del riesgo tarifario</w:t>
      </w:r>
      <w:r>
        <w:rPr>
          <w:lang w:eastAsia="es-CO"/>
        </w:rPr>
        <w:t xml:space="preserve">, subcuenta </w:t>
      </w:r>
      <w:r w:rsidRPr="00F060F8">
        <w:rPr>
          <w:lang w:eastAsia="es-CO"/>
        </w:rPr>
        <w:t>190803 – Encargo fiduciario - fiducia de administración y pagos</w:t>
      </w:r>
      <w:r>
        <w:rPr>
          <w:lang w:eastAsia="es-CO"/>
        </w:rPr>
        <w:t xml:space="preserve">.  Lo anterior debido a que el valor correcto de la operación correspondía a </w:t>
      </w:r>
      <w:r w:rsidRPr="00E42327">
        <w:rPr>
          <w:lang w:eastAsia="es-CO"/>
        </w:rPr>
        <w:t>$1.717.277.300</w:t>
      </w:r>
      <w:r>
        <w:rPr>
          <w:lang w:eastAsia="es-CO"/>
        </w:rPr>
        <w:t xml:space="preserve">; sin embargo, </w:t>
      </w:r>
      <w:r w:rsidRPr="00E42327">
        <w:rPr>
          <w:lang w:eastAsia="es-CO"/>
        </w:rPr>
        <w:t xml:space="preserve">por error de digitación se registró $171.727.730.066. En consecuencia, se </w:t>
      </w:r>
      <w:r>
        <w:rPr>
          <w:lang w:eastAsia="es-CO"/>
        </w:rPr>
        <w:t xml:space="preserve">efectuó </w:t>
      </w:r>
      <w:r w:rsidRPr="00E42327">
        <w:rPr>
          <w:lang w:eastAsia="es-CO"/>
        </w:rPr>
        <w:t>la corrección contra el patrimonio</w:t>
      </w:r>
      <w:r>
        <w:rPr>
          <w:lang w:eastAsia="es-CO"/>
        </w:rPr>
        <w:t xml:space="preserve">, </w:t>
      </w:r>
      <w:r w:rsidRPr="00E42327">
        <w:rPr>
          <w:lang w:eastAsia="es-CO"/>
        </w:rPr>
        <w:t xml:space="preserve">por concepto de errores, </w:t>
      </w:r>
      <w:r>
        <w:rPr>
          <w:lang w:eastAsia="es-CO"/>
        </w:rPr>
        <w:t xml:space="preserve">dado </w:t>
      </w:r>
      <w:r w:rsidRPr="00E42327">
        <w:rPr>
          <w:lang w:eastAsia="es-CO"/>
        </w:rPr>
        <w:t xml:space="preserve">que </w:t>
      </w:r>
      <w:r>
        <w:rPr>
          <w:lang w:eastAsia="es-CO"/>
        </w:rPr>
        <w:t>la</w:t>
      </w:r>
      <w:r w:rsidRPr="00E42327">
        <w:rPr>
          <w:lang w:eastAsia="es-CO"/>
        </w:rPr>
        <w:t xml:space="preserve"> transacción </w:t>
      </w:r>
      <w:r>
        <w:rPr>
          <w:lang w:eastAsia="es-CO"/>
        </w:rPr>
        <w:t>había sido reconocida</w:t>
      </w:r>
      <w:r w:rsidRPr="00E42327">
        <w:rPr>
          <w:lang w:eastAsia="es-CO"/>
        </w:rPr>
        <w:t xml:space="preserve"> en la </w:t>
      </w:r>
      <w:r>
        <w:rPr>
          <w:lang w:eastAsia="es-CO"/>
        </w:rPr>
        <w:t>sub</w:t>
      </w:r>
      <w:r w:rsidRPr="00E42327">
        <w:rPr>
          <w:lang w:eastAsia="es-CO"/>
        </w:rPr>
        <w:t xml:space="preserve">cuenta de gasto 589036 – Garantías contractuales </w:t>
      </w:r>
      <w:r>
        <w:rPr>
          <w:lang w:eastAsia="es-CO"/>
        </w:rPr>
        <w:t>–</w:t>
      </w:r>
      <w:r w:rsidRPr="00E42327">
        <w:rPr>
          <w:lang w:eastAsia="es-CO"/>
        </w:rPr>
        <w:t xml:space="preserve"> concesiones</w:t>
      </w:r>
      <w:r w:rsidR="00D46F1F">
        <w:rPr>
          <w:lang w:eastAsia="es-CO"/>
        </w:rPr>
        <w:t>.</w:t>
      </w:r>
    </w:p>
    <w:p w14:paraId="6BD02F2A" w14:textId="77777777" w:rsidR="00D46F1F" w:rsidRPr="00E42327" w:rsidRDefault="00D46F1F" w:rsidP="00D46F1F">
      <w:pPr>
        <w:pStyle w:val="Prrafodelista"/>
        <w:jc w:val="both"/>
        <w:rPr>
          <w:lang w:eastAsia="es-CO"/>
        </w:rPr>
      </w:pPr>
    </w:p>
    <w:p w14:paraId="59610FB8" w14:textId="2CAE5C70" w:rsidR="002E3BEA" w:rsidRDefault="002E3BEA" w:rsidP="00D46F1F">
      <w:pPr>
        <w:pStyle w:val="Prrafodelista"/>
        <w:numPr>
          <w:ilvl w:val="0"/>
          <w:numId w:val="25"/>
        </w:numPr>
        <w:jc w:val="both"/>
        <w:rPr>
          <w:lang w:eastAsia="es-CO"/>
        </w:rPr>
      </w:pPr>
      <w:r w:rsidRPr="00E42327">
        <w:rPr>
          <w:lang w:eastAsia="es-CO"/>
        </w:rPr>
        <w:t xml:space="preserve">Registro de </w:t>
      </w:r>
      <w:r>
        <w:rPr>
          <w:lang w:eastAsia="es-CO"/>
        </w:rPr>
        <w:t xml:space="preserve">ajuste neto </w:t>
      </w:r>
      <w:r w:rsidRPr="00E42327">
        <w:rPr>
          <w:lang w:eastAsia="es-CO"/>
        </w:rPr>
        <w:t>por</w:t>
      </w:r>
      <w:r>
        <w:rPr>
          <w:lang w:eastAsia="es-CO"/>
        </w:rPr>
        <w:t xml:space="preserve"> valor de </w:t>
      </w:r>
      <w:r w:rsidRPr="00E42327">
        <w:rPr>
          <w:lang w:eastAsia="es-CO"/>
        </w:rPr>
        <w:t>$74.693.234.830</w:t>
      </w:r>
      <w:r>
        <w:rPr>
          <w:lang w:eastAsia="es-CO"/>
        </w:rPr>
        <w:t xml:space="preserve">, </w:t>
      </w:r>
      <w:r w:rsidRPr="00B96C37">
        <w:rPr>
          <w:lang w:eastAsia="es-CO"/>
        </w:rPr>
        <w:t>derivado de la actualización del informe de inversión de la vigencia 2025 del proyecto Troncal Magdalena 1 Puerto Salgar – Barrancabermeja, concesionario AUTOPISTA MAGDALENA MEDIO SAS.</w:t>
      </w:r>
      <w:r>
        <w:rPr>
          <w:lang w:eastAsia="es-CO"/>
        </w:rPr>
        <w:t xml:space="preserve"> </w:t>
      </w:r>
      <w:r w:rsidRPr="00E42327">
        <w:rPr>
          <w:lang w:eastAsia="es-CO"/>
        </w:rPr>
        <w:t xml:space="preserve">Contrato 002-2022, </w:t>
      </w:r>
      <w:r>
        <w:rPr>
          <w:lang w:eastAsia="es-CO"/>
        </w:rPr>
        <w:t>debido a que</w:t>
      </w:r>
      <w:r w:rsidRPr="00E42327">
        <w:rPr>
          <w:lang w:eastAsia="es-CO"/>
        </w:rPr>
        <w:t xml:space="preserve"> la Vicepresidencia </w:t>
      </w:r>
      <w:r>
        <w:rPr>
          <w:lang w:eastAsia="es-CO"/>
        </w:rPr>
        <w:t>Ejecutiva</w:t>
      </w:r>
      <w:r w:rsidRPr="00E42327">
        <w:rPr>
          <w:lang w:eastAsia="es-CO"/>
        </w:rPr>
        <w:t xml:space="preserve"> </w:t>
      </w:r>
      <w:r>
        <w:rPr>
          <w:lang w:eastAsia="es-CO"/>
        </w:rPr>
        <w:t>modificó</w:t>
      </w:r>
      <w:r w:rsidRPr="00E42327">
        <w:rPr>
          <w:lang w:eastAsia="es-CO"/>
        </w:rPr>
        <w:t xml:space="preserve"> el Informe de Inversión </w:t>
      </w:r>
      <w:r>
        <w:rPr>
          <w:lang w:eastAsia="es-CO"/>
        </w:rPr>
        <w:t xml:space="preserve">con </w:t>
      </w:r>
      <w:r w:rsidRPr="00E42327">
        <w:rPr>
          <w:lang w:eastAsia="es-CO"/>
        </w:rPr>
        <w:t>posterior</w:t>
      </w:r>
      <w:r>
        <w:rPr>
          <w:lang w:eastAsia="es-CO"/>
        </w:rPr>
        <w:t>idad</w:t>
      </w:r>
      <w:r w:rsidRPr="00E42327">
        <w:rPr>
          <w:lang w:eastAsia="es-CO"/>
        </w:rPr>
        <w:t xml:space="preserve"> al registro </w:t>
      </w:r>
      <w:r>
        <w:rPr>
          <w:lang w:eastAsia="es-CO"/>
        </w:rPr>
        <w:t>contable</w:t>
      </w:r>
      <w:r w:rsidRPr="00E42327">
        <w:rPr>
          <w:lang w:eastAsia="es-CO"/>
        </w:rPr>
        <w:t xml:space="preserve"> </w:t>
      </w:r>
      <w:r>
        <w:rPr>
          <w:lang w:eastAsia="es-CO"/>
        </w:rPr>
        <w:t>del</w:t>
      </w:r>
      <w:r w:rsidRPr="00E42327">
        <w:rPr>
          <w:lang w:eastAsia="es-CO"/>
        </w:rPr>
        <w:t xml:space="preserve"> Informe de Inversión </w:t>
      </w:r>
      <w:r>
        <w:rPr>
          <w:lang w:eastAsia="es-CO"/>
        </w:rPr>
        <w:t xml:space="preserve">inicialmente </w:t>
      </w:r>
      <w:r w:rsidRPr="00E42327">
        <w:rPr>
          <w:lang w:eastAsia="es-CO"/>
        </w:rPr>
        <w:t>cargado en diciembre de 2025</w:t>
      </w:r>
      <w:r>
        <w:rPr>
          <w:lang w:eastAsia="es-CO"/>
        </w:rPr>
        <w:t>, se afectó como contrapartidas la Red carretera (construcción) por $-</w:t>
      </w:r>
      <w:r w:rsidRPr="00800AED">
        <w:rPr>
          <w:lang w:eastAsia="es-CO"/>
        </w:rPr>
        <w:t>875</w:t>
      </w:r>
      <w:r>
        <w:rPr>
          <w:lang w:eastAsia="es-CO"/>
        </w:rPr>
        <w:t>.</w:t>
      </w:r>
      <w:r w:rsidRPr="00800AED">
        <w:rPr>
          <w:lang w:eastAsia="es-CO"/>
        </w:rPr>
        <w:t>625</w:t>
      </w:r>
      <w:r>
        <w:rPr>
          <w:lang w:eastAsia="es-CO"/>
        </w:rPr>
        <w:t>.</w:t>
      </w:r>
      <w:r w:rsidRPr="00800AED">
        <w:rPr>
          <w:lang w:eastAsia="es-CO"/>
        </w:rPr>
        <w:t>321</w:t>
      </w:r>
      <w:r>
        <w:rPr>
          <w:lang w:eastAsia="es-CO"/>
        </w:rPr>
        <w:t>.</w:t>
      </w:r>
      <w:r w:rsidRPr="00800AED">
        <w:rPr>
          <w:lang w:eastAsia="es-CO"/>
        </w:rPr>
        <w:t>621</w:t>
      </w:r>
      <w:r>
        <w:rPr>
          <w:lang w:eastAsia="es-CO"/>
        </w:rPr>
        <w:t xml:space="preserve">, el </w:t>
      </w:r>
      <w:r w:rsidRPr="00800AED">
        <w:rPr>
          <w:lang w:eastAsia="es-CO"/>
        </w:rPr>
        <w:t xml:space="preserve">Pasivo financiero por acuerdos de concesión (concedente) </w:t>
      </w:r>
      <w:r>
        <w:rPr>
          <w:lang w:eastAsia="es-CO"/>
        </w:rPr>
        <w:t>–</w:t>
      </w:r>
      <w:r w:rsidRPr="00800AED">
        <w:rPr>
          <w:lang w:eastAsia="es-CO"/>
        </w:rPr>
        <w:t xml:space="preserve"> capital</w:t>
      </w:r>
      <w:r>
        <w:rPr>
          <w:lang w:eastAsia="es-CO"/>
        </w:rPr>
        <w:t xml:space="preserve"> por $</w:t>
      </w:r>
      <w:r w:rsidRPr="00800AED">
        <w:rPr>
          <w:lang w:eastAsia="es-CO"/>
        </w:rPr>
        <w:t xml:space="preserve"> 550.844.932.400</w:t>
      </w:r>
      <w:r>
        <w:rPr>
          <w:lang w:eastAsia="es-CO"/>
        </w:rPr>
        <w:t xml:space="preserve"> y el pasivo diferido por $</w:t>
      </w:r>
      <w:r w:rsidRPr="00800AED">
        <w:rPr>
          <w:lang w:eastAsia="es-CO"/>
        </w:rPr>
        <w:t xml:space="preserve"> 399.473.624.051</w:t>
      </w:r>
      <w:r w:rsidR="00D46F1F">
        <w:rPr>
          <w:lang w:eastAsia="es-CO"/>
        </w:rPr>
        <w:t>.</w:t>
      </w:r>
    </w:p>
    <w:p w14:paraId="09BD1A2A" w14:textId="77777777" w:rsidR="00D46F1F" w:rsidRDefault="00D46F1F" w:rsidP="00D46F1F">
      <w:pPr>
        <w:pStyle w:val="Prrafodelista"/>
        <w:rPr>
          <w:lang w:eastAsia="es-CO"/>
        </w:rPr>
      </w:pPr>
    </w:p>
    <w:p w14:paraId="55B7DD99" w14:textId="77777777" w:rsidR="00D46F1F" w:rsidRPr="00E42327" w:rsidRDefault="00D46F1F" w:rsidP="00D46F1F">
      <w:pPr>
        <w:pStyle w:val="Prrafodelista"/>
        <w:jc w:val="both"/>
        <w:rPr>
          <w:lang w:eastAsia="es-CO"/>
        </w:rPr>
      </w:pPr>
    </w:p>
    <w:p w14:paraId="7FFAC4AC" w14:textId="297A3013" w:rsidR="002E3BEA" w:rsidRDefault="002E3BEA" w:rsidP="00D46F1F">
      <w:pPr>
        <w:pStyle w:val="Prrafodelista"/>
        <w:numPr>
          <w:ilvl w:val="0"/>
          <w:numId w:val="25"/>
        </w:numPr>
        <w:jc w:val="both"/>
      </w:pPr>
      <w:r w:rsidRPr="00E42327">
        <w:rPr>
          <w:lang w:eastAsia="es-CO"/>
        </w:rPr>
        <w:t xml:space="preserve">Registro de rendimientos financieros </w:t>
      </w:r>
      <w:r>
        <w:rPr>
          <w:lang w:eastAsia="es-CO"/>
        </w:rPr>
        <w:t xml:space="preserve">correspondientes a </w:t>
      </w:r>
      <w:r w:rsidRPr="00E42327">
        <w:rPr>
          <w:lang w:eastAsia="es-CO"/>
        </w:rPr>
        <w:t>obras menores de</w:t>
      </w:r>
      <w:r>
        <w:rPr>
          <w:lang w:eastAsia="es-CO"/>
        </w:rPr>
        <w:t xml:space="preserve"> la vigencia</w:t>
      </w:r>
      <w:r w:rsidRPr="00E42327">
        <w:rPr>
          <w:lang w:eastAsia="es-CO"/>
        </w:rPr>
        <w:t xml:space="preserve"> 2025</w:t>
      </w:r>
      <w:r>
        <w:rPr>
          <w:lang w:eastAsia="es-CO"/>
        </w:rPr>
        <w:t xml:space="preserve"> </w:t>
      </w:r>
      <w:r w:rsidRPr="00E42327">
        <w:rPr>
          <w:lang w:eastAsia="es-CO"/>
        </w:rPr>
        <w:t xml:space="preserve">del Proyecto Rumichaca </w:t>
      </w:r>
      <w:r>
        <w:rPr>
          <w:lang w:eastAsia="es-CO"/>
        </w:rPr>
        <w:t xml:space="preserve">- </w:t>
      </w:r>
      <w:r w:rsidRPr="00E42327">
        <w:rPr>
          <w:lang w:eastAsia="es-CO"/>
        </w:rPr>
        <w:t xml:space="preserve">Pasto, Contrato 015-2015, </w:t>
      </w:r>
      <w:r w:rsidRPr="00800AED">
        <w:rPr>
          <w:bCs/>
        </w:rPr>
        <w:t xml:space="preserve">CONCESIONARIA VIAL UNIÓN DEL SUR S.A.S, </w:t>
      </w:r>
      <w:r w:rsidRPr="00E42327">
        <w:rPr>
          <w:lang w:eastAsia="es-CO"/>
        </w:rPr>
        <w:t xml:space="preserve">por </w:t>
      </w:r>
      <w:r>
        <w:rPr>
          <w:lang w:eastAsia="es-CO"/>
        </w:rPr>
        <w:t xml:space="preserve">valor de </w:t>
      </w:r>
      <w:r w:rsidRPr="00E42327">
        <w:rPr>
          <w:lang w:eastAsia="es-CO"/>
        </w:rPr>
        <w:t>$1.866.860.360</w:t>
      </w:r>
      <w:r>
        <w:rPr>
          <w:lang w:eastAsia="es-CO"/>
        </w:rPr>
        <w:t>. El a</w:t>
      </w:r>
      <w:r w:rsidRPr="00E42327">
        <w:rPr>
          <w:lang w:eastAsia="es-CO"/>
        </w:rPr>
        <w:t xml:space="preserve">juste </w:t>
      </w:r>
      <w:r>
        <w:rPr>
          <w:lang w:eastAsia="es-CO"/>
        </w:rPr>
        <w:t xml:space="preserve">se originó por el no reconocimiento en el cierre contable 2025, de acuerdo con lo reportado en </w:t>
      </w:r>
      <w:r w:rsidR="00D46F1F">
        <w:rPr>
          <w:lang w:eastAsia="es-CO"/>
        </w:rPr>
        <w:t xml:space="preserve">el </w:t>
      </w:r>
      <w:r w:rsidR="00D46F1F" w:rsidRPr="00E42327">
        <w:rPr>
          <w:lang w:eastAsia="es-CO"/>
        </w:rPr>
        <w:t>Informe</w:t>
      </w:r>
      <w:r w:rsidRPr="00E42327">
        <w:rPr>
          <w:lang w:eastAsia="es-CO"/>
        </w:rPr>
        <w:t xml:space="preserve"> de Inversión bajo el Marco Normativo para Entidades de Gobierno</w:t>
      </w:r>
      <w:r>
        <w:rPr>
          <w:lang w:eastAsia="es-CO"/>
        </w:rPr>
        <w:t>.</w:t>
      </w:r>
    </w:p>
    <w:p w14:paraId="5503DCFD" w14:textId="77777777" w:rsidR="001B13CE" w:rsidRPr="002E3BEA" w:rsidRDefault="001B13CE" w:rsidP="00D46F1F">
      <w:pPr>
        <w:jc w:val="both"/>
        <w:rPr>
          <w:rFonts w:ascii="Times New Roman" w:hAnsi="Times New Roman" w:cs="Times New Roman"/>
          <w:sz w:val="24"/>
          <w:szCs w:val="24"/>
          <w:lang w:val="es-ES" w:eastAsia="es-CO"/>
        </w:rPr>
      </w:pPr>
    </w:p>
    <w:p w14:paraId="1041ACE8" w14:textId="77777777" w:rsidR="001B13CE" w:rsidRPr="005D1968" w:rsidRDefault="001B13CE" w:rsidP="001B13CE">
      <w:pPr>
        <w:jc w:val="both"/>
        <w:rPr>
          <w:rFonts w:ascii="Times New Roman" w:hAnsi="Times New Roman" w:cs="Times New Roman"/>
          <w:sz w:val="24"/>
          <w:szCs w:val="24"/>
          <w:lang w:eastAsia="es-CO"/>
        </w:rPr>
      </w:pPr>
      <w:r w:rsidRPr="005D1968">
        <w:rPr>
          <w:rFonts w:ascii="Times New Roman" w:hAnsi="Times New Roman" w:cs="Times New Roman"/>
          <w:sz w:val="24"/>
          <w:szCs w:val="24"/>
          <w:lang w:eastAsia="es-CO"/>
        </w:rPr>
        <w:t>Disminuciones:</w:t>
      </w:r>
    </w:p>
    <w:p w14:paraId="4292EF56" w14:textId="0558D181" w:rsidR="001B13CE" w:rsidRDefault="001B13CE" w:rsidP="001B13CE">
      <w:pPr>
        <w:pStyle w:val="Prrafodelista"/>
        <w:numPr>
          <w:ilvl w:val="0"/>
          <w:numId w:val="25"/>
        </w:numPr>
        <w:jc w:val="both"/>
        <w:rPr>
          <w:lang w:eastAsia="es-CO"/>
        </w:rPr>
      </w:pPr>
      <w:r>
        <w:t>Registro de a</w:t>
      </w:r>
      <w:r w:rsidRPr="00E01924">
        <w:t xml:space="preserve">juste contable por valor de $-13.072.414.810, correspondiente </w:t>
      </w:r>
      <w:r>
        <w:t xml:space="preserve">a la actualización del </w:t>
      </w:r>
      <w:r w:rsidRPr="00E01924">
        <w:t xml:space="preserve">valor del </w:t>
      </w:r>
      <w:proofErr w:type="spellStart"/>
      <w:r w:rsidRPr="00E01924">
        <w:t>Capex</w:t>
      </w:r>
      <w:proofErr w:type="spellEnd"/>
      <w:r w:rsidRPr="00E01924">
        <w:t xml:space="preserve"> </w:t>
      </w:r>
      <w:r>
        <w:t>(Red carretera</w:t>
      </w:r>
      <w:r w:rsidR="00AE730D">
        <w:t xml:space="preserve"> </w:t>
      </w:r>
      <w:r w:rsidR="003575E6">
        <w:t>servicio</w:t>
      </w:r>
      <w:r>
        <w:t xml:space="preserve">) </w:t>
      </w:r>
      <w:r w:rsidRPr="00E01924">
        <w:t>de</w:t>
      </w:r>
      <w:r>
        <w:t xml:space="preserve"> la vigencia </w:t>
      </w:r>
      <w:r w:rsidRPr="00E01924">
        <w:t>2023 del proyecto de concesión Autopista Con</w:t>
      </w:r>
      <w:r>
        <w:t>exión</w:t>
      </w:r>
      <w:r w:rsidRPr="00E01924">
        <w:t xml:space="preserve"> Pacífico 2, concesionario CONCESION LA PINTADA S.A.S., de acuerdo con el informe de inversión del modo carretero </w:t>
      </w:r>
      <w:r>
        <w:t>según el marco normativo para entidades de gobierno</w:t>
      </w:r>
      <w:r w:rsidRPr="00E01924">
        <w:t>, remitido por la Vicepresidencia Ejecutiva</w:t>
      </w:r>
      <w:r>
        <w:t>, y no reconocido al cierre contable de 2025.</w:t>
      </w:r>
    </w:p>
    <w:p w14:paraId="19F492C8" w14:textId="77777777" w:rsidR="001B13CE" w:rsidRDefault="001B13CE" w:rsidP="001B13CE">
      <w:pPr>
        <w:pStyle w:val="Prrafodelista"/>
        <w:jc w:val="both"/>
        <w:rPr>
          <w:lang w:eastAsia="es-CO"/>
        </w:rPr>
      </w:pPr>
    </w:p>
    <w:p w14:paraId="56AFC2A5" w14:textId="099E8530" w:rsidR="001B13CE" w:rsidRDefault="001B13CE" w:rsidP="001B13CE">
      <w:pPr>
        <w:pStyle w:val="Prrafodelista"/>
        <w:numPr>
          <w:ilvl w:val="0"/>
          <w:numId w:val="25"/>
        </w:numPr>
        <w:jc w:val="both"/>
        <w:rPr>
          <w:lang w:eastAsia="es-CO"/>
        </w:rPr>
      </w:pPr>
      <w:r>
        <w:rPr>
          <w:lang w:eastAsia="es-CO"/>
        </w:rPr>
        <w:lastRenderedPageBreak/>
        <w:t>Registro de</w:t>
      </w:r>
      <w:r w:rsidRPr="005D1968">
        <w:rPr>
          <w:lang w:eastAsia="es-CO"/>
        </w:rPr>
        <w:t xml:space="preserve"> ajuste </w:t>
      </w:r>
      <w:r>
        <w:rPr>
          <w:lang w:eastAsia="es-CO"/>
        </w:rPr>
        <w:t>por valor de $</w:t>
      </w:r>
      <w:r w:rsidR="002E3BEA">
        <w:rPr>
          <w:lang w:eastAsia="es-CO"/>
        </w:rPr>
        <w:t>-</w:t>
      </w:r>
      <w:r w:rsidRPr="00E42327">
        <w:rPr>
          <w:lang w:eastAsia="es-CO"/>
        </w:rPr>
        <w:t>608</w:t>
      </w:r>
      <w:r>
        <w:rPr>
          <w:lang w:eastAsia="es-CO"/>
        </w:rPr>
        <w:t>.</w:t>
      </w:r>
      <w:r w:rsidRPr="00E42327">
        <w:rPr>
          <w:lang w:eastAsia="es-CO"/>
        </w:rPr>
        <w:t>305</w:t>
      </w:r>
      <w:r>
        <w:rPr>
          <w:lang w:eastAsia="es-CO"/>
        </w:rPr>
        <w:t>.</w:t>
      </w:r>
      <w:r w:rsidRPr="00E42327">
        <w:rPr>
          <w:lang w:eastAsia="es-CO"/>
        </w:rPr>
        <w:t>128</w:t>
      </w:r>
      <w:r>
        <w:rPr>
          <w:lang w:eastAsia="es-CO"/>
        </w:rPr>
        <w:t xml:space="preserve">, </w:t>
      </w:r>
      <w:r w:rsidRPr="005D1968">
        <w:rPr>
          <w:lang w:eastAsia="es-CO"/>
        </w:rPr>
        <w:t xml:space="preserve">correspondiente a los egresos generados en el Fondo de Contingencias, subcuenta de Infraestructura, durante el mes de julio de 2025, reportados mediante radicado No. 20256020147193 del 19 de agosto de 2025. </w:t>
      </w:r>
      <w:r>
        <w:rPr>
          <w:lang w:eastAsia="es-CO"/>
        </w:rPr>
        <w:t xml:space="preserve">El registro se efectuó contra un </w:t>
      </w:r>
      <w:r w:rsidRPr="005D1968">
        <w:rPr>
          <w:lang w:eastAsia="es-CO"/>
        </w:rPr>
        <w:t xml:space="preserve">crédito a la </w:t>
      </w:r>
      <w:r>
        <w:rPr>
          <w:lang w:eastAsia="es-CO"/>
        </w:rPr>
        <w:t>sub</w:t>
      </w:r>
      <w:r w:rsidRPr="005D1968">
        <w:rPr>
          <w:lang w:eastAsia="es-CO"/>
        </w:rPr>
        <w:t xml:space="preserve">cuenta 190803 – </w:t>
      </w:r>
      <w:r w:rsidRPr="004C5738">
        <w:rPr>
          <w:lang w:eastAsia="es-CO"/>
        </w:rPr>
        <w:t>Encargo fiduciario - fiducia de administración y pagos</w:t>
      </w:r>
      <w:r w:rsidRPr="005D1968">
        <w:rPr>
          <w:lang w:eastAsia="es-CO"/>
        </w:rPr>
        <w:t>, a nombre de Fiduprevisora S.A., considera</w:t>
      </w:r>
      <w:r>
        <w:rPr>
          <w:lang w:eastAsia="es-CO"/>
        </w:rPr>
        <w:t>ndo que la transacción c</w:t>
      </w:r>
      <w:r w:rsidRPr="005D1968">
        <w:rPr>
          <w:lang w:eastAsia="es-CO"/>
        </w:rPr>
        <w:t>orrespond</w:t>
      </w:r>
      <w:r>
        <w:rPr>
          <w:lang w:eastAsia="es-CO"/>
        </w:rPr>
        <w:t xml:space="preserve">ía a la vigencia 2025 y debió reconocerse </w:t>
      </w:r>
      <w:r w:rsidRPr="005D1968">
        <w:rPr>
          <w:lang w:eastAsia="es-CO"/>
        </w:rPr>
        <w:t>en la cuenta de gasto 580237</w:t>
      </w:r>
      <w:r>
        <w:rPr>
          <w:lang w:eastAsia="es-CO"/>
        </w:rPr>
        <w:t xml:space="preserve"> </w:t>
      </w:r>
      <w:r w:rsidRPr="005D1968">
        <w:rPr>
          <w:lang w:eastAsia="es-CO"/>
        </w:rPr>
        <w:t xml:space="preserve">– </w:t>
      </w:r>
      <w:r w:rsidRPr="004C5738">
        <w:rPr>
          <w:lang w:eastAsia="es-CO"/>
        </w:rPr>
        <w:t>Comisiones sobre recursos entregados en administración</w:t>
      </w:r>
      <w:r>
        <w:rPr>
          <w:lang w:eastAsia="es-CO"/>
        </w:rPr>
        <w:t>.</w:t>
      </w:r>
    </w:p>
    <w:p w14:paraId="2FCB126D" w14:textId="77777777" w:rsidR="001B13CE" w:rsidRPr="00E1494E" w:rsidRDefault="001B13CE" w:rsidP="001B13CE">
      <w:pPr>
        <w:pStyle w:val="Prrafodelista"/>
        <w:jc w:val="both"/>
        <w:rPr>
          <w:lang w:eastAsia="es-CO"/>
        </w:rPr>
      </w:pPr>
    </w:p>
    <w:p w14:paraId="1C8EBB50" w14:textId="21682F9F" w:rsidR="001B13CE" w:rsidRDefault="001B13CE" w:rsidP="001B13CE">
      <w:pPr>
        <w:pStyle w:val="Prrafodelista"/>
        <w:numPr>
          <w:ilvl w:val="0"/>
          <w:numId w:val="25"/>
        </w:numPr>
        <w:jc w:val="both"/>
        <w:rPr>
          <w:lang w:eastAsia="es-CO"/>
        </w:rPr>
      </w:pPr>
      <w:r>
        <w:rPr>
          <w:lang w:eastAsia="es-CO"/>
        </w:rPr>
        <w:t>Registro del</w:t>
      </w:r>
      <w:r w:rsidRPr="005D1968">
        <w:rPr>
          <w:lang w:eastAsia="es-CO"/>
        </w:rPr>
        <w:t xml:space="preserve"> retiro de valores correspondientes a la materialización de riesgos del proyecto Zona Metropolitana de Bucaramanga, informados por el GIT de Riesgos durante la vigencia 2025,</w:t>
      </w:r>
      <w:r>
        <w:rPr>
          <w:lang w:eastAsia="es-CO"/>
        </w:rPr>
        <w:t xml:space="preserve"> subcuenta </w:t>
      </w:r>
      <w:r w:rsidRPr="00F060F8">
        <w:rPr>
          <w:lang w:eastAsia="es-CO"/>
        </w:rPr>
        <w:t>190803 – Encargo fiduciario - fiducia de administración y pagos</w:t>
      </w:r>
      <w:r>
        <w:rPr>
          <w:lang w:eastAsia="es-CO"/>
        </w:rPr>
        <w:t>,</w:t>
      </w:r>
      <w:r w:rsidRPr="005D1968">
        <w:rPr>
          <w:lang w:eastAsia="es-CO"/>
        </w:rPr>
        <w:t xml:space="preserve"> teniendo en cuenta que dicho proyecto se encuentra revertido al INVIAS. El </w:t>
      </w:r>
      <w:r>
        <w:rPr>
          <w:lang w:eastAsia="es-CO"/>
        </w:rPr>
        <w:t xml:space="preserve">ajuste se reconoció </w:t>
      </w:r>
      <w:r w:rsidRPr="005D1968">
        <w:rPr>
          <w:lang w:eastAsia="es-CO"/>
        </w:rPr>
        <w:t xml:space="preserve">contra el patrimonio, </w:t>
      </w:r>
      <w:r>
        <w:rPr>
          <w:lang w:eastAsia="es-CO"/>
        </w:rPr>
        <w:t>por</w:t>
      </w:r>
      <w:r w:rsidRPr="005D1968">
        <w:rPr>
          <w:lang w:eastAsia="es-CO"/>
        </w:rPr>
        <w:t xml:space="preserve"> corrección de errores, d</w:t>
      </w:r>
      <w:r>
        <w:rPr>
          <w:lang w:eastAsia="es-CO"/>
        </w:rPr>
        <w:t xml:space="preserve">ebido a </w:t>
      </w:r>
      <w:r w:rsidRPr="005D1968">
        <w:rPr>
          <w:lang w:eastAsia="es-CO"/>
        </w:rPr>
        <w:t>que correspond</w:t>
      </w:r>
      <w:r>
        <w:rPr>
          <w:lang w:eastAsia="es-CO"/>
        </w:rPr>
        <w:t>ía</w:t>
      </w:r>
      <w:r w:rsidRPr="005D1968">
        <w:rPr>
          <w:lang w:eastAsia="es-CO"/>
        </w:rPr>
        <w:t xml:space="preserve"> a una transacción del año 2025 que no fue </w:t>
      </w:r>
      <w:r>
        <w:rPr>
          <w:lang w:eastAsia="es-CO"/>
        </w:rPr>
        <w:t xml:space="preserve">registrada </w:t>
      </w:r>
      <w:r w:rsidRPr="005D1968">
        <w:rPr>
          <w:lang w:eastAsia="es-CO"/>
        </w:rPr>
        <w:t>oportunamente en la cuenta de gasto 542307 – Bienes entregados sin contraprestación</w:t>
      </w:r>
      <w:r>
        <w:rPr>
          <w:lang w:eastAsia="es-CO"/>
        </w:rPr>
        <w:t>, por valor de $</w:t>
      </w:r>
      <w:r w:rsidR="002E3BEA">
        <w:rPr>
          <w:lang w:eastAsia="es-CO"/>
        </w:rPr>
        <w:t>-</w:t>
      </w:r>
      <w:r w:rsidRPr="00E42327">
        <w:rPr>
          <w:lang w:eastAsia="es-CO"/>
        </w:rPr>
        <w:t>440.564.107</w:t>
      </w:r>
      <w:r>
        <w:rPr>
          <w:lang w:eastAsia="es-CO"/>
        </w:rPr>
        <w:t>.</w:t>
      </w:r>
    </w:p>
    <w:p w14:paraId="31686ACB" w14:textId="77777777" w:rsidR="00D46F1F" w:rsidRDefault="00D46F1F" w:rsidP="00D46F1F">
      <w:pPr>
        <w:pStyle w:val="Prrafodelista"/>
        <w:rPr>
          <w:lang w:eastAsia="es-CO"/>
        </w:rPr>
      </w:pPr>
    </w:p>
    <w:p w14:paraId="2AB4AC21" w14:textId="34F7AE8B" w:rsidR="001B13CE" w:rsidRPr="00E42327" w:rsidRDefault="001B13CE" w:rsidP="001B13CE">
      <w:pPr>
        <w:pStyle w:val="Prrafodelista"/>
        <w:numPr>
          <w:ilvl w:val="0"/>
          <w:numId w:val="25"/>
        </w:numPr>
        <w:jc w:val="both"/>
        <w:rPr>
          <w:lang w:eastAsia="es-CO"/>
        </w:rPr>
      </w:pPr>
      <w:r>
        <w:rPr>
          <w:lang w:eastAsia="es-CO"/>
        </w:rPr>
        <w:t>Registro de n</w:t>
      </w:r>
      <w:r w:rsidRPr="002F00C8">
        <w:rPr>
          <w:lang w:eastAsia="es-CO"/>
        </w:rPr>
        <w:t xml:space="preserve">otas </w:t>
      </w:r>
      <w:r>
        <w:rPr>
          <w:lang w:eastAsia="es-CO"/>
        </w:rPr>
        <w:t>c</w:t>
      </w:r>
      <w:r w:rsidRPr="002F00C8">
        <w:rPr>
          <w:lang w:eastAsia="es-CO"/>
        </w:rPr>
        <w:t xml:space="preserve">rédito de la </w:t>
      </w:r>
      <w:r>
        <w:rPr>
          <w:lang w:eastAsia="es-CO"/>
        </w:rPr>
        <w:t>v</w:t>
      </w:r>
      <w:r w:rsidRPr="002F00C8">
        <w:rPr>
          <w:lang w:eastAsia="es-CO"/>
        </w:rPr>
        <w:t>igencia 2025/</w:t>
      </w:r>
      <w:r>
        <w:rPr>
          <w:lang w:eastAsia="es-CO"/>
        </w:rPr>
        <w:t>noviembre</w:t>
      </w:r>
      <w:r w:rsidRPr="002F00C8">
        <w:rPr>
          <w:lang w:eastAsia="es-CO"/>
        </w:rPr>
        <w:t xml:space="preserve"> del CONSORCIO CTSA – INGERA</w:t>
      </w:r>
      <w:r>
        <w:rPr>
          <w:lang w:eastAsia="es-CO"/>
        </w:rPr>
        <w:t>L por valor de $</w:t>
      </w:r>
      <w:r w:rsidR="002E3BEA">
        <w:rPr>
          <w:lang w:eastAsia="es-CO"/>
        </w:rPr>
        <w:t>-</w:t>
      </w:r>
      <w:r w:rsidRPr="00460819">
        <w:rPr>
          <w:lang w:eastAsia="es-CO"/>
        </w:rPr>
        <w:t>880.836</w:t>
      </w:r>
      <w:r>
        <w:rPr>
          <w:lang w:eastAsia="es-CO"/>
        </w:rPr>
        <w:t>,</w:t>
      </w:r>
      <w:r w:rsidRPr="00460819">
        <w:rPr>
          <w:lang w:eastAsia="es-CO"/>
        </w:rPr>
        <w:t xml:space="preserve"> </w:t>
      </w:r>
      <w:r>
        <w:rPr>
          <w:lang w:eastAsia="es-CO"/>
        </w:rPr>
        <w:t xml:space="preserve">informado por el </w:t>
      </w:r>
      <w:r w:rsidRPr="002F00C8">
        <w:rPr>
          <w:lang w:eastAsia="es-CO"/>
        </w:rPr>
        <w:t>G.I.T. Financiero 1</w:t>
      </w:r>
      <w:r>
        <w:rPr>
          <w:lang w:eastAsia="es-CO"/>
        </w:rPr>
        <w:t xml:space="preserve"> de la Vicepresidencia de Gestión Contractual.</w:t>
      </w:r>
    </w:p>
    <w:p w14:paraId="703C2D13" w14:textId="77777777" w:rsidR="001B13CE" w:rsidRDefault="001B13CE" w:rsidP="001B13CE">
      <w:pPr>
        <w:jc w:val="both"/>
        <w:rPr>
          <w:lang w:eastAsia="es-CO"/>
        </w:rPr>
      </w:pPr>
    </w:p>
    <w:p w14:paraId="4010485A" w14:textId="77777777" w:rsidR="001401E5" w:rsidRDefault="001401E5" w:rsidP="00CF405B">
      <w:pPr>
        <w:jc w:val="both"/>
        <w:rPr>
          <w:rFonts w:ascii="Times New Roman" w:hAnsi="Times New Roman" w:cs="Times New Roman"/>
          <w:sz w:val="24"/>
          <w:szCs w:val="24"/>
          <w:lang w:eastAsia="es-CO"/>
        </w:rPr>
      </w:pPr>
      <w:r w:rsidRPr="001B13CE">
        <w:rPr>
          <w:rFonts w:ascii="Times New Roman" w:hAnsi="Times New Roman" w:cs="Times New Roman"/>
          <w:sz w:val="24"/>
          <w:szCs w:val="24"/>
          <w:lang w:eastAsia="es-CO"/>
        </w:rPr>
        <w:t>Resultado de</w:t>
      </w:r>
      <w:r>
        <w:rPr>
          <w:rFonts w:ascii="Times New Roman" w:hAnsi="Times New Roman" w:cs="Times New Roman"/>
          <w:sz w:val="24"/>
          <w:szCs w:val="24"/>
          <w:lang w:eastAsia="es-CO"/>
        </w:rPr>
        <w:t>l</w:t>
      </w:r>
      <w:r w:rsidRPr="001B13CE">
        <w:rPr>
          <w:rFonts w:ascii="Times New Roman" w:hAnsi="Times New Roman" w:cs="Times New Roman"/>
          <w:sz w:val="24"/>
          <w:szCs w:val="24"/>
          <w:lang w:eastAsia="es-CO"/>
        </w:rPr>
        <w:t xml:space="preserve"> ejercicio</w:t>
      </w:r>
    </w:p>
    <w:p w14:paraId="65BD8712" w14:textId="3C5F156F" w:rsidR="001401E5" w:rsidRDefault="0039204C" w:rsidP="00CF405B">
      <w:pPr>
        <w:jc w:val="both"/>
        <w:rPr>
          <w:rFonts w:ascii="Times New Roman" w:hAnsi="Times New Roman" w:cs="Times New Roman"/>
          <w:sz w:val="24"/>
          <w:szCs w:val="24"/>
          <w:lang w:eastAsia="es-CO"/>
        </w:rPr>
      </w:pPr>
      <w:r>
        <w:rPr>
          <w:rFonts w:ascii="Times New Roman" w:hAnsi="Times New Roman" w:cs="Times New Roman"/>
          <w:sz w:val="24"/>
          <w:szCs w:val="24"/>
          <w:lang w:eastAsia="es-CO"/>
        </w:rPr>
        <w:t>La Agencia recibió en el primer trimestre 2026</w:t>
      </w:r>
      <w:r w:rsidR="00301A69">
        <w:rPr>
          <w:rFonts w:ascii="Times New Roman" w:hAnsi="Times New Roman" w:cs="Times New Roman"/>
          <w:sz w:val="24"/>
          <w:szCs w:val="24"/>
          <w:lang w:eastAsia="es-CO"/>
        </w:rPr>
        <w:t xml:space="preserve"> </w:t>
      </w:r>
      <w:r w:rsidR="00D5631F">
        <w:rPr>
          <w:rFonts w:ascii="Times New Roman" w:hAnsi="Times New Roman" w:cs="Times New Roman"/>
          <w:sz w:val="24"/>
          <w:szCs w:val="24"/>
          <w:lang w:eastAsia="es-CO"/>
        </w:rPr>
        <w:t xml:space="preserve">parte de </w:t>
      </w:r>
      <w:r w:rsidR="00301A69">
        <w:rPr>
          <w:rFonts w:ascii="Times New Roman" w:hAnsi="Times New Roman" w:cs="Times New Roman"/>
          <w:sz w:val="24"/>
          <w:szCs w:val="24"/>
          <w:lang w:eastAsia="es-CO"/>
        </w:rPr>
        <w:t xml:space="preserve">los recursos que no fueron asignados </w:t>
      </w:r>
      <w:r w:rsidR="00104F3F">
        <w:rPr>
          <w:rFonts w:ascii="Times New Roman" w:hAnsi="Times New Roman" w:cs="Times New Roman"/>
          <w:sz w:val="24"/>
          <w:szCs w:val="24"/>
          <w:lang w:eastAsia="es-CO"/>
        </w:rPr>
        <w:t xml:space="preserve">por el </w:t>
      </w:r>
      <w:proofErr w:type="spellStart"/>
      <w:r w:rsidR="00104F3F">
        <w:rPr>
          <w:rFonts w:ascii="Times New Roman" w:hAnsi="Times New Roman" w:cs="Times New Roman"/>
          <w:sz w:val="24"/>
          <w:szCs w:val="24"/>
          <w:lang w:eastAsia="es-CO"/>
        </w:rPr>
        <w:t>M</w:t>
      </w:r>
      <w:r w:rsidR="00104F3F" w:rsidRPr="00104F3F">
        <w:rPr>
          <w:rFonts w:ascii="Times New Roman" w:hAnsi="Times New Roman" w:cs="Times New Roman"/>
          <w:sz w:val="24"/>
          <w:szCs w:val="24"/>
          <w:lang w:eastAsia="es-CO"/>
        </w:rPr>
        <w:t>inhacienda</w:t>
      </w:r>
      <w:proofErr w:type="spellEnd"/>
      <w:r w:rsidR="00104F3F" w:rsidRPr="00104F3F">
        <w:rPr>
          <w:rFonts w:ascii="Times New Roman" w:hAnsi="Times New Roman" w:cs="Times New Roman"/>
          <w:sz w:val="24"/>
          <w:szCs w:val="24"/>
          <w:lang w:eastAsia="es-CO"/>
        </w:rPr>
        <w:t xml:space="preserve"> de ubica</w:t>
      </w:r>
      <w:r w:rsidR="00104F3F">
        <w:rPr>
          <w:rFonts w:ascii="Times New Roman" w:hAnsi="Times New Roman" w:cs="Times New Roman"/>
          <w:sz w:val="24"/>
          <w:szCs w:val="24"/>
          <w:lang w:eastAsia="es-CO"/>
        </w:rPr>
        <w:t>ción d</w:t>
      </w:r>
      <w:r w:rsidR="00104F3F" w:rsidRPr="00104F3F">
        <w:rPr>
          <w:rFonts w:ascii="Times New Roman" w:hAnsi="Times New Roman" w:cs="Times New Roman"/>
          <w:sz w:val="24"/>
          <w:szCs w:val="24"/>
          <w:lang w:eastAsia="es-CO"/>
        </w:rPr>
        <w:t>el PAC para atender los compromisos con el Fondo de Contingencia, el pago de los Aportes Estatales de vigencias futuras para los proyectos carreteros, y el aporte del Convenio Interadministrativo con Finder.</w:t>
      </w:r>
    </w:p>
    <w:p w14:paraId="1AEE4A5C" w14:textId="61C8D94F" w:rsidR="001401E5" w:rsidRDefault="00D5631F" w:rsidP="00CF405B">
      <w:pPr>
        <w:jc w:val="both"/>
        <w:rPr>
          <w:rFonts w:ascii="Times New Roman" w:hAnsi="Times New Roman" w:cs="Times New Roman"/>
          <w:sz w:val="24"/>
          <w:szCs w:val="24"/>
          <w:lang w:eastAsia="es-CO"/>
        </w:rPr>
      </w:pPr>
      <w:r>
        <w:rPr>
          <w:rFonts w:ascii="Times New Roman" w:hAnsi="Times New Roman" w:cs="Times New Roman"/>
          <w:sz w:val="24"/>
          <w:szCs w:val="24"/>
          <w:lang w:eastAsia="es-CO"/>
        </w:rPr>
        <w:t>Así mismo, el resultado se afect</w:t>
      </w:r>
      <w:r w:rsidR="00666CA5">
        <w:rPr>
          <w:rFonts w:ascii="Times New Roman" w:hAnsi="Times New Roman" w:cs="Times New Roman"/>
          <w:sz w:val="24"/>
          <w:szCs w:val="24"/>
          <w:lang w:eastAsia="es-CO"/>
        </w:rPr>
        <w:t>ó</w:t>
      </w:r>
      <w:r>
        <w:rPr>
          <w:rFonts w:ascii="Times New Roman" w:hAnsi="Times New Roman" w:cs="Times New Roman"/>
          <w:sz w:val="24"/>
          <w:szCs w:val="24"/>
          <w:lang w:eastAsia="es-CO"/>
        </w:rPr>
        <w:t xml:space="preserve"> </w:t>
      </w:r>
      <w:r w:rsidR="00C61461">
        <w:rPr>
          <w:rFonts w:ascii="Times New Roman" w:hAnsi="Times New Roman" w:cs="Times New Roman"/>
          <w:sz w:val="24"/>
          <w:szCs w:val="24"/>
          <w:lang w:eastAsia="es-CO"/>
        </w:rPr>
        <w:t xml:space="preserve">de forma positiva </w:t>
      </w:r>
      <w:r w:rsidR="00F40323">
        <w:rPr>
          <w:rFonts w:ascii="Times New Roman" w:hAnsi="Times New Roman" w:cs="Times New Roman"/>
          <w:sz w:val="24"/>
          <w:szCs w:val="24"/>
          <w:lang w:eastAsia="es-CO"/>
        </w:rPr>
        <w:t xml:space="preserve">por el reconocimiento de los ingresos </w:t>
      </w:r>
      <w:r w:rsidR="005B25BF">
        <w:rPr>
          <w:rFonts w:ascii="Times New Roman" w:hAnsi="Times New Roman" w:cs="Times New Roman"/>
          <w:sz w:val="24"/>
          <w:szCs w:val="24"/>
          <w:lang w:eastAsia="es-CO"/>
        </w:rPr>
        <w:t>transferidos</w:t>
      </w:r>
      <w:r w:rsidR="005B25BF" w:rsidRPr="005B25BF">
        <w:rPr>
          <w:rFonts w:ascii="Times New Roman" w:hAnsi="Times New Roman" w:cs="Times New Roman"/>
          <w:sz w:val="24"/>
          <w:szCs w:val="24"/>
          <w:lang w:eastAsia="es-CO"/>
        </w:rPr>
        <w:t xml:space="preserve"> por</w:t>
      </w:r>
      <w:r w:rsidR="005B25BF">
        <w:rPr>
          <w:rFonts w:ascii="Times New Roman" w:hAnsi="Times New Roman" w:cs="Times New Roman"/>
          <w:sz w:val="24"/>
          <w:szCs w:val="24"/>
          <w:lang w:eastAsia="es-CO"/>
        </w:rPr>
        <w:t xml:space="preserve"> el</w:t>
      </w:r>
      <w:r w:rsidR="005B25BF" w:rsidRPr="005B25BF">
        <w:rPr>
          <w:rFonts w:ascii="Times New Roman" w:hAnsi="Times New Roman" w:cs="Times New Roman"/>
          <w:sz w:val="24"/>
          <w:szCs w:val="24"/>
          <w:lang w:eastAsia="es-CO"/>
        </w:rPr>
        <w:t xml:space="preserve"> INVIAS por concepto de contraprestación portuaria.</w:t>
      </w:r>
      <w:r w:rsidR="00C61461">
        <w:rPr>
          <w:rFonts w:ascii="Times New Roman" w:hAnsi="Times New Roman" w:cs="Times New Roman"/>
          <w:sz w:val="24"/>
          <w:szCs w:val="24"/>
          <w:lang w:eastAsia="es-CO"/>
        </w:rPr>
        <w:t xml:space="preserve"> Mientras que también se dieron </w:t>
      </w:r>
      <w:r w:rsidR="0040071D">
        <w:rPr>
          <w:rFonts w:ascii="Times New Roman" w:hAnsi="Times New Roman" w:cs="Times New Roman"/>
          <w:sz w:val="24"/>
          <w:szCs w:val="24"/>
          <w:lang w:eastAsia="es-CO"/>
        </w:rPr>
        <w:t xml:space="preserve">variaciones de </w:t>
      </w:r>
      <w:r w:rsidR="00C61461">
        <w:rPr>
          <w:rFonts w:ascii="Times New Roman" w:hAnsi="Times New Roman" w:cs="Times New Roman"/>
          <w:sz w:val="24"/>
          <w:szCs w:val="24"/>
          <w:lang w:eastAsia="es-CO"/>
        </w:rPr>
        <w:t>incrementos</w:t>
      </w:r>
      <w:r w:rsidR="0040071D">
        <w:rPr>
          <w:rFonts w:ascii="Times New Roman" w:hAnsi="Times New Roman" w:cs="Times New Roman"/>
          <w:sz w:val="24"/>
          <w:szCs w:val="24"/>
          <w:lang w:eastAsia="es-CO"/>
        </w:rPr>
        <w:t xml:space="preserve"> en el</w:t>
      </w:r>
      <w:r w:rsidR="001F6D5F" w:rsidRPr="001F6D5F">
        <w:rPr>
          <w:rFonts w:ascii="Times New Roman" w:hAnsi="Times New Roman" w:cs="Times New Roman"/>
          <w:sz w:val="24"/>
          <w:szCs w:val="24"/>
          <w:lang w:eastAsia="es-CO"/>
        </w:rPr>
        <w:t xml:space="preserve"> gasto</w:t>
      </w:r>
      <w:r w:rsidR="0040071D">
        <w:rPr>
          <w:rFonts w:ascii="Times New Roman" w:hAnsi="Times New Roman" w:cs="Times New Roman"/>
          <w:sz w:val="24"/>
          <w:szCs w:val="24"/>
          <w:lang w:eastAsia="es-CO"/>
        </w:rPr>
        <w:t xml:space="preserve"> por concepto de</w:t>
      </w:r>
      <w:r w:rsidR="001F6D5F" w:rsidRPr="001F6D5F">
        <w:rPr>
          <w:rFonts w:ascii="Times New Roman" w:hAnsi="Times New Roman" w:cs="Times New Roman"/>
          <w:sz w:val="24"/>
          <w:szCs w:val="24"/>
          <w:lang w:eastAsia="es-CO"/>
        </w:rPr>
        <w:t xml:space="preserve"> Deterioro, depreciaciones, amortizaciones y provisiones, por valor de $45.651.486.303, De administración y operación, por valor de $15.691.614.25; y Otros Gastos, por valor de $7.057.953.821.</w:t>
      </w:r>
    </w:p>
    <w:p w14:paraId="433A70A7" w14:textId="42A76A96" w:rsidR="00CF405B" w:rsidRPr="001B13CE" w:rsidRDefault="00CF405B" w:rsidP="00CF405B">
      <w:pPr>
        <w:jc w:val="both"/>
        <w:rPr>
          <w:rFonts w:ascii="Times New Roman" w:hAnsi="Times New Roman" w:cs="Times New Roman"/>
          <w:sz w:val="24"/>
          <w:szCs w:val="24"/>
          <w:lang w:eastAsia="es-MX"/>
        </w:rPr>
      </w:pPr>
    </w:p>
    <w:p w14:paraId="6B03552B" w14:textId="54CD991B" w:rsidR="009B127B" w:rsidRPr="001B13CE" w:rsidRDefault="004B01FF" w:rsidP="00A62894">
      <w:pPr>
        <w:pStyle w:val="Ttulo3"/>
        <w:rPr>
          <w:rFonts w:ascii="Times New Roman" w:hAnsi="Times New Roman" w:cs="Times New Roman"/>
          <w:b/>
          <w:bCs/>
          <w:sz w:val="24"/>
        </w:rPr>
      </w:pPr>
      <w:bookmarkStart w:id="19" w:name="_Toc230185823"/>
      <w:r w:rsidRPr="001B13CE">
        <w:rPr>
          <w:rFonts w:ascii="Times New Roman" w:hAnsi="Times New Roman" w:cs="Times New Roman"/>
          <w:b/>
          <w:bCs/>
          <w:sz w:val="24"/>
        </w:rPr>
        <w:t xml:space="preserve">Nota </w:t>
      </w:r>
      <w:r w:rsidR="009D3BE5" w:rsidRPr="001B13CE">
        <w:rPr>
          <w:rFonts w:ascii="Times New Roman" w:hAnsi="Times New Roman" w:cs="Times New Roman"/>
          <w:b/>
          <w:bCs/>
          <w:sz w:val="24"/>
        </w:rPr>
        <w:t>4.</w:t>
      </w:r>
      <w:r w:rsidR="00035182" w:rsidRPr="001B13CE">
        <w:rPr>
          <w:rFonts w:ascii="Times New Roman" w:hAnsi="Times New Roman" w:cs="Times New Roman"/>
          <w:b/>
          <w:bCs/>
          <w:sz w:val="24"/>
        </w:rPr>
        <w:t xml:space="preserve"> </w:t>
      </w:r>
      <w:r w:rsidR="006A587B" w:rsidRPr="001B13CE">
        <w:rPr>
          <w:rFonts w:ascii="Times New Roman" w:hAnsi="Times New Roman" w:cs="Times New Roman"/>
          <w:b/>
          <w:bCs/>
          <w:sz w:val="24"/>
        </w:rPr>
        <w:t>INGRESOS</w:t>
      </w:r>
      <w:bookmarkEnd w:id="19"/>
    </w:p>
    <w:p w14:paraId="7C6918C7" w14:textId="77777777" w:rsidR="00A62894" w:rsidRDefault="00A62894" w:rsidP="00A62894"/>
    <w:tbl>
      <w:tblPr>
        <w:tblW w:w="5000" w:type="pct"/>
        <w:tblCellMar>
          <w:left w:w="70" w:type="dxa"/>
          <w:right w:w="70" w:type="dxa"/>
        </w:tblCellMar>
        <w:tblLook w:val="04A0" w:firstRow="1" w:lastRow="0" w:firstColumn="1" w:lastColumn="0" w:noHBand="0" w:noVBand="1"/>
      </w:tblPr>
      <w:tblGrid>
        <w:gridCol w:w="3195"/>
        <w:gridCol w:w="1621"/>
        <w:gridCol w:w="1531"/>
        <w:gridCol w:w="1415"/>
        <w:gridCol w:w="1066"/>
      </w:tblGrid>
      <w:tr w:rsidR="00424D05" w:rsidRPr="00424D05" w14:paraId="788B6F54" w14:textId="77777777" w:rsidTr="002F2EFC">
        <w:trPr>
          <w:trHeight w:val="300"/>
          <w:tblHeader/>
        </w:trPr>
        <w:tc>
          <w:tcPr>
            <w:tcW w:w="1809"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44FBB40F"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Descripción</w:t>
            </w:r>
          </w:p>
        </w:tc>
        <w:tc>
          <w:tcPr>
            <w:tcW w:w="918" w:type="pct"/>
            <w:tcBorders>
              <w:top w:val="single" w:sz="4" w:space="0" w:color="auto"/>
              <w:left w:val="nil"/>
              <w:bottom w:val="single" w:sz="4" w:space="0" w:color="auto"/>
              <w:right w:val="single" w:sz="4" w:space="0" w:color="auto"/>
            </w:tcBorders>
            <w:shd w:val="clear" w:color="000000" w:fill="0070C0"/>
            <w:vAlign w:val="center"/>
            <w:hideMark/>
          </w:tcPr>
          <w:p w14:paraId="07378888"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Ingresos</w:t>
            </w:r>
          </w:p>
        </w:tc>
        <w:tc>
          <w:tcPr>
            <w:tcW w:w="867" w:type="pct"/>
            <w:tcBorders>
              <w:top w:val="single" w:sz="4" w:space="0" w:color="auto"/>
              <w:left w:val="nil"/>
              <w:bottom w:val="single" w:sz="4" w:space="0" w:color="auto"/>
              <w:right w:val="single" w:sz="4" w:space="0" w:color="auto"/>
            </w:tcBorders>
            <w:shd w:val="clear" w:color="000000" w:fill="0070C0"/>
            <w:vAlign w:val="center"/>
            <w:hideMark/>
          </w:tcPr>
          <w:p w14:paraId="787D7E27"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Ingresos</w:t>
            </w:r>
          </w:p>
        </w:tc>
        <w:tc>
          <w:tcPr>
            <w:tcW w:w="801"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015D9994"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Variaciones</w:t>
            </w:r>
          </w:p>
        </w:tc>
        <w:tc>
          <w:tcPr>
            <w:tcW w:w="604"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7ED97C88"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Porcentaje</w:t>
            </w:r>
          </w:p>
        </w:tc>
      </w:tr>
      <w:tr w:rsidR="00424D05" w:rsidRPr="00424D05" w14:paraId="1F8DD6FF" w14:textId="77777777" w:rsidTr="002F2EFC">
        <w:trPr>
          <w:trHeight w:val="300"/>
        </w:trPr>
        <w:tc>
          <w:tcPr>
            <w:tcW w:w="1809" w:type="pct"/>
            <w:vMerge/>
            <w:tcBorders>
              <w:top w:val="single" w:sz="4" w:space="0" w:color="auto"/>
              <w:left w:val="single" w:sz="4" w:space="0" w:color="auto"/>
              <w:bottom w:val="single" w:sz="4" w:space="0" w:color="auto"/>
              <w:right w:val="single" w:sz="4" w:space="0" w:color="auto"/>
            </w:tcBorders>
            <w:vAlign w:val="center"/>
            <w:hideMark/>
          </w:tcPr>
          <w:p w14:paraId="183AF3E9" w14:textId="77777777" w:rsidR="00424D05" w:rsidRPr="00424D05" w:rsidRDefault="00424D05" w:rsidP="00424D05">
            <w:pPr>
              <w:spacing w:after="0" w:line="240" w:lineRule="auto"/>
              <w:rPr>
                <w:rFonts w:ascii="Times New Roman" w:eastAsia="Times New Roman" w:hAnsi="Times New Roman" w:cs="Times New Roman"/>
                <w:b/>
                <w:bCs/>
                <w:color w:val="FFFFFF"/>
                <w:kern w:val="0"/>
                <w:sz w:val="18"/>
                <w:szCs w:val="18"/>
                <w:lang w:eastAsia="es-CO"/>
                <w14:ligatures w14:val="none"/>
              </w:rPr>
            </w:pPr>
          </w:p>
        </w:tc>
        <w:tc>
          <w:tcPr>
            <w:tcW w:w="918" w:type="pct"/>
            <w:tcBorders>
              <w:top w:val="nil"/>
              <w:left w:val="nil"/>
              <w:bottom w:val="single" w:sz="4" w:space="0" w:color="auto"/>
              <w:right w:val="single" w:sz="4" w:space="0" w:color="auto"/>
            </w:tcBorders>
            <w:shd w:val="clear" w:color="000000" w:fill="0070C0"/>
            <w:vAlign w:val="center"/>
            <w:hideMark/>
          </w:tcPr>
          <w:p w14:paraId="28ABF801"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 xml:space="preserve">marzo de 2026 ($) </w:t>
            </w:r>
          </w:p>
        </w:tc>
        <w:tc>
          <w:tcPr>
            <w:tcW w:w="867" w:type="pct"/>
            <w:tcBorders>
              <w:top w:val="nil"/>
              <w:left w:val="nil"/>
              <w:bottom w:val="single" w:sz="4" w:space="0" w:color="auto"/>
              <w:right w:val="single" w:sz="4" w:space="0" w:color="auto"/>
            </w:tcBorders>
            <w:shd w:val="clear" w:color="000000" w:fill="0070C0"/>
            <w:vAlign w:val="center"/>
            <w:hideMark/>
          </w:tcPr>
          <w:p w14:paraId="68560757"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 xml:space="preserve">marzo de 2025 ($) </w:t>
            </w: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476491A9" w14:textId="77777777" w:rsidR="00424D05" w:rsidRPr="00424D05" w:rsidRDefault="00424D05" w:rsidP="00424D05">
            <w:pPr>
              <w:spacing w:after="0" w:line="240" w:lineRule="auto"/>
              <w:rPr>
                <w:rFonts w:ascii="Times New Roman" w:eastAsia="Times New Roman" w:hAnsi="Times New Roman" w:cs="Times New Roman"/>
                <w:b/>
                <w:bCs/>
                <w:color w:val="FFFFFF"/>
                <w:kern w:val="0"/>
                <w:sz w:val="18"/>
                <w:szCs w:val="18"/>
                <w:lang w:eastAsia="es-CO"/>
                <w14:ligatures w14:val="none"/>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14:paraId="7834E04D" w14:textId="77777777" w:rsidR="00424D05" w:rsidRPr="00424D05" w:rsidRDefault="00424D05" w:rsidP="00424D05">
            <w:pPr>
              <w:spacing w:after="0" w:line="240" w:lineRule="auto"/>
              <w:rPr>
                <w:rFonts w:ascii="Times New Roman" w:eastAsia="Times New Roman" w:hAnsi="Times New Roman" w:cs="Times New Roman"/>
                <w:b/>
                <w:bCs/>
                <w:color w:val="FFFFFF"/>
                <w:kern w:val="0"/>
                <w:sz w:val="18"/>
                <w:szCs w:val="18"/>
                <w:lang w:eastAsia="es-CO"/>
                <w14:ligatures w14:val="none"/>
              </w:rPr>
            </w:pPr>
          </w:p>
        </w:tc>
      </w:tr>
      <w:tr w:rsidR="00424D05" w:rsidRPr="00424D05" w14:paraId="47FA9215" w14:textId="77777777" w:rsidTr="002F2EFC">
        <w:trPr>
          <w:trHeight w:val="300"/>
        </w:trPr>
        <w:tc>
          <w:tcPr>
            <w:tcW w:w="1809" w:type="pct"/>
            <w:tcBorders>
              <w:top w:val="nil"/>
              <w:left w:val="single" w:sz="4" w:space="0" w:color="auto"/>
              <w:bottom w:val="single" w:sz="4" w:space="0" w:color="auto"/>
              <w:right w:val="single" w:sz="4" w:space="0" w:color="auto"/>
            </w:tcBorders>
            <w:noWrap/>
            <w:vAlign w:val="center"/>
            <w:hideMark/>
          </w:tcPr>
          <w:p w14:paraId="1F7DB334"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Ingresos fiscales</w:t>
            </w:r>
          </w:p>
        </w:tc>
        <w:tc>
          <w:tcPr>
            <w:tcW w:w="918" w:type="pct"/>
            <w:tcBorders>
              <w:top w:val="nil"/>
              <w:left w:val="nil"/>
              <w:bottom w:val="single" w:sz="4" w:space="0" w:color="auto"/>
              <w:right w:val="single" w:sz="4" w:space="0" w:color="auto"/>
            </w:tcBorders>
            <w:noWrap/>
            <w:vAlign w:val="center"/>
            <w:hideMark/>
          </w:tcPr>
          <w:p w14:paraId="34509F11"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59.102.764.481 </w:t>
            </w:r>
          </w:p>
        </w:tc>
        <w:tc>
          <w:tcPr>
            <w:tcW w:w="867" w:type="pct"/>
            <w:tcBorders>
              <w:top w:val="nil"/>
              <w:left w:val="nil"/>
              <w:bottom w:val="single" w:sz="4" w:space="0" w:color="auto"/>
              <w:right w:val="single" w:sz="4" w:space="0" w:color="auto"/>
            </w:tcBorders>
            <w:noWrap/>
            <w:vAlign w:val="center"/>
            <w:hideMark/>
          </w:tcPr>
          <w:p w14:paraId="13F32C77"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49.887.578.730 </w:t>
            </w:r>
          </w:p>
        </w:tc>
        <w:tc>
          <w:tcPr>
            <w:tcW w:w="801" w:type="pct"/>
            <w:tcBorders>
              <w:top w:val="nil"/>
              <w:left w:val="nil"/>
              <w:bottom w:val="single" w:sz="4" w:space="0" w:color="auto"/>
              <w:right w:val="single" w:sz="4" w:space="0" w:color="auto"/>
            </w:tcBorders>
            <w:noWrap/>
            <w:vAlign w:val="center"/>
            <w:hideMark/>
          </w:tcPr>
          <w:p w14:paraId="72FD8A2C"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9.215.185.751 </w:t>
            </w:r>
          </w:p>
        </w:tc>
        <w:tc>
          <w:tcPr>
            <w:tcW w:w="604" w:type="pct"/>
            <w:tcBorders>
              <w:top w:val="nil"/>
              <w:left w:val="nil"/>
              <w:bottom w:val="single" w:sz="4" w:space="0" w:color="auto"/>
              <w:right w:val="single" w:sz="4" w:space="0" w:color="auto"/>
            </w:tcBorders>
            <w:noWrap/>
            <w:vAlign w:val="center"/>
            <w:hideMark/>
          </w:tcPr>
          <w:p w14:paraId="03AABBFD"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18,47%</w:t>
            </w:r>
          </w:p>
        </w:tc>
      </w:tr>
      <w:tr w:rsidR="00424D05" w:rsidRPr="00424D05" w14:paraId="2E9AA8D2" w14:textId="77777777" w:rsidTr="002F2EFC">
        <w:trPr>
          <w:trHeight w:val="300"/>
        </w:trPr>
        <w:tc>
          <w:tcPr>
            <w:tcW w:w="1809" w:type="pct"/>
            <w:tcBorders>
              <w:top w:val="single" w:sz="4" w:space="0" w:color="auto"/>
              <w:left w:val="single" w:sz="4" w:space="0" w:color="auto"/>
              <w:bottom w:val="single" w:sz="4" w:space="0" w:color="auto"/>
              <w:right w:val="single" w:sz="4" w:space="0" w:color="auto"/>
            </w:tcBorders>
            <w:noWrap/>
            <w:vAlign w:val="center"/>
            <w:hideMark/>
          </w:tcPr>
          <w:p w14:paraId="6E986C33"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Operaciones interinstitucionales</w:t>
            </w:r>
          </w:p>
        </w:tc>
        <w:tc>
          <w:tcPr>
            <w:tcW w:w="918" w:type="pct"/>
            <w:tcBorders>
              <w:top w:val="single" w:sz="4" w:space="0" w:color="auto"/>
              <w:left w:val="nil"/>
              <w:bottom w:val="single" w:sz="4" w:space="0" w:color="auto"/>
              <w:right w:val="single" w:sz="4" w:space="0" w:color="auto"/>
            </w:tcBorders>
            <w:noWrap/>
            <w:vAlign w:val="center"/>
            <w:hideMark/>
          </w:tcPr>
          <w:p w14:paraId="687BD1F7"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4.961.516.244.042 </w:t>
            </w:r>
          </w:p>
        </w:tc>
        <w:tc>
          <w:tcPr>
            <w:tcW w:w="867" w:type="pct"/>
            <w:tcBorders>
              <w:top w:val="single" w:sz="4" w:space="0" w:color="auto"/>
              <w:left w:val="nil"/>
              <w:bottom w:val="single" w:sz="4" w:space="0" w:color="auto"/>
              <w:right w:val="single" w:sz="4" w:space="0" w:color="auto"/>
            </w:tcBorders>
            <w:noWrap/>
            <w:vAlign w:val="center"/>
            <w:hideMark/>
          </w:tcPr>
          <w:p w14:paraId="7132F13B"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5.491.131.452.309 </w:t>
            </w:r>
          </w:p>
        </w:tc>
        <w:tc>
          <w:tcPr>
            <w:tcW w:w="801" w:type="pct"/>
            <w:tcBorders>
              <w:top w:val="single" w:sz="4" w:space="0" w:color="auto"/>
              <w:left w:val="nil"/>
              <w:bottom w:val="single" w:sz="4" w:space="0" w:color="auto"/>
              <w:right w:val="single" w:sz="4" w:space="0" w:color="auto"/>
            </w:tcBorders>
            <w:noWrap/>
            <w:vAlign w:val="center"/>
            <w:hideMark/>
          </w:tcPr>
          <w:p w14:paraId="4A5D51FA"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-529.615.208.267 </w:t>
            </w:r>
          </w:p>
        </w:tc>
        <w:tc>
          <w:tcPr>
            <w:tcW w:w="604" w:type="pct"/>
            <w:tcBorders>
              <w:top w:val="single" w:sz="4" w:space="0" w:color="auto"/>
              <w:left w:val="nil"/>
              <w:bottom w:val="single" w:sz="4" w:space="0" w:color="auto"/>
              <w:right w:val="single" w:sz="4" w:space="0" w:color="auto"/>
            </w:tcBorders>
            <w:noWrap/>
            <w:vAlign w:val="center"/>
            <w:hideMark/>
          </w:tcPr>
          <w:p w14:paraId="791ED33C"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-9,64%</w:t>
            </w:r>
          </w:p>
        </w:tc>
      </w:tr>
      <w:tr w:rsidR="00424D05" w:rsidRPr="00424D05" w14:paraId="34849358" w14:textId="77777777" w:rsidTr="002F2EFC">
        <w:trPr>
          <w:trHeight w:val="300"/>
        </w:trPr>
        <w:tc>
          <w:tcPr>
            <w:tcW w:w="1809" w:type="pct"/>
            <w:tcBorders>
              <w:top w:val="single" w:sz="4" w:space="0" w:color="auto"/>
              <w:left w:val="single" w:sz="4" w:space="0" w:color="auto"/>
              <w:bottom w:val="single" w:sz="4" w:space="0" w:color="auto"/>
              <w:right w:val="single" w:sz="4" w:space="0" w:color="auto"/>
            </w:tcBorders>
            <w:noWrap/>
            <w:vAlign w:val="center"/>
            <w:hideMark/>
          </w:tcPr>
          <w:p w14:paraId="7E4B5C39"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Otros ingresos</w:t>
            </w:r>
          </w:p>
        </w:tc>
        <w:tc>
          <w:tcPr>
            <w:tcW w:w="918" w:type="pct"/>
            <w:tcBorders>
              <w:top w:val="single" w:sz="4" w:space="0" w:color="auto"/>
              <w:left w:val="nil"/>
              <w:bottom w:val="single" w:sz="4" w:space="0" w:color="auto"/>
              <w:right w:val="single" w:sz="4" w:space="0" w:color="auto"/>
            </w:tcBorders>
            <w:noWrap/>
            <w:vAlign w:val="center"/>
            <w:hideMark/>
          </w:tcPr>
          <w:p w14:paraId="2C1DF20A"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167.924.552.120 </w:t>
            </w:r>
          </w:p>
        </w:tc>
        <w:tc>
          <w:tcPr>
            <w:tcW w:w="867" w:type="pct"/>
            <w:tcBorders>
              <w:top w:val="single" w:sz="4" w:space="0" w:color="auto"/>
              <w:left w:val="nil"/>
              <w:bottom w:val="single" w:sz="4" w:space="0" w:color="auto"/>
              <w:right w:val="single" w:sz="4" w:space="0" w:color="auto"/>
            </w:tcBorders>
            <w:noWrap/>
            <w:vAlign w:val="center"/>
            <w:hideMark/>
          </w:tcPr>
          <w:p w14:paraId="13DB42E0"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194.369.371.151 </w:t>
            </w:r>
          </w:p>
        </w:tc>
        <w:tc>
          <w:tcPr>
            <w:tcW w:w="801" w:type="pct"/>
            <w:tcBorders>
              <w:top w:val="single" w:sz="4" w:space="0" w:color="auto"/>
              <w:left w:val="nil"/>
              <w:bottom w:val="single" w:sz="4" w:space="0" w:color="auto"/>
              <w:right w:val="single" w:sz="4" w:space="0" w:color="auto"/>
            </w:tcBorders>
            <w:noWrap/>
            <w:vAlign w:val="center"/>
            <w:hideMark/>
          </w:tcPr>
          <w:p w14:paraId="5DA14BA9"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-26.444.819.031 </w:t>
            </w:r>
          </w:p>
        </w:tc>
        <w:tc>
          <w:tcPr>
            <w:tcW w:w="604" w:type="pct"/>
            <w:tcBorders>
              <w:top w:val="single" w:sz="4" w:space="0" w:color="auto"/>
              <w:left w:val="nil"/>
              <w:bottom w:val="single" w:sz="4" w:space="0" w:color="auto"/>
              <w:right w:val="single" w:sz="4" w:space="0" w:color="auto"/>
            </w:tcBorders>
            <w:noWrap/>
            <w:vAlign w:val="center"/>
            <w:hideMark/>
          </w:tcPr>
          <w:p w14:paraId="0FE08CC1"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-13,61%</w:t>
            </w:r>
          </w:p>
        </w:tc>
      </w:tr>
      <w:tr w:rsidR="00424D05" w:rsidRPr="00424D05" w14:paraId="6352BAF4" w14:textId="77777777" w:rsidTr="002F2EFC">
        <w:trPr>
          <w:trHeight w:val="300"/>
        </w:trPr>
        <w:tc>
          <w:tcPr>
            <w:tcW w:w="1809" w:type="pct"/>
            <w:tcBorders>
              <w:top w:val="single" w:sz="4" w:space="0" w:color="auto"/>
              <w:left w:val="single" w:sz="4" w:space="0" w:color="auto"/>
              <w:bottom w:val="single" w:sz="4" w:space="0" w:color="auto"/>
              <w:right w:val="single" w:sz="4" w:space="0" w:color="auto"/>
            </w:tcBorders>
            <w:noWrap/>
            <w:vAlign w:val="center"/>
            <w:hideMark/>
          </w:tcPr>
          <w:p w14:paraId="5D155888" w14:textId="77777777" w:rsidR="00424D05" w:rsidRPr="00424D05" w:rsidRDefault="00424D05" w:rsidP="00424D05">
            <w:pPr>
              <w:spacing w:after="0" w:line="240" w:lineRule="auto"/>
              <w:jc w:val="center"/>
              <w:rPr>
                <w:rFonts w:ascii="Times New Roman" w:eastAsia="Times New Roman" w:hAnsi="Times New Roman" w:cs="Times New Roman"/>
                <w:b/>
                <w:bCs/>
                <w:color w:val="000000"/>
                <w:kern w:val="0"/>
                <w:sz w:val="18"/>
                <w:szCs w:val="18"/>
                <w:lang w:eastAsia="es-CO"/>
                <w14:ligatures w14:val="none"/>
              </w:rPr>
            </w:pPr>
            <w:proofErr w:type="gramStart"/>
            <w:r w:rsidRPr="00424D05">
              <w:rPr>
                <w:rFonts w:ascii="Times New Roman" w:eastAsia="Times New Roman" w:hAnsi="Times New Roman" w:cs="Times New Roman"/>
                <w:b/>
                <w:bCs/>
                <w:color w:val="000000"/>
                <w:kern w:val="0"/>
                <w:sz w:val="18"/>
                <w:szCs w:val="18"/>
                <w:lang w:eastAsia="es-CO"/>
                <w14:ligatures w14:val="none"/>
              </w:rPr>
              <w:t>Total  Ingresos</w:t>
            </w:r>
            <w:proofErr w:type="gramEnd"/>
          </w:p>
        </w:tc>
        <w:tc>
          <w:tcPr>
            <w:tcW w:w="918" w:type="pct"/>
            <w:tcBorders>
              <w:top w:val="single" w:sz="4" w:space="0" w:color="auto"/>
              <w:left w:val="nil"/>
              <w:bottom w:val="single" w:sz="4" w:space="0" w:color="auto"/>
              <w:right w:val="single" w:sz="4" w:space="0" w:color="auto"/>
            </w:tcBorders>
            <w:shd w:val="clear" w:color="000000" w:fill="D9D9D9"/>
            <w:noWrap/>
            <w:vAlign w:val="center"/>
            <w:hideMark/>
          </w:tcPr>
          <w:p w14:paraId="16F230C7"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5.188.543.560.643</w:t>
            </w:r>
          </w:p>
        </w:tc>
        <w:tc>
          <w:tcPr>
            <w:tcW w:w="867" w:type="pct"/>
            <w:tcBorders>
              <w:top w:val="single" w:sz="4" w:space="0" w:color="auto"/>
              <w:left w:val="nil"/>
              <w:bottom w:val="single" w:sz="4" w:space="0" w:color="auto"/>
              <w:right w:val="single" w:sz="4" w:space="0" w:color="auto"/>
            </w:tcBorders>
            <w:shd w:val="clear" w:color="000000" w:fill="D9D9D9"/>
            <w:noWrap/>
            <w:vAlign w:val="center"/>
            <w:hideMark/>
          </w:tcPr>
          <w:p w14:paraId="6445EDD3"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5.735.388.402.189</w:t>
            </w:r>
          </w:p>
        </w:tc>
        <w:tc>
          <w:tcPr>
            <w:tcW w:w="801" w:type="pct"/>
            <w:tcBorders>
              <w:top w:val="single" w:sz="4" w:space="0" w:color="auto"/>
              <w:left w:val="nil"/>
              <w:bottom w:val="single" w:sz="4" w:space="0" w:color="auto"/>
              <w:right w:val="single" w:sz="4" w:space="0" w:color="auto"/>
            </w:tcBorders>
            <w:shd w:val="clear" w:color="000000" w:fill="D9D9D9"/>
            <w:noWrap/>
            <w:vAlign w:val="center"/>
            <w:hideMark/>
          </w:tcPr>
          <w:p w14:paraId="69C1A5F2"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-546.844.841.547</w:t>
            </w:r>
          </w:p>
        </w:tc>
        <w:tc>
          <w:tcPr>
            <w:tcW w:w="604" w:type="pct"/>
            <w:tcBorders>
              <w:top w:val="single" w:sz="4" w:space="0" w:color="auto"/>
              <w:left w:val="nil"/>
              <w:bottom w:val="single" w:sz="4" w:space="0" w:color="auto"/>
              <w:right w:val="single" w:sz="4" w:space="0" w:color="auto"/>
            </w:tcBorders>
            <w:shd w:val="clear" w:color="000000" w:fill="D0D0D0"/>
            <w:noWrap/>
            <w:vAlign w:val="center"/>
            <w:hideMark/>
          </w:tcPr>
          <w:p w14:paraId="45081D24"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-9,53%</w:t>
            </w:r>
          </w:p>
        </w:tc>
      </w:tr>
    </w:tbl>
    <w:p w14:paraId="39359E7F" w14:textId="77777777" w:rsidR="00424D05" w:rsidRPr="00634E63" w:rsidRDefault="00424D05" w:rsidP="00A62894">
      <w:pPr>
        <w:rPr>
          <w:rFonts w:ascii="Times New Roman" w:hAnsi="Times New Roman" w:cs="Times New Roman"/>
          <w:sz w:val="24"/>
          <w:szCs w:val="24"/>
        </w:rPr>
      </w:pPr>
    </w:p>
    <w:p w14:paraId="2D8BCC13" w14:textId="7B9CFBF9" w:rsidR="00634E63" w:rsidRDefault="00634E63" w:rsidP="00F16BE0">
      <w:pPr>
        <w:jc w:val="both"/>
        <w:rPr>
          <w:rFonts w:ascii="Times New Roman" w:hAnsi="Times New Roman" w:cs="Times New Roman"/>
          <w:sz w:val="24"/>
          <w:szCs w:val="24"/>
        </w:rPr>
      </w:pPr>
      <w:r w:rsidRPr="00634E63">
        <w:rPr>
          <w:rFonts w:ascii="Times New Roman" w:hAnsi="Times New Roman" w:cs="Times New Roman"/>
          <w:sz w:val="24"/>
          <w:szCs w:val="24"/>
        </w:rPr>
        <w:t xml:space="preserve">Los ingresos a </w:t>
      </w:r>
      <w:r>
        <w:rPr>
          <w:rFonts w:ascii="Times New Roman" w:hAnsi="Times New Roman" w:cs="Times New Roman"/>
          <w:sz w:val="24"/>
          <w:szCs w:val="24"/>
        </w:rPr>
        <w:t>marzo de 2026</w:t>
      </w:r>
      <w:r w:rsidRPr="00634E63">
        <w:rPr>
          <w:rFonts w:ascii="Times New Roman" w:hAnsi="Times New Roman" w:cs="Times New Roman"/>
          <w:sz w:val="24"/>
          <w:szCs w:val="24"/>
        </w:rPr>
        <w:t xml:space="preserve"> presentan un </w:t>
      </w:r>
      <w:r>
        <w:rPr>
          <w:rFonts w:ascii="Times New Roman" w:hAnsi="Times New Roman" w:cs="Times New Roman"/>
          <w:sz w:val="24"/>
          <w:szCs w:val="24"/>
        </w:rPr>
        <w:t>decremento</w:t>
      </w:r>
      <w:r w:rsidRPr="00634E63">
        <w:rPr>
          <w:rFonts w:ascii="Times New Roman" w:hAnsi="Times New Roman" w:cs="Times New Roman"/>
          <w:sz w:val="24"/>
          <w:szCs w:val="24"/>
        </w:rPr>
        <w:t xml:space="preserve"> </w:t>
      </w:r>
      <w:r>
        <w:rPr>
          <w:rFonts w:ascii="Times New Roman" w:hAnsi="Times New Roman" w:cs="Times New Roman"/>
          <w:sz w:val="24"/>
          <w:szCs w:val="24"/>
        </w:rPr>
        <w:t>9</w:t>
      </w:r>
      <w:r w:rsidRPr="00634E63">
        <w:rPr>
          <w:rFonts w:ascii="Times New Roman" w:hAnsi="Times New Roman" w:cs="Times New Roman"/>
          <w:sz w:val="24"/>
          <w:szCs w:val="24"/>
        </w:rPr>
        <w:t>.</w:t>
      </w:r>
      <w:r>
        <w:rPr>
          <w:rFonts w:ascii="Times New Roman" w:hAnsi="Times New Roman" w:cs="Times New Roman"/>
          <w:sz w:val="24"/>
          <w:szCs w:val="24"/>
        </w:rPr>
        <w:t>53</w:t>
      </w:r>
      <w:r w:rsidRPr="00634E63">
        <w:rPr>
          <w:rFonts w:ascii="Times New Roman" w:hAnsi="Times New Roman" w:cs="Times New Roman"/>
          <w:sz w:val="24"/>
          <w:szCs w:val="24"/>
        </w:rPr>
        <w:t xml:space="preserve">%, con respecto a </w:t>
      </w:r>
      <w:r>
        <w:rPr>
          <w:rFonts w:ascii="Times New Roman" w:hAnsi="Times New Roman" w:cs="Times New Roman"/>
          <w:sz w:val="24"/>
          <w:szCs w:val="24"/>
        </w:rPr>
        <w:t>marzo</w:t>
      </w:r>
      <w:r w:rsidRPr="00634E63">
        <w:rPr>
          <w:rFonts w:ascii="Times New Roman" w:hAnsi="Times New Roman" w:cs="Times New Roman"/>
          <w:sz w:val="24"/>
          <w:szCs w:val="24"/>
        </w:rPr>
        <w:t xml:space="preserve"> de 202</w:t>
      </w:r>
      <w:r>
        <w:rPr>
          <w:rFonts w:ascii="Times New Roman" w:hAnsi="Times New Roman" w:cs="Times New Roman"/>
          <w:sz w:val="24"/>
          <w:szCs w:val="24"/>
        </w:rPr>
        <w:t>5</w:t>
      </w:r>
      <w:r w:rsidRPr="00634E63">
        <w:rPr>
          <w:rFonts w:ascii="Times New Roman" w:hAnsi="Times New Roman" w:cs="Times New Roman"/>
          <w:sz w:val="24"/>
          <w:szCs w:val="24"/>
        </w:rPr>
        <w:t>, y una variación por valor de $-546.844.841.547.  Est</w:t>
      </w:r>
      <w:r>
        <w:rPr>
          <w:rFonts w:ascii="Times New Roman" w:hAnsi="Times New Roman" w:cs="Times New Roman"/>
          <w:sz w:val="24"/>
          <w:szCs w:val="24"/>
        </w:rPr>
        <w:t xml:space="preserve">a disminución se </w:t>
      </w:r>
      <w:r w:rsidR="002F2EFC">
        <w:rPr>
          <w:rFonts w:ascii="Times New Roman" w:hAnsi="Times New Roman" w:cs="Times New Roman"/>
          <w:sz w:val="24"/>
          <w:szCs w:val="24"/>
        </w:rPr>
        <w:t xml:space="preserve">explica </w:t>
      </w:r>
      <w:r w:rsidR="00DB7B14">
        <w:rPr>
          <w:rFonts w:ascii="Times New Roman" w:hAnsi="Times New Roman" w:cs="Times New Roman"/>
          <w:sz w:val="24"/>
          <w:szCs w:val="24"/>
        </w:rPr>
        <w:t xml:space="preserve">principalmente </w:t>
      </w:r>
      <w:r>
        <w:rPr>
          <w:rFonts w:ascii="Times New Roman" w:hAnsi="Times New Roman" w:cs="Times New Roman"/>
          <w:sz w:val="24"/>
          <w:szCs w:val="24"/>
        </w:rPr>
        <w:t xml:space="preserve">por la </w:t>
      </w:r>
      <w:r w:rsidR="002F2EFC">
        <w:rPr>
          <w:rFonts w:ascii="Times New Roman" w:hAnsi="Times New Roman" w:cs="Times New Roman"/>
          <w:sz w:val="24"/>
          <w:szCs w:val="24"/>
        </w:rPr>
        <w:t>reducción</w:t>
      </w:r>
      <w:r>
        <w:rPr>
          <w:rFonts w:ascii="Times New Roman" w:hAnsi="Times New Roman" w:cs="Times New Roman"/>
          <w:sz w:val="24"/>
          <w:szCs w:val="24"/>
        </w:rPr>
        <w:t xml:space="preserve"> </w:t>
      </w:r>
      <w:r w:rsidR="002F2EFC">
        <w:rPr>
          <w:rFonts w:ascii="Times New Roman" w:hAnsi="Times New Roman" w:cs="Times New Roman"/>
          <w:sz w:val="24"/>
          <w:szCs w:val="24"/>
        </w:rPr>
        <w:t>en el</w:t>
      </w:r>
      <w:r>
        <w:rPr>
          <w:rFonts w:ascii="Times New Roman" w:hAnsi="Times New Roman" w:cs="Times New Roman"/>
          <w:sz w:val="24"/>
          <w:szCs w:val="24"/>
        </w:rPr>
        <w:t xml:space="preserve"> </w:t>
      </w:r>
      <w:r w:rsidRPr="00634E63">
        <w:rPr>
          <w:rFonts w:ascii="Times New Roman" w:hAnsi="Times New Roman" w:cs="Times New Roman"/>
          <w:sz w:val="24"/>
          <w:szCs w:val="24"/>
        </w:rPr>
        <w:t>grupo Operaciones interinstitucionales por valor de $-529.615.208.267</w:t>
      </w:r>
      <w:r>
        <w:rPr>
          <w:rFonts w:ascii="Times New Roman" w:hAnsi="Times New Roman" w:cs="Times New Roman"/>
          <w:sz w:val="24"/>
          <w:szCs w:val="24"/>
        </w:rPr>
        <w:t xml:space="preserve">, </w:t>
      </w:r>
      <w:r w:rsidR="002F2EFC">
        <w:rPr>
          <w:rFonts w:ascii="Times New Roman" w:hAnsi="Times New Roman" w:cs="Times New Roman"/>
          <w:sz w:val="24"/>
          <w:szCs w:val="24"/>
        </w:rPr>
        <w:t xml:space="preserve">y en el grupo </w:t>
      </w:r>
      <w:r w:rsidRPr="00634E63">
        <w:rPr>
          <w:rFonts w:ascii="Times New Roman" w:hAnsi="Times New Roman" w:cs="Times New Roman"/>
          <w:sz w:val="24"/>
          <w:szCs w:val="24"/>
        </w:rPr>
        <w:t>Otros ingresos</w:t>
      </w:r>
      <w:r>
        <w:rPr>
          <w:rFonts w:ascii="Times New Roman" w:hAnsi="Times New Roman" w:cs="Times New Roman"/>
          <w:sz w:val="24"/>
          <w:szCs w:val="24"/>
        </w:rPr>
        <w:t xml:space="preserve"> por $</w:t>
      </w:r>
      <w:r w:rsidRPr="00634E63">
        <w:rPr>
          <w:rFonts w:ascii="Times New Roman" w:hAnsi="Times New Roman" w:cs="Times New Roman"/>
          <w:sz w:val="24"/>
          <w:szCs w:val="24"/>
        </w:rPr>
        <w:t>-26.444.819.031</w:t>
      </w:r>
      <w:r w:rsidR="002F2EFC">
        <w:rPr>
          <w:rFonts w:ascii="Times New Roman" w:hAnsi="Times New Roman" w:cs="Times New Roman"/>
          <w:sz w:val="24"/>
          <w:szCs w:val="24"/>
        </w:rPr>
        <w:t>; lo anterior, parcialmente compensado por</w:t>
      </w:r>
      <w:r>
        <w:rPr>
          <w:rFonts w:ascii="Times New Roman" w:hAnsi="Times New Roman" w:cs="Times New Roman"/>
          <w:sz w:val="24"/>
          <w:szCs w:val="24"/>
        </w:rPr>
        <w:t xml:space="preserve"> el incremento </w:t>
      </w:r>
      <w:r w:rsidR="002F2EFC">
        <w:rPr>
          <w:rFonts w:ascii="Times New Roman" w:hAnsi="Times New Roman" w:cs="Times New Roman"/>
          <w:sz w:val="24"/>
          <w:szCs w:val="24"/>
        </w:rPr>
        <w:t>en el</w:t>
      </w:r>
      <w:r>
        <w:rPr>
          <w:rFonts w:ascii="Times New Roman" w:hAnsi="Times New Roman" w:cs="Times New Roman"/>
          <w:sz w:val="24"/>
          <w:szCs w:val="24"/>
        </w:rPr>
        <w:t xml:space="preserve"> grupo Ingresos fiscales por valor de $</w:t>
      </w:r>
      <w:r w:rsidRPr="00634E63">
        <w:rPr>
          <w:rFonts w:ascii="Times New Roman" w:hAnsi="Times New Roman" w:cs="Times New Roman"/>
          <w:sz w:val="24"/>
          <w:szCs w:val="24"/>
        </w:rPr>
        <w:t>9.215.185.751</w:t>
      </w:r>
      <w:r>
        <w:rPr>
          <w:rFonts w:ascii="Times New Roman" w:hAnsi="Times New Roman" w:cs="Times New Roman"/>
          <w:sz w:val="24"/>
          <w:szCs w:val="24"/>
        </w:rPr>
        <w:t>.</w:t>
      </w:r>
    </w:p>
    <w:p w14:paraId="31D1AE6D" w14:textId="77777777" w:rsidR="00F16BE0" w:rsidRDefault="00F16BE0" w:rsidP="00F16BE0">
      <w:pPr>
        <w:jc w:val="both"/>
        <w:rPr>
          <w:rFonts w:ascii="Times New Roman" w:hAnsi="Times New Roman" w:cs="Times New Roman"/>
          <w:sz w:val="24"/>
          <w:szCs w:val="24"/>
        </w:rPr>
      </w:pPr>
    </w:p>
    <w:p w14:paraId="2DCF6147" w14:textId="4E750DBD" w:rsidR="00785F50" w:rsidRDefault="00785F50" w:rsidP="00785F50">
      <w:pPr>
        <w:pStyle w:val="Ttulo3"/>
        <w:rPr>
          <w:rStyle w:val="Fuerte"/>
        </w:rPr>
      </w:pPr>
      <w:bookmarkStart w:id="20" w:name="_Toc230185824"/>
      <w:r w:rsidRPr="00022693">
        <w:rPr>
          <w:rStyle w:val="Fuerte"/>
        </w:rPr>
        <w:t>Operaciones I</w:t>
      </w:r>
      <w:r>
        <w:rPr>
          <w:rStyle w:val="Fuerte"/>
        </w:rPr>
        <w:t>nterinstitucionales</w:t>
      </w:r>
      <w:bookmarkEnd w:id="20"/>
    </w:p>
    <w:p w14:paraId="77B51DC4" w14:textId="77777777" w:rsidR="00785F50" w:rsidRDefault="00785F50" w:rsidP="00F16BE0">
      <w:pPr>
        <w:jc w:val="both"/>
        <w:rPr>
          <w:rFonts w:ascii="Times New Roman" w:hAnsi="Times New Roman" w:cs="Times New Roman"/>
          <w:sz w:val="24"/>
          <w:szCs w:val="24"/>
        </w:rPr>
      </w:pPr>
    </w:p>
    <w:p w14:paraId="07C63FFB" w14:textId="763C2C09" w:rsidR="00F16BE0" w:rsidRDefault="00EA710E" w:rsidP="00F16BE0">
      <w:pPr>
        <w:jc w:val="both"/>
        <w:rPr>
          <w:rFonts w:ascii="Times New Roman" w:hAnsi="Times New Roman" w:cs="Times New Roman"/>
          <w:sz w:val="24"/>
          <w:szCs w:val="24"/>
        </w:rPr>
      </w:pPr>
      <w:r>
        <w:rPr>
          <w:rFonts w:ascii="Times New Roman" w:hAnsi="Times New Roman" w:cs="Times New Roman"/>
          <w:sz w:val="24"/>
          <w:szCs w:val="24"/>
        </w:rPr>
        <w:t>El saldo del</w:t>
      </w:r>
      <w:r w:rsidR="0072333C">
        <w:rPr>
          <w:rFonts w:ascii="Times New Roman" w:hAnsi="Times New Roman" w:cs="Times New Roman"/>
          <w:sz w:val="24"/>
          <w:szCs w:val="24"/>
        </w:rPr>
        <w:t xml:space="preserve"> grupo </w:t>
      </w:r>
      <w:r w:rsidR="0072333C" w:rsidRPr="00634E63">
        <w:rPr>
          <w:rFonts w:ascii="Times New Roman" w:hAnsi="Times New Roman" w:cs="Times New Roman"/>
          <w:sz w:val="24"/>
          <w:szCs w:val="24"/>
        </w:rPr>
        <w:t>Operaciones interinstitucionales</w:t>
      </w:r>
      <w:r w:rsidR="002F2EFC">
        <w:rPr>
          <w:rFonts w:ascii="Times New Roman" w:hAnsi="Times New Roman" w:cs="Times New Roman"/>
          <w:sz w:val="24"/>
          <w:szCs w:val="24"/>
        </w:rPr>
        <w:t>,</w:t>
      </w:r>
      <w:r w:rsidR="001A2205">
        <w:rPr>
          <w:rFonts w:ascii="Times New Roman" w:hAnsi="Times New Roman" w:cs="Times New Roman"/>
          <w:sz w:val="24"/>
          <w:szCs w:val="24"/>
        </w:rPr>
        <w:t xml:space="preserve"> por valor de $</w:t>
      </w:r>
      <w:r w:rsidR="001A2205" w:rsidRPr="001A2205">
        <w:rPr>
          <w:rFonts w:ascii="Times New Roman" w:hAnsi="Times New Roman" w:cs="Times New Roman"/>
          <w:sz w:val="24"/>
          <w:szCs w:val="24"/>
        </w:rPr>
        <w:t xml:space="preserve">4.961.516.244.042 </w:t>
      </w:r>
      <w:r>
        <w:rPr>
          <w:rFonts w:ascii="Times New Roman" w:hAnsi="Times New Roman" w:cs="Times New Roman"/>
          <w:sz w:val="24"/>
          <w:szCs w:val="24"/>
        </w:rPr>
        <w:t>a marzo de 2026, está conformado por las siguientes subcuentas:</w:t>
      </w:r>
    </w:p>
    <w:p w14:paraId="04C517E1" w14:textId="77777777" w:rsidR="00EA710E" w:rsidRDefault="00EA710E" w:rsidP="00F16BE0">
      <w:pPr>
        <w:jc w:val="both"/>
        <w:rPr>
          <w:rFonts w:ascii="Times New Roman" w:hAnsi="Times New Roman" w:cs="Times New Roman"/>
          <w:sz w:val="24"/>
          <w:szCs w:val="24"/>
        </w:rPr>
      </w:pP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2039"/>
        <w:gridCol w:w="4379"/>
        <w:gridCol w:w="2410"/>
      </w:tblGrid>
      <w:tr w:rsidR="00EA710E" w:rsidRPr="00EA710E" w14:paraId="0079B631" w14:textId="77777777" w:rsidTr="00EA710E">
        <w:trPr>
          <w:trHeight w:val="510"/>
          <w:jc w:val="center"/>
        </w:trPr>
        <w:tc>
          <w:tcPr>
            <w:tcW w:w="1155" w:type="pct"/>
            <w:vAlign w:val="center"/>
            <w:hideMark/>
          </w:tcPr>
          <w:p w14:paraId="75830B48" w14:textId="13ABC30A" w:rsidR="00EA710E" w:rsidRPr="00EA710E" w:rsidRDefault="00EA710E" w:rsidP="007153CC">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Pr>
                <w:rFonts w:ascii="Times New Roman" w:eastAsia="Times New Roman" w:hAnsi="Times New Roman" w:cs="Times New Roman"/>
                <w:b/>
                <w:bCs/>
                <w:color w:val="000000"/>
                <w:kern w:val="0"/>
                <w:sz w:val="18"/>
                <w:szCs w:val="18"/>
                <w:lang w:eastAsia="es-CO"/>
                <w14:ligatures w14:val="none"/>
              </w:rPr>
              <w:t>Sub</w:t>
            </w:r>
            <w:r w:rsidRPr="00EA710E">
              <w:rPr>
                <w:rFonts w:ascii="Times New Roman" w:eastAsia="Times New Roman" w:hAnsi="Times New Roman" w:cs="Times New Roman"/>
                <w:b/>
                <w:bCs/>
                <w:color w:val="000000"/>
                <w:kern w:val="0"/>
                <w:sz w:val="18"/>
                <w:szCs w:val="18"/>
                <w:lang w:eastAsia="es-CO"/>
                <w14:ligatures w14:val="none"/>
              </w:rPr>
              <w:t>cuenta</w:t>
            </w:r>
          </w:p>
        </w:tc>
        <w:tc>
          <w:tcPr>
            <w:tcW w:w="2480" w:type="pct"/>
            <w:vAlign w:val="center"/>
            <w:hideMark/>
          </w:tcPr>
          <w:p w14:paraId="3F54C7EF" w14:textId="77777777" w:rsidR="00EA710E" w:rsidRPr="00EA710E" w:rsidRDefault="00EA710E" w:rsidP="007153CC">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EA710E">
              <w:rPr>
                <w:rFonts w:ascii="Times New Roman" w:eastAsia="Times New Roman" w:hAnsi="Times New Roman" w:cs="Times New Roman"/>
                <w:b/>
                <w:bCs/>
                <w:color w:val="000000"/>
                <w:kern w:val="0"/>
                <w:sz w:val="18"/>
                <w:szCs w:val="18"/>
                <w:lang w:eastAsia="es-CO"/>
                <w14:ligatures w14:val="none"/>
              </w:rPr>
              <w:t>Tercero</w:t>
            </w:r>
          </w:p>
        </w:tc>
        <w:tc>
          <w:tcPr>
            <w:tcW w:w="1365" w:type="pct"/>
            <w:vAlign w:val="center"/>
            <w:hideMark/>
          </w:tcPr>
          <w:p w14:paraId="3287028D" w14:textId="2B76AC2B" w:rsidR="00EA710E" w:rsidRPr="00EA710E" w:rsidRDefault="00EA710E" w:rsidP="007153CC">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EA710E">
              <w:rPr>
                <w:rFonts w:ascii="Times New Roman" w:eastAsia="Times New Roman" w:hAnsi="Times New Roman" w:cs="Times New Roman"/>
                <w:b/>
                <w:bCs/>
                <w:color w:val="000000"/>
                <w:kern w:val="0"/>
                <w:sz w:val="18"/>
                <w:szCs w:val="18"/>
                <w:lang w:eastAsia="es-CO"/>
                <w14:ligatures w14:val="none"/>
              </w:rPr>
              <w:t>Valor</w:t>
            </w:r>
            <w:r w:rsidR="00F57A00">
              <w:rPr>
                <w:rFonts w:ascii="Times New Roman" w:eastAsia="Times New Roman" w:hAnsi="Times New Roman" w:cs="Times New Roman"/>
                <w:b/>
                <w:bCs/>
                <w:color w:val="000000"/>
                <w:kern w:val="0"/>
                <w:sz w:val="18"/>
                <w:szCs w:val="18"/>
                <w:lang w:eastAsia="es-CO"/>
                <w14:ligatures w14:val="none"/>
              </w:rPr>
              <w:t xml:space="preserve"> ($)</w:t>
            </w:r>
          </w:p>
        </w:tc>
      </w:tr>
      <w:tr w:rsidR="00EA710E" w:rsidRPr="00EA710E" w14:paraId="0AAEFB83" w14:textId="77777777" w:rsidTr="00EA710E">
        <w:trPr>
          <w:trHeight w:val="300"/>
          <w:jc w:val="center"/>
        </w:trPr>
        <w:tc>
          <w:tcPr>
            <w:tcW w:w="1155" w:type="pct"/>
            <w:hideMark/>
          </w:tcPr>
          <w:p w14:paraId="584F168B" w14:textId="77777777" w:rsidR="00EA710E" w:rsidRPr="00EA710E" w:rsidRDefault="00EA710E" w:rsidP="007153CC">
            <w:pPr>
              <w:spacing w:after="0" w:line="240" w:lineRule="auto"/>
              <w:jc w:val="center"/>
              <w:rPr>
                <w:rFonts w:ascii="Times New Roman" w:eastAsia="Times New Roman" w:hAnsi="Times New Roman" w:cs="Times New Roman"/>
                <w:color w:val="000000"/>
                <w:kern w:val="0"/>
                <w:sz w:val="18"/>
                <w:szCs w:val="18"/>
                <w:lang w:eastAsia="es-CO"/>
                <w14:ligatures w14:val="none"/>
              </w:rPr>
            </w:pPr>
            <w:r w:rsidRPr="00EA710E">
              <w:rPr>
                <w:rFonts w:ascii="Times New Roman" w:eastAsia="Times New Roman" w:hAnsi="Times New Roman" w:cs="Times New Roman"/>
                <w:color w:val="000000"/>
                <w:kern w:val="0"/>
                <w:sz w:val="18"/>
                <w:szCs w:val="18"/>
                <w:lang w:eastAsia="es-CO"/>
                <w14:ligatures w14:val="none"/>
              </w:rPr>
              <w:t>Inversión</w:t>
            </w:r>
          </w:p>
        </w:tc>
        <w:tc>
          <w:tcPr>
            <w:tcW w:w="2480" w:type="pct"/>
            <w:hideMark/>
          </w:tcPr>
          <w:p w14:paraId="6D20BACC" w14:textId="34AEC0E9" w:rsidR="00EA710E" w:rsidRPr="00EA710E" w:rsidRDefault="00EC3A37" w:rsidP="007153CC">
            <w:pPr>
              <w:spacing w:after="0" w:line="240" w:lineRule="auto"/>
              <w:rPr>
                <w:rFonts w:ascii="Times New Roman" w:eastAsia="Times New Roman" w:hAnsi="Times New Roman" w:cs="Times New Roman"/>
                <w:color w:val="000000"/>
                <w:kern w:val="0"/>
                <w:sz w:val="18"/>
                <w:szCs w:val="18"/>
                <w:lang w:eastAsia="es-CO"/>
                <w14:ligatures w14:val="none"/>
              </w:rPr>
            </w:pPr>
            <w:r w:rsidRPr="00EC3A37">
              <w:rPr>
                <w:rFonts w:ascii="Times New Roman" w:eastAsia="Times New Roman" w:hAnsi="Times New Roman" w:cs="Times New Roman"/>
                <w:color w:val="000000"/>
                <w:kern w:val="0"/>
                <w:sz w:val="18"/>
                <w:szCs w:val="18"/>
                <w:lang w:eastAsia="es-CO"/>
                <w14:ligatures w14:val="none"/>
              </w:rPr>
              <w:t>Dirección del Tesoro Nacional – DGCPTN</w:t>
            </w:r>
          </w:p>
        </w:tc>
        <w:tc>
          <w:tcPr>
            <w:tcW w:w="1365" w:type="pct"/>
            <w:vAlign w:val="center"/>
            <w:hideMark/>
          </w:tcPr>
          <w:p w14:paraId="1BAB036C" w14:textId="77777777" w:rsidR="00EA710E" w:rsidRPr="00EA710E" w:rsidRDefault="00EA710E" w:rsidP="00EA710E">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EA710E">
              <w:rPr>
                <w:rFonts w:ascii="Times New Roman" w:eastAsia="Times New Roman" w:hAnsi="Times New Roman" w:cs="Times New Roman"/>
                <w:color w:val="000000"/>
                <w:kern w:val="0"/>
                <w:sz w:val="18"/>
                <w:szCs w:val="18"/>
                <w:lang w:eastAsia="es-CO"/>
                <w14:ligatures w14:val="none"/>
              </w:rPr>
              <w:t>4.440.472.870.665</w:t>
            </w:r>
          </w:p>
        </w:tc>
      </w:tr>
      <w:tr w:rsidR="00EA710E" w:rsidRPr="00EA710E" w14:paraId="007D7704" w14:textId="77777777" w:rsidTr="00EA710E">
        <w:trPr>
          <w:trHeight w:val="300"/>
          <w:jc w:val="center"/>
        </w:trPr>
        <w:tc>
          <w:tcPr>
            <w:tcW w:w="1155" w:type="pct"/>
            <w:hideMark/>
          </w:tcPr>
          <w:p w14:paraId="75F389AF" w14:textId="77777777" w:rsidR="00EA710E" w:rsidRPr="00EA710E" w:rsidRDefault="00EA710E" w:rsidP="007153CC">
            <w:pPr>
              <w:spacing w:after="0" w:line="240" w:lineRule="auto"/>
              <w:jc w:val="center"/>
              <w:rPr>
                <w:rFonts w:ascii="Times New Roman" w:eastAsia="Times New Roman" w:hAnsi="Times New Roman" w:cs="Times New Roman"/>
                <w:color w:val="000000"/>
                <w:kern w:val="0"/>
                <w:sz w:val="18"/>
                <w:szCs w:val="18"/>
                <w:lang w:eastAsia="es-CO"/>
                <w14:ligatures w14:val="none"/>
              </w:rPr>
            </w:pPr>
            <w:r w:rsidRPr="00EA710E">
              <w:rPr>
                <w:rFonts w:ascii="Times New Roman" w:eastAsia="Times New Roman" w:hAnsi="Times New Roman" w:cs="Times New Roman"/>
                <w:color w:val="000000"/>
                <w:kern w:val="0"/>
                <w:sz w:val="18"/>
                <w:szCs w:val="18"/>
                <w:lang w:eastAsia="es-CO"/>
                <w14:ligatures w14:val="none"/>
              </w:rPr>
              <w:t>Servicio de la deuda</w:t>
            </w:r>
          </w:p>
        </w:tc>
        <w:tc>
          <w:tcPr>
            <w:tcW w:w="2480" w:type="pct"/>
            <w:hideMark/>
          </w:tcPr>
          <w:p w14:paraId="1AF5E827" w14:textId="635D2F6D" w:rsidR="00EA710E" w:rsidRPr="00EA710E" w:rsidRDefault="00EC3A37" w:rsidP="007153CC">
            <w:pPr>
              <w:spacing w:after="0" w:line="240" w:lineRule="auto"/>
              <w:rPr>
                <w:rFonts w:ascii="Times New Roman" w:eastAsia="Times New Roman" w:hAnsi="Times New Roman" w:cs="Times New Roman"/>
                <w:color w:val="000000"/>
                <w:kern w:val="0"/>
                <w:sz w:val="18"/>
                <w:szCs w:val="18"/>
                <w:lang w:eastAsia="es-CO"/>
                <w14:ligatures w14:val="none"/>
              </w:rPr>
            </w:pPr>
            <w:r w:rsidRPr="00EC3A37">
              <w:rPr>
                <w:rFonts w:ascii="Times New Roman" w:eastAsia="Times New Roman" w:hAnsi="Times New Roman" w:cs="Times New Roman"/>
                <w:color w:val="000000"/>
                <w:kern w:val="0"/>
                <w:sz w:val="18"/>
                <w:szCs w:val="18"/>
                <w:lang w:eastAsia="es-CO"/>
                <w14:ligatures w14:val="none"/>
              </w:rPr>
              <w:t>Dirección del Tesoro Nacional – DGCPTN</w:t>
            </w:r>
          </w:p>
        </w:tc>
        <w:tc>
          <w:tcPr>
            <w:tcW w:w="1365" w:type="pct"/>
            <w:vAlign w:val="center"/>
            <w:hideMark/>
          </w:tcPr>
          <w:p w14:paraId="66D7D118" w14:textId="77777777" w:rsidR="00EA710E" w:rsidRPr="00EA710E" w:rsidRDefault="00EA710E" w:rsidP="00EA710E">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EA710E">
              <w:rPr>
                <w:rFonts w:ascii="Times New Roman" w:eastAsia="Times New Roman" w:hAnsi="Times New Roman" w:cs="Times New Roman"/>
                <w:color w:val="000000"/>
                <w:kern w:val="0"/>
                <w:sz w:val="18"/>
                <w:szCs w:val="18"/>
                <w:lang w:eastAsia="es-CO"/>
                <w14:ligatures w14:val="none"/>
              </w:rPr>
              <w:t>520.282.355.179</w:t>
            </w:r>
          </w:p>
        </w:tc>
      </w:tr>
      <w:tr w:rsidR="00EA710E" w:rsidRPr="00EA710E" w14:paraId="35E0FA27" w14:textId="77777777" w:rsidTr="00EC3A37">
        <w:trPr>
          <w:trHeight w:val="582"/>
          <w:jc w:val="center"/>
        </w:trPr>
        <w:tc>
          <w:tcPr>
            <w:tcW w:w="1155" w:type="pct"/>
            <w:hideMark/>
          </w:tcPr>
          <w:p w14:paraId="684B7A24" w14:textId="77777777" w:rsidR="00EA710E" w:rsidRPr="00EA710E" w:rsidRDefault="00EA710E" w:rsidP="007153CC">
            <w:pPr>
              <w:spacing w:after="0" w:line="240" w:lineRule="auto"/>
              <w:jc w:val="center"/>
              <w:rPr>
                <w:rFonts w:ascii="Times New Roman" w:eastAsia="Times New Roman" w:hAnsi="Times New Roman" w:cs="Times New Roman"/>
                <w:color w:val="000000"/>
                <w:kern w:val="0"/>
                <w:sz w:val="18"/>
                <w:szCs w:val="18"/>
                <w:lang w:eastAsia="es-CO"/>
                <w14:ligatures w14:val="none"/>
              </w:rPr>
            </w:pPr>
            <w:r w:rsidRPr="00EA710E">
              <w:rPr>
                <w:rFonts w:ascii="Times New Roman" w:eastAsia="Times New Roman" w:hAnsi="Times New Roman" w:cs="Times New Roman"/>
                <w:color w:val="000000"/>
                <w:kern w:val="0"/>
                <w:sz w:val="18"/>
                <w:szCs w:val="18"/>
                <w:lang w:eastAsia="es-CO"/>
                <w14:ligatures w14:val="none"/>
              </w:rPr>
              <w:t>Cruce de cuentas</w:t>
            </w:r>
          </w:p>
        </w:tc>
        <w:tc>
          <w:tcPr>
            <w:tcW w:w="2480" w:type="pct"/>
            <w:hideMark/>
          </w:tcPr>
          <w:p w14:paraId="32999EEE" w14:textId="518E07BB" w:rsidR="00EA710E" w:rsidRPr="00EA710E" w:rsidRDefault="00EC3A37" w:rsidP="007153CC">
            <w:pPr>
              <w:spacing w:after="0" w:line="240" w:lineRule="auto"/>
              <w:rPr>
                <w:rFonts w:ascii="Times New Roman" w:eastAsia="Times New Roman" w:hAnsi="Times New Roman" w:cs="Times New Roman"/>
                <w:color w:val="000000"/>
                <w:kern w:val="0"/>
                <w:sz w:val="18"/>
                <w:szCs w:val="18"/>
                <w:lang w:eastAsia="es-CO"/>
                <w14:ligatures w14:val="none"/>
              </w:rPr>
            </w:pPr>
            <w:r w:rsidRPr="00EC3A37">
              <w:rPr>
                <w:rFonts w:ascii="Times New Roman" w:eastAsia="Times New Roman" w:hAnsi="Times New Roman" w:cs="Times New Roman"/>
                <w:color w:val="000000"/>
                <w:kern w:val="0"/>
                <w:sz w:val="18"/>
                <w:szCs w:val="18"/>
                <w:lang w:eastAsia="es-CO"/>
                <w14:ligatures w14:val="none"/>
              </w:rPr>
              <w:t>UAE Dirección de Impuestos y Aduanas Nacionales – DIAN</w:t>
            </w:r>
          </w:p>
        </w:tc>
        <w:tc>
          <w:tcPr>
            <w:tcW w:w="1365" w:type="pct"/>
            <w:vAlign w:val="center"/>
            <w:hideMark/>
          </w:tcPr>
          <w:p w14:paraId="4A72EC53" w14:textId="77777777" w:rsidR="00EA710E" w:rsidRPr="00EA710E" w:rsidRDefault="00EA710E" w:rsidP="00EA710E">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EA710E">
              <w:rPr>
                <w:rFonts w:ascii="Times New Roman" w:eastAsia="Times New Roman" w:hAnsi="Times New Roman" w:cs="Times New Roman"/>
                <w:color w:val="000000"/>
                <w:kern w:val="0"/>
                <w:sz w:val="18"/>
                <w:szCs w:val="18"/>
                <w:lang w:eastAsia="es-CO"/>
                <w14:ligatures w14:val="none"/>
              </w:rPr>
              <w:t>596.194.659</w:t>
            </w:r>
          </w:p>
        </w:tc>
      </w:tr>
      <w:tr w:rsidR="00EA710E" w:rsidRPr="00EA710E" w14:paraId="1DEE78C4" w14:textId="77777777" w:rsidTr="00EA710E">
        <w:trPr>
          <w:trHeight w:val="300"/>
          <w:jc w:val="center"/>
        </w:trPr>
        <w:tc>
          <w:tcPr>
            <w:tcW w:w="1155" w:type="pct"/>
            <w:hideMark/>
          </w:tcPr>
          <w:p w14:paraId="12E98762" w14:textId="77777777" w:rsidR="00EA710E" w:rsidRPr="00EA710E" w:rsidRDefault="00EA710E" w:rsidP="007153CC">
            <w:pPr>
              <w:spacing w:after="0" w:line="240" w:lineRule="auto"/>
              <w:jc w:val="center"/>
              <w:rPr>
                <w:rFonts w:ascii="Times New Roman" w:eastAsia="Times New Roman" w:hAnsi="Times New Roman" w:cs="Times New Roman"/>
                <w:color w:val="000000"/>
                <w:kern w:val="0"/>
                <w:sz w:val="18"/>
                <w:szCs w:val="18"/>
                <w:lang w:eastAsia="es-CO"/>
                <w14:ligatures w14:val="none"/>
              </w:rPr>
            </w:pPr>
            <w:r w:rsidRPr="00EA710E">
              <w:rPr>
                <w:rFonts w:ascii="Times New Roman" w:eastAsia="Times New Roman" w:hAnsi="Times New Roman" w:cs="Times New Roman"/>
                <w:color w:val="000000"/>
                <w:kern w:val="0"/>
                <w:sz w:val="18"/>
                <w:szCs w:val="18"/>
                <w:lang w:eastAsia="es-CO"/>
                <w14:ligatures w14:val="none"/>
              </w:rPr>
              <w:t>Funcionamiento</w:t>
            </w:r>
          </w:p>
        </w:tc>
        <w:tc>
          <w:tcPr>
            <w:tcW w:w="2480" w:type="pct"/>
            <w:hideMark/>
          </w:tcPr>
          <w:p w14:paraId="23FB6C95" w14:textId="03C68DE9" w:rsidR="00EA710E" w:rsidRPr="00EA710E" w:rsidRDefault="00EC3A37" w:rsidP="007153CC">
            <w:pPr>
              <w:spacing w:after="0" w:line="240" w:lineRule="auto"/>
              <w:rPr>
                <w:rFonts w:ascii="Times New Roman" w:eastAsia="Times New Roman" w:hAnsi="Times New Roman" w:cs="Times New Roman"/>
                <w:color w:val="000000"/>
                <w:kern w:val="0"/>
                <w:sz w:val="18"/>
                <w:szCs w:val="18"/>
                <w:lang w:eastAsia="es-CO"/>
                <w14:ligatures w14:val="none"/>
              </w:rPr>
            </w:pPr>
            <w:r w:rsidRPr="00EC3A37">
              <w:rPr>
                <w:rFonts w:ascii="Times New Roman" w:eastAsia="Times New Roman" w:hAnsi="Times New Roman" w:cs="Times New Roman"/>
                <w:color w:val="000000"/>
                <w:kern w:val="0"/>
                <w:sz w:val="18"/>
                <w:szCs w:val="18"/>
                <w:lang w:eastAsia="es-CO"/>
                <w14:ligatures w14:val="none"/>
              </w:rPr>
              <w:t>Dirección del Tesoro Nacional – DGCPTN</w:t>
            </w:r>
          </w:p>
        </w:tc>
        <w:tc>
          <w:tcPr>
            <w:tcW w:w="1365" w:type="pct"/>
            <w:vAlign w:val="center"/>
            <w:hideMark/>
          </w:tcPr>
          <w:p w14:paraId="7F814985" w14:textId="77777777" w:rsidR="00EA710E" w:rsidRPr="00EA710E" w:rsidRDefault="00EA710E" w:rsidP="00EA710E">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EA710E">
              <w:rPr>
                <w:rFonts w:ascii="Times New Roman" w:eastAsia="Times New Roman" w:hAnsi="Times New Roman" w:cs="Times New Roman"/>
                <w:color w:val="000000"/>
                <w:kern w:val="0"/>
                <w:sz w:val="18"/>
                <w:szCs w:val="18"/>
                <w:lang w:eastAsia="es-CO"/>
                <w14:ligatures w14:val="none"/>
              </w:rPr>
              <w:t>164.823.539</w:t>
            </w:r>
          </w:p>
        </w:tc>
      </w:tr>
      <w:tr w:rsidR="00EA710E" w:rsidRPr="00EA710E" w14:paraId="4BEFB61A" w14:textId="77777777" w:rsidTr="00EA710E">
        <w:trPr>
          <w:trHeight w:val="300"/>
          <w:jc w:val="center"/>
        </w:trPr>
        <w:tc>
          <w:tcPr>
            <w:tcW w:w="3635" w:type="pct"/>
            <w:gridSpan w:val="2"/>
            <w:hideMark/>
          </w:tcPr>
          <w:p w14:paraId="609BBE02" w14:textId="77777777" w:rsidR="00EA710E" w:rsidRPr="00EA710E" w:rsidRDefault="00EA710E" w:rsidP="007153CC">
            <w:pPr>
              <w:spacing w:after="0" w:line="240" w:lineRule="auto"/>
              <w:jc w:val="center"/>
              <w:rPr>
                <w:rFonts w:ascii="Times New Roman" w:eastAsia="Times New Roman" w:hAnsi="Times New Roman" w:cs="Times New Roman"/>
                <w:b/>
                <w:bCs/>
                <w:color w:val="000000"/>
                <w:kern w:val="0"/>
                <w:sz w:val="18"/>
                <w:szCs w:val="18"/>
                <w:lang w:eastAsia="es-CO"/>
                <w14:ligatures w14:val="none"/>
              </w:rPr>
            </w:pPr>
          </w:p>
          <w:p w14:paraId="51D54584" w14:textId="77777777" w:rsidR="00EA710E" w:rsidRPr="00EA710E" w:rsidRDefault="00EA710E" w:rsidP="007153CC">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EA710E">
              <w:rPr>
                <w:rFonts w:ascii="Times New Roman" w:eastAsia="Times New Roman" w:hAnsi="Times New Roman" w:cs="Times New Roman"/>
                <w:b/>
                <w:bCs/>
                <w:color w:val="000000"/>
                <w:kern w:val="0"/>
                <w:sz w:val="18"/>
                <w:szCs w:val="18"/>
                <w:lang w:eastAsia="es-CO"/>
                <w14:ligatures w14:val="none"/>
              </w:rPr>
              <w:t>Total</w:t>
            </w:r>
          </w:p>
        </w:tc>
        <w:tc>
          <w:tcPr>
            <w:tcW w:w="1365" w:type="pct"/>
            <w:vAlign w:val="center"/>
            <w:hideMark/>
          </w:tcPr>
          <w:p w14:paraId="7DD8BD47" w14:textId="77777777" w:rsidR="00EA710E" w:rsidRPr="00EA710E" w:rsidRDefault="00EA710E" w:rsidP="00EA710E">
            <w:pPr>
              <w:spacing w:after="0" w:line="240" w:lineRule="auto"/>
              <w:jc w:val="right"/>
              <w:rPr>
                <w:rFonts w:ascii="Times New Roman" w:eastAsia="Times New Roman" w:hAnsi="Times New Roman" w:cs="Times New Roman"/>
                <w:b/>
                <w:bCs/>
                <w:color w:val="000000"/>
                <w:kern w:val="0"/>
                <w:sz w:val="18"/>
                <w:szCs w:val="18"/>
                <w:lang w:eastAsia="es-CO"/>
                <w14:ligatures w14:val="none"/>
              </w:rPr>
            </w:pPr>
          </w:p>
          <w:p w14:paraId="7EE2554F" w14:textId="77777777" w:rsidR="00EA710E" w:rsidRPr="00EA710E" w:rsidRDefault="00EA710E" w:rsidP="00EA710E">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EA710E">
              <w:rPr>
                <w:rFonts w:ascii="Times New Roman" w:eastAsia="Times New Roman" w:hAnsi="Times New Roman" w:cs="Times New Roman"/>
                <w:b/>
                <w:bCs/>
                <w:color w:val="000000"/>
                <w:kern w:val="0"/>
                <w:sz w:val="18"/>
                <w:szCs w:val="18"/>
                <w:lang w:eastAsia="es-CO"/>
                <w14:ligatures w14:val="none"/>
              </w:rPr>
              <w:t xml:space="preserve">    4.961.516.244.042</w:t>
            </w:r>
          </w:p>
        </w:tc>
      </w:tr>
    </w:tbl>
    <w:p w14:paraId="48997D23" w14:textId="77777777" w:rsidR="00EA710E" w:rsidRDefault="00EA710E" w:rsidP="00F16BE0">
      <w:pPr>
        <w:jc w:val="both"/>
        <w:rPr>
          <w:rFonts w:ascii="Times New Roman" w:hAnsi="Times New Roman" w:cs="Times New Roman"/>
          <w:sz w:val="24"/>
          <w:szCs w:val="24"/>
        </w:rPr>
      </w:pPr>
    </w:p>
    <w:p w14:paraId="5C105235" w14:textId="733ECDC0" w:rsidR="00F57A00" w:rsidRDefault="00F57A00" w:rsidP="00F16BE0">
      <w:pPr>
        <w:jc w:val="both"/>
        <w:rPr>
          <w:rFonts w:ascii="Times New Roman" w:hAnsi="Times New Roman" w:cs="Times New Roman"/>
          <w:sz w:val="24"/>
          <w:szCs w:val="24"/>
        </w:rPr>
      </w:pPr>
      <w:r w:rsidRPr="00F57A00">
        <w:rPr>
          <w:rFonts w:ascii="Times New Roman" w:hAnsi="Times New Roman" w:cs="Times New Roman"/>
          <w:sz w:val="24"/>
          <w:szCs w:val="24"/>
        </w:rPr>
        <w:t>Las operaciones interinstitucionales</w:t>
      </w:r>
      <w:r>
        <w:rPr>
          <w:rFonts w:ascii="Times New Roman" w:hAnsi="Times New Roman" w:cs="Times New Roman"/>
          <w:sz w:val="24"/>
          <w:szCs w:val="24"/>
        </w:rPr>
        <w:t xml:space="preserve"> c</w:t>
      </w:r>
      <w:r w:rsidRPr="00F57A00">
        <w:rPr>
          <w:rFonts w:ascii="Times New Roman" w:hAnsi="Times New Roman" w:cs="Times New Roman"/>
          <w:sz w:val="24"/>
          <w:szCs w:val="24"/>
        </w:rPr>
        <w:t>omprenden las transacciones originadas por pagos y reintegros mediante tesorerías centralizadas, las operaciones de enlace por recaudos y devolución de ingresos, los recursos administrados, y las operaciones sin flujo de efectivo. Estas últimas incluyen el cruce de cuentas, el pago de obligaciones con títulos y las operaciones no monetizadas con recursos de crédito externo.</w:t>
      </w:r>
    </w:p>
    <w:p w14:paraId="58537849" w14:textId="472A0835" w:rsidR="00F57A00" w:rsidRDefault="00F57A00" w:rsidP="00F57A00">
      <w:pPr>
        <w:jc w:val="both"/>
        <w:rPr>
          <w:rFonts w:ascii="Times New Roman" w:hAnsi="Times New Roman" w:cs="Times New Roman"/>
          <w:sz w:val="24"/>
          <w:szCs w:val="24"/>
        </w:rPr>
      </w:pPr>
      <w:r w:rsidRPr="00F57A00">
        <w:rPr>
          <w:rFonts w:ascii="Times New Roman" w:hAnsi="Times New Roman" w:cs="Times New Roman"/>
          <w:sz w:val="24"/>
          <w:szCs w:val="24"/>
        </w:rPr>
        <w:t xml:space="preserve">El valor </w:t>
      </w:r>
      <w:r w:rsidR="00EC3A37">
        <w:rPr>
          <w:rFonts w:ascii="Times New Roman" w:hAnsi="Times New Roman" w:cs="Times New Roman"/>
          <w:sz w:val="24"/>
          <w:szCs w:val="24"/>
        </w:rPr>
        <w:t xml:space="preserve">registrado en la subcuenta Inversión, por </w:t>
      </w:r>
      <w:r w:rsidRPr="00F57A00">
        <w:rPr>
          <w:rFonts w:ascii="Times New Roman" w:hAnsi="Times New Roman" w:cs="Times New Roman"/>
          <w:sz w:val="24"/>
          <w:szCs w:val="24"/>
        </w:rPr>
        <w:t>$4.440.472.870.665</w:t>
      </w:r>
      <w:r w:rsidR="00EC3A37">
        <w:rPr>
          <w:rFonts w:ascii="Times New Roman" w:hAnsi="Times New Roman" w:cs="Times New Roman"/>
          <w:sz w:val="24"/>
          <w:szCs w:val="24"/>
        </w:rPr>
        <w:t xml:space="preserve">, </w:t>
      </w:r>
      <w:r w:rsidRPr="00F57A00">
        <w:rPr>
          <w:rFonts w:ascii="Times New Roman" w:hAnsi="Times New Roman" w:cs="Times New Roman"/>
          <w:sz w:val="24"/>
          <w:szCs w:val="24"/>
        </w:rPr>
        <w:t>corresponde a los ingresos recibidos del Ministerio de Hacienda para el pago de las obligaciones contractuales, principalmente, pagos de aportes a los concesionarios del modo de transporte carretero, los cuales son girados a los patrimonios autónomos constituidos por los concesionarios, estos recursos se encuentran reflejados en “Recursos de la entidad concedente en patrimonios autónomos constituidos por los concesionarios”.</w:t>
      </w:r>
    </w:p>
    <w:p w14:paraId="7CC7EA7C" w14:textId="2745FD1C" w:rsidR="00F57A00" w:rsidRPr="00F57A00" w:rsidRDefault="00F57A00" w:rsidP="00F57A00">
      <w:pPr>
        <w:jc w:val="both"/>
        <w:rPr>
          <w:rFonts w:ascii="Times New Roman" w:hAnsi="Times New Roman" w:cs="Times New Roman"/>
          <w:sz w:val="24"/>
          <w:szCs w:val="24"/>
        </w:rPr>
      </w:pPr>
      <w:r w:rsidRPr="00F57A00">
        <w:rPr>
          <w:rFonts w:ascii="Times New Roman" w:hAnsi="Times New Roman" w:cs="Times New Roman"/>
          <w:sz w:val="24"/>
          <w:szCs w:val="24"/>
        </w:rPr>
        <w:t xml:space="preserve">Los demás pagos, </w:t>
      </w:r>
      <w:r w:rsidR="00EC3A37">
        <w:rPr>
          <w:rFonts w:ascii="Times New Roman" w:hAnsi="Times New Roman" w:cs="Times New Roman"/>
          <w:sz w:val="24"/>
          <w:szCs w:val="24"/>
        </w:rPr>
        <w:t>corresponden a</w:t>
      </w:r>
      <w:r w:rsidRPr="00F57A00">
        <w:rPr>
          <w:rFonts w:ascii="Times New Roman" w:hAnsi="Times New Roman" w:cs="Times New Roman"/>
          <w:sz w:val="24"/>
          <w:szCs w:val="24"/>
        </w:rPr>
        <w:t xml:space="preserve"> la operación normal de la Agencia, </w:t>
      </w:r>
      <w:r w:rsidR="00EC3A37">
        <w:rPr>
          <w:rFonts w:ascii="Times New Roman" w:hAnsi="Times New Roman" w:cs="Times New Roman"/>
          <w:sz w:val="24"/>
          <w:szCs w:val="24"/>
        </w:rPr>
        <w:t xml:space="preserve">tales </w:t>
      </w:r>
      <w:r w:rsidRPr="00F57A00">
        <w:rPr>
          <w:rFonts w:ascii="Times New Roman" w:hAnsi="Times New Roman" w:cs="Times New Roman"/>
          <w:sz w:val="24"/>
          <w:szCs w:val="24"/>
        </w:rPr>
        <w:t xml:space="preserve">como honorarios, </w:t>
      </w:r>
      <w:r w:rsidR="00EC3A37">
        <w:rPr>
          <w:rFonts w:ascii="Times New Roman" w:hAnsi="Times New Roman" w:cs="Times New Roman"/>
          <w:sz w:val="24"/>
          <w:szCs w:val="24"/>
        </w:rPr>
        <w:t xml:space="preserve">adquisición de </w:t>
      </w:r>
      <w:r w:rsidRPr="00F57A00">
        <w:rPr>
          <w:rFonts w:ascii="Times New Roman" w:hAnsi="Times New Roman" w:cs="Times New Roman"/>
          <w:sz w:val="24"/>
          <w:szCs w:val="24"/>
        </w:rPr>
        <w:t xml:space="preserve">bienes y servicios, </w:t>
      </w:r>
      <w:r w:rsidR="00EC3A37">
        <w:rPr>
          <w:rFonts w:ascii="Times New Roman" w:hAnsi="Times New Roman" w:cs="Times New Roman"/>
          <w:sz w:val="24"/>
          <w:szCs w:val="24"/>
        </w:rPr>
        <w:t>destinados a</w:t>
      </w:r>
      <w:r w:rsidRPr="00F57A00">
        <w:rPr>
          <w:rFonts w:ascii="Times New Roman" w:hAnsi="Times New Roman" w:cs="Times New Roman"/>
          <w:sz w:val="24"/>
          <w:szCs w:val="24"/>
        </w:rPr>
        <w:t xml:space="preserve"> cancela</w:t>
      </w:r>
      <w:r w:rsidR="00EC3A37">
        <w:rPr>
          <w:rFonts w:ascii="Times New Roman" w:hAnsi="Times New Roman" w:cs="Times New Roman"/>
          <w:sz w:val="24"/>
          <w:szCs w:val="24"/>
        </w:rPr>
        <w:t>r</w:t>
      </w:r>
      <w:r w:rsidRPr="00F57A00">
        <w:rPr>
          <w:rFonts w:ascii="Times New Roman" w:hAnsi="Times New Roman" w:cs="Times New Roman"/>
          <w:sz w:val="24"/>
          <w:szCs w:val="24"/>
        </w:rPr>
        <w:t xml:space="preserve"> </w:t>
      </w:r>
      <w:r w:rsidR="00EC3A37">
        <w:rPr>
          <w:rFonts w:ascii="Times New Roman" w:hAnsi="Times New Roman" w:cs="Times New Roman"/>
          <w:sz w:val="24"/>
          <w:szCs w:val="24"/>
        </w:rPr>
        <w:t>pasivos</w:t>
      </w:r>
      <w:r w:rsidRPr="00F57A00">
        <w:rPr>
          <w:rFonts w:ascii="Times New Roman" w:hAnsi="Times New Roman" w:cs="Times New Roman"/>
          <w:sz w:val="24"/>
          <w:szCs w:val="24"/>
        </w:rPr>
        <w:t xml:space="preserve"> previamente</w:t>
      </w:r>
      <w:r w:rsidR="00EC3A37">
        <w:rPr>
          <w:rFonts w:ascii="Times New Roman" w:hAnsi="Times New Roman" w:cs="Times New Roman"/>
          <w:sz w:val="24"/>
          <w:szCs w:val="24"/>
        </w:rPr>
        <w:t xml:space="preserve"> </w:t>
      </w:r>
      <w:r w:rsidR="00EC3A37" w:rsidRPr="00F57A00">
        <w:rPr>
          <w:rFonts w:ascii="Times New Roman" w:hAnsi="Times New Roman" w:cs="Times New Roman"/>
          <w:sz w:val="24"/>
          <w:szCs w:val="24"/>
        </w:rPr>
        <w:t>constituido</w:t>
      </w:r>
      <w:r w:rsidR="00EC3A37">
        <w:rPr>
          <w:rFonts w:ascii="Times New Roman" w:hAnsi="Times New Roman" w:cs="Times New Roman"/>
          <w:sz w:val="24"/>
          <w:szCs w:val="24"/>
        </w:rPr>
        <w:t>s</w:t>
      </w:r>
      <w:r w:rsidRPr="00F57A00">
        <w:rPr>
          <w:rFonts w:ascii="Times New Roman" w:hAnsi="Times New Roman" w:cs="Times New Roman"/>
          <w:sz w:val="24"/>
          <w:szCs w:val="24"/>
        </w:rPr>
        <w:t xml:space="preserve"> en virtud de la ejecución de contratos suscritos con estos recursos.</w:t>
      </w:r>
    </w:p>
    <w:p w14:paraId="1F8E3348" w14:textId="4F228FFF" w:rsidR="00F57A00" w:rsidRDefault="00F57A00" w:rsidP="00F57A00">
      <w:pPr>
        <w:jc w:val="both"/>
        <w:rPr>
          <w:rFonts w:ascii="Times New Roman" w:hAnsi="Times New Roman" w:cs="Times New Roman"/>
          <w:sz w:val="24"/>
          <w:szCs w:val="24"/>
        </w:rPr>
      </w:pPr>
      <w:r w:rsidRPr="00F57A00">
        <w:rPr>
          <w:rFonts w:ascii="Times New Roman" w:hAnsi="Times New Roman" w:cs="Times New Roman"/>
          <w:sz w:val="24"/>
          <w:szCs w:val="24"/>
        </w:rPr>
        <w:t xml:space="preserve">Los ingresos por servicio de la deuda por valor $520.282.355.179, corresponden a recursos del Encargo fiduciario - fiducia de administración y pagos </w:t>
      </w:r>
      <w:r w:rsidR="005B036E">
        <w:rPr>
          <w:rFonts w:ascii="Times New Roman" w:hAnsi="Times New Roman" w:cs="Times New Roman"/>
          <w:sz w:val="24"/>
          <w:szCs w:val="24"/>
        </w:rPr>
        <w:t>destinados a</w:t>
      </w:r>
      <w:r w:rsidRPr="00F57A00">
        <w:rPr>
          <w:rFonts w:ascii="Times New Roman" w:hAnsi="Times New Roman" w:cs="Times New Roman"/>
          <w:sz w:val="24"/>
          <w:szCs w:val="24"/>
        </w:rPr>
        <w:t xml:space="preserve"> cubrir riesgos</w:t>
      </w:r>
      <w:r w:rsidR="005B036E">
        <w:rPr>
          <w:rFonts w:ascii="Times New Roman" w:hAnsi="Times New Roman" w:cs="Times New Roman"/>
          <w:sz w:val="24"/>
          <w:szCs w:val="24"/>
        </w:rPr>
        <w:t xml:space="preserve"> </w:t>
      </w:r>
      <w:r w:rsidR="005B036E">
        <w:rPr>
          <w:rFonts w:ascii="Times New Roman" w:hAnsi="Times New Roman" w:cs="Times New Roman"/>
          <w:sz w:val="24"/>
          <w:szCs w:val="24"/>
        </w:rPr>
        <w:lastRenderedPageBreak/>
        <w:t>asociados a</w:t>
      </w:r>
      <w:r w:rsidRPr="00F57A00">
        <w:rPr>
          <w:rFonts w:ascii="Times New Roman" w:hAnsi="Times New Roman" w:cs="Times New Roman"/>
          <w:sz w:val="24"/>
          <w:szCs w:val="24"/>
        </w:rPr>
        <w:t xml:space="preserve"> diferentes conceptos y que afectan las garantías contractuales de algunos proyectos de concesión del modo de transporte carretero</w:t>
      </w:r>
      <w:r w:rsidR="005B036E">
        <w:rPr>
          <w:rFonts w:ascii="Times New Roman" w:hAnsi="Times New Roman" w:cs="Times New Roman"/>
          <w:sz w:val="24"/>
          <w:szCs w:val="24"/>
        </w:rPr>
        <w:t>. L</w:t>
      </w:r>
      <w:r w:rsidRPr="00F57A00">
        <w:rPr>
          <w:rFonts w:ascii="Times New Roman" w:hAnsi="Times New Roman" w:cs="Times New Roman"/>
          <w:sz w:val="24"/>
          <w:szCs w:val="24"/>
        </w:rPr>
        <w:t xml:space="preserve">os </w:t>
      </w:r>
      <w:proofErr w:type="spellStart"/>
      <w:r w:rsidRPr="00F57A00">
        <w:rPr>
          <w:rFonts w:ascii="Times New Roman" w:hAnsi="Times New Roman" w:cs="Times New Roman"/>
          <w:sz w:val="24"/>
          <w:szCs w:val="24"/>
        </w:rPr>
        <w:t>fondeos</w:t>
      </w:r>
      <w:proofErr w:type="spellEnd"/>
      <w:r w:rsidRPr="00F57A00">
        <w:rPr>
          <w:rFonts w:ascii="Times New Roman" w:hAnsi="Times New Roman" w:cs="Times New Roman"/>
          <w:sz w:val="24"/>
          <w:szCs w:val="24"/>
        </w:rPr>
        <w:t xml:space="preserve"> fueron realizados a FIDUPREVISORA, entidad administradora del Fondo de Contingencias para entidades estatales, </w:t>
      </w:r>
      <w:r w:rsidR="00163464">
        <w:rPr>
          <w:rFonts w:ascii="Times New Roman" w:hAnsi="Times New Roman" w:cs="Times New Roman"/>
          <w:sz w:val="24"/>
          <w:szCs w:val="24"/>
        </w:rPr>
        <w:t>durante</w:t>
      </w:r>
      <w:r w:rsidRPr="00F57A00">
        <w:rPr>
          <w:rFonts w:ascii="Times New Roman" w:hAnsi="Times New Roman" w:cs="Times New Roman"/>
          <w:sz w:val="24"/>
          <w:szCs w:val="24"/>
        </w:rPr>
        <w:t xml:space="preserve"> el primer trimestre de la vigencia 2026.</w:t>
      </w:r>
    </w:p>
    <w:p w14:paraId="1407BAB7" w14:textId="22508DD1" w:rsidR="00F57A00" w:rsidRDefault="00163464" w:rsidP="00F57A00">
      <w:pPr>
        <w:jc w:val="both"/>
        <w:rPr>
          <w:rFonts w:ascii="Times New Roman" w:hAnsi="Times New Roman" w:cs="Times New Roman"/>
          <w:sz w:val="24"/>
          <w:szCs w:val="24"/>
        </w:rPr>
      </w:pPr>
      <w:r>
        <w:rPr>
          <w:rFonts w:ascii="Times New Roman" w:hAnsi="Times New Roman" w:cs="Times New Roman"/>
          <w:sz w:val="24"/>
          <w:szCs w:val="24"/>
        </w:rPr>
        <w:t>La subcuenta C</w:t>
      </w:r>
      <w:r w:rsidR="00F57A00" w:rsidRPr="00F57A00">
        <w:rPr>
          <w:rFonts w:ascii="Times New Roman" w:hAnsi="Times New Roman" w:cs="Times New Roman"/>
          <w:sz w:val="24"/>
          <w:szCs w:val="24"/>
        </w:rPr>
        <w:t xml:space="preserve">ruce de </w:t>
      </w:r>
      <w:r>
        <w:rPr>
          <w:rFonts w:ascii="Times New Roman" w:hAnsi="Times New Roman" w:cs="Times New Roman"/>
          <w:sz w:val="24"/>
          <w:szCs w:val="24"/>
        </w:rPr>
        <w:t>c</w:t>
      </w:r>
      <w:r w:rsidR="00F57A00" w:rsidRPr="00F57A00">
        <w:rPr>
          <w:rFonts w:ascii="Times New Roman" w:hAnsi="Times New Roman" w:cs="Times New Roman"/>
          <w:sz w:val="24"/>
          <w:szCs w:val="24"/>
        </w:rPr>
        <w:t>uentas por</w:t>
      </w:r>
      <w:r>
        <w:rPr>
          <w:rFonts w:ascii="Times New Roman" w:hAnsi="Times New Roman" w:cs="Times New Roman"/>
          <w:sz w:val="24"/>
          <w:szCs w:val="24"/>
        </w:rPr>
        <w:t xml:space="preserve"> valor de</w:t>
      </w:r>
      <w:r w:rsidR="00F57A00" w:rsidRPr="00F57A00">
        <w:rPr>
          <w:rFonts w:ascii="Times New Roman" w:hAnsi="Times New Roman" w:cs="Times New Roman"/>
          <w:sz w:val="24"/>
          <w:szCs w:val="24"/>
        </w:rPr>
        <w:t xml:space="preserve"> $ 596.194.659 con la DIAN </w:t>
      </w:r>
      <w:r>
        <w:rPr>
          <w:rFonts w:ascii="Times New Roman" w:hAnsi="Times New Roman" w:cs="Times New Roman"/>
          <w:sz w:val="24"/>
          <w:szCs w:val="24"/>
        </w:rPr>
        <w:t>corresponde</w:t>
      </w:r>
      <w:r w:rsidR="00F57A00" w:rsidRPr="00F57A00">
        <w:rPr>
          <w:rFonts w:ascii="Times New Roman" w:hAnsi="Times New Roman" w:cs="Times New Roman"/>
          <w:sz w:val="24"/>
          <w:szCs w:val="24"/>
        </w:rPr>
        <w:t xml:space="preserve"> </w:t>
      </w:r>
      <w:r>
        <w:rPr>
          <w:rFonts w:ascii="Times New Roman" w:hAnsi="Times New Roman" w:cs="Times New Roman"/>
          <w:sz w:val="24"/>
          <w:szCs w:val="24"/>
        </w:rPr>
        <w:t xml:space="preserve">a </w:t>
      </w:r>
      <w:r w:rsidR="00F57A00" w:rsidRPr="00F57A00">
        <w:rPr>
          <w:rFonts w:ascii="Times New Roman" w:hAnsi="Times New Roman" w:cs="Times New Roman"/>
          <w:sz w:val="24"/>
          <w:szCs w:val="24"/>
        </w:rPr>
        <w:t>retenciones en la fuente a título de renta, pagadas mediante compensación de deducciones a través del Sistema Integrado de Información Financiera (SIIF) Nación.</w:t>
      </w:r>
    </w:p>
    <w:p w14:paraId="7A1C4334" w14:textId="711756BE" w:rsidR="00F57A00" w:rsidRDefault="00F57A00" w:rsidP="00F57A00">
      <w:pPr>
        <w:jc w:val="both"/>
        <w:rPr>
          <w:rFonts w:ascii="Times New Roman" w:hAnsi="Times New Roman" w:cs="Times New Roman"/>
          <w:sz w:val="24"/>
          <w:szCs w:val="24"/>
        </w:rPr>
      </w:pPr>
      <w:r w:rsidRPr="00F57A00">
        <w:rPr>
          <w:rFonts w:ascii="Times New Roman" w:hAnsi="Times New Roman" w:cs="Times New Roman"/>
          <w:sz w:val="24"/>
          <w:szCs w:val="24"/>
        </w:rPr>
        <w:t xml:space="preserve">Los ingresos por funcionamiento por valor de $164.823.539, </w:t>
      </w:r>
      <w:r w:rsidR="00163464">
        <w:rPr>
          <w:rFonts w:ascii="Times New Roman" w:hAnsi="Times New Roman" w:cs="Times New Roman"/>
          <w:sz w:val="24"/>
          <w:szCs w:val="24"/>
        </w:rPr>
        <w:t>corresponden a recursos situados</w:t>
      </w:r>
      <w:r w:rsidRPr="00F57A00">
        <w:rPr>
          <w:rFonts w:ascii="Times New Roman" w:hAnsi="Times New Roman" w:cs="Times New Roman"/>
          <w:sz w:val="24"/>
          <w:szCs w:val="24"/>
        </w:rPr>
        <w:t xml:space="preserve"> por </w:t>
      </w:r>
      <w:r w:rsidR="00163464">
        <w:rPr>
          <w:rFonts w:ascii="Times New Roman" w:hAnsi="Times New Roman" w:cs="Times New Roman"/>
          <w:sz w:val="24"/>
          <w:szCs w:val="24"/>
        </w:rPr>
        <w:t>el</w:t>
      </w:r>
      <w:r w:rsidRPr="00F57A00">
        <w:rPr>
          <w:rFonts w:ascii="Times New Roman" w:hAnsi="Times New Roman" w:cs="Times New Roman"/>
          <w:sz w:val="24"/>
          <w:szCs w:val="24"/>
        </w:rPr>
        <w:t xml:space="preserve"> Ministerio de Hacienda para cubrir las obligaciones previamente constituidas por concepto de sentencias y conciliaciones.</w:t>
      </w:r>
    </w:p>
    <w:p w14:paraId="13FB7C9C" w14:textId="77777777" w:rsidR="00F57A00" w:rsidRDefault="00F57A00" w:rsidP="00F57A00">
      <w:pPr>
        <w:jc w:val="both"/>
        <w:rPr>
          <w:rFonts w:ascii="Times New Roman" w:hAnsi="Times New Roman" w:cs="Times New Roman"/>
          <w:sz w:val="24"/>
          <w:szCs w:val="24"/>
        </w:rPr>
      </w:pPr>
    </w:p>
    <w:p w14:paraId="71D139FE" w14:textId="1FA50C4B" w:rsidR="00785F50" w:rsidRDefault="00785F50" w:rsidP="00785F50">
      <w:pPr>
        <w:pStyle w:val="Ttulo3"/>
        <w:rPr>
          <w:b/>
          <w:bCs/>
        </w:rPr>
      </w:pPr>
      <w:bookmarkStart w:id="21" w:name="_Toc230185825"/>
      <w:r>
        <w:rPr>
          <w:b/>
          <w:bCs/>
        </w:rPr>
        <w:t>Otros ingresos</w:t>
      </w:r>
      <w:bookmarkEnd w:id="21"/>
    </w:p>
    <w:p w14:paraId="298808E1" w14:textId="77777777" w:rsidR="00785F50" w:rsidRPr="00785F50" w:rsidRDefault="00785F50" w:rsidP="00785F50"/>
    <w:p w14:paraId="165B3CC2" w14:textId="0789F909" w:rsidR="00A103C4" w:rsidRDefault="0072333C" w:rsidP="00F16BE0">
      <w:pPr>
        <w:jc w:val="both"/>
        <w:rPr>
          <w:rFonts w:ascii="Times New Roman" w:hAnsi="Times New Roman" w:cs="Times New Roman"/>
          <w:sz w:val="24"/>
          <w:szCs w:val="24"/>
        </w:rPr>
      </w:pPr>
      <w:r>
        <w:rPr>
          <w:rFonts w:ascii="Times New Roman" w:hAnsi="Times New Roman" w:cs="Times New Roman"/>
          <w:sz w:val="24"/>
          <w:szCs w:val="24"/>
        </w:rPr>
        <w:t xml:space="preserve">En el grupo </w:t>
      </w:r>
      <w:r w:rsidRPr="00634E63">
        <w:rPr>
          <w:rFonts w:ascii="Times New Roman" w:hAnsi="Times New Roman" w:cs="Times New Roman"/>
          <w:sz w:val="24"/>
          <w:szCs w:val="24"/>
        </w:rPr>
        <w:t>Otros ingresos</w:t>
      </w:r>
      <w:r w:rsidR="00A103C4">
        <w:rPr>
          <w:rFonts w:ascii="Times New Roman" w:hAnsi="Times New Roman" w:cs="Times New Roman"/>
          <w:sz w:val="24"/>
          <w:szCs w:val="24"/>
        </w:rPr>
        <w:t xml:space="preserve"> se presenta una</w:t>
      </w:r>
      <w:r>
        <w:rPr>
          <w:rFonts w:ascii="Times New Roman" w:hAnsi="Times New Roman" w:cs="Times New Roman"/>
          <w:sz w:val="24"/>
          <w:szCs w:val="24"/>
        </w:rPr>
        <w:t xml:space="preserve"> disminución </w:t>
      </w:r>
      <w:r w:rsidR="00053A64">
        <w:rPr>
          <w:rFonts w:ascii="Times New Roman" w:hAnsi="Times New Roman" w:cs="Times New Roman"/>
          <w:sz w:val="24"/>
          <w:szCs w:val="24"/>
        </w:rPr>
        <w:t xml:space="preserve">neta </w:t>
      </w:r>
      <w:r>
        <w:rPr>
          <w:rFonts w:ascii="Times New Roman" w:hAnsi="Times New Roman" w:cs="Times New Roman"/>
          <w:sz w:val="24"/>
          <w:szCs w:val="24"/>
        </w:rPr>
        <w:t>por valor de $</w:t>
      </w:r>
      <w:r w:rsidRPr="00634E63">
        <w:rPr>
          <w:rFonts w:ascii="Times New Roman" w:hAnsi="Times New Roman" w:cs="Times New Roman"/>
          <w:sz w:val="24"/>
          <w:szCs w:val="24"/>
        </w:rPr>
        <w:t>-26.444.819.031</w:t>
      </w:r>
      <w:r w:rsidR="00A103C4">
        <w:rPr>
          <w:rFonts w:ascii="Times New Roman" w:hAnsi="Times New Roman" w:cs="Times New Roman"/>
          <w:sz w:val="24"/>
          <w:szCs w:val="24"/>
        </w:rPr>
        <w:t xml:space="preserve">, a marzo de 2026 frente a </w:t>
      </w:r>
      <w:r w:rsidR="00F52E08">
        <w:rPr>
          <w:rFonts w:ascii="Times New Roman" w:hAnsi="Times New Roman" w:cs="Times New Roman"/>
          <w:sz w:val="24"/>
          <w:szCs w:val="24"/>
        </w:rPr>
        <w:t>marzo</w:t>
      </w:r>
      <w:r w:rsidR="00A103C4">
        <w:rPr>
          <w:rFonts w:ascii="Times New Roman" w:hAnsi="Times New Roman" w:cs="Times New Roman"/>
          <w:sz w:val="24"/>
          <w:szCs w:val="24"/>
        </w:rPr>
        <w:t xml:space="preserve"> de 2025, originada</w:t>
      </w:r>
      <w:r>
        <w:rPr>
          <w:rFonts w:ascii="Times New Roman" w:hAnsi="Times New Roman" w:cs="Times New Roman"/>
          <w:sz w:val="24"/>
          <w:szCs w:val="24"/>
        </w:rPr>
        <w:t xml:space="preserve"> </w:t>
      </w:r>
      <w:r w:rsidR="00053A64">
        <w:rPr>
          <w:rFonts w:ascii="Times New Roman" w:hAnsi="Times New Roman" w:cs="Times New Roman"/>
          <w:sz w:val="24"/>
          <w:szCs w:val="24"/>
        </w:rPr>
        <w:t xml:space="preserve">principalmente </w:t>
      </w:r>
      <w:r w:rsidR="00A103C4">
        <w:rPr>
          <w:rFonts w:ascii="Times New Roman" w:hAnsi="Times New Roman" w:cs="Times New Roman"/>
          <w:sz w:val="24"/>
          <w:szCs w:val="24"/>
        </w:rPr>
        <w:t>por la disminución</w:t>
      </w:r>
      <w:r>
        <w:rPr>
          <w:rFonts w:ascii="Times New Roman" w:hAnsi="Times New Roman" w:cs="Times New Roman"/>
          <w:sz w:val="24"/>
          <w:szCs w:val="24"/>
        </w:rPr>
        <w:t xml:space="preserve"> en </w:t>
      </w:r>
      <w:r w:rsidR="009005C5">
        <w:rPr>
          <w:rFonts w:ascii="Times New Roman" w:hAnsi="Times New Roman" w:cs="Times New Roman"/>
          <w:sz w:val="24"/>
          <w:szCs w:val="24"/>
        </w:rPr>
        <w:t>la cuenta R</w:t>
      </w:r>
      <w:r>
        <w:rPr>
          <w:rFonts w:ascii="Times New Roman" w:hAnsi="Times New Roman" w:cs="Times New Roman"/>
          <w:sz w:val="24"/>
          <w:szCs w:val="24"/>
        </w:rPr>
        <w:t>eversión de provisiones por valor de</w:t>
      </w:r>
      <w:r w:rsidR="00163464">
        <w:rPr>
          <w:rFonts w:ascii="Times New Roman" w:hAnsi="Times New Roman" w:cs="Times New Roman"/>
          <w:sz w:val="24"/>
          <w:szCs w:val="24"/>
        </w:rPr>
        <w:t xml:space="preserve"> </w:t>
      </w:r>
      <w:r>
        <w:rPr>
          <w:rFonts w:ascii="Times New Roman" w:hAnsi="Times New Roman" w:cs="Times New Roman"/>
          <w:sz w:val="24"/>
          <w:szCs w:val="24"/>
        </w:rPr>
        <w:t>$</w:t>
      </w:r>
      <w:r w:rsidR="00163464">
        <w:rPr>
          <w:rFonts w:ascii="Times New Roman" w:hAnsi="Times New Roman" w:cs="Times New Roman"/>
          <w:sz w:val="24"/>
          <w:szCs w:val="24"/>
        </w:rPr>
        <w:t>-</w:t>
      </w:r>
      <w:r w:rsidRPr="0072333C">
        <w:rPr>
          <w:rFonts w:ascii="Times New Roman" w:hAnsi="Times New Roman" w:cs="Times New Roman"/>
          <w:sz w:val="24"/>
          <w:szCs w:val="24"/>
        </w:rPr>
        <w:t>46.517.760.051</w:t>
      </w:r>
      <w:r w:rsidR="00A103C4">
        <w:rPr>
          <w:rFonts w:ascii="Times New Roman" w:hAnsi="Times New Roman" w:cs="Times New Roman"/>
          <w:sz w:val="24"/>
          <w:szCs w:val="24"/>
        </w:rPr>
        <w:t xml:space="preserve">. Esta variación obedece principalmente a que, al corte de marzo de 2026 </w:t>
      </w:r>
      <w:r w:rsidR="00323583">
        <w:rPr>
          <w:rFonts w:ascii="Times New Roman" w:hAnsi="Times New Roman" w:cs="Times New Roman"/>
          <w:sz w:val="24"/>
          <w:szCs w:val="24"/>
        </w:rPr>
        <w:t>la subcuenta Provisiones diversas presenta una disminución de $</w:t>
      </w:r>
      <w:r w:rsidR="00323583" w:rsidRPr="00323583">
        <w:t xml:space="preserve"> </w:t>
      </w:r>
      <w:r w:rsidR="00323583" w:rsidRPr="00323583">
        <w:rPr>
          <w:rFonts w:ascii="Times New Roman" w:hAnsi="Times New Roman" w:cs="Times New Roman"/>
          <w:sz w:val="24"/>
          <w:szCs w:val="24"/>
        </w:rPr>
        <w:t>-46.700.528.083</w:t>
      </w:r>
      <w:r w:rsidR="00323583">
        <w:rPr>
          <w:rFonts w:ascii="Times New Roman" w:hAnsi="Times New Roman" w:cs="Times New Roman"/>
          <w:sz w:val="24"/>
          <w:szCs w:val="24"/>
        </w:rPr>
        <w:t xml:space="preserve">, </w:t>
      </w:r>
      <w:r w:rsidR="00A103C4">
        <w:rPr>
          <w:rFonts w:ascii="Times New Roman" w:hAnsi="Times New Roman" w:cs="Times New Roman"/>
          <w:sz w:val="24"/>
          <w:szCs w:val="24"/>
        </w:rPr>
        <w:t xml:space="preserve">debido a que durante </w:t>
      </w:r>
      <w:r w:rsidR="00323583">
        <w:rPr>
          <w:rFonts w:ascii="Times New Roman" w:hAnsi="Times New Roman" w:cs="Times New Roman"/>
          <w:sz w:val="24"/>
          <w:szCs w:val="24"/>
        </w:rPr>
        <w:t xml:space="preserve">la presente vigencia no se realizaron registros </w:t>
      </w:r>
      <w:r w:rsidR="00A103C4">
        <w:rPr>
          <w:rFonts w:ascii="Times New Roman" w:hAnsi="Times New Roman" w:cs="Times New Roman"/>
          <w:sz w:val="24"/>
          <w:szCs w:val="24"/>
        </w:rPr>
        <w:t>en dicha subcuenta.</w:t>
      </w:r>
    </w:p>
    <w:p w14:paraId="405166BF" w14:textId="1BC82C79" w:rsidR="00A103C4" w:rsidRDefault="00A103C4" w:rsidP="00F16BE0">
      <w:pPr>
        <w:jc w:val="both"/>
        <w:rPr>
          <w:rFonts w:ascii="Times New Roman" w:hAnsi="Times New Roman" w:cs="Times New Roman"/>
          <w:sz w:val="24"/>
          <w:szCs w:val="24"/>
        </w:rPr>
      </w:pPr>
      <w:r>
        <w:rPr>
          <w:rFonts w:ascii="Times New Roman" w:hAnsi="Times New Roman" w:cs="Times New Roman"/>
          <w:sz w:val="24"/>
          <w:szCs w:val="24"/>
        </w:rPr>
        <w:t>La disminución señalada se compensa parcialmente con el</w:t>
      </w:r>
      <w:r w:rsidR="00323583">
        <w:rPr>
          <w:rFonts w:ascii="Times New Roman" w:hAnsi="Times New Roman" w:cs="Times New Roman"/>
          <w:sz w:val="24"/>
          <w:szCs w:val="24"/>
        </w:rPr>
        <w:t xml:space="preserve"> incremento en la subcuenta Litigios y demandas por valor de $</w:t>
      </w:r>
      <w:r w:rsidR="00323583" w:rsidRPr="00323583">
        <w:rPr>
          <w:rFonts w:ascii="Times New Roman" w:hAnsi="Times New Roman" w:cs="Times New Roman"/>
          <w:sz w:val="24"/>
          <w:szCs w:val="24"/>
        </w:rPr>
        <w:t>182.768.032</w:t>
      </w:r>
      <w:r>
        <w:rPr>
          <w:rFonts w:ascii="Times New Roman" w:hAnsi="Times New Roman" w:cs="Times New Roman"/>
          <w:sz w:val="24"/>
          <w:szCs w:val="24"/>
        </w:rPr>
        <w:t xml:space="preserve"> y en la subcuenta Financieros por valor de $</w:t>
      </w:r>
      <w:r w:rsidRPr="0072333C">
        <w:rPr>
          <w:rFonts w:ascii="Times New Roman" w:hAnsi="Times New Roman" w:cs="Times New Roman"/>
          <w:sz w:val="24"/>
          <w:szCs w:val="24"/>
        </w:rPr>
        <w:t>19.868.108.185</w:t>
      </w:r>
      <w:r>
        <w:rPr>
          <w:rFonts w:ascii="Times New Roman" w:hAnsi="Times New Roman" w:cs="Times New Roman"/>
          <w:sz w:val="24"/>
          <w:szCs w:val="24"/>
        </w:rPr>
        <w:t>.</w:t>
      </w:r>
    </w:p>
    <w:p w14:paraId="13BAB7D6" w14:textId="76F0A9CF" w:rsidR="00A103C4" w:rsidRPr="00AB2FF5" w:rsidRDefault="00A103C4" w:rsidP="00F16BE0">
      <w:pPr>
        <w:jc w:val="both"/>
        <w:rPr>
          <w:rFonts w:ascii="Times New Roman" w:hAnsi="Times New Roman" w:cs="Times New Roman"/>
          <w:sz w:val="24"/>
          <w:szCs w:val="24"/>
        </w:rPr>
      </w:pPr>
      <w:r w:rsidRPr="00AB2FF5">
        <w:rPr>
          <w:rFonts w:ascii="Times New Roman" w:hAnsi="Times New Roman" w:cs="Times New Roman"/>
          <w:sz w:val="24"/>
          <w:szCs w:val="24"/>
        </w:rPr>
        <w:t>D</w:t>
      </w:r>
      <w:r w:rsidR="00323583" w:rsidRPr="00AB2FF5">
        <w:rPr>
          <w:rFonts w:ascii="Times New Roman" w:hAnsi="Times New Roman" w:cs="Times New Roman"/>
          <w:sz w:val="24"/>
          <w:szCs w:val="24"/>
        </w:rPr>
        <w:t xml:space="preserve">e conformidad </w:t>
      </w:r>
      <w:r w:rsidRPr="00AB2FF5">
        <w:rPr>
          <w:rFonts w:ascii="Times New Roman" w:hAnsi="Times New Roman" w:cs="Times New Roman"/>
          <w:sz w:val="24"/>
          <w:szCs w:val="24"/>
        </w:rPr>
        <w:t>con el</w:t>
      </w:r>
      <w:r w:rsidR="00323583" w:rsidRPr="00AB2FF5">
        <w:rPr>
          <w:rFonts w:ascii="Times New Roman" w:hAnsi="Times New Roman" w:cs="Times New Roman"/>
          <w:sz w:val="24"/>
          <w:szCs w:val="24"/>
        </w:rPr>
        <w:t xml:space="preserve"> numeral 2.6 literal c) de la Resolución 080</w:t>
      </w:r>
      <w:r w:rsidRPr="00AB2FF5">
        <w:rPr>
          <w:rFonts w:ascii="Times New Roman" w:hAnsi="Times New Roman" w:cs="Times New Roman"/>
          <w:sz w:val="24"/>
          <w:szCs w:val="24"/>
        </w:rPr>
        <w:t xml:space="preserve"> del</w:t>
      </w:r>
      <w:r w:rsidR="00323583" w:rsidRPr="00AB2FF5">
        <w:rPr>
          <w:rFonts w:ascii="Times New Roman" w:hAnsi="Times New Roman" w:cs="Times New Roman"/>
          <w:sz w:val="24"/>
          <w:szCs w:val="24"/>
        </w:rPr>
        <w:t xml:space="preserve"> 2 de junio de 2021 de la Contaduría General de la Nación, </w:t>
      </w:r>
      <w:r w:rsidRPr="00AB2FF5">
        <w:rPr>
          <w:rFonts w:ascii="Times New Roman" w:hAnsi="Times New Roman" w:cs="Times New Roman"/>
          <w:sz w:val="24"/>
          <w:szCs w:val="24"/>
        </w:rPr>
        <w:t xml:space="preserve">en la subcuenta de Litigios y demandas </w:t>
      </w:r>
      <w:r w:rsidR="006A4F5B" w:rsidRPr="00AB2FF5">
        <w:rPr>
          <w:rFonts w:ascii="Times New Roman" w:hAnsi="Times New Roman" w:cs="Times New Roman"/>
          <w:sz w:val="24"/>
          <w:szCs w:val="24"/>
        </w:rPr>
        <w:t xml:space="preserve">se </w:t>
      </w:r>
      <w:r w:rsidR="00323583" w:rsidRPr="00AB2FF5">
        <w:rPr>
          <w:rFonts w:ascii="Times New Roman" w:hAnsi="Times New Roman" w:cs="Times New Roman"/>
          <w:sz w:val="24"/>
          <w:szCs w:val="24"/>
        </w:rPr>
        <w:t>registr</w:t>
      </w:r>
      <w:r w:rsidR="006A4F5B" w:rsidRPr="00AB2FF5">
        <w:rPr>
          <w:rFonts w:ascii="Times New Roman" w:hAnsi="Times New Roman" w:cs="Times New Roman"/>
          <w:sz w:val="24"/>
          <w:szCs w:val="24"/>
        </w:rPr>
        <w:t xml:space="preserve">ó la </w:t>
      </w:r>
      <w:r w:rsidR="00323583" w:rsidRPr="00AB2FF5">
        <w:rPr>
          <w:rFonts w:ascii="Times New Roman" w:hAnsi="Times New Roman" w:cs="Times New Roman"/>
          <w:sz w:val="24"/>
          <w:szCs w:val="24"/>
        </w:rPr>
        <w:t xml:space="preserve">reversión de provisiones </w:t>
      </w:r>
      <w:r w:rsidR="006A4F5B" w:rsidRPr="00AB2FF5">
        <w:rPr>
          <w:rFonts w:ascii="Times New Roman" w:hAnsi="Times New Roman" w:cs="Times New Roman"/>
          <w:sz w:val="24"/>
          <w:szCs w:val="24"/>
        </w:rPr>
        <w:t xml:space="preserve">constituidas </w:t>
      </w:r>
      <w:r w:rsidR="00323583" w:rsidRPr="00AB2FF5">
        <w:rPr>
          <w:rFonts w:ascii="Times New Roman" w:hAnsi="Times New Roman" w:cs="Times New Roman"/>
          <w:sz w:val="24"/>
          <w:szCs w:val="24"/>
        </w:rPr>
        <w:t xml:space="preserve">conforme a la Resolución 20267010002315 </w:t>
      </w:r>
      <w:r w:rsidR="006A4F5B" w:rsidRPr="00AB2FF5">
        <w:rPr>
          <w:rFonts w:ascii="Times New Roman" w:hAnsi="Times New Roman" w:cs="Times New Roman"/>
          <w:sz w:val="24"/>
          <w:szCs w:val="24"/>
        </w:rPr>
        <w:t xml:space="preserve">del </w:t>
      </w:r>
      <w:r w:rsidR="00323583" w:rsidRPr="00AB2FF5">
        <w:rPr>
          <w:rFonts w:ascii="Times New Roman" w:hAnsi="Times New Roman" w:cs="Times New Roman"/>
          <w:sz w:val="24"/>
          <w:szCs w:val="24"/>
        </w:rPr>
        <w:t>02</w:t>
      </w:r>
      <w:r w:rsidR="006A4F5B" w:rsidRPr="00AB2FF5">
        <w:rPr>
          <w:rFonts w:ascii="Times New Roman" w:hAnsi="Times New Roman" w:cs="Times New Roman"/>
          <w:sz w:val="24"/>
          <w:szCs w:val="24"/>
        </w:rPr>
        <w:t xml:space="preserve"> de marzo de </w:t>
      </w:r>
      <w:r w:rsidR="00323583" w:rsidRPr="00AB2FF5">
        <w:rPr>
          <w:rFonts w:ascii="Times New Roman" w:hAnsi="Times New Roman" w:cs="Times New Roman"/>
          <w:sz w:val="24"/>
          <w:szCs w:val="24"/>
        </w:rPr>
        <w:t>2026</w:t>
      </w:r>
      <w:r w:rsidR="006A4F5B" w:rsidRPr="00AB2FF5">
        <w:rPr>
          <w:rFonts w:ascii="Times New Roman" w:hAnsi="Times New Roman" w:cs="Times New Roman"/>
          <w:sz w:val="24"/>
          <w:szCs w:val="24"/>
        </w:rPr>
        <w:t>,</w:t>
      </w:r>
      <w:r w:rsidR="00323583" w:rsidRPr="00AB2FF5">
        <w:rPr>
          <w:rFonts w:ascii="Times New Roman" w:hAnsi="Times New Roman" w:cs="Times New Roman"/>
          <w:sz w:val="24"/>
          <w:szCs w:val="24"/>
        </w:rPr>
        <w:t xml:space="preserve"> dentro del proceso judicial </w:t>
      </w:r>
      <w:r w:rsidR="006A4F5B" w:rsidRPr="00AB2FF5">
        <w:rPr>
          <w:rFonts w:ascii="Times New Roman" w:hAnsi="Times New Roman" w:cs="Times New Roman"/>
          <w:sz w:val="24"/>
          <w:szCs w:val="24"/>
        </w:rPr>
        <w:t xml:space="preserve">No. </w:t>
      </w:r>
      <w:r w:rsidR="00323583" w:rsidRPr="00AB2FF5">
        <w:rPr>
          <w:rFonts w:ascii="Times New Roman" w:hAnsi="Times New Roman" w:cs="Times New Roman"/>
          <w:sz w:val="24"/>
          <w:szCs w:val="24"/>
        </w:rPr>
        <w:t>1500123310052008004390 con Ekogui</w:t>
      </w:r>
      <w:r w:rsidR="006A4F5B" w:rsidRPr="00AB2FF5">
        <w:rPr>
          <w:rFonts w:ascii="Times New Roman" w:hAnsi="Times New Roman" w:cs="Times New Roman"/>
          <w:sz w:val="24"/>
          <w:szCs w:val="24"/>
        </w:rPr>
        <w:t xml:space="preserve"> No.</w:t>
      </w:r>
      <w:r w:rsidR="00323583" w:rsidRPr="00AB2FF5">
        <w:rPr>
          <w:rFonts w:ascii="Times New Roman" w:hAnsi="Times New Roman" w:cs="Times New Roman"/>
          <w:sz w:val="24"/>
          <w:szCs w:val="24"/>
        </w:rPr>
        <w:t xml:space="preserve"> 137167, </w:t>
      </w:r>
      <w:r w:rsidR="006A4F5B" w:rsidRPr="00AB2FF5">
        <w:rPr>
          <w:rFonts w:ascii="Times New Roman" w:hAnsi="Times New Roman" w:cs="Times New Roman"/>
          <w:sz w:val="24"/>
          <w:szCs w:val="24"/>
        </w:rPr>
        <w:t xml:space="preserve">por </w:t>
      </w:r>
      <w:r w:rsidR="00323583" w:rsidRPr="00AB2FF5">
        <w:rPr>
          <w:rFonts w:ascii="Times New Roman" w:hAnsi="Times New Roman" w:cs="Times New Roman"/>
          <w:sz w:val="24"/>
          <w:szCs w:val="24"/>
        </w:rPr>
        <w:t>valor recuperado de</w:t>
      </w:r>
      <w:r w:rsidR="006A4F5B" w:rsidRPr="00AB2FF5">
        <w:rPr>
          <w:rFonts w:ascii="Times New Roman" w:hAnsi="Times New Roman" w:cs="Times New Roman"/>
          <w:sz w:val="24"/>
          <w:szCs w:val="24"/>
        </w:rPr>
        <w:t xml:space="preserve"> </w:t>
      </w:r>
      <w:r w:rsidR="00323583" w:rsidRPr="00AB2FF5">
        <w:rPr>
          <w:rFonts w:ascii="Times New Roman" w:hAnsi="Times New Roman" w:cs="Times New Roman"/>
          <w:sz w:val="24"/>
          <w:szCs w:val="24"/>
        </w:rPr>
        <w:t>$1.264.929.821</w:t>
      </w:r>
      <w:r w:rsidR="006A4F5B" w:rsidRPr="00AB2FF5">
        <w:rPr>
          <w:rFonts w:ascii="Times New Roman" w:hAnsi="Times New Roman" w:cs="Times New Roman"/>
          <w:sz w:val="24"/>
          <w:szCs w:val="24"/>
        </w:rPr>
        <w:t>.</w:t>
      </w:r>
    </w:p>
    <w:p w14:paraId="63CD7A2A" w14:textId="754A3278" w:rsidR="0072333C" w:rsidRDefault="006A4F5B" w:rsidP="00F16BE0">
      <w:pPr>
        <w:jc w:val="both"/>
        <w:rPr>
          <w:rFonts w:ascii="Times New Roman" w:hAnsi="Times New Roman" w:cs="Times New Roman"/>
          <w:sz w:val="24"/>
          <w:szCs w:val="24"/>
        </w:rPr>
      </w:pPr>
      <w:r w:rsidRPr="00AB2FF5">
        <w:rPr>
          <w:rFonts w:ascii="Times New Roman" w:hAnsi="Times New Roman" w:cs="Times New Roman"/>
          <w:sz w:val="24"/>
          <w:szCs w:val="24"/>
        </w:rPr>
        <w:t xml:space="preserve">Por su parte, el incremento en la subcuenta Financieros se origina principalmente por el aumento en </w:t>
      </w:r>
      <w:r w:rsidR="00323583">
        <w:rPr>
          <w:rFonts w:ascii="Times New Roman" w:hAnsi="Times New Roman" w:cs="Times New Roman"/>
          <w:sz w:val="24"/>
          <w:szCs w:val="24"/>
        </w:rPr>
        <w:t xml:space="preserve">la subcuenta </w:t>
      </w:r>
      <w:r w:rsidR="009005C5" w:rsidRPr="009005C5">
        <w:rPr>
          <w:rFonts w:ascii="Times New Roman" w:hAnsi="Times New Roman" w:cs="Times New Roman"/>
          <w:sz w:val="24"/>
          <w:szCs w:val="24"/>
        </w:rPr>
        <w:t>Rendimientos sobre recursos entregados en administración</w:t>
      </w:r>
      <w:r>
        <w:rPr>
          <w:rFonts w:ascii="Times New Roman" w:hAnsi="Times New Roman" w:cs="Times New Roman"/>
          <w:sz w:val="24"/>
          <w:szCs w:val="24"/>
        </w:rPr>
        <w:t>,</w:t>
      </w:r>
      <w:r w:rsidR="009005C5" w:rsidRPr="009005C5">
        <w:rPr>
          <w:rFonts w:ascii="Times New Roman" w:hAnsi="Times New Roman" w:cs="Times New Roman"/>
          <w:sz w:val="24"/>
          <w:szCs w:val="24"/>
        </w:rPr>
        <w:t xml:space="preserve"> </w:t>
      </w:r>
      <w:r w:rsidR="009005C5">
        <w:rPr>
          <w:rFonts w:ascii="Times New Roman" w:hAnsi="Times New Roman" w:cs="Times New Roman"/>
          <w:sz w:val="24"/>
          <w:szCs w:val="24"/>
        </w:rPr>
        <w:t>por valor de $</w:t>
      </w:r>
      <w:r w:rsidR="009005C5" w:rsidRPr="009005C5">
        <w:rPr>
          <w:rFonts w:ascii="Times New Roman" w:hAnsi="Times New Roman" w:cs="Times New Roman"/>
          <w:sz w:val="24"/>
          <w:szCs w:val="24"/>
        </w:rPr>
        <w:t>16.952.442.003</w:t>
      </w:r>
      <w:r w:rsidR="009005C5">
        <w:rPr>
          <w:rFonts w:ascii="Times New Roman" w:hAnsi="Times New Roman" w:cs="Times New Roman"/>
          <w:sz w:val="24"/>
          <w:szCs w:val="24"/>
        </w:rPr>
        <w:t>.</w:t>
      </w:r>
    </w:p>
    <w:p w14:paraId="5BD9F132" w14:textId="77777777" w:rsidR="009005C5" w:rsidRDefault="009005C5" w:rsidP="00F16BE0">
      <w:pPr>
        <w:jc w:val="both"/>
        <w:rPr>
          <w:rFonts w:ascii="Times New Roman" w:hAnsi="Times New Roman" w:cs="Times New Roman"/>
          <w:sz w:val="24"/>
          <w:szCs w:val="24"/>
        </w:rPr>
      </w:pPr>
    </w:p>
    <w:p w14:paraId="66A8C0BE" w14:textId="77777777" w:rsidR="00B13680" w:rsidRPr="00634E63" w:rsidRDefault="00B13680" w:rsidP="00B13680">
      <w:pPr>
        <w:pStyle w:val="Ttulo3"/>
        <w:rPr>
          <w:rStyle w:val="Fuerte"/>
          <w:rFonts w:ascii="Times New Roman" w:hAnsi="Times New Roman" w:cs="Times New Roman"/>
          <w:sz w:val="24"/>
        </w:rPr>
      </w:pPr>
      <w:bookmarkStart w:id="22" w:name="_Toc230185826"/>
      <w:r w:rsidRPr="00634E63">
        <w:rPr>
          <w:rStyle w:val="Fuerte"/>
          <w:rFonts w:ascii="Times New Roman" w:hAnsi="Times New Roman" w:cs="Times New Roman"/>
          <w:sz w:val="24"/>
        </w:rPr>
        <w:t>Ingresos Fiscales</w:t>
      </w:r>
      <w:bookmarkEnd w:id="22"/>
    </w:p>
    <w:p w14:paraId="602781BB" w14:textId="77777777" w:rsidR="00B13680" w:rsidRDefault="00B13680" w:rsidP="00F16BE0">
      <w:pPr>
        <w:jc w:val="both"/>
        <w:rPr>
          <w:rFonts w:ascii="Times New Roman" w:hAnsi="Times New Roman" w:cs="Times New Roman"/>
          <w:sz w:val="24"/>
          <w:szCs w:val="24"/>
        </w:rPr>
      </w:pPr>
    </w:p>
    <w:p w14:paraId="40F1DB15" w14:textId="40E998F7" w:rsidR="00F52E08" w:rsidRPr="005474BF" w:rsidRDefault="009005C5" w:rsidP="00F16BE0">
      <w:pPr>
        <w:jc w:val="both"/>
        <w:rPr>
          <w:rFonts w:ascii="Times New Roman" w:hAnsi="Times New Roman" w:cs="Times New Roman"/>
          <w:sz w:val="24"/>
          <w:szCs w:val="24"/>
        </w:rPr>
      </w:pPr>
      <w:r w:rsidRPr="005474BF">
        <w:rPr>
          <w:rFonts w:ascii="Times New Roman" w:hAnsi="Times New Roman" w:cs="Times New Roman"/>
          <w:sz w:val="24"/>
          <w:szCs w:val="24"/>
        </w:rPr>
        <w:t>En el grupo Ingresos fiscales</w:t>
      </w:r>
      <w:r w:rsidR="008847EE" w:rsidRPr="005474BF">
        <w:rPr>
          <w:rFonts w:ascii="Times New Roman" w:hAnsi="Times New Roman" w:cs="Times New Roman"/>
          <w:sz w:val="24"/>
          <w:szCs w:val="24"/>
        </w:rPr>
        <w:t>,</w:t>
      </w:r>
      <w:r w:rsidRPr="005474BF">
        <w:rPr>
          <w:rFonts w:ascii="Times New Roman" w:hAnsi="Times New Roman" w:cs="Times New Roman"/>
          <w:sz w:val="24"/>
          <w:szCs w:val="24"/>
        </w:rPr>
        <w:t xml:space="preserve"> </w:t>
      </w:r>
      <w:r w:rsidR="00F52E08" w:rsidRPr="005474BF">
        <w:rPr>
          <w:rFonts w:ascii="Times New Roman" w:hAnsi="Times New Roman" w:cs="Times New Roman"/>
          <w:sz w:val="24"/>
          <w:szCs w:val="24"/>
        </w:rPr>
        <w:t xml:space="preserve">se presenta un </w:t>
      </w:r>
      <w:r w:rsidRPr="005474BF">
        <w:rPr>
          <w:rFonts w:ascii="Times New Roman" w:hAnsi="Times New Roman" w:cs="Times New Roman"/>
          <w:sz w:val="24"/>
          <w:szCs w:val="24"/>
        </w:rPr>
        <w:t xml:space="preserve">incremento por valor de $9.215.185.751 </w:t>
      </w:r>
      <w:r w:rsidR="00F52E08" w:rsidRPr="005474BF">
        <w:rPr>
          <w:rFonts w:ascii="Times New Roman" w:hAnsi="Times New Roman" w:cs="Times New Roman"/>
          <w:sz w:val="24"/>
          <w:szCs w:val="24"/>
        </w:rPr>
        <w:t>a</w:t>
      </w:r>
      <w:r w:rsidR="003F515B">
        <w:rPr>
          <w:rFonts w:ascii="Times New Roman" w:hAnsi="Times New Roman" w:cs="Times New Roman"/>
          <w:sz w:val="24"/>
          <w:szCs w:val="24"/>
        </w:rPr>
        <w:t>l corte de</w:t>
      </w:r>
      <w:r w:rsidR="00F52E08" w:rsidRPr="005474BF">
        <w:rPr>
          <w:rFonts w:ascii="Times New Roman" w:hAnsi="Times New Roman" w:cs="Times New Roman"/>
          <w:sz w:val="24"/>
          <w:szCs w:val="24"/>
        </w:rPr>
        <w:t xml:space="preserve"> marzo de 2026 frente al saldo a marzo de 2025, originado</w:t>
      </w:r>
      <w:r w:rsidRPr="005474BF">
        <w:rPr>
          <w:rFonts w:ascii="Times New Roman" w:hAnsi="Times New Roman" w:cs="Times New Roman"/>
          <w:sz w:val="24"/>
          <w:szCs w:val="24"/>
        </w:rPr>
        <w:t xml:space="preserve"> </w:t>
      </w:r>
      <w:r w:rsidR="00AD71C1" w:rsidRPr="005474BF">
        <w:rPr>
          <w:rFonts w:ascii="Times New Roman" w:hAnsi="Times New Roman" w:cs="Times New Roman"/>
          <w:sz w:val="24"/>
          <w:szCs w:val="24"/>
        </w:rPr>
        <w:t xml:space="preserve">principalmente </w:t>
      </w:r>
      <w:r w:rsidR="00F52E08" w:rsidRPr="005474BF">
        <w:rPr>
          <w:rFonts w:ascii="Times New Roman" w:hAnsi="Times New Roman" w:cs="Times New Roman"/>
          <w:sz w:val="24"/>
          <w:szCs w:val="24"/>
        </w:rPr>
        <w:t>por el</w:t>
      </w:r>
      <w:r w:rsidR="008847EE" w:rsidRPr="005474BF">
        <w:rPr>
          <w:rFonts w:ascii="Times New Roman" w:hAnsi="Times New Roman" w:cs="Times New Roman"/>
          <w:sz w:val="24"/>
          <w:szCs w:val="24"/>
        </w:rPr>
        <w:t xml:space="preserve"> aumento </w:t>
      </w:r>
      <w:r w:rsidR="00AD71C1" w:rsidRPr="005474BF">
        <w:rPr>
          <w:rFonts w:ascii="Times New Roman" w:hAnsi="Times New Roman" w:cs="Times New Roman"/>
          <w:sz w:val="24"/>
          <w:szCs w:val="24"/>
        </w:rPr>
        <w:t xml:space="preserve">en la subcuenta </w:t>
      </w:r>
      <w:r w:rsidR="00AD71C1" w:rsidRPr="005474BF">
        <w:rPr>
          <w:rFonts w:ascii="Times New Roman" w:hAnsi="Times New Roman" w:cs="Times New Roman"/>
          <w:i/>
          <w:iCs/>
          <w:sz w:val="24"/>
          <w:szCs w:val="24"/>
        </w:rPr>
        <w:t>Derechos de explotación no relacionados con la infraestructura de transporte</w:t>
      </w:r>
      <w:r w:rsidR="00AD71C1" w:rsidRPr="005474BF">
        <w:rPr>
          <w:rFonts w:ascii="Times New Roman" w:hAnsi="Times New Roman" w:cs="Times New Roman"/>
          <w:sz w:val="24"/>
          <w:szCs w:val="24"/>
        </w:rPr>
        <w:t xml:space="preserve"> por valor de $9.759.555.605</w:t>
      </w:r>
      <w:r w:rsidR="00DD2A7A">
        <w:rPr>
          <w:rFonts w:ascii="Times New Roman" w:hAnsi="Times New Roman" w:cs="Times New Roman"/>
          <w:sz w:val="24"/>
          <w:szCs w:val="24"/>
        </w:rPr>
        <w:t xml:space="preserve">, compensado </w:t>
      </w:r>
      <w:r w:rsidR="003F515B">
        <w:rPr>
          <w:rFonts w:ascii="Times New Roman" w:hAnsi="Times New Roman" w:cs="Times New Roman"/>
          <w:sz w:val="24"/>
          <w:szCs w:val="24"/>
        </w:rPr>
        <w:t xml:space="preserve">parcialmente </w:t>
      </w:r>
      <w:r w:rsidR="00DD2A7A">
        <w:rPr>
          <w:rFonts w:ascii="Times New Roman" w:hAnsi="Times New Roman" w:cs="Times New Roman"/>
          <w:sz w:val="24"/>
          <w:szCs w:val="24"/>
        </w:rPr>
        <w:t>por la disminución de la subcuenta Derechos de tránsito por valor de $</w:t>
      </w:r>
      <w:r w:rsidR="00DD2A7A" w:rsidRPr="00DD2A7A">
        <w:rPr>
          <w:rFonts w:ascii="Times New Roman" w:hAnsi="Times New Roman" w:cs="Times New Roman"/>
          <w:sz w:val="24"/>
          <w:szCs w:val="24"/>
        </w:rPr>
        <w:t>-544.369.854</w:t>
      </w:r>
      <w:r w:rsidR="00DD2A7A">
        <w:rPr>
          <w:rFonts w:ascii="Times New Roman" w:hAnsi="Times New Roman" w:cs="Times New Roman"/>
          <w:sz w:val="24"/>
          <w:szCs w:val="24"/>
        </w:rPr>
        <w:t>.</w:t>
      </w:r>
    </w:p>
    <w:p w14:paraId="4E8422C0" w14:textId="77777777" w:rsidR="003F515B" w:rsidRDefault="00DD2A7A" w:rsidP="00F16BE0">
      <w:pPr>
        <w:jc w:val="both"/>
        <w:rPr>
          <w:rFonts w:ascii="Times New Roman" w:hAnsi="Times New Roman" w:cs="Times New Roman"/>
          <w:sz w:val="24"/>
          <w:szCs w:val="24"/>
        </w:rPr>
      </w:pPr>
      <w:r>
        <w:rPr>
          <w:rFonts w:ascii="Times New Roman" w:hAnsi="Times New Roman" w:cs="Times New Roman"/>
          <w:sz w:val="24"/>
          <w:szCs w:val="24"/>
        </w:rPr>
        <w:lastRenderedPageBreak/>
        <w:t>La</w:t>
      </w:r>
      <w:r w:rsidR="00F52E08" w:rsidRPr="005474BF">
        <w:rPr>
          <w:rFonts w:ascii="Times New Roman" w:hAnsi="Times New Roman" w:cs="Times New Roman"/>
          <w:sz w:val="24"/>
          <w:szCs w:val="24"/>
        </w:rPr>
        <w:t xml:space="preserve"> variación </w:t>
      </w:r>
      <w:r>
        <w:rPr>
          <w:rFonts w:ascii="Times New Roman" w:hAnsi="Times New Roman" w:cs="Times New Roman"/>
          <w:sz w:val="24"/>
          <w:szCs w:val="24"/>
        </w:rPr>
        <w:t xml:space="preserve">de los Derechos de explotación </w:t>
      </w:r>
      <w:r w:rsidR="00F52E08" w:rsidRPr="005474BF">
        <w:rPr>
          <w:rFonts w:ascii="Times New Roman" w:hAnsi="Times New Roman" w:cs="Times New Roman"/>
          <w:sz w:val="24"/>
          <w:szCs w:val="24"/>
        </w:rPr>
        <w:t>obedece al reconocimiento y causación de ingresos correspondientes a la contraprestación portuaria, aeroportuaria y férrea en cumplimiento de los establecido en el Decreto 008 de 2024</w:t>
      </w:r>
      <w:r w:rsidR="003F515B">
        <w:rPr>
          <w:rFonts w:ascii="Times New Roman" w:hAnsi="Times New Roman" w:cs="Times New Roman"/>
          <w:sz w:val="24"/>
          <w:szCs w:val="24"/>
        </w:rPr>
        <w:t>.</w:t>
      </w:r>
    </w:p>
    <w:p w14:paraId="4C695391" w14:textId="0061ACB4" w:rsidR="009005C5" w:rsidRDefault="003F515B" w:rsidP="00F16BE0">
      <w:pPr>
        <w:jc w:val="both"/>
        <w:rPr>
          <w:rFonts w:ascii="Times New Roman" w:hAnsi="Times New Roman" w:cs="Times New Roman"/>
          <w:sz w:val="24"/>
          <w:szCs w:val="24"/>
        </w:rPr>
      </w:pPr>
      <w:r>
        <w:rPr>
          <w:rFonts w:ascii="Times New Roman" w:hAnsi="Times New Roman" w:cs="Times New Roman"/>
          <w:sz w:val="24"/>
          <w:szCs w:val="24"/>
        </w:rPr>
        <w:t xml:space="preserve">En cuanto a </w:t>
      </w:r>
      <w:r w:rsidR="00DD2A7A">
        <w:rPr>
          <w:rFonts w:ascii="Times New Roman" w:hAnsi="Times New Roman" w:cs="Times New Roman"/>
          <w:sz w:val="24"/>
          <w:szCs w:val="24"/>
        </w:rPr>
        <w:t>los Derechos de tránsito</w:t>
      </w:r>
      <w:r>
        <w:rPr>
          <w:rFonts w:ascii="Times New Roman" w:hAnsi="Times New Roman" w:cs="Times New Roman"/>
          <w:sz w:val="24"/>
          <w:szCs w:val="24"/>
        </w:rPr>
        <w:t>,</w:t>
      </w:r>
      <w:r w:rsidR="00DD2A7A">
        <w:rPr>
          <w:rFonts w:ascii="Times New Roman" w:hAnsi="Times New Roman" w:cs="Times New Roman"/>
          <w:sz w:val="24"/>
          <w:szCs w:val="24"/>
        </w:rPr>
        <w:t xml:space="preserve"> a continuación</w:t>
      </w:r>
      <w:r w:rsidR="00974E13">
        <w:rPr>
          <w:rFonts w:ascii="Times New Roman" w:hAnsi="Times New Roman" w:cs="Times New Roman"/>
          <w:sz w:val="24"/>
          <w:szCs w:val="24"/>
        </w:rPr>
        <w:t>,</w:t>
      </w:r>
      <w:r w:rsidR="00DD2A7A">
        <w:rPr>
          <w:rFonts w:ascii="Times New Roman" w:hAnsi="Times New Roman" w:cs="Times New Roman"/>
          <w:sz w:val="24"/>
          <w:szCs w:val="24"/>
        </w:rPr>
        <w:t xml:space="preserve"> se </w:t>
      </w:r>
      <w:r>
        <w:rPr>
          <w:rFonts w:ascii="Times New Roman" w:hAnsi="Times New Roman" w:cs="Times New Roman"/>
          <w:sz w:val="24"/>
          <w:szCs w:val="24"/>
        </w:rPr>
        <w:t>presenta</w:t>
      </w:r>
      <w:r w:rsidR="00DD2A7A">
        <w:rPr>
          <w:rFonts w:ascii="Times New Roman" w:hAnsi="Times New Roman" w:cs="Times New Roman"/>
          <w:sz w:val="24"/>
          <w:szCs w:val="24"/>
        </w:rPr>
        <w:t xml:space="preserve"> un resumen </w:t>
      </w:r>
      <w:r>
        <w:rPr>
          <w:rFonts w:ascii="Times New Roman" w:hAnsi="Times New Roman" w:cs="Times New Roman"/>
          <w:sz w:val="24"/>
          <w:szCs w:val="24"/>
        </w:rPr>
        <w:t>de los principales aspectos que afectaron el comportamiento de dichos ingresos en el modo férreo.</w:t>
      </w:r>
      <w:r w:rsidR="00DD2A7A">
        <w:rPr>
          <w:rFonts w:ascii="Times New Roman" w:hAnsi="Times New Roman" w:cs="Times New Roman"/>
          <w:sz w:val="24"/>
          <w:szCs w:val="24"/>
        </w:rPr>
        <w:t xml:space="preserve"> </w:t>
      </w:r>
    </w:p>
    <w:p w14:paraId="38952768" w14:textId="77777777" w:rsidR="0072333C" w:rsidRDefault="0072333C" w:rsidP="00F16BE0">
      <w:pPr>
        <w:jc w:val="both"/>
        <w:rPr>
          <w:rFonts w:ascii="Times New Roman" w:hAnsi="Times New Roman" w:cs="Times New Roman"/>
          <w:sz w:val="24"/>
          <w:szCs w:val="24"/>
        </w:rPr>
      </w:pPr>
    </w:p>
    <w:p w14:paraId="5885DD97" w14:textId="550D7694" w:rsidR="0098691F" w:rsidRPr="00974E13" w:rsidRDefault="0098691F" w:rsidP="00F16BE0">
      <w:pPr>
        <w:jc w:val="both"/>
        <w:rPr>
          <w:rFonts w:ascii="Times New Roman" w:hAnsi="Times New Roman" w:cs="Times New Roman"/>
          <w:i/>
          <w:iCs/>
          <w:sz w:val="24"/>
          <w:szCs w:val="24"/>
        </w:rPr>
      </w:pPr>
      <w:r w:rsidRPr="00974E13">
        <w:rPr>
          <w:rFonts w:ascii="Times New Roman" w:hAnsi="Times New Roman" w:cs="Times New Roman"/>
          <w:i/>
          <w:iCs/>
          <w:sz w:val="24"/>
          <w:szCs w:val="24"/>
        </w:rPr>
        <w:t>Derechos de tránsito</w:t>
      </w:r>
    </w:p>
    <w:p w14:paraId="6C2136C5" w14:textId="77777777" w:rsidR="0098691F" w:rsidRDefault="0098691F" w:rsidP="00F16BE0">
      <w:pPr>
        <w:jc w:val="both"/>
        <w:rPr>
          <w:rFonts w:ascii="Times New Roman" w:hAnsi="Times New Roman" w:cs="Times New Roman"/>
          <w:sz w:val="24"/>
          <w:szCs w:val="24"/>
        </w:rPr>
      </w:pPr>
    </w:p>
    <w:p w14:paraId="5B7BD10C" w14:textId="77777777" w:rsidR="0098691F" w:rsidRPr="00BD3C37" w:rsidRDefault="0098691F" w:rsidP="0098691F">
      <w:pPr>
        <w:jc w:val="center"/>
        <w:rPr>
          <w:rFonts w:ascii="Times New Roman" w:hAnsi="Times New Roman" w:cs="Times New Roman"/>
          <w:b/>
          <w:bCs/>
          <w:sz w:val="24"/>
          <w:szCs w:val="24"/>
        </w:rPr>
      </w:pPr>
      <w:r w:rsidRPr="00BD3C37">
        <w:rPr>
          <w:rFonts w:ascii="Times New Roman" w:hAnsi="Times New Roman" w:cs="Times New Roman"/>
          <w:b/>
          <w:bCs/>
          <w:sz w:val="24"/>
          <w:szCs w:val="24"/>
        </w:rPr>
        <w:t>Contexto Ingresos Modo Férreo</w:t>
      </w:r>
    </w:p>
    <w:p w14:paraId="4AE4C24D" w14:textId="77777777" w:rsidR="0098691F" w:rsidRPr="00BD3C37" w:rsidRDefault="0098691F" w:rsidP="0098691F">
      <w:pPr>
        <w:jc w:val="both"/>
        <w:rPr>
          <w:rFonts w:ascii="Times New Roman" w:hAnsi="Times New Roman" w:cs="Times New Roman"/>
          <w:sz w:val="24"/>
          <w:szCs w:val="24"/>
        </w:rPr>
      </w:pPr>
      <w:r w:rsidRPr="00BD3C37">
        <w:rPr>
          <w:rFonts w:ascii="Times New Roman" w:hAnsi="Times New Roman" w:cs="Times New Roman"/>
          <w:sz w:val="24"/>
          <w:szCs w:val="24"/>
        </w:rPr>
        <w:t xml:space="preserve">Desde el Gobierno Nacional se ha tenido el firme propósito de reactivar y consolidar el modo férreo como parte del sistema de transporte. En lo que respecta a la Red Férrea del Atlántico (Chiriguaná – Santa Marta), en los años 2020 y 2021 se presentó una reducción en la movilización de la carga de la carga, ocasionada por la pandemia y principalmente por la interrupción en la operación por parte de PRODECO y CNR, debido a la solicitud de entrega de licencias de explotación de carbón por parte del primero y a inconvenientes internos del segundo operador mencionado. </w:t>
      </w:r>
    </w:p>
    <w:p w14:paraId="7E851DC5" w14:textId="77777777" w:rsidR="0098691F" w:rsidRPr="00BD3C37" w:rsidRDefault="0098691F" w:rsidP="0098691F">
      <w:pPr>
        <w:jc w:val="both"/>
        <w:rPr>
          <w:rFonts w:ascii="Times New Roman" w:hAnsi="Times New Roman" w:cs="Times New Roman"/>
          <w:bCs/>
          <w:sz w:val="24"/>
          <w:szCs w:val="24"/>
        </w:rPr>
      </w:pPr>
      <w:r w:rsidRPr="00BD3C37">
        <w:rPr>
          <w:rFonts w:ascii="Times New Roman" w:hAnsi="Times New Roman" w:cs="Times New Roman"/>
          <w:bCs/>
          <w:sz w:val="24"/>
          <w:szCs w:val="24"/>
        </w:rPr>
        <w:t>Por las anteriores circunstancias, a partir del año 2020 la movilización de carbón disminuyó, tal como puede evidenciarse a continuación:</w:t>
      </w:r>
    </w:p>
    <w:p w14:paraId="53D3FD16" w14:textId="77777777" w:rsidR="0098691F" w:rsidRPr="00BD3C37" w:rsidRDefault="0098691F" w:rsidP="0098691F">
      <w:pPr>
        <w:jc w:val="both"/>
        <w:rPr>
          <w:rFonts w:ascii="Times New Roman" w:hAnsi="Times New Roman" w:cs="Times New Roman"/>
          <w:bCs/>
          <w:sz w:val="24"/>
          <w:szCs w:val="24"/>
        </w:rPr>
      </w:pPr>
    </w:p>
    <w:tbl>
      <w:tblPr>
        <w:tblStyle w:val="Tablaconcuadrcula"/>
        <w:tblW w:w="0" w:type="auto"/>
        <w:jc w:val="center"/>
        <w:tblLook w:val="04A0" w:firstRow="1" w:lastRow="0" w:firstColumn="1" w:lastColumn="0" w:noHBand="0" w:noVBand="1"/>
      </w:tblPr>
      <w:tblGrid>
        <w:gridCol w:w="1696"/>
        <w:gridCol w:w="2694"/>
      </w:tblGrid>
      <w:tr w:rsidR="0098691F" w:rsidRPr="00BD3C37" w14:paraId="7126E77C" w14:textId="77777777" w:rsidTr="005807C9">
        <w:trPr>
          <w:jc w:val="center"/>
        </w:trPr>
        <w:tc>
          <w:tcPr>
            <w:tcW w:w="1696" w:type="dxa"/>
          </w:tcPr>
          <w:p w14:paraId="06A10BD7" w14:textId="77777777" w:rsidR="0098691F" w:rsidRPr="00BD3C37" w:rsidRDefault="0098691F" w:rsidP="005807C9">
            <w:pPr>
              <w:jc w:val="center"/>
              <w:rPr>
                <w:rFonts w:ascii="Times New Roman" w:hAnsi="Times New Roman" w:cs="Times New Roman"/>
                <w:b/>
                <w:sz w:val="18"/>
                <w:szCs w:val="18"/>
              </w:rPr>
            </w:pPr>
            <w:r w:rsidRPr="00BD3C37">
              <w:rPr>
                <w:rFonts w:ascii="Times New Roman" w:hAnsi="Times New Roman" w:cs="Times New Roman"/>
                <w:b/>
                <w:sz w:val="18"/>
                <w:szCs w:val="18"/>
              </w:rPr>
              <w:t>Año</w:t>
            </w:r>
          </w:p>
        </w:tc>
        <w:tc>
          <w:tcPr>
            <w:tcW w:w="2694" w:type="dxa"/>
          </w:tcPr>
          <w:p w14:paraId="6B4FD839" w14:textId="77777777" w:rsidR="0098691F" w:rsidRPr="00BD3C37" w:rsidRDefault="0098691F" w:rsidP="005807C9">
            <w:pPr>
              <w:jc w:val="center"/>
              <w:rPr>
                <w:rFonts w:ascii="Times New Roman" w:hAnsi="Times New Roman" w:cs="Times New Roman"/>
                <w:b/>
                <w:sz w:val="18"/>
                <w:szCs w:val="18"/>
              </w:rPr>
            </w:pPr>
            <w:r w:rsidRPr="00BD3C37">
              <w:rPr>
                <w:rFonts w:ascii="Times New Roman" w:hAnsi="Times New Roman" w:cs="Times New Roman"/>
                <w:b/>
                <w:sz w:val="18"/>
                <w:szCs w:val="18"/>
              </w:rPr>
              <w:t>Carga movilizada</w:t>
            </w:r>
          </w:p>
        </w:tc>
      </w:tr>
      <w:tr w:rsidR="0098691F" w:rsidRPr="00BD3C37" w14:paraId="0F6FF1C7" w14:textId="77777777" w:rsidTr="005807C9">
        <w:trPr>
          <w:jc w:val="center"/>
        </w:trPr>
        <w:tc>
          <w:tcPr>
            <w:tcW w:w="1696" w:type="dxa"/>
          </w:tcPr>
          <w:p w14:paraId="7C8B65B9" w14:textId="77777777" w:rsidR="0098691F" w:rsidRPr="00BD3C37" w:rsidRDefault="0098691F" w:rsidP="005807C9">
            <w:pPr>
              <w:jc w:val="center"/>
              <w:rPr>
                <w:rFonts w:ascii="Times New Roman" w:hAnsi="Times New Roman" w:cs="Times New Roman"/>
                <w:bCs/>
                <w:sz w:val="18"/>
                <w:szCs w:val="18"/>
              </w:rPr>
            </w:pPr>
            <w:r w:rsidRPr="00BD3C37">
              <w:rPr>
                <w:rFonts w:ascii="Times New Roman" w:hAnsi="Times New Roman" w:cs="Times New Roman"/>
                <w:bCs/>
                <w:sz w:val="18"/>
                <w:szCs w:val="18"/>
              </w:rPr>
              <w:t>2019</w:t>
            </w:r>
          </w:p>
        </w:tc>
        <w:tc>
          <w:tcPr>
            <w:tcW w:w="2694" w:type="dxa"/>
          </w:tcPr>
          <w:p w14:paraId="0ACA56C8" w14:textId="77777777" w:rsidR="0098691F" w:rsidRPr="00BD3C37" w:rsidRDefault="0098691F" w:rsidP="005807C9">
            <w:pPr>
              <w:jc w:val="center"/>
              <w:rPr>
                <w:rFonts w:ascii="Times New Roman" w:hAnsi="Times New Roman" w:cs="Times New Roman"/>
                <w:b/>
                <w:sz w:val="18"/>
                <w:szCs w:val="18"/>
              </w:rPr>
            </w:pPr>
            <w:r w:rsidRPr="00BD3C37">
              <w:rPr>
                <w:rFonts w:ascii="Times New Roman" w:hAnsi="Times New Roman" w:cs="Times New Roman"/>
                <w:b/>
                <w:sz w:val="18"/>
                <w:szCs w:val="18"/>
              </w:rPr>
              <w:t>50.269.664.11</w:t>
            </w:r>
          </w:p>
        </w:tc>
      </w:tr>
      <w:tr w:rsidR="0098691F" w:rsidRPr="00BD3C37" w14:paraId="74B552F2" w14:textId="77777777" w:rsidTr="005807C9">
        <w:trPr>
          <w:jc w:val="center"/>
        </w:trPr>
        <w:tc>
          <w:tcPr>
            <w:tcW w:w="1696" w:type="dxa"/>
          </w:tcPr>
          <w:p w14:paraId="549B1ED5" w14:textId="77777777" w:rsidR="0098691F" w:rsidRPr="00BD3C37" w:rsidRDefault="0098691F" w:rsidP="005807C9">
            <w:pPr>
              <w:jc w:val="center"/>
              <w:rPr>
                <w:rFonts w:ascii="Times New Roman" w:hAnsi="Times New Roman" w:cs="Times New Roman"/>
                <w:bCs/>
                <w:sz w:val="18"/>
                <w:szCs w:val="18"/>
              </w:rPr>
            </w:pPr>
            <w:r w:rsidRPr="00BD3C37">
              <w:rPr>
                <w:rFonts w:ascii="Times New Roman" w:hAnsi="Times New Roman" w:cs="Times New Roman"/>
                <w:bCs/>
                <w:sz w:val="18"/>
                <w:szCs w:val="18"/>
              </w:rPr>
              <w:t>2020</w:t>
            </w:r>
          </w:p>
        </w:tc>
        <w:tc>
          <w:tcPr>
            <w:tcW w:w="2694" w:type="dxa"/>
          </w:tcPr>
          <w:p w14:paraId="5DFAAC6A" w14:textId="77777777" w:rsidR="0098691F" w:rsidRPr="00BD3C37" w:rsidRDefault="0098691F" w:rsidP="005807C9">
            <w:pPr>
              <w:jc w:val="center"/>
              <w:rPr>
                <w:rFonts w:ascii="Times New Roman" w:hAnsi="Times New Roman" w:cs="Times New Roman"/>
                <w:bCs/>
                <w:sz w:val="18"/>
                <w:szCs w:val="18"/>
              </w:rPr>
            </w:pPr>
            <w:r w:rsidRPr="00BD3C37">
              <w:rPr>
                <w:rFonts w:ascii="Times New Roman" w:hAnsi="Times New Roman" w:cs="Times New Roman"/>
                <w:bCs/>
                <w:sz w:val="18"/>
                <w:szCs w:val="18"/>
              </w:rPr>
              <w:t>35.568.337,12</w:t>
            </w:r>
          </w:p>
        </w:tc>
      </w:tr>
      <w:tr w:rsidR="0098691F" w:rsidRPr="00BD3C37" w14:paraId="61EDF544" w14:textId="77777777" w:rsidTr="005807C9">
        <w:trPr>
          <w:jc w:val="center"/>
        </w:trPr>
        <w:tc>
          <w:tcPr>
            <w:tcW w:w="1696" w:type="dxa"/>
          </w:tcPr>
          <w:p w14:paraId="6B3BF217" w14:textId="77777777" w:rsidR="0098691F" w:rsidRPr="00BD3C37" w:rsidRDefault="0098691F" w:rsidP="005807C9">
            <w:pPr>
              <w:jc w:val="center"/>
              <w:rPr>
                <w:rFonts w:ascii="Times New Roman" w:hAnsi="Times New Roman" w:cs="Times New Roman"/>
                <w:bCs/>
                <w:sz w:val="18"/>
                <w:szCs w:val="18"/>
              </w:rPr>
            </w:pPr>
            <w:r w:rsidRPr="00BD3C37">
              <w:rPr>
                <w:rFonts w:ascii="Times New Roman" w:hAnsi="Times New Roman" w:cs="Times New Roman"/>
                <w:bCs/>
                <w:sz w:val="18"/>
                <w:szCs w:val="18"/>
              </w:rPr>
              <w:t>2021</w:t>
            </w:r>
          </w:p>
        </w:tc>
        <w:tc>
          <w:tcPr>
            <w:tcW w:w="2694" w:type="dxa"/>
          </w:tcPr>
          <w:p w14:paraId="75C35703" w14:textId="77777777" w:rsidR="0098691F" w:rsidRPr="00BD3C37" w:rsidRDefault="0098691F" w:rsidP="005807C9">
            <w:pPr>
              <w:jc w:val="center"/>
              <w:rPr>
                <w:rFonts w:ascii="Times New Roman" w:hAnsi="Times New Roman" w:cs="Times New Roman"/>
                <w:bCs/>
                <w:sz w:val="18"/>
                <w:szCs w:val="18"/>
              </w:rPr>
            </w:pPr>
            <w:r w:rsidRPr="00BD3C37">
              <w:rPr>
                <w:rFonts w:ascii="Times New Roman" w:hAnsi="Times New Roman" w:cs="Times New Roman"/>
                <w:bCs/>
                <w:sz w:val="18"/>
                <w:szCs w:val="18"/>
              </w:rPr>
              <w:t>31.871.248,09</w:t>
            </w:r>
          </w:p>
        </w:tc>
      </w:tr>
      <w:tr w:rsidR="0098691F" w:rsidRPr="00BD3C37" w14:paraId="2784E13C" w14:textId="77777777" w:rsidTr="005807C9">
        <w:trPr>
          <w:jc w:val="center"/>
        </w:trPr>
        <w:tc>
          <w:tcPr>
            <w:tcW w:w="1696" w:type="dxa"/>
          </w:tcPr>
          <w:p w14:paraId="00E71031" w14:textId="77777777" w:rsidR="0098691F" w:rsidRPr="00BD3C37" w:rsidRDefault="0098691F" w:rsidP="005807C9">
            <w:pPr>
              <w:jc w:val="center"/>
              <w:rPr>
                <w:rFonts w:ascii="Times New Roman" w:hAnsi="Times New Roman" w:cs="Times New Roman"/>
                <w:bCs/>
                <w:sz w:val="18"/>
                <w:szCs w:val="18"/>
              </w:rPr>
            </w:pPr>
            <w:r w:rsidRPr="00BD3C37">
              <w:rPr>
                <w:rFonts w:ascii="Times New Roman" w:hAnsi="Times New Roman" w:cs="Times New Roman"/>
                <w:bCs/>
                <w:sz w:val="18"/>
                <w:szCs w:val="18"/>
              </w:rPr>
              <w:t>2022</w:t>
            </w:r>
          </w:p>
        </w:tc>
        <w:tc>
          <w:tcPr>
            <w:tcW w:w="2694" w:type="dxa"/>
          </w:tcPr>
          <w:p w14:paraId="3B64DD26" w14:textId="77777777" w:rsidR="0098691F" w:rsidRPr="00BD3C37" w:rsidRDefault="0098691F" w:rsidP="005807C9">
            <w:pPr>
              <w:jc w:val="center"/>
              <w:rPr>
                <w:rFonts w:ascii="Times New Roman" w:hAnsi="Times New Roman" w:cs="Times New Roman"/>
                <w:bCs/>
                <w:sz w:val="18"/>
                <w:szCs w:val="18"/>
              </w:rPr>
            </w:pPr>
            <w:r w:rsidRPr="00BD3C37">
              <w:rPr>
                <w:rFonts w:ascii="Times New Roman" w:hAnsi="Times New Roman" w:cs="Times New Roman"/>
                <w:bCs/>
                <w:sz w:val="18"/>
                <w:szCs w:val="18"/>
              </w:rPr>
              <w:t>30.655.001,99</w:t>
            </w:r>
          </w:p>
        </w:tc>
      </w:tr>
      <w:tr w:rsidR="0098691F" w:rsidRPr="00BD3C37" w14:paraId="740F3628" w14:textId="77777777" w:rsidTr="005807C9">
        <w:trPr>
          <w:jc w:val="center"/>
        </w:trPr>
        <w:tc>
          <w:tcPr>
            <w:tcW w:w="1696" w:type="dxa"/>
          </w:tcPr>
          <w:p w14:paraId="2FC1855A" w14:textId="77777777" w:rsidR="0098691F" w:rsidRPr="00BD3C37" w:rsidRDefault="0098691F" w:rsidP="005807C9">
            <w:pPr>
              <w:jc w:val="center"/>
              <w:rPr>
                <w:rFonts w:ascii="Times New Roman" w:hAnsi="Times New Roman" w:cs="Times New Roman"/>
                <w:bCs/>
                <w:sz w:val="18"/>
                <w:szCs w:val="18"/>
              </w:rPr>
            </w:pPr>
            <w:r w:rsidRPr="00BD3C37">
              <w:rPr>
                <w:rFonts w:ascii="Times New Roman" w:hAnsi="Times New Roman" w:cs="Times New Roman"/>
                <w:bCs/>
                <w:sz w:val="18"/>
                <w:szCs w:val="18"/>
              </w:rPr>
              <w:t>2023</w:t>
            </w:r>
          </w:p>
        </w:tc>
        <w:tc>
          <w:tcPr>
            <w:tcW w:w="2694" w:type="dxa"/>
          </w:tcPr>
          <w:p w14:paraId="2E259D45" w14:textId="77777777" w:rsidR="0098691F" w:rsidRPr="00BD3C37" w:rsidRDefault="0098691F" w:rsidP="005807C9">
            <w:pPr>
              <w:jc w:val="center"/>
              <w:rPr>
                <w:rFonts w:ascii="Times New Roman" w:hAnsi="Times New Roman" w:cs="Times New Roman"/>
                <w:bCs/>
                <w:sz w:val="18"/>
                <w:szCs w:val="18"/>
              </w:rPr>
            </w:pPr>
            <w:r w:rsidRPr="00BD3C37">
              <w:rPr>
                <w:rFonts w:ascii="Times New Roman" w:hAnsi="Times New Roman" w:cs="Times New Roman"/>
                <w:bCs/>
                <w:sz w:val="18"/>
                <w:szCs w:val="18"/>
              </w:rPr>
              <w:t>30.928.351,50</w:t>
            </w:r>
          </w:p>
        </w:tc>
      </w:tr>
      <w:tr w:rsidR="0098691F" w:rsidRPr="00BD3C37" w14:paraId="7506F2FD" w14:textId="77777777" w:rsidTr="005807C9">
        <w:trPr>
          <w:jc w:val="center"/>
        </w:trPr>
        <w:tc>
          <w:tcPr>
            <w:tcW w:w="1696" w:type="dxa"/>
          </w:tcPr>
          <w:p w14:paraId="069D916C" w14:textId="77777777" w:rsidR="0098691F" w:rsidRPr="00BD3C37" w:rsidRDefault="0098691F" w:rsidP="005807C9">
            <w:pPr>
              <w:jc w:val="center"/>
              <w:rPr>
                <w:rFonts w:ascii="Times New Roman" w:hAnsi="Times New Roman" w:cs="Times New Roman"/>
                <w:bCs/>
                <w:sz w:val="18"/>
                <w:szCs w:val="18"/>
              </w:rPr>
            </w:pPr>
            <w:r w:rsidRPr="00BD3C37">
              <w:rPr>
                <w:rFonts w:ascii="Times New Roman" w:hAnsi="Times New Roman" w:cs="Times New Roman"/>
                <w:bCs/>
                <w:sz w:val="18"/>
                <w:szCs w:val="18"/>
              </w:rPr>
              <w:t>2024</w:t>
            </w:r>
          </w:p>
        </w:tc>
        <w:tc>
          <w:tcPr>
            <w:tcW w:w="2694" w:type="dxa"/>
          </w:tcPr>
          <w:p w14:paraId="65E09D7F" w14:textId="77777777" w:rsidR="0098691F" w:rsidRPr="00BD3C37" w:rsidRDefault="0098691F" w:rsidP="005807C9">
            <w:pPr>
              <w:jc w:val="center"/>
              <w:rPr>
                <w:rFonts w:ascii="Times New Roman" w:hAnsi="Times New Roman" w:cs="Times New Roman"/>
                <w:bCs/>
                <w:sz w:val="18"/>
                <w:szCs w:val="18"/>
              </w:rPr>
            </w:pPr>
            <w:r w:rsidRPr="00BD3C37">
              <w:rPr>
                <w:rFonts w:ascii="Times New Roman" w:hAnsi="Times New Roman" w:cs="Times New Roman"/>
                <w:bCs/>
                <w:sz w:val="18"/>
                <w:szCs w:val="18"/>
              </w:rPr>
              <w:t>32.145.188,03</w:t>
            </w:r>
          </w:p>
        </w:tc>
      </w:tr>
      <w:tr w:rsidR="0098691F" w:rsidRPr="00BD3C37" w14:paraId="4BD9880D" w14:textId="77777777" w:rsidTr="005807C9">
        <w:trPr>
          <w:jc w:val="center"/>
        </w:trPr>
        <w:tc>
          <w:tcPr>
            <w:tcW w:w="1696" w:type="dxa"/>
          </w:tcPr>
          <w:p w14:paraId="26A4DCA8" w14:textId="77777777" w:rsidR="0098691F" w:rsidRPr="00BD3C37" w:rsidRDefault="0098691F" w:rsidP="005807C9">
            <w:pPr>
              <w:jc w:val="center"/>
              <w:rPr>
                <w:rFonts w:ascii="Times New Roman" w:hAnsi="Times New Roman" w:cs="Times New Roman"/>
                <w:bCs/>
                <w:sz w:val="18"/>
                <w:szCs w:val="18"/>
              </w:rPr>
            </w:pPr>
            <w:r w:rsidRPr="00BD3C37">
              <w:rPr>
                <w:rFonts w:ascii="Times New Roman" w:hAnsi="Times New Roman" w:cs="Times New Roman"/>
                <w:bCs/>
                <w:sz w:val="18"/>
                <w:szCs w:val="18"/>
              </w:rPr>
              <w:t>2025</w:t>
            </w:r>
          </w:p>
        </w:tc>
        <w:tc>
          <w:tcPr>
            <w:tcW w:w="2694" w:type="dxa"/>
          </w:tcPr>
          <w:p w14:paraId="1DB1DF8B" w14:textId="77777777" w:rsidR="0098691F" w:rsidRPr="00BD3C37" w:rsidRDefault="0098691F" w:rsidP="005807C9">
            <w:pPr>
              <w:jc w:val="center"/>
              <w:rPr>
                <w:rFonts w:ascii="Times New Roman" w:hAnsi="Times New Roman" w:cs="Times New Roman"/>
                <w:bCs/>
                <w:sz w:val="18"/>
                <w:szCs w:val="18"/>
              </w:rPr>
            </w:pPr>
            <w:r w:rsidRPr="00BD3C37">
              <w:rPr>
                <w:rFonts w:ascii="Times New Roman" w:hAnsi="Times New Roman" w:cs="Times New Roman"/>
                <w:sz w:val="18"/>
                <w:szCs w:val="18"/>
              </w:rPr>
              <w:t>27.841.778,91</w:t>
            </w:r>
          </w:p>
        </w:tc>
      </w:tr>
    </w:tbl>
    <w:p w14:paraId="7345292B" w14:textId="77777777" w:rsidR="0098691F" w:rsidRDefault="0098691F" w:rsidP="0098691F">
      <w:pPr>
        <w:jc w:val="both"/>
        <w:rPr>
          <w:rFonts w:cstheme="minorHAnsi"/>
          <w:bCs/>
        </w:rPr>
      </w:pPr>
    </w:p>
    <w:p w14:paraId="3F495DA4" w14:textId="77777777" w:rsidR="0098691F" w:rsidRPr="00BD3C37" w:rsidRDefault="0098691F" w:rsidP="0098691F">
      <w:pPr>
        <w:jc w:val="both"/>
        <w:rPr>
          <w:rFonts w:ascii="Times New Roman" w:hAnsi="Times New Roman" w:cs="Times New Roman"/>
          <w:bCs/>
          <w:sz w:val="24"/>
          <w:szCs w:val="24"/>
        </w:rPr>
      </w:pPr>
      <w:r w:rsidRPr="00BD3C37">
        <w:rPr>
          <w:rFonts w:ascii="Times New Roman" w:hAnsi="Times New Roman" w:cs="Times New Roman"/>
          <w:bCs/>
          <w:sz w:val="24"/>
          <w:szCs w:val="24"/>
        </w:rPr>
        <w:t xml:space="preserve">Todo lo anterior, ha significado la disminución de ingresos para </w:t>
      </w:r>
      <w:proofErr w:type="spellStart"/>
      <w:r w:rsidRPr="00BD3C37">
        <w:rPr>
          <w:rFonts w:ascii="Times New Roman" w:hAnsi="Times New Roman" w:cs="Times New Roman"/>
          <w:bCs/>
          <w:sz w:val="24"/>
          <w:szCs w:val="24"/>
        </w:rPr>
        <w:t>Fenoco</w:t>
      </w:r>
      <w:proofErr w:type="spellEnd"/>
      <w:r w:rsidRPr="00BD3C37">
        <w:rPr>
          <w:rFonts w:ascii="Times New Roman" w:hAnsi="Times New Roman" w:cs="Times New Roman"/>
          <w:bCs/>
          <w:sz w:val="24"/>
          <w:szCs w:val="24"/>
        </w:rPr>
        <w:t xml:space="preserve"> y para la ANI, respecto a los ingresos obtenidos en los años anteriores al 2020. </w:t>
      </w:r>
    </w:p>
    <w:p w14:paraId="44FDE355" w14:textId="77777777" w:rsidR="0098691F" w:rsidRPr="00BD3C37" w:rsidRDefault="0098691F" w:rsidP="0098691F">
      <w:pPr>
        <w:jc w:val="both"/>
        <w:rPr>
          <w:rFonts w:ascii="Times New Roman" w:hAnsi="Times New Roman" w:cs="Times New Roman"/>
          <w:sz w:val="24"/>
          <w:szCs w:val="24"/>
        </w:rPr>
      </w:pPr>
      <w:r w:rsidRPr="00BD3C37">
        <w:rPr>
          <w:rFonts w:ascii="Times New Roman" w:hAnsi="Times New Roman" w:cs="Times New Roman"/>
          <w:sz w:val="24"/>
          <w:szCs w:val="24"/>
        </w:rPr>
        <w:t xml:space="preserve">Actualmente Drummond tiene una operación normal, </w:t>
      </w:r>
      <w:r w:rsidRPr="00BD3C37">
        <w:rPr>
          <w:rFonts w:ascii="Times New Roman" w:hAnsi="Times New Roman" w:cs="Times New Roman"/>
          <w:noProof/>
          <w:sz w:val="24"/>
          <w:szCs w:val="24"/>
          <w:lang w:eastAsia="es-CO"/>
        </w:rPr>
        <w:t>el operador que viene llevando a cabo movilización de carga desde Gamarra y hasta Ciénaga, es TRANSFERPORT y el operador C.I. PRODECO, movilizó carga sólo hasta el mes de enero de 2026, a partir del mes de febrero no efectúa movilización de carga.</w:t>
      </w:r>
    </w:p>
    <w:p w14:paraId="5B071C1A" w14:textId="538EA38E" w:rsidR="0098691F" w:rsidRDefault="0098691F" w:rsidP="0098691F">
      <w:pPr>
        <w:jc w:val="both"/>
        <w:rPr>
          <w:rFonts w:ascii="Times New Roman" w:hAnsi="Times New Roman" w:cs="Times New Roman"/>
          <w:sz w:val="24"/>
          <w:szCs w:val="24"/>
        </w:rPr>
      </w:pPr>
      <w:r w:rsidRPr="00BD3C37">
        <w:rPr>
          <w:rFonts w:ascii="Times New Roman" w:hAnsi="Times New Roman" w:cs="Times New Roman"/>
          <w:sz w:val="24"/>
          <w:szCs w:val="24"/>
        </w:rPr>
        <w:t>A continuación, se presenta la información con corte al mes de marzo de 2026.</w:t>
      </w:r>
    </w:p>
    <w:p w14:paraId="0CAD0B8F" w14:textId="77777777" w:rsidR="00DD2A7A" w:rsidRDefault="00DD2A7A" w:rsidP="0098691F">
      <w:pPr>
        <w:jc w:val="both"/>
        <w:rPr>
          <w:rFonts w:ascii="Times New Roman" w:hAnsi="Times New Roman" w:cs="Times New Roman"/>
          <w:sz w:val="24"/>
          <w:szCs w:val="24"/>
        </w:rPr>
      </w:pPr>
    </w:p>
    <w:p w14:paraId="2E3335B4" w14:textId="77777777" w:rsidR="009E41E9" w:rsidRPr="00BD3C37" w:rsidRDefault="009E41E9" w:rsidP="0098691F">
      <w:pPr>
        <w:jc w:val="both"/>
        <w:rPr>
          <w:rFonts w:ascii="Times New Roman" w:hAnsi="Times New Roman" w:cs="Times New Roman"/>
          <w:sz w:val="24"/>
          <w:szCs w:val="24"/>
        </w:rPr>
      </w:pPr>
    </w:p>
    <w:p w14:paraId="0C96955A" w14:textId="77777777" w:rsidR="0098691F" w:rsidRPr="00BD3C37" w:rsidRDefault="0098691F" w:rsidP="0098691F">
      <w:pPr>
        <w:jc w:val="both"/>
        <w:rPr>
          <w:rFonts w:ascii="Times New Roman" w:hAnsi="Times New Roman" w:cs="Times New Roman"/>
          <w:b/>
          <w:sz w:val="24"/>
          <w:szCs w:val="24"/>
        </w:rPr>
      </w:pPr>
      <w:r w:rsidRPr="00BD3C37">
        <w:rPr>
          <w:rFonts w:ascii="Times New Roman" w:hAnsi="Times New Roman" w:cs="Times New Roman"/>
          <w:b/>
          <w:sz w:val="24"/>
          <w:szCs w:val="24"/>
        </w:rPr>
        <w:lastRenderedPageBreak/>
        <w:t>FENOCO (DRUMMOND - TRANSFERPORT)</w:t>
      </w:r>
    </w:p>
    <w:p w14:paraId="07EC6721" w14:textId="77777777" w:rsidR="0098691F" w:rsidRPr="00BD3C37" w:rsidRDefault="0098691F" w:rsidP="0098691F">
      <w:pPr>
        <w:jc w:val="both"/>
        <w:rPr>
          <w:rFonts w:ascii="Times New Roman" w:hAnsi="Times New Roman" w:cs="Times New Roman"/>
          <w:sz w:val="24"/>
          <w:szCs w:val="24"/>
        </w:rPr>
      </w:pPr>
      <w:bookmarkStart w:id="23" w:name="_Hlk113357199"/>
      <w:r w:rsidRPr="00BD3C37">
        <w:rPr>
          <w:rFonts w:ascii="Times New Roman" w:hAnsi="Times New Roman" w:cs="Times New Roman"/>
          <w:sz w:val="24"/>
          <w:szCs w:val="24"/>
        </w:rPr>
        <w:t>Para el año 2026, se tiene una proyección actualizada de carga de 28.500.000 toneladas de carbón, de las cuales en el mes de marzo se movilizaron un total de 2.760.702,63 toneladas de carbón, para un total acumulado en el 2026 de 7.922.102,7 ton (27.8% de lo proyectado), es decir con un pendiente por movilizar de 20.577.897,3 toneladas de carbón. A continuación, se presenta el histórico de movilización de carbón desde enero de 2020 a marzo de 2026:</w:t>
      </w:r>
      <w:bookmarkEnd w:id="23"/>
    </w:p>
    <w:p w14:paraId="133D10C4" w14:textId="77777777" w:rsidR="0098691F" w:rsidRDefault="0098691F" w:rsidP="0098691F">
      <w:pPr>
        <w:jc w:val="both"/>
      </w:pPr>
    </w:p>
    <w:p w14:paraId="28B8F663" w14:textId="77777777" w:rsidR="0098691F" w:rsidRDefault="0098691F" w:rsidP="0098691F">
      <w:pPr>
        <w:jc w:val="both"/>
      </w:pPr>
      <w:r>
        <w:rPr>
          <w:noProof/>
        </w:rPr>
        <w:drawing>
          <wp:inline distT="0" distB="0" distL="0" distR="0" wp14:anchorId="16C5A369" wp14:editId="371AA379">
            <wp:extent cx="6210935" cy="3267075"/>
            <wp:effectExtent l="0" t="0" r="18415" b="9525"/>
            <wp:docPr id="7669053" name="Gráfico 1">
              <a:extLst xmlns:a="http://schemas.openxmlformats.org/drawingml/2006/main">
                <a:ext uri="{FF2B5EF4-FFF2-40B4-BE49-F238E27FC236}">
                  <a16:creationId xmlns:a16="http://schemas.microsoft.com/office/drawing/2014/main" id="{53A88521-E4DB-4B3D-82B9-7157E2D4CD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D0FCDE" w14:textId="77777777" w:rsidR="0098691F" w:rsidRDefault="0098691F" w:rsidP="0098691F">
      <w:pPr>
        <w:jc w:val="both"/>
      </w:pPr>
    </w:p>
    <w:p w14:paraId="1E81C6BD" w14:textId="77777777" w:rsidR="0098691F" w:rsidRPr="00BD3C37" w:rsidRDefault="0098691F" w:rsidP="0098691F">
      <w:pPr>
        <w:jc w:val="center"/>
        <w:rPr>
          <w:rFonts w:ascii="Times New Roman" w:hAnsi="Times New Roman" w:cs="Times New Roman"/>
          <w:b/>
          <w:sz w:val="24"/>
          <w:szCs w:val="24"/>
        </w:rPr>
      </w:pPr>
      <w:r w:rsidRPr="00BD3C37">
        <w:rPr>
          <w:rFonts w:ascii="Times New Roman" w:hAnsi="Times New Roman" w:cs="Times New Roman"/>
          <w:b/>
          <w:sz w:val="24"/>
          <w:szCs w:val="24"/>
        </w:rPr>
        <w:t xml:space="preserve">CORREDORES FÉRREOS BOGOTÁ – BELENCITO </w:t>
      </w:r>
    </w:p>
    <w:p w14:paraId="73B1FE53" w14:textId="77777777" w:rsidR="0098691F" w:rsidRPr="00BD3C37" w:rsidRDefault="0098691F" w:rsidP="0098691F">
      <w:pPr>
        <w:jc w:val="both"/>
        <w:rPr>
          <w:rFonts w:ascii="Times New Roman" w:hAnsi="Times New Roman" w:cs="Times New Roman"/>
          <w:bCs/>
          <w:sz w:val="24"/>
          <w:szCs w:val="24"/>
        </w:rPr>
      </w:pPr>
    </w:p>
    <w:p w14:paraId="0E76A2CD" w14:textId="77777777" w:rsidR="0098691F" w:rsidRPr="00BD3C37" w:rsidRDefault="0098691F" w:rsidP="0098691F">
      <w:pPr>
        <w:jc w:val="both"/>
        <w:rPr>
          <w:rFonts w:ascii="Times New Roman" w:hAnsi="Times New Roman" w:cs="Times New Roman"/>
          <w:bCs/>
          <w:sz w:val="24"/>
          <w:szCs w:val="24"/>
        </w:rPr>
      </w:pPr>
      <w:r w:rsidRPr="00BD3C37">
        <w:rPr>
          <w:rFonts w:ascii="Times New Roman" w:hAnsi="Times New Roman" w:cs="Times New Roman"/>
          <w:bCs/>
          <w:sz w:val="24"/>
          <w:szCs w:val="24"/>
        </w:rPr>
        <w:t>En los corredores férreos La Dorada- Chiriguaná y Bogotá- Belencito, se tiene un ingreso regulado en el marco de la Resolución No. 184 de 2009 expedida por el Ministerio de Transporte que define las tarifas de uso de vía por cuenta de las operaciones de pasajeros que adelanten los operadores de pasajeros en los tramos La Dorada- Chiriguaná y Bogotá-Belencito.</w:t>
      </w:r>
    </w:p>
    <w:p w14:paraId="785054A2" w14:textId="77777777" w:rsidR="0098691F" w:rsidRPr="00BD3C37" w:rsidRDefault="0098691F" w:rsidP="0098691F">
      <w:pPr>
        <w:pStyle w:val="NormalWeb"/>
        <w:shd w:val="clear" w:color="auto" w:fill="FFFFFF"/>
        <w:spacing w:before="0" w:beforeAutospacing="0" w:after="0" w:afterAutospacing="0"/>
        <w:jc w:val="center"/>
        <w:rPr>
          <w:b/>
          <w:bCs/>
          <w:color w:val="000000"/>
        </w:rPr>
      </w:pPr>
    </w:p>
    <w:p w14:paraId="3CCBB39A" w14:textId="77777777" w:rsidR="0098691F" w:rsidRPr="00BD3C37" w:rsidRDefault="0098691F" w:rsidP="0098691F">
      <w:pPr>
        <w:pStyle w:val="NormalWeb"/>
        <w:shd w:val="clear" w:color="auto" w:fill="FFFFFF"/>
        <w:spacing w:before="0" w:beforeAutospacing="0" w:after="0" w:afterAutospacing="0"/>
        <w:jc w:val="center"/>
        <w:rPr>
          <w:b/>
          <w:bCs/>
          <w:color w:val="000000"/>
        </w:rPr>
      </w:pPr>
      <w:r w:rsidRPr="00BD3C37">
        <w:rPr>
          <w:b/>
          <w:bCs/>
          <w:color w:val="000000"/>
        </w:rPr>
        <w:t>Bogotá-Belencito</w:t>
      </w:r>
    </w:p>
    <w:p w14:paraId="6DB5F262" w14:textId="77777777" w:rsidR="0098691F" w:rsidRPr="00BD3C37" w:rsidRDefault="0098691F" w:rsidP="0098691F">
      <w:pPr>
        <w:jc w:val="both"/>
        <w:rPr>
          <w:rFonts w:ascii="Times New Roman" w:hAnsi="Times New Roman" w:cs="Times New Roman"/>
          <w:bCs/>
          <w:sz w:val="24"/>
          <w:szCs w:val="24"/>
        </w:rPr>
      </w:pPr>
    </w:p>
    <w:p w14:paraId="782098D4" w14:textId="77777777" w:rsidR="0098691F" w:rsidRPr="00BD3C37" w:rsidRDefault="0098691F" w:rsidP="0098691F">
      <w:pPr>
        <w:pStyle w:val="NormalWeb"/>
        <w:shd w:val="clear" w:color="auto" w:fill="FFFFFF"/>
        <w:jc w:val="both"/>
        <w:rPr>
          <w:color w:val="000000"/>
        </w:rPr>
      </w:pPr>
      <w:r w:rsidRPr="00BD3C37">
        <w:rPr>
          <w:color w:val="000000"/>
        </w:rPr>
        <w:t xml:space="preserve">La ANI suscribió el pasado 20 de diciembre de 2023 el Contrato Interadministrativo No VE-809-2023 con la Financiera de Desarrollo Territorial- FINDETER, con el objeto de que este último se encargue de </w:t>
      </w:r>
      <w:r w:rsidRPr="00BD3C37">
        <w:rPr>
          <w:i/>
          <w:color w:val="000000"/>
        </w:rPr>
        <w:t xml:space="preserve">“Prestar los servicios de asistencia técnica, a la Agencia Nacional de </w:t>
      </w:r>
      <w:r w:rsidRPr="00BD3C37">
        <w:rPr>
          <w:i/>
          <w:color w:val="000000"/>
        </w:rPr>
        <w:lastRenderedPageBreak/>
        <w:t>Infraestructura - ANI para el desarrollo de los proyectos requeridos en el corredor férreo Facatativá -Bogotá-Belencito y La Caro – Zipaquirá, a través del modelo de ejecución financiera autorizado a Findeter”</w:t>
      </w:r>
      <w:r w:rsidRPr="00BD3C37">
        <w:rPr>
          <w:color w:val="000000"/>
        </w:rPr>
        <w:t> </w:t>
      </w:r>
    </w:p>
    <w:p w14:paraId="1593E757" w14:textId="77777777" w:rsidR="0098691F" w:rsidRPr="00BD3C37" w:rsidRDefault="0098691F" w:rsidP="0098691F">
      <w:pPr>
        <w:pStyle w:val="NormalWeb"/>
        <w:shd w:val="clear" w:color="auto" w:fill="FFFFFF"/>
        <w:spacing w:before="0" w:beforeAutospacing="0" w:after="0" w:afterAutospacing="0"/>
        <w:jc w:val="both"/>
        <w:rPr>
          <w:color w:val="222222"/>
        </w:rPr>
      </w:pPr>
      <w:r w:rsidRPr="00BD3C37">
        <w:rPr>
          <w:color w:val="000000"/>
        </w:rPr>
        <w:t>Lo anterior con el fin de buscar garantizar la continuidad de las actividades de administración, vigilancia, control de tráfico, mantenimiento y operación. </w:t>
      </w:r>
    </w:p>
    <w:p w14:paraId="661EC4DA" w14:textId="77777777" w:rsidR="0098691F" w:rsidRPr="00BD3C37" w:rsidRDefault="0098691F" w:rsidP="0098691F">
      <w:pPr>
        <w:pStyle w:val="NormalWeb"/>
        <w:shd w:val="clear" w:color="auto" w:fill="FFFFFF"/>
        <w:spacing w:before="0" w:beforeAutospacing="0" w:after="0" w:afterAutospacing="0"/>
        <w:jc w:val="both"/>
        <w:rPr>
          <w:color w:val="222222"/>
        </w:rPr>
      </w:pPr>
    </w:p>
    <w:p w14:paraId="4572CDA4" w14:textId="77777777" w:rsidR="0098691F" w:rsidRPr="00BD3C37" w:rsidRDefault="0098691F" w:rsidP="0098691F">
      <w:pPr>
        <w:jc w:val="both"/>
        <w:rPr>
          <w:rFonts w:ascii="Times New Roman" w:hAnsi="Times New Roman" w:cs="Times New Roman"/>
          <w:bCs/>
          <w:sz w:val="24"/>
          <w:szCs w:val="24"/>
        </w:rPr>
      </w:pPr>
      <w:r w:rsidRPr="00BD3C37">
        <w:rPr>
          <w:rFonts w:ascii="Times New Roman" w:hAnsi="Times New Roman" w:cs="Times New Roman"/>
          <w:bCs/>
          <w:sz w:val="24"/>
          <w:szCs w:val="24"/>
        </w:rPr>
        <w:t xml:space="preserve">En virtud del Contrato Interadministrativo en comento, el 18 de octubre de 2024 FINDETER y el CONSORCIO FERREOBELEN C&amp;E suscribieron el Contrato No. PAF-ANIFERREO-O-070-2024, el cual cuenta con Acta de inicio del 07 de noviembre de 2024 y un plazo de un (1) año, tres (3) meses, cuyo objeto es: </w:t>
      </w:r>
      <w:r w:rsidRPr="00BD3C37">
        <w:rPr>
          <w:rFonts w:ascii="Times New Roman" w:hAnsi="Times New Roman" w:cs="Times New Roman"/>
          <w:bCs/>
          <w:i/>
          <w:sz w:val="24"/>
          <w:szCs w:val="24"/>
        </w:rPr>
        <w:t>"</w:t>
      </w:r>
      <w:r w:rsidRPr="00BD3C37">
        <w:rPr>
          <w:rFonts w:ascii="Times New Roman" w:hAnsi="Times New Roman" w:cs="Times New Roman"/>
          <w:sz w:val="24"/>
          <w:szCs w:val="24"/>
        </w:rPr>
        <w:t xml:space="preserve"> </w:t>
      </w:r>
      <w:r w:rsidRPr="00BD3C37">
        <w:rPr>
          <w:rFonts w:ascii="Times New Roman" w:hAnsi="Times New Roman" w:cs="Times New Roman"/>
          <w:bCs/>
          <w:i/>
          <w:sz w:val="24"/>
          <w:szCs w:val="24"/>
        </w:rPr>
        <w:t>contratar el “diagnóstico, estudios, diseños y rehabilitación y/o mejoramiento de la vía férrea, para la modernización y aumento de la capacidad operativa del corredor Bogotá - Belencito” y al cual se le adicionó la “Administración, vigilancia, control de tráfico, operación y mantenimiento de los Corredores del corredor férreo Bogotá – Belencito y La Caro – Zipaquirá y Bogotá – Facatativá (PK5 al PK6)”</w:t>
      </w:r>
      <w:r w:rsidRPr="00BD3C37">
        <w:rPr>
          <w:rFonts w:ascii="Times New Roman" w:hAnsi="Times New Roman" w:cs="Times New Roman"/>
          <w:bCs/>
          <w:sz w:val="24"/>
          <w:szCs w:val="24"/>
        </w:rPr>
        <w:t>, contrato vigente a la fecha. </w:t>
      </w:r>
    </w:p>
    <w:p w14:paraId="6047DC60" w14:textId="77777777" w:rsidR="0098691F" w:rsidRPr="00BD3C37" w:rsidRDefault="0098691F" w:rsidP="0098691F">
      <w:pPr>
        <w:jc w:val="both"/>
        <w:rPr>
          <w:rFonts w:ascii="Times New Roman" w:hAnsi="Times New Roman" w:cs="Times New Roman"/>
          <w:bCs/>
          <w:sz w:val="24"/>
          <w:szCs w:val="24"/>
        </w:rPr>
      </w:pPr>
      <w:r w:rsidRPr="00BD3C37">
        <w:rPr>
          <w:rFonts w:ascii="Times New Roman" w:hAnsi="Times New Roman" w:cs="Times New Roman"/>
          <w:bCs/>
          <w:sz w:val="24"/>
          <w:szCs w:val="24"/>
        </w:rPr>
        <w:t xml:space="preserve">Adicionalmente, en virtud del Contrato Interadministrativo, FINDETER realiza la </w:t>
      </w:r>
      <w:r w:rsidRPr="00BD3C37">
        <w:rPr>
          <w:rFonts w:ascii="Times New Roman" w:hAnsi="Times New Roman" w:cs="Times New Roman"/>
          <w:bCs/>
          <w:i/>
          <w:sz w:val="24"/>
          <w:szCs w:val="24"/>
        </w:rPr>
        <w:t>Interventoría integral técnica, administrativa,</w:t>
      </w:r>
      <w:r w:rsidRPr="00BD3C37">
        <w:rPr>
          <w:rFonts w:ascii="Times New Roman" w:hAnsi="Times New Roman" w:cs="Times New Roman"/>
          <w:bCs/>
          <w:sz w:val="24"/>
          <w:szCs w:val="24"/>
        </w:rPr>
        <w:t xml:space="preserve"> </w:t>
      </w:r>
      <w:r w:rsidRPr="00BD3C37">
        <w:rPr>
          <w:rFonts w:ascii="Times New Roman" w:hAnsi="Times New Roman" w:cs="Times New Roman"/>
          <w:bCs/>
          <w:i/>
          <w:sz w:val="24"/>
          <w:szCs w:val="24"/>
        </w:rPr>
        <w:t>financiera, contable, ambiental, social y jurídica para la Administración, vigilancia, control de tráfico, operación y mantenimiento de los Corredores del corredor férreo Bogotá – Belencito y La Caro – Zipaquirá y Bogotá – Facatativá (PK5 al PK6)</w:t>
      </w:r>
      <w:r w:rsidRPr="00BD3C37">
        <w:rPr>
          <w:rFonts w:ascii="Times New Roman" w:hAnsi="Times New Roman" w:cs="Times New Roman"/>
          <w:bCs/>
          <w:sz w:val="24"/>
          <w:szCs w:val="24"/>
        </w:rPr>
        <w:t>.</w:t>
      </w:r>
    </w:p>
    <w:p w14:paraId="3FDE39DF" w14:textId="77777777" w:rsidR="0098691F" w:rsidRPr="00BD3C37" w:rsidRDefault="0098691F" w:rsidP="0098691F">
      <w:pPr>
        <w:jc w:val="both"/>
        <w:rPr>
          <w:rFonts w:ascii="Times New Roman" w:hAnsi="Times New Roman" w:cs="Times New Roman"/>
          <w:b/>
          <w:sz w:val="24"/>
          <w:szCs w:val="24"/>
        </w:rPr>
      </w:pPr>
      <w:r w:rsidRPr="00BD3C37">
        <w:rPr>
          <w:rFonts w:ascii="Times New Roman" w:hAnsi="Times New Roman" w:cs="Times New Roman"/>
          <w:b/>
          <w:sz w:val="24"/>
          <w:szCs w:val="24"/>
        </w:rPr>
        <w:t>Pasajeros Bogotá – Belencito:</w:t>
      </w:r>
    </w:p>
    <w:p w14:paraId="4B5F0889" w14:textId="77777777" w:rsidR="0098691F" w:rsidRDefault="0098691F" w:rsidP="0098691F">
      <w:pPr>
        <w:jc w:val="both"/>
        <w:rPr>
          <w:rFonts w:ascii="Times New Roman" w:hAnsi="Times New Roman" w:cs="Times New Roman"/>
          <w:bCs/>
          <w:sz w:val="24"/>
          <w:szCs w:val="24"/>
        </w:rPr>
      </w:pPr>
      <w:r w:rsidRPr="00BD3C37">
        <w:rPr>
          <w:rFonts w:ascii="Times New Roman" w:hAnsi="Times New Roman" w:cs="Times New Roman"/>
          <w:bCs/>
          <w:sz w:val="24"/>
          <w:szCs w:val="24"/>
        </w:rPr>
        <w:t xml:space="preserve">El servicio de pasajeros en este corredor lo presta el operador </w:t>
      </w:r>
      <w:proofErr w:type="spellStart"/>
      <w:r w:rsidRPr="00BD3C37">
        <w:rPr>
          <w:rFonts w:ascii="Times New Roman" w:hAnsi="Times New Roman" w:cs="Times New Roman"/>
          <w:bCs/>
          <w:sz w:val="24"/>
          <w:szCs w:val="24"/>
        </w:rPr>
        <w:t>Turistren</w:t>
      </w:r>
      <w:proofErr w:type="spellEnd"/>
      <w:r w:rsidRPr="00BD3C37">
        <w:rPr>
          <w:rFonts w:ascii="Times New Roman" w:hAnsi="Times New Roman" w:cs="Times New Roman"/>
          <w:bCs/>
          <w:sz w:val="24"/>
          <w:szCs w:val="24"/>
        </w:rPr>
        <w:t>. A continuación, se presenta el comportamiento histórico de la movilización de pasajeros por parte de dicho operador:</w:t>
      </w:r>
    </w:p>
    <w:p w14:paraId="2758F5EF" w14:textId="77777777" w:rsidR="00BD3C37" w:rsidRPr="00BD3C37" w:rsidRDefault="00BD3C37" w:rsidP="0098691F">
      <w:pPr>
        <w:jc w:val="both"/>
        <w:rPr>
          <w:rFonts w:ascii="Times New Roman" w:hAnsi="Times New Roman" w:cs="Times New Roman"/>
          <w:bCs/>
          <w:sz w:val="24"/>
          <w:szCs w:val="24"/>
        </w:rPr>
      </w:pPr>
    </w:p>
    <w:p w14:paraId="17D75886" w14:textId="77777777" w:rsidR="0098691F" w:rsidRPr="00BD3C37" w:rsidRDefault="0098691F" w:rsidP="0098691F">
      <w:pPr>
        <w:jc w:val="center"/>
        <w:rPr>
          <w:rFonts w:ascii="Times New Roman" w:hAnsi="Times New Roman" w:cs="Times New Roman"/>
          <w:b/>
          <w:sz w:val="24"/>
          <w:szCs w:val="24"/>
        </w:rPr>
      </w:pPr>
      <w:r w:rsidRPr="00BD3C37">
        <w:rPr>
          <w:rFonts w:ascii="Times New Roman" w:hAnsi="Times New Roman" w:cs="Times New Roman"/>
          <w:b/>
          <w:sz w:val="24"/>
          <w:szCs w:val="24"/>
        </w:rPr>
        <w:t xml:space="preserve">Cantidad Pasajeros movilizados </w:t>
      </w:r>
      <w:proofErr w:type="spellStart"/>
      <w:r w:rsidRPr="00BD3C37">
        <w:rPr>
          <w:rFonts w:ascii="Times New Roman" w:hAnsi="Times New Roman" w:cs="Times New Roman"/>
          <w:b/>
          <w:sz w:val="24"/>
          <w:szCs w:val="24"/>
        </w:rPr>
        <w:t>Turistren</w:t>
      </w:r>
      <w:proofErr w:type="spellEnd"/>
      <w:r w:rsidRPr="00BD3C37">
        <w:rPr>
          <w:rFonts w:ascii="Times New Roman" w:hAnsi="Times New Roman" w:cs="Times New Roman"/>
          <w:b/>
          <w:sz w:val="24"/>
          <w:szCs w:val="24"/>
        </w:rPr>
        <w:t xml:space="preserve"> Bogotá- Zipaquirá, con corte al 30 de </w:t>
      </w:r>
      <w:proofErr w:type="gramStart"/>
      <w:r w:rsidRPr="00BD3C37">
        <w:rPr>
          <w:rFonts w:ascii="Times New Roman" w:hAnsi="Times New Roman" w:cs="Times New Roman"/>
          <w:b/>
          <w:sz w:val="24"/>
          <w:szCs w:val="24"/>
        </w:rPr>
        <w:t>Marzo</w:t>
      </w:r>
      <w:proofErr w:type="gramEnd"/>
      <w:r w:rsidRPr="00BD3C37">
        <w:rPr>
          <w:rFonts w:ascii="Times New Roman" w:hAnsi="Times New Roman" w:cs="Times New Roman"/>
          <w:b/>
          <w:sz w:val="24"/>
          <w:szCs w:val="24"/>
        </w:rPr>
        <w:t xml:space="preserve"> de 2026</w:t>
      </w:r>
    </w:p>
    <w:p w14:paraId="3B6BBD9C" w14:textId="77777777" w:rsidR="0098691F" w:rsidRPr="00F53A87" w:rsidRDefault="0098691F" w:rsidP="0098691F">
      <w:pPr>
        <w:jc w:val="center"/>
        <w:rPr>
          <w:rFonts w:cstheme="minorHAnsi"/>
          <w:b/>
        </w:rPr>
      </w:pPr>
    </w:p>
    <w:tbl>
      <w:tblPr>
        <w:tblW w:w="11672" w:type="dxa"/>
        <w:jc w:val="center"/>
        <w:tblCellMar>
          <w:left w:w="70" w:type="dxa"/>
          <w:right w:w="70" w:type="dxa"/>
        </w:tblCellMar>
        <w:tblLook w:val="04A0" w:firstRow="1" w:lastRow="0" w:firstColumn="1" w:lastColumn="0" w:noHBand="0" w:noVBand="1"/>
      </w:tblPr>
      <w:tblGrid>
        <w:gridCol w:w="994"/>
        <w:gridCol w:w="783"/>
        <w:gridCol w:w="783"/>
        <w:gridCol w:w="839"/>
        <w:gridCol w:w="782"/>
        <w:gridCol w:w="782"/>
        <w:gridCol w:w="782"/>
        <w:gridCol w:w="782"/>
        <w:gridCol w:w="782"/>
        <w:gridCol w:w="683"/>
        <w:gridCol w:w="736"/>
        <w:gridCol w:w="736"/>
        <w:gridCol w:w="736"/>
        <w:gridCol w:w="736"/>
        <w:gridCol w:w="736"/>
      </w:tblGrid>
      <w:tr w:rsidR="0098691F" w:rsidRPr="00F53A87" w14:paraId="3452BDDD" w14:textId="77777777" w:rsidTr="009E41E9">
        <w:trPr>
          <w:trHeight w:val="510"/>
          <w:tblHeader/>
          <w:jc w:val="center"/>
        </w:trPr>
        <w:tc>
          <w:tcPr>
            <w:tcW w:w="994" w:type="dxa"/>
            <w:tcBorders>
              <w:top w:val="nil"/>
              <w:left w:val="single" w:sz="4" w:space="0" w:color="auto"/>
              <w:bottom w:val="single" w:sz="4" w:space="0" w:color="auto"/>
              <w:right w:val="single" w:sz="4" w:space="0" w:color="auto"/>
            </w:tcBorders>
            <w:shd w:val="clear" w:color="000000" w:fill="1F4E78"/>
            <w:noWrap/>
            <w:vAlign w:val="center"/>
            <w:hideMark/>
          </w:tcPr>
          <w:p w14:paraId="2F55D49A" w14:textId="77777777" w:rsidR="0098691F" w:rsidRPr="00F53A87" w:rsidRDefault="0098691F" w:rsidP="005807C9">
            <w:pPr>
              <w:jc w:val="center"/>
              <w:rPr>
                <w:rFonts w:cstheme="minorHAnsi"/>
                <w:b/>
                <w:bCs/>
                <w:color w:val="FFFFFF"/>
                <w:sz w:val="18"/>
                <w:szCs w:val="18"/>
                <w:lang w:eastAsia="es-CO"/>
              </w:rPr>
            </w:pPr>
            <w:r w:rsidRPr="00F53A87">
              <w:rPr>
                <w:rFonts w:cstheme="minorHAnsi"/>
                <w:b/>
                <w:bCs/>
                <w:color w:val="FFFFFF"/>
                <w:sz w:val="18"/>
                <w:szCs w:val="18"/>
                <w:lang w:eastAsia="es-CO"/>
              </w:rPr>
              <w:t>MES</w:t>
            </w:r>
          </w:p>
        </w:tc>
        <w:tc>
          <w:tcPr>
            <w:tcW w:w="783" w:type="dxa"/>
            <w:tcBorders>
              <w:top w:val="nil"/>
              <w:left w:val="nil"/>
              <w:bottom w:val="single" w:sz="4" w:space="0" w:color="auto"/>
              <w:right w:val="single" w:sz="4" w:space="0" w:color="auto"/>
            </w:tcBorders>
            <w:shd w:val="clear" w:color="000000" w:fill="1F4E78"/>
            <w:vAlign w:val="center"/>
            <w:hideMark/>
          </w:tcPr>
          <w:p w14:paraId="0AC9E400" w14:textId="77777777" w:rsidR="0098691F" w:rsidRPr="00F53A87" w:rsidRDefault="0098691F" w:rsidP="005807C9">
            <w:pPr>
              <w:jc w:val="center"/>
              <w:rPr>
                <w:rFonts w:cstheme="minorHAnsi"/>
                <w:b/>
                <w:bCs/>
                <w:color w:val="FFFFFF"/>
                <w:sz w:val="18"/>
                <w:szCs w:val="18"/>
                <w:lang w:eastAsia="es-CO"/>
              </w:rPr>
            </w:pPr>
            <w:r w:rsidRPr="00F53A87">
              <w:rPr>
                <w:rFonts w:cstheme="minorHAnsi"/>
                <w:b/>
                <w:bCs/>
                <w:color w:val="FFFFFF"/>
                <w:sz w:val="18"/>
                <w:szCs w:val="18"/>
                <w:lang w:eastAsia="es-CO"/>
              </w:rPr>
              <w:t>2013</w:t>
            </w:r>
          </w:p>
        </w:tc>
        <w:tc>
          <w:tcPr>
            <w:tcW w:w="783" w:type="dxa"/>
            <w:tcBorders>
              <w:top w:val="nil"/>
              <w:left w:val="nil"/>
              <w:bottom w:val="single" w:sz="4" w:space="0" w:color="auto"/>
              <w:right w:val="single" w:sz="4" w:space="0" w:color="auto"/>
            </w:tcBorders>
            <w:shd w:val="clear" w:color="000000" w:fill="1F4E78"/>
            <w:vAlign w:val="center"/>
            <w:hideMark/>
          </w:tcPr>
          <w:p w14:paraId="7E3C957C" w14:textId="77777777" w:rsidR="0098691F" w:rsidRPr="00F53A87" w:rsidRDefault="0098691F" w:rsidP="005807C9">
            <w:pPr>
              <w:jc w:val="center"/>
              <w:rPr>
                <w:rFonts w:cstheme="minorHAnsi"/>
                <w:b/>
                <w:bCs/>
                <w:color w:val="FFFFFF"/>
                <w:sz w:val="18"/>
                <w:szCs w:val="18"/>
                <w:lang w:eastAsia="es-CO"/>
              </w:rPr>
            </w:pPr>
            <w:r w:rsidRPr="00F53A87">
              <w:rPr>
                <w:rFonts w:cstheme="minorHAnsi"/>
                <w:b/>
                <w:bCs/>
                <w:color w:val="FFFFFF"/>
                <w:sz w:val="18"/>
                <w:szCs w:val="18"/>
                <w:lang w:eastAsia="es-CO"/>
              </w:rPr>
              <w:t>2014</w:t>
            </w:r>
          </w:p>
        </w:tc>
        <w:tc>
          <w:tcPr>
            <w:tcW w:w="839" w:type="dxa"/>
            <w:tcBorders>
              <w:top w:val="nil"/>
              <w:left w:val="nil"/>
              <w:bottom w:val="single" w:sz="4" w:space="0" w:color="auto"/>
              <w:right w:val="single" w:sz="4" w:space="0" w:color="auto"/>
            </w:tcBorders>
            <w:shd w:val="clear" w:color="000000" w:fill="1F4E78"/>
            <w:vAlign w:val="center"/>
            <w:hideMark/>
          </w:tcPr>
          <w:p w14:paraId="753FACCE" w14:textId="77777777" w:rsidR="0098691F" w:rsidRPr="00F53A87" w:rsidRDefault="0098691F" w:rsidP="005807C9">
            <w:pPr>
              <w:jc w:val="center"/>
              <w:rPr>
                <w:rFonts w:cstheme="minorHAnsi"/>
                <w:b/>
                <w:bCs/>
                <w:color w:val="FFFFFF"/>
                <w:sz w:val="18"/>
                <w:szCs w:val="18"/>
                <w:lang w:eastAsia="es-CO"/>
              </w:rPr>
            </w:pPr>
            <w:r w:rsidRPr="00F53A87">
              <w:rPr>
                <w:rFonts w:cstheme="minorHAnsi"/>
                <w:b/>
                <w:bCs/>
                <w:color w:val="FFFFFF"/>
                <w:sz w:val="18"/>
                <w:szCs w:val="18"/>
                <w:lang w:eastAsia="es-CO"/>
              </w:rPr>
              <w:t>2015</w:t>
            </w:r>
          </w:p>
        </w:tc>
        <w:tc>
          <w:tcPr>
            <w:tcW w:w="782" w:type="dxa"/>
            <w:tcBorders>
              <w:top w:val="nil"/>
              <w:left w:val="nil"/>
              <w:bottom w:val="single" w:sz="4" w:space="0" w:color="auto"/>
              <w:right w:val="single" w:sz="4" w:space="0" w:color="auto"/>
            </w:tcBorders>
            <w:shd w:val="clear" w:color="000000" w:fill="1F4E78"/>
            <w:vAlign w:val="center"/>
            <w:hideMark/>
          </w:tcPr>
          <w:p w14:paraId="26D5574B" w14:textId="77777777" w:rsidR="0098691F" w:rsidRPr="00F53A87" w:rsidRDefault="0098691F" w:rsidP="005807C9">
            <w:pPr>
              <w:jc w:val="center"/>
              <w:rPr>
                <w:rFonts w:cstheme="minorHAnsi"/>
                <w:b/>
                <w:bCs/>
                <w:color w:val="FFFFFF"/>
                <w:sz w:val="18"/>
                <w:szCs w:val="18"/>
                <w:lang w:eastAsia="es-CO"/>
              </w:rPr>
            </w:pPr>
            <w:r w:rsidRPr="00F53A87">
              <w:rPr>
                <w:rFonts w:cstheme="minorHAnsi"/>
                <w:b/>
                <w:bCs/>
                <w:color w:val="FFFFFF"/>
                <w:sz w:val="18"/>
                <w:szCs w:val="18"/>
                <w:lang w:eastAsia="es-CO"/>
              </w:rPr>
              <w:t>2016</w:t>
            </w:r>
          </w:p>
        </w:tc>
        <w:tc>
          <w:tcPr>
            <w:tcW w:w="782" w:type="dxa"/>
            <w:tcBorders>
              <w:top w:val="nil"/>
              <w:left w:val="nil"/>
              <w:bottom w:val="single" w:sz="4" w:space="0" w:color="auto"/>
              <w:right w:val="single" w:sz="4" w:space="0" w:color="auto"/>
            </w:tcBorders>
            <w:shd w:val="clear" w:color="000000" w:fill="1F4E78"/>
            <w:vAlign w:val="center"/>
            <w:hideMark/>
          </w:tcPr>
          <w:p w14:paraId="6182A6D8" w14:textId="77777777" w:rsidR="0098691F" w:rsidRPr="00F53A87" w:rsidRDefault="0098691F" w:rsidP="005807C9">
            <w:pPr>
              <w:jc w:val="center"/>
              <w:rPr>
                <w:rFonts w:cstheme="minorHAnsi"/>
                <w:b/>
                <w:bCs/>
                <w:color w:val="FFFFFF"/>
                <w:sz w:val="18"/>
                <w:szCs w:val="18"/>
                <w:lang w:eastAsia="es-CO"/>
              </w:rPr>
            </w:pPr>
            <w:r w:rsidRPr="00F53A87">
              <w:rPr>
                <w:rFonts w:cstheme="minorHAnsi"/>
                <w:b/>
                <w:bCs/>
                <w:color w:val="FFFFFF"/>
                <w:sz w:val="18"/>
                <w:szCs w:val="18"/>
                <w:lang w:eastAsia="es-CO"/>
              </w:rPr>
              <w:t>2017</w:t>
            </w:r>
          </w:p>
        </w:tc>
        <w:tc>
          <w:tcPr>
            <w:tcW w:w="782" w:type="dxa"/>
            <w:tcBorders>
              <w:top w:val="nil"/>
              <w:left w:val="nil"/>
              <w:bottom w:val="single" w:sz="4" w:space="0" w:color="auto"/>
              <w:right w:val="single" w:sz="4" w:space="0" w:color="auto"/>
            </w:tcBorders>
            <w:shd w:val="clear" w:color="000000" w:fill="1F4E78"/>
            <w:vAlign w:val="center"/>
            <w:hideMark/>
          </w:tcPr>
          <w:p w14:paraId="6C479B0F" w14:textId="77777777" w:rsidR="0098691F" w:rsidRPr="00F53A87" w:rsidRDefault="0098691F" w:rsidP="005807C9">
            <w:pPr>
              <w:jc w:val="center"/>
              <w:rPr>
                <w:rFonts w:cstheme="minorHAnsi"/>
                <w:b/>
                <w:bCs/>
                <w:color w:val="FFFFFF"/>
                <w:sz w:val="18"/>
                <w:szCs w:val="18"/>
                <w:lang w:eastAsia="es-CO"/>
              </w:rPr>
            </w:pPr>
            <w:r w:rsidRPr="00F53A87">
              <w:rPr>
                <w:rFonts w:cstheme="minorHAnsi"/>
                <w:b/>
                <w:bCs/>
                <w:color w:val="FFFFFF"/>
                <w:sz w:val="18"/>
                <w:szCs w:val="18"/>
                <w:lang w:eastAsia="es-CO"/>
              </w:rPr>
              <w:t>2018</w:t>
            </w:r>
          </w:p>
        </w:tc>
        <w:tc>
          <w:tcPr>
            <w:tcW w:w="782" w:type="dxa"/>
            <w:tcBorders>
              <w:top w:val="nil"/>
              <w:left w:val="nil"/>
              <w:bottom w:val="single" w:sz="4" w:space="0" w:color="auto"/>
              <w:right w:val="single" w:sz="4" w:space="0" w:color="auto"/>
            </w:tcBorders>
            <w:shd w:val="clear" w:color="000000" w:fill="1F4E78"/>
            <w:vAlign w:val="center"/>
            <w:hideMark/>
          </w:tcPr>
          <w:p w14:paraId="1214928D" w14:textId="77777777" w:rsidR="0098691F" w:rsidRPr="00F53A87" w:rsidRDefault="0098691F" w:rsidP="005807C9">
            <w:pPr>
              <w:jc w:val="center"/>
              <w:rPr>
                <w:rFonts w:cstheme="minorHAnsi"/>
                <w:b/>
                <w:bCs/>
                <w:color w:val="FFFFFF"/>
                <w:sz w:val="18"/>
                <w:szCs w:val="18"/>
                <w:lang w:eastAsia="es-CO"/>
              </w:rPr>
            </w:pPr>
            <w:r w:rsidRPr="00F53A87">
              <w:rPr>
                <w:rFonts w:cstheme="minorHAnsi"/>
                <w:b/>
                <w:bCs/>
                <w:color w:val="FFFFFF"/>
                <w:sz w:val="18"/>
                <w:szCs w:val="18"/>
                <w:lang w:eastAsia="es-CO"/>
              </w:rPr>
              <w:t>2019</w:t>
            </w:r>
          </w:p>
        </w:tc>
        <w:tc>
          <w:tcPr>
            <w:tcW w:w="782" w:type="dxa"/>
            <w:tcBorders>
              <w:top w:val="nil"/>
              <w:left w:val="nil"/>
              <w:bottom w:val="single" w:sz="4" w:space="0" w:color="auto"/>
              <w:right w:val="single" w:sz="4" w:space="0" w:color="auto"/>
            </w:tcBorders>
            <w:shd w:val="clear" w:color="000000" w:fill="1F4E78"/>
            <w:vAlign w:val="center"/>
            <w:hideMark/>
          </w:tcPr>
          <w:p w14:paraId="3A46E7B1" w14:textId="77777777" w:rsidR="0098691F" w:rsidRPr="00F53A87" w:rsidRDefault="0098691F" w:rsidP="005807C9">
            <w:pPr>
              <w:jc w:val="center"/>
              <w:rPr>
                <w:rFonts w:cstheme="minorHAnsi"/>
                <w:b/>
                <w:bCs/>
                <w:color w:val="FFFFFF"/>
                <w:sz w:val="18"/>
                <w:szCs w:val="18"/>
                <w:lang w:eastAsia="es-CO"/>
              </w:rPr>
            </w:pPr>
            <w:r w:rsidRPr="00F53A87">
              <w:rPr>
                <w:rFonts w:cstheme="minorHAnsi"/>
                <w:b/>
                <w:bCs/>
                <w:color w:val="FFFFFF"/>
                <w:sz w:val="18"/>
                <w:szCs w:val="18"/>
                <w:lang w:eastAsia="es-CO"/>
              </w:rPr>
              <w:t>2020</w:t>
            </w:r>
          </w:p>
        </w:tc>
        <w:tc>
          <w:tcPr>
            <w:tcW w:w="683" w:type="dxa"/>
            <w:tcBorders>
              <w:top w:val="nil"/>
              <w:left w:val="nil"/>
              <w:bottom w:val="single" w:sz="4" w:space="0" w:color="auto"/>
              <w:right w:val="single" w:sz="4" w:space="0" w:color="auto"/>
            </w:tcBorders>
            <w:shd w:val="clear" w:color="000000" w:fill="1F4E78"/>
            <w:vAlign w:val="center"/>
            <w:hideMark/>
          </w:tcPr>
          <w:p w14:paraId="4D333B2E" w14:textId="77777777" w:rsidR="0098691F" w:rsidRPr="00F53A87" w:rsidRDefault="0098691F" w:rsidP="005807C9">
            <w:pPr>
              <w:jc w:val="center"/>
              <w:rPr>
                <w:rFonts w:cstheme="minorHAnsi"/>
                <w:b/>
                <w:bCs/>
                <w:color w:val="FFFFFF"/>
                <w:sz w:val="18"/>
                <w:szCs w:val="18"/>
                <w:lang w:eastAsia="es-CO"/>
              </w:rPr>
            </w:pPr>
            <w:r w:rsidRPr="00F53A87">
              <w:rPr>
                <w:rFonts w:cstheme="minorHAnsi"/>
                <w:b/>
                <w:bCs/>
                <w:color w:val="FFFFFF"/>
                <w:sz w:val="18"/>
                <w:szCs w:val="18"/>
                <w:lang w:eastAsia="es-CO"/>
              </w:rPr>
              <w:t>2021</w:t>
            </w:r>
          </w:p>
        </w:tc>
        <w:tc>
          <w:tcPr>
            <w:tcW w:w="736" w:type="dxa"/>
            <w:tcBorders>
              <w:top w:val="nil"/>
              <w:left w:val="nil"/>
              <w:bottom w:val="single" w:sz="4" w:space="0" w:color="auto"/>
              <w:right w:val="single" w:sz="4" w:space="0" w:color="auto"/>
            </w:tcBorders>
            <w:shd w:val="clear" w:color="000000" w:fill="1F4E78"/>
            <w:vAlign w:val="center"/>
          </w:tcPr>
          <w:p w14:paraId="4172314C" w14:textId="77777777" w:rsidR="0098691F" w:rsidRPr="00F53A87" w:rsidRDefault="0098691F" w:rsidP="005807C9">
            <w:pPr>
              <w:jc w:val="center"/>
              <w:rPr>
                <w:rFonts w:cstheme="minorHAnsi"/>
                <w:b/>
                <w:bCs/>
                <w:color w:val="FFFFFF"/>
                <w:sz w:val="18"/>
                <w:szCs w:val="18"/>
                <w:lang w:eastAsia="es-CO"/>
              </w:rPr>
            </w:pPr>
            <w:r>
              <w:rPr>
                <w:rFonts w:cstheme="minorHAnsi"/>
                <w:b/>
                <w:bCs/>
                <w:color w:val="FFFFFF"/>
                <w:sz w:val="18"/>
                <w:szCs w:val="18"/>
                <w:lang w:eastAsia="es-CO"/>
              </w:rPr>
              <w:t>2022</w:t>
            </w:r>
          </w:p>
        </w:tc>
        <w:tc>
          <w:tcPr>
            <w:tcW w:w="736" w:type="dxa"/>
            <w:tcBorders>
              <w:top w:val="nil"/>
              <w:left w:val="nil"/>
              <w:bottom w:val="single" w:sz="4" w:space="0" w:color="auto"/>
              <w:right w:val="single" w:sz="4" w:space="0" w:color="auto"/>
            </w:tcBorders>
            <w:shd w:val="clear" w:color="000000" w:fill="1F4E78"/>
            <w:vAlign w:val="center"/>
          </w:tcPr>
          <w:p w14:paraId="54DA056D" w14:textId="77777777" w:rsidR="0098691F" w:rsidRDefault="0098691F" w:rsidP="005807C9">
            <w:pPr>
              <w:jc w:val="center"/>
              <w:rPr>
                <w:rFonts w:cstheme="minorHAnsi"/>
                <w:b/>
                <w:bCs/>
                <w:color w:val="FFFFFF"/>
                <w:sz w:val="18"/>
                <w:szCs w:val="18"/>
                <w:lang w:eastAsia="es-CO"/>
              </w:rPr>
            </w:pPr>
            <w:r>
              <w:rPr>
                <w:rFonts w:cstheme="minorHAnsi"/>
                <w:b/>
                <w:bCs/>
                <w:color w:val="FFFFFF"/>
                <w:sz w:val="18"/>
                <w:szCs w:val="18"/>
                <w:lang w:eastAsia="es-CO"/>
              </w:rPr>
              <w:t>2023</w:t>
            </w:r>
          </w:p>
        </w:tc>
        <w:tc>
          <w:tcPr>
            <w:tcW w:w="736" w:type="dxa"/>
            <w:tcBorders>
              <w:top w:val="nil"/>
              <w:left w:val="nil"/>
              <w:bottom w:val="single" w:sz="4" w:space="0" w:color="auto"/>
              <w:right w:val="single" w:sz="4" w:space="0" w:color="auto"/>
            </w:tcBorders>
            <w:shd w:val="clear" w:color="000000" w:fill="1F4E78"/>
            <w:vAlign w:val="center"/>
          </w:tcPr>
          <w:p w14:paraId="4B0F181D" w14:textId="77777777" w:rsidR="0098691F" w:rsidRDefault="0098691F" w:rsidP="005807C9">
            <w:pPr>
              <w:jc w:val="center"/>
              <w:rPr>
                <w:rFonts w:cstheme="minorHAnsi"/>
                <w:b/>
                <w:bCs/>
                <w:color w:val="FFFFFF"/>
                <w:sz w:val="18"/>
                <w:szCs w:val="18"/>
                <w:lang w:eastAsia="es-CO"/>
              </w:rPr>
            </w:pPr>
            <w:r>
              <w:rPr>
                <w:rFonts w:cstheme="minorHAnsi"/>
                <w:b/>
                <w:bCs/>
                <w:color w:val="FFFFFF"/>
                <w:sz w:val="18"/>
                <w:szCs w:val="18"/>
                <w:lang w:eastAsia="es-CO"/>
              </w:rPr>
              <w:t>2024</w:t>
            </w:r>
          </w:p>
        </w:tc>
        <w:tc>
          <w:tcPr>
            <w:tcW w:w="736" w:type="dxa"/>
            <w:tcBorders>
              <w:top w:val="nil"/>
              <w:left w:val="nil"/>
              <w:bottom w:val="single" w:sz="4" w:space="0" w:color="auto"/>
              <w:right w:val="single" w:sz="4" w:space="0" w:color="auto"/>
            </w:tcBorders>
            <w:shd w:val="clear" w:color="000000" w:fill="1F4E78"/>
            <w:vAlign w:val="center"/>
          </w:tcPr>
          <w:p w14:paraId="1D1CF17F" w14:textId="77777777" w:rsidR="0098691F" w:rsidRDefault="0098691F" w:rsidP="005807C9">
            <w:pPr>
              <w:jc w:val="center"/>
              <w:rPr>
                <w:rFonts w:cstheme="minorHAnsi"/>
                <w:b/>
                <w:bCs/>
                <w:color w:val="FFFFFF"/>
                <w:sz w:val="18"/>
                <w:szCs w:val="18"/>
                <w:lang w:eastAsia="es-CO"/>
              </w:rPr>
            </w:pPr>
            <w:r>
              <w:rPr>
                <w:rFonts w:cstheme="minorHAnsi"/>
                <w:b/>
                <w:bCs/>
                <w:color w:val="FFFFFF"/>
                <w:sz w:val="18"/>
                <w:szCs w:val="18"/>
                <w:lang w:eastAsia="es-CO"/>
              </w:rPr>
              <w:t>2025</w:t>
            </w:r>
          </w:p>
        </w:tc>
        <w:tc>
          <w:tcPr>
            <w:tcW w:w="736" w:type="dxa"/>
            <w:tcBorders>
              <w:top w:val="nil"/>
              <w:left w:val="nil"/>
              <w:bottom w:val="single" w:sz="4" w:space="0" w:color="auto"/>
              <w:right w:val="single" w:sz="4" w:space="0" w:color="auto"/>
            </w:tcBorders>
            <w:shd w:val="clear" w:color="000000" w:fill="1F4E78"/>
            <w:vAlign w:val="center"/>
          </w:tcPr>
          <w:p w14:paraId="7A694A42" w14:textId="77777777" w:rsidR="0098691F" w:rsidRDefault="0098691F" w:rsidP="005807C9">
            <w:pPr>
              <w:jc w:val="center"/>
              <w:rPr>
                <w:rFonts w:cstheme="minorHAnsi"/>
                <w:b/>
                <w:bCs/>
                <w:color w:val="FFFFFF"/>
                <w:sz w:val="18"/>
                <w:szCs w:val="18"/>
                <w:lang w:eastAsia="es-CO"/>
              </w:rPr>
            </w:pPr>
            <w:r>
              <w:rPr>
                <w:rFonts w:cstheme="minorHAnsi"/>
                <w:b/>
                <w:bCs/>
                <w:color w:val="FFFFFF"/>
                <w:sz w:val="18"/>
                <w:szCs w:val="18"/>
                <w:lang w:eastAsia="es-CO"/>
              </w:rPr>
              <w:t>2026</w:t>
            </w:r>
          </w:p>
        </w:tc>
      </w:tr>
      <w:tr w:rsidR="0098691F" w:rsidRPr="00F53A87" w14:paraId="251F3B00" w14:textId="77777777" w:rsidTr="005807C9">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654A92BC"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enero</w:t>
            </w:r>
          </w:p>
        </w:tc>
        <w:tc>
          <w:tcPr>
            <w:tcW w:w="783" w:type="dxa"/>
            <w:tcBorders>
              <w:top w:val="nil"/>
              <w:left w:val="nil"/>
              <w:bottom w:val="single" w:sz="4" w:space="0" w:color="auto"/>
              <w:right w:val="single" w:sz="4" w:space="0" w:color="auto"/>
            </w:tcBorders>
            <w:shd w:val="clear" w:color="000000" w:fill="FFFFFF"/>
            <w:noWrap/>
            <w:vAlign w:val="center"/>
            <w:hideMark/>
          </w:tcPr>
          <w:p w14:paraId="78EC3320"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15.565</w:t>
            </w:r>
          </w:p>
        </w:tc>
        <w:tc>
          <w:tcPr>
            <w:tcW w:w="783" w:type="dxa"/>
            <w:tcBorders>
              <w:top w:val="nil"/>
              <w:left w:val="nil"/>
              <w:bottom w:val="single" w:sz="4" w:space="0" w:color="auto"/>
              <w:right w:val="single" w:sz="4" w:space="0" w:color="auto"/>
            </w:tcBorders>
            <w:shd w:val="clear" w:color="000000" w:fill="FFFFFF"/>
            <w:noWrap/>
            <w:vAlign w:val="center"/>
            <w:hideMark/>
          </w:tcPr>
          <w:p w14:paraId="187243FF"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29.464</w:t>
            </w:r>
          </w:p>
        </w:tc>
        <w:tc>
          <w:tcPr>
            <w:tcW w:w="839" w:type="dxa"/>
            <w:tcBorders>
              <w:top w:val="nil"/>
              <w:left w:val="nil"/>
              <w:bottom w:val="single" w:sz="4" w:space="0" w:color="auto"/>
              <w:right w:val="single" w:sz="4" w:space="0" w:color="auto"/>
            </w:tcBorders>
            <w:shd w:val="clear" w:color="000000" w:fill="FFFFFF"/>
            <w:noWrap/>
            <w:vAlign w:val="center"/>
            <w:hideMark/>
          </w:tcPr>
          <w:p w14:paraId="72A73A5E"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28036</w:t>
            </w:r>
          </w:p>
        </w:tc>
        <w:tc>
          <w:tcPr>
            <w:tcW w:w="782" w:type="dxa"/>
            <w:tcBorders>
              <w:top w:val="nil"/>
              <w:left w:val="nil"/>
              <w:bottom w:val="single" w:sz="4" w:space="0" w:color="auto"/>
              <w:right w:val="single" w:sz="4" w:space="0" w:color="auto"/>
            </w:tcBorders>
            <w:shd w:val="clear" w:color="000000" w:fill="FFFFFF"/>
            <w:noWrap/>
            <w:vAlign w:val="center"/>
            <w:hideMark/>
          </w:tcPr>
          <w:p w14:paraId="147712D9"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27.360</w:t>
            </w:r>
          </w:p>
        </w:tc>
        <w:tc>
          <w:tcPr>
            <w:tcW w:w="782" w:type="dxa"/>
            <w:tcBorders>
              <w:top w:val="nil"/>
              <w:left w:val="nil"/>
              <w:bottom w:val="single" w:sz="4" w:space="0" w:color="auto"/>
              <w:right w:val="single" w:sz="4" w:space="0" w:color="auto"/>
            </w:tcBorders>
            <w:shd w:val="clear" w:color="000000" w:fill="FFFFFF"/>
            <w:noWrap/>
            <w:vAlign w:val="center"/>
            <w:hideMark/>
          </w:tcPr>
          <w:p w14:paraId="371ADB7C"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20.812</w:t>
            </w:r>
          </w:p>
        </w:tc>
        <w:tc>
          <w:tcPr>
            <w:tcW w:w="782" w:type="dxa"/>
            <w:tcBorders>
              <w:top w:val="nil"/>
              <w:left w:val="nil"/>
              <w:bottom w:val="single" w:sz="4" w:space="0" w:color="auto"/>
              <w:right w:val="single" w:sz="4" w:space="0" w:color="auto"/>
            </w:tcBorders>
            <w:shd w:val="clear" w:color="000000" w:fill="FFFFFF"/>
            <w:noWrap/>
            <w:vAlign w:val="center"/>
            <w:hideMark/>
          </w:tcPr>
          <w:p w14:paraId="1C62F6EC"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25.448</w:t>
            </w:r>
          </w:p>
        </w:tc>
        <w:tc>
          <w:tcPr>
            <w:tcW w:w="782" w:type="dxa"/>
            <w:tcBorders>
              <w:top w:val="nil"/>
              <w:left w:val="nil"/>
              <w:bottom w:val="single" w:sz="4" w:space="0" w:color="auto"/>
              <w:right w:val="single" w:sz="4" w:space="0" w:color="auto"/>
            </w:tcBorders>
            <w:shd w:val="clear" w:color="000000" w:fill="FFFFFF"/>
            <w:noWrap/>
            <w:vAlign w:val="center"/>
            <w:hideMark/>
          </w:tcPr>
          <w:p w14:paraId="1BA76B2B"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31.230</w:t>
            </w:r>
          </w:p>
        </w:tc>
        <w:tc>
          <w:tcPr>
            <w:tcW w:w="782" w:type="dxa"/>
            <w:tcBorders>
              <w:top w:val="nil"/>
              <w:left w:val="nil"/>
              <w:bottom w:val="single" w:sz="4" w:space="0" w:color="auto"/>
              <w:right w:val="single" w:sz="4" w:space="0" w:color="auto"/>
            </w:tcBorders>
            <w:shd w:val="clear" w:color="000000" w:fill="FFFFFF"/>
            <w:noWrap/>
            <w:vAlign w:val="center"/>
            <w:hideMark/>
          </w:tcPr>
          <w:p w14:paraId="00C70347"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40.920</w:t>
            </w:r>
          </w:p>
        </w:tc>
        <w:tc>
          <w:tcPr>
            <w:tcW w:w="683" w:type="dxa"/>
            <w:tcBorders>
              <w:top w:val="nil"/>
              <w:left w:val="nil"/>
              <w:bottom w:val="single" w:sz="4" w:space="0" w:color="auto"/>
              <w:right w:val="single" w:sz="4" w:space="0" w:color="auto"/>
            </w:tcBorders>
            <w:shd w:val="clear" w:color="000000" w:fill="FFFFFF"/>
            <w:noWrap/>
            <w:vAlign w:val="center"/>
            <w:hideMark/>
          </w:tcPr>
          <w:p w14:paraId="6DD5662D"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1.556</w:t>
            </w:r>
          </w:p>
        </w:tc>
        <w:tc>
          <w:tcPr>
            <w:tcW w:w="736" w:type="dxa"/>
            <w:tcBorders>
              <w:top w:val="nil"/>
              <w:left w:val="nil"/>
              <w:bottom w:val="single" w:sz="4" w:space="0" w:color="auto"/>
              <w:right w:val="single" w:sz="4" w:space="0" w:color="auto"/>
            </w:tcBorders>
            <w:shd w:val="clear" w:color="000000" w:fill="FFFFFF"/>
            <w:vAlign w:val="center"/>
          </w:tcPr>
          <w:p w14:paraId="2EBDACB5" w14:textId="77777777" w:rsidR="0098691F" w:rsidRPr="00F53A87" w:rsidRDefault="0098691F" w:rsidP="005807C9">
            <w:pPr>
              <w:jc w:val="center"/>
              <w:rPr>
                <w:rFonts w:cstheme="minorHAnsi"/>
                <w:color w:val="000000"/>
                <w:sz w:val="18"/>
                <w:szCs w:val="18"/>
                <w:lang w:eastAsia="es-CO"/>
              </w:rPr>
            </w:pPr>
            <w:r>
              <w:rPr>
                <w:rFonts w:cstheme="minorHAnsi"/>
                <w:color w:val="000000"/>
                <w:sz w:val="18"/>
                <w:szCs w:val="18"/>
                <w:lang w:eastAsia="es-CO"/>
              </w:rPr>
              <w:t>27.873</w:t>
            </w:r>
          </w:p>
        </w:tc>
        <w:tc>
          <w:tcPr>
            <w:tcW w:w="736" w:type="dxa"/>
            <w:tcBorders>
              <w:top w:val="nil"/>
              <w:left w:val="nil"/>
              <w:bottom w:val="single" w:sz="4" w:space="0" w:color="auto"/>
              <w:right w:val="single" w:sz="4" w:space="0" w:color="auto"/>
            </w:tcBorders>
            <w:shd w:val="clear" w:color="000000" w:fill="FFFFFF"/>
            <w:vAlign w:val="center"/>
          </w:tcPr>
          <w:p w14:paraId="3D977166" w14:textId="77777777" w:rsidR="0098691F" w:rsidRDefault="0098691F" w:rsidP="005807C9">
            <w:pPr>
              <w:jc w:val="center"/>
              <w:rPr>
                <w:rFonts w:cstheme="minorHAnsi"/>
                <w:color w:val="000000"/>
                <w:sz w:val="18"/>
                <w:szCs w:val="18"/>
                <w:lang w:eastAsia="es-CO"/>
              </w:rPr>
            </w:pPr>
            <w:r w:rsidRPr="0073646F">
              <w:rPr>
                <w:rFonts w:cstheme="minorHAnsi"/>
                <w:color w:val="000000"/>
                <w:sz w:val="18"/>
                <w:szCs w:val="18"/>
                <w:lang w:eastAsia="es-CO"/>
              </w:rPr>
              <w:t>25</w:t>
            </w:r>
            <w:r>
              <w:rPr>
                <w:rFonts w:cstheme="minorHAnsi"/>
                <w:color w:val="000000"/>
                <w:sz w:val="18"/>
                <w:szCs w:val="18"/>
                <w:lang w:eastAsia="es-CO"/>
              </w:rPr>
              <w:t>.</w:t>
            </w:r>
            <w:r w:rsidRPr="0073646F">
              <w:rPr>
                <w:rFonts w:cstheme="minorHAnsi"/>
                <w:color w:val="000000"/>
                <w:sz w:val="18"/>
                <w:szCs w:val="18"/>
                <w:lang w:eastAsia="es-CO"/>
              </w:rPr>
              <w:t>082</w:t>
            </w:r>
          </w:p>
        </w:tc>
        <w:tc>
          <w:tcPr>
            <w:tcW w:w="736" w:type="dxa"/>
            <w:tcBorders>
              <w:top w:val="nil"/>
              <w:left w:val="nil"/>
              <w:bottom w:val="single" w:sz="4" w:space="0" w:color="auto"/>
              <w:right w:val="single" w:sz="4" w:space="0" w:color="auto"/>
            </w:tcBorders>
            <w:shd w:val="clear" w:color="000000" w:fill="FFFFFF"/>
            <w:vAlign w:val="center"/>
          </w:tcPr>
          <w:p w14:paraId="75E62121" w14:textId="77777777" w:rsidR="0098691F" w:rsidRPr="0073646F" w:rsidRDefault="0098691F" w:rsidP="005807C9">
            <w:pPr>
              <w:jc w:val="center"/>
              <w:rPr>
                <w:rFonts w:cstheme="minorHAnsi"/>
                <w:color w:val="000000"/>
                <w:sz w:val="18"/>
                <w:szCs w:val="18"/>
                <w:lang w:eastAsia="es-CO"/>
              </w:rPr>
            </w:pPr>
            <w:r>
              <w:rPr>
                <w:rFonts w:cstheme="minorHAnsi"/>
                <w:color w:val="000000"/>
                <w:sz w:val="18"/>
                <w:szCs w:val="18"/>
                <w:lang w:eastAsia="es-CO"/>
              </w:rPr>
              <w:t>27.019</w:t>
            </w:r>
          </w:p>
        </w:tc>
        <w:tc>
          <w:tcPr>
            <w:tcW w:w="736" w:type="dxa"/>
            <w:tcBorders>
              <w:top w:val="nil"/>
              <w:left w:val="nil"/>
              <w:bottom w:val="single" w:sz="4" w:space="0" w:color="auto"/>
              <w:right w:val="single" w:sz="4" w:space="0" w:color="auto"/>
            </w:tcBorders>
            <w:shd w:val="clear" w:color="000000" w:fill="FFFFFF"/>
          </w:tcPr>
          <w:p w14:paraId="1891EF58"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29.984</w:t>
            </w:r>
          </w:p>
        </w:tc>
        <w:tc>
          <w:tcPr>
            <w:tcW w:w="736" w:type="dxa"/>
            <w:tcBorders>
              <w:top w:val="nil"/>
              <w:left w:val="nil"/>
              <w:bottom w:val="single" w:sz="4" w:space="0" w:color="auto"/>
              <w:right w:val="single" w:sz="4" w:space="0" w:color="auto"/>
            </w:tcBorders>
            <w:shd w:val="clear" w:color="000000" w:fill="FFFFFF"/>
          </w:tcPr>
          <w:p w14:paraId="3197BC4A"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36.675</w:t>
            </w:r>
          </w:p>
        </w:tc>
      </w:tr>
      <w:tr w:rsidR="0098691F" w:rsidRPr="00F53A87" w14:paraId="6AA69306" w14:textId="77777777" w:rsidTr="005807C9">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3A2739DB"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febrero</w:t>
            </w:r>
          </w:p>
        </w:tc>
        <w:tc>
          <w:tcPr>
            <w:tcW w:w="783" w:type="dxa"/>
            <w:tcBorders>
              <w:top w:val="nil"/>
              <w:left w:val="nil"/>
              <w:bottom w:val="single" w:sz="4" w:space="0" w:color="auto"/>
              <w:right w:val="single" w:sz="4" w:space="0" w:color="auto"/>
            </w:tcBorders>
            <w:shd w:val="clear" w:color="000000" w:fill="FFFFFF"/>
            <w:noWrap/>
            <w:vAlign w:val="center"/>
            <w:hideMark/>
          </w:tcPr>
          <w:p w14:paraId="0DE34BA5"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18.520</w:t>
            </w:r>
          </w:p>
        </w:tc>
        <w:tc>
          <w:tcPr>
            <w:tcW w:w="783" w:type="dxa"/>
            <w:tcBorders>
              <w:top w:val="nil"/>
              <w:left w:val="nil"/>
              <w:bottom w:val="single" w:sz="4" w:space="0" w:color="auto"/>
              <w:right w:val="single" w:sz="4" w:space="0" w:color="auto"/>
            </w:tcBorders>
            <w:shd w:val="clear" w:color="000000" w:fill="FFFFFF"/>
            <w:noWrap/>
            <w:vAlign w:val="center"/>
            <w:hideMark/>
          </w:tcPr>
          <w:p w14:paraId="63D9BE8C"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42.358</w:t>
            </w:r>
          </w:p>
        </w:tc>
        <w:tc>
          <w:tcPr>
            <w:tcW w:w="839" w:type="dxa"/>
            <w:tcBorders>
              <w:top w:val="nil"/>
              <w:left w:val="nil"/>
              <w:bottom w:val="single" w:sz="4" w:space="0" w:color="auto"/>
              <w:right w:val="single" w:sz="4" w:space="0" w:color="auto"/>
            </w:tcBorders>
            <w:shd w:val="clear" w:color="000000" w:fill="FFFFFF"/>
            <w:noWrap/>
            <w:vAlign w:val="center"/>
            <w:hideMark/>
          </w:tcPr>
          <w:p w14:paraId="336FF73F"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40694</w:t>
            </w:r>
          </w:p>
        </w:tc>
        <w:tc>
          <w:tcPr>
            <w:tcW w:w="782" w:type="dxa"/>
            <w:tcBorders>
              <w:top w:val="nil"/>
              <w:left w:val="nil"/>
              <w:bottom w:val="single" w:sz="4" w:space="0" w:color="auto"/>
              <w:right w:val="single" w:sz="4" w:space="0" w:color="auto"/>
            </w:tcBorders>
            <w:shd w:val="clear" w:color="000000" w:fill="FFFFFF"/>
            <w:noWrap/>
            <w:vAlign w:val="center"/>
            <w:hideMark/>
          </w:tcPr>
          <w:p w14:paraId="696D056C"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34.208</w:t>
            </w:r>
          </w:p>
        </w:tc>
        <w:tc>
          <w:tcPr>
            <w:tcW w:w="782" w:type="dxa"/>
            <w:tcBorders>
              <w:top w:val="nil"/>
              <w:left w:val="nil"/>
              <w:bottom w:val="single" w:sz="4" w:space="0" w:color="auto"/>
              <w:right w:val="single" w:sz="4" w:space="0" w:color="auto"/>
            </w:tcBorders>
            <w:shd w:val="clear" w:color="000000" w:fill="FFFFFF"/>
            <w:noWrap/>
            <w:vAlign w:val="center"/>
            <w:hideMark/>
          </w:tcPr>
          <w:p w14:paraId="167602C3"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41.972</w:t>
            </w:r>
          </w:p>
        </w:tc>
        <w:tc>
          <w:tcPr>
            <w:tcW w:w="782" w:type="dxa"/>
            <w:tcBorders>
              <w:top w:val="nil"/>
              <w:left w:val="nil"/>
              <w:bottom w:val="single" w:sz="4" w:space="0" w:color="auto"/>
              <w:right w:val="single" w:sz="4" w:space="0" w:color="auto"/>
            </w:tcBorders>
            <w:shd w:val="clear" w:color="000000" w:fill="FFFFFF"/>
            <w:noWrap/>
            <w:vAlign w:val="center"/>
            <w:hideMark/>
          </w:tcPr>
          <w:p w14:paraId="4854B65A"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59.580</w:t>
            </w:r>
          </w:p>
        </w:tc>
        <w:tc>
          <w:tcPr>
            <w:tcW w:w="782" w:type="dxa"/>
            <w:tcBorders>
              <w:top w:val="nil"/>
              <w:left w:val="nil"/>
              <w:bottom w:val="single" w:sz="4" w:space="0" w:color="auto"/>
              <w:right w:val="single" w:sz="4" w:space="0" w:color="auto"/>
            </w:tcBorders>
            <w:shd w:val="clear" w:color="000000" w:fill="FFFFFF"/>
            <w:noWrap/>
            <w:vAlign w:val="center"/>
            <w:hideMark/>
          </w:tcPr>
          <w:p w14:paraId="74E4676B"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67.978</w:t>
            </w:r>
          </w:p>
        </w:tc>
        <w:tc>
          <w:tcPr>
            <w:tcW w:w="782" w:type="dxa"/>
            <w:tcBorders>
              <w:top w:val="nil"/>
              <w:left w:val="nil"/>
              <w:bottom w:val="single" w:sz="4" w:space="0" w:color="auto"/>
              <w:right w:val="single" w:sz="4" w:space="0" w:color="auto"/>
            </w:tcBorders>
            <w:shd w:val="clear" w:color="000000" w:fill="FFFFFF"/>
            <w:noWrap/>
            <w:vAlign w:val="center"/>
            <w:hideMark/>
          </w:tcPr>
          <w:p w14:paraId="79607412"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73.392</w:t>
            </w:r>
          </w:p>
        </w:tc>
        <w:tc>
          <w:tcPr>
            <w:tcW w:w="683" w:type="dxa"/>
            <w:tcBorders>
              <w:top w:val="nil"/>
              <w:left w:val="nil"/>
              <w:bottom w:val="single" w:sz="4" w:space="0" w:color="auto"/>
              <w:right w:val="single" w:sz="4" w:space="0" w:color="auto"/>
            </w:tcBorders>
            <w:shd w:val="clear" w:color="000000" w:fill="FFFFFF"/>
            <w:noWrap/>
            <w:vAlign w:val="center"/>
            <w:hideMark/>
          </w:tcPr>
          <w:p w14:paraId="0451CEA7"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702</w:t>
            </w:r>
          </w:p>
        </w:tc>
        <w:tc>
          <w:tcPr>
            <w:tcW w:w="736" w:type="dxa"/>
            <w:tcBorders>
              <w:top w:val="nil"/>
              <w:left w:val="nil"/>
              <w:bottom w:val="single" w:sz="4" w:space="0" w:color="auto"/>
              <w:right w:val="single" w:sz="4" w:space="0" w:color="auto"/>
            </w:tcBorders>
            <w:shd w:val="clear" w:color="000000" w:fill="FFFFFF"/>
            <w:vAlign w:val="center"/>
          </w:tcPr>
          <w:p w14:paraId="517196BD" w14:textId="77777777" w:rsidR="0098691F" w:rsidRPr="00F53A87" w:rsidRDefault="0098691F" w:rsidP="005807C9">
            <w:pPr>
              <w:jc w:val="center"/>
              <w:rPr>
                <w:rFonts w:cstheme="minorHAnsi"/>
                <w:color w:val="000000"/>
                <w:sz w:val="18"/>
                <w:szCs w:val="18"/>
                <w:lang w:eastAsia="es-CO"/>
              </w:rPr>
            </w:pPr>
            <w:r>
              <w:rPr>
                <w:rFonts w:cstheme="minorHAnsi"/>
                <w:color w:val="000000"/>
                <w:sz w:val="18"/>
                <w:szCs w:val="18"/>
                <w:lang w:eastAsia="es-CO"/>
              </w:rPr>
              <w:t>46.478</w:t>
            </w:r>
          </w:p>
        </w:tc>
        <w:tc>
          <w:tcPr>
            <w:tcW w:w="736" w:type="dxa"/>
            <w:tcBorders>
              <w:top w:val="nil"/>
              <w:left w:val="nil"/>
              <w:bottom w:val="single" w:sz="4" w:space="0" w:color="auto"/>
              <w:right w:val="single" w:sz="4" w:space="0" w:color="auto"/>
            </w:tcBorders>
            <w:shd w:val="clear" w:color="000000" w:fill="FFFFFF"/>
            <w:vAlign w:val="center"/>
          </w:tcPr>
          <w:p w14:paraId="0DB0A1BC"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0</w:t>
            </w:r>
          </w:p>
        </w:tc>
        <w:tc>
          <w:tcPr>
            <w:tcW w:w="736" w:type="dxa"/>
            <w:tcBorders>
              <w:top w:val="nil"/>
              <w:left w:val="nil"/>
              <w:bottom w:val="single" w:sz="4" w:space="0" w:color="auto"/>
              <w:right w:val="single" w:sz="4" w:space="0" w:color="auto"/>
            </w:tcBorders>
            <w:shd w:val="clear" w:color="000000" w:fill="FFFFFF"/>
            <w:vAlign w:val="center"/>
          </w:tcPr>
          <w:p w14:paraId="4C39714D"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50.103</w:t>
            </w:r>
          </w:p>
        </w:tc>
        <w:tc>
          <w:tcPr>
            <w:tcW w:w="736" w:type="dxa"/>
            <w:tcBorders>
              <w:top w:val="nil"/>
              <w:left w:val="nil"/>
              <w:bottom w:val="single" w:sz="4" w:space="0" w:color="auto"/>
              <w:right w:val="single" w:sz="4" w:space="0" w:color="auto"/>
            </w:tcBorders>
            <w:shd w:val="clear" w:color="000000" w:fill="FFFFFF"/>
          </w:tcPr>
          <w:p w14:paraId="52BC862A"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42.941</w:t>
            </w:r>
          </w:p>
        </w:tc>
        <w:tc>
          <w:tcPr>
            <w:tcW w:w="736" w:type="dxa"/>
            <w:tcBorders>
              <w:top w:val="nil"/>
              <w:left w:val="nil"/>
              <w:bottom w:val="single" w:sz="4" w:space="0" w:color="auto"/>
              <w:right w:val="single" w:sz="4" w:space="0" w:color="auto"/>
            </w:tcBorders>
            <w:shd w:val="clear" w:color="000000" w:fill="FFFFFF"/>
          </w:tcPr>
          <w:p w14:paraId="2573E861"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48.297</w:t>
            </w:r>
          </w:p>
        </w:tc>
      </w:tr>
      <w:tr w:rsidR="0098691F" w:rsidRPr="00F53A87" w14:paraId="5D1146E1" w14:textId="77777777" w:rsidTr="005807C9">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13633974"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marzo</w:t>
            </w:r>
          </w:p>
        </w:tc>
        <w:tc>
          <w:tcPr>
            <w:tcW w:w="783" w:type="dxa"/>
            <w:tcBorders>
              <w:top w:val="nil"/>
              <w:left w:val="nil"/>
              <w:bottom w:val="single" w:sz="4" w:space="0" w:color="auto"/>
              <w:right w:val="single" w:sz="4" w:space="0" w:color="auto"/>
            </w:tcBorders>
            <w:shd w:val="clear" w:color="000000" w:fill="FFFFFF"/>
            <w:noWrap/>
            <w:vAlign w:val="center"/>
            <w:hideMark/>
          </w:tcPr>
          <w:p w14:paraId="609FDCAC"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18.351</w:t>
            </w:r>
          </w:p>
        </w:tc>
        <w:tc>
          <w:tcPr>
            <w:tcW w:w="783" w:type="dxa"/>
            <w:tcBorders>
              <w:top w:val="nil"/>
              <w:left w:val="nil"/>
              <w:bottom w:val="single" w:sz="4" w:space="0" w:color="auto"/>
              <w:right w:val="single" w:sz="4" w:space="0" w:color="auto"/>
            </w:tcBorders>
            <w:shd w:val="clear" w:color="000000" w:fill="FFFFFF"/>
            <w:noWrap/>
            <w:vAlign w:val="center"/>
            <w:hideMark/>
          </w:tcPr>
          <w:p w14:paraId="6FE1A1E6"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39.728</w:t>
            </w:r>
          </w:p>
        </w:tc>
        <w:tc>
          <w:tcPr>
            <w:tcW w:w="839" w:type="dxa"/>
            <w:tcBorders>
              <w:top w:val="nil"/>
              <w:left w:val="nil"/>
              <w:bottom w:val="single" w:sz="4" w:space="0" w:color="auto"/>
              <w:right w:val="single" w:sz="4" w:space="0" w:color="auto"/>
            </w:tcBorders>
            <w:shd w:val="clear" w:color="000000" w:fill="FFFFFF"/>
            <w:noWrap/>
            <w:vAlign w:val="center"/>
            <w:hideMark/>
          </w:tcPr>
          <w:p w14:paraId="3E0CF894"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38112</w:t>
            </w:r>
          </w:p>
        </w:tc>
        <w:tc>
          <w:tcPr>
            <w:tcW w:w="782" w:type="dxa"/>
            <w:tcBorders>
              <w:top w:val="nil"/>
              <w:left w:val="nil"/>
              <w:bottom w:val="single" w:sz="4" w:space="0" w:color="auto"/>
              <w:right w:val="single" w:sz="4" w:space="0" w:color="auto"/>
            </w:tcBorders>
            <w:shd w:val="clear" w:color="000000" w:fill="FFFFFF"/>
            <w:noWrap/>
            <w:vAlign w:val="center"/>
            <w:hideMark/>
          </w:tcPr>
          <w:p w14:paraId="12A921B5"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41.860</w:t>
            </w:r>
          </w:p>
        </w:tc>
        <w:tc>
          <w:tcPr>
            <w:tcW w:w="782" w:type="dxa"/>
            <w:tcBorders>
              <w:top w:val="nil"/>
              <w:left w:val="nil"/>
              <w:bottom w:val="single" w:sz="4" w:space="0" w:color="auto"/>
              <w:right w:val="single" w:sz="4" w:space="0" w:color="auto"/>
            </w:tcBorders>
            <w:shd w:val="clear" w:color="000000" w:fill="FFFFFF"/>
            <w:noWrap/>
            <w:vAlign w:val="center"/>
            <w:hideMark/>
          </w:tcPr>
          <w:p w14:paraId="7D7ECB5B"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48.148</w:t>
            </w:r>
          </w:p>
        </w:tc>
        <w:tc>
          <w:tcPr>
            <w:tcW w:w="782" w:type="dxa"/>
            <w:tcBorders>
              <w:top w:val="nil"/>
              <w:left w:val="nil"/>
              <w:bottom w:val="single" w:sz="4" w:space="0" w:color="auto"/>
              <w:right w:val="single" w:sz="4" w:space="0" w:color="auto"/>
            </w:tcBorders>
            <w:noWrap/>
            <w:vAlign w:val="center"/>
            <w:hideMark/>
          </w:tcPr>
          <w:p w14:paraId="044C6184"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57.772</w:t>
            </w:r>
          </w:p>
        </w:tc>
        <w:tc>
          <w:tcPr>
            <w:tcW w:w="782" w:type="dxa"/>
            <w:tcBorders>
              <w:top w:val="nil"/>
              <w:left w:val="nil"/>
              <w:bottom w:val="single" w:sz="4" w:space="0" w:color="auto"/>
              <w:right w:val="single" w:sz="4" w:space="0" w:color="auto"/>
            </w:tcBorders>
            <w:noWrap/>
            <w:vAlign w:val="center"/>
            <w:hideMark/>
          </w:tcPr>
          <w:p w14:paraId="0145B762"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70.492</w:t>
            </w:r>
          </w:p>
        </w:tc>
        <w:tc>
          <w:tcPr>
            <w:tcW w:w="782" w:type="dxa"/>
            <w:tcBorders>
              <w:top w:val="nil"/>
              <w:left w:val="nil"/>
              <w:bottom w:val="single" w:sz="4" w:space="0" w:color="auto"/>
              <w:right w:val="single" w:sz="4" w:space="0" w:color="auto"/>
            </w:tcBorders>
            <w:noWrap/>
            <w:vAlign w:val="center"/>
            <w:hideMark/>
          </w:tcPr>
          <w:p w14:paraId="6A98E771"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34.316</w:t>
            </w:r>
          </w:p>
        </w:tc>
        <w:tc>
          <w:tcPr>
            <w:tcW w:w="683" w:type="dxa"/>
            <w:tcBorders>
              <w:top w:val="nil"/>
              <w:left w:val="nil"/>
              <w:bottom w:val="single" w:sz="4" w:space="0" w:color="auto"/>
              <w:right w:val="single" w:sz="4" w:space="0" w:color="auto"/>
            </w:tcBorders>
            <w:noWrap/>
            <w:vAlign w:val="center"/>
            <w:hideMark/>
          </w:tcPr>
          <w:p w14:paraId="06F3C6C7"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2.706</w:t>
            </w:r>
          </w:p>
        </w:tc>
        <w:tc>
          <w:tcPr>
            <w:tcW w:w="736" w:type="dxa"/>
            <w:tcBorders>
              <w:top w:val="nil"/>
              <w:left w:val="nil"/>
              <w:bottom w:val="single" w:sz="4" w:space="0" w:color="auto"/>
              <w:right w:val="single" w:sz="4" w:space="0" w:color="auto"/>
            </w:tcBorders>
            <w:vAlign w:val="center"/>
          </w:tcPr>
          <w:p w14:paraId="511D6E60" w14:textId="77777777" w:rsidR="0098691F" w:rsidRPr="00F53A87" w:rsidRDefault="0098691F" w:rsidP="005807C9">
            <w:pPr>
              <w:jc w:val="center"/>
              <w:rPr>
                <w:rFonts w:cstheme="minorHAnsi"/>
                <w:color w:val="000000"/>
                <w:sz w:val="18"/>
                <w:szCs w:val="18"/>
                <w:lang w:eastAsia="es-CO"/>
              </w:rPr>
            </w:pPr>
            <w:r>
              <w:rPr>
                <w:rFonts w:cstheme="minorHAnsi"/>
                <w:color w:val="000000"/>
                <w:sz w:val="18"/>
                <w:szCs w:val="18"/>
                <w:lang w:eastAsia="es-CO"/>
              </w:rPr>
              <w:t>55.670</w:t>
            </w:r>
          </w:p>
        </w:tc>
        <w:tc>
          <w:tcPr>
            <w:tcW w:w="736" w:type="dxa"/>
            <w:tcBorders>
              <w:top w:val="nil"/>
              <w:left w:val="nil"/>
              <w:bottom w:val="single" w:sz="4" w:space="0" w:color="auto"/>
              <w:right w:val="single" w:sz="4" w:space="0" w:color="auto"/>
            </w:tcBorders>
            <w:vAlign w:val="center"/>
          </w:tcPr>
          <w:p w14:paraId="7120278C"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12.433</w:t>
            </w:r>
          </w:p>
        </w:tc>
        <w:tc>
          <w:tcPr>
            <w:tcW w:w="736" w:type="dxa"/>
            <w:tcBorders>
              <w:top w:val="nil"/>
              <w:left w:val="nil"/>
              <w:bottom w:val="single" w:sz="4" w:space="0" w:color="auto"/>
              <w:right w:val="single" w:sz="4" w:space="0" w:color="auto"/>
            </w:tcBorders>
            <w:vAlign w:val="center"/>
          </w:tcPr>
          <w:p w14:paraId="799A1B6B"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52.003</w:t>
            </w:r>
          </w:p>
        </w:tc>
        <w:tc>
          <w:tcPr>
            <w:tcW w:w="736" w:type="dxa"/>
            <w:tcBorders>
              <w:top w:val="nil"/>
              <w:left w:val="nil"/>
              <w:bottom w:val="single" w:sz="4" w:space="0" w:color="auto"/>
              <w:right w:val="single" w:sz="4" w:space="0" w:color="auto"/>
            </w:tcBorders>
          </w:tcPr>
          <w:p w14:paraId="281AD7ED"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49.555</w:t>
            </w:r>
          </w:p>
        </w:tc>
        <w:tc>
          <w:tcPr>
            <w:tcW w:w="736" w:type="dxa"/>
            <w:tcBorders>
              <w:top w:val="nil"/>
              <w:left w:val="nil"/>
              <w:bottom w:val="single" w:sz="4" w:space="0" w:color="auto"/>
              <w:right w:val="single" w:sz="4" w:space="0" w:color="auto"/>
            </w:tcBorders>
          </w:tcPr>
          <w:p w14:paraId="28DA62E9"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37.640</w:t>
            </w:r>
          </w:p>
        </w:tc>
      </w:tr>
      <w:tr w:rsidR="0098691F" w:rsidRPr="00F53A87" w14:paraId="42CD2095" w14:textId="77777777" w:rsidTr="005807C9">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7AD91574"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abril</w:t>
            </w:r>
          </w:p>
        </w:tc>
        <w:tc>
          <w:tcPr>
            <w:tcW w:w="783" w:type="dxa"/>
            <w:tcBorders>
              <w:top w:val="nil"/>
              <w:left w:val="nil"/>
              <w:bottom w:val="single" w:sz="4" w:space="0" w:color="auto"/>
              <w:right w:val="single" w:sz="4" w:space="0" w:color="auto"/>
            </w:tcBorders>
            <w:shd w:val="clear" w:color="000000" w:fill="FFFFFF"/>
            <w:noWrap/>
            <w:vAlign w:val="center"/>
            <w:hideMark/>
          </w:tcPr>
          <w:p w14:paraId="7518FCAC"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18.246</w:t>
            </w:r>
          </w:p>
        </w:tc>
        <w:tc>
          <w:tcPr>
            <w:tcW w:w="783" w:type="dxa"/>
            <w:tcBorders>
              <w:top w:val="nil"/>
              <w:left w:val="nil"/>
              <w:bottom w:val="single" w:sz="4" w:space="0" w:color="auto"/>
              <w:right w:val="single" w:sz="4" w:space="0" w:color="auto"/>
            </w:tcBorders>
            <w:shd w:val="clear" w:color="000000" w:fill="FFFFFF"/>
            <w:noWrap/>
            <w:vAlign w:val="center"/>
            <w:hideMark/>
          </w:tcPr>
          <w:p w14:paraId="5AA2444D"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35.864</w:t>
            </w:r>
          </w:p>
        </w:tc>
        <w:tc>
          <w:tcPr>
            <w:tcW w:w="839" w:type="dxa"/>
            <w:tcBorders>
              <w:top w:val="nil"/>
              <w:left w:val="nil"/>
              <w:bottom w:val="single" w:sz="4" w:space="0" w:color="auto"/>
              <w:right w:val="single" w:sz="4" w:space="0" w:color="auto"/>
            </w:tcBorders>
            <w:shd w:val="clear" w:color="000000" w:fill="FFFFFF"/>
            <w:noWrap/>
            <w:vAlign w:val="center"/>
            <w:hideMark/>
          </w:tcPr>
          <w:p w14:paraId="1E231484"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40490</w:t>
            </w:r>
          </w:p>
        </w:tc>
        <w:tc>
          <w:tcPr>
            <w:tcW w:w="782" w:type="dxa"/>
            <w:tcBorders>
              <w:top w:val="nil"/>
              <w:left w:val="nil"/>
              <w:bottom w:val="single" w:sz="4" w:space="0" w:color="auto"/>
              <w:right w:val="single" w:sz="4" w:space="0" w:color="auto"/>
            </w:tcBorders>
            <w:shd w:val="clear" w:color="000000" w:fill="FFFFFF"/>
            <w:noWrap/>
            <w:vAlign w:val="center"/>
            <w:hideMark/>
          </w:tcPr>
          <w:p w14:paraId="42D6DDED"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39.378</w:t>
            </w:r>
          </w:p>
        </w:tc>
        <w:tc>
          <w:tcPr>
            <w:tcW w:w="782" w:type="dxa"/>
            <w:tcBorders>
              <w:top w:val="nil"/>
              <w:left w:val="nil"/>
              <w:bottom w:val="single" w:sz="4" w:space="0" w:color="auto"/>
              <w:right w:val="single" w:sz="4" w:space="0" w:color="auto"/>
            </w:tcBorders>
            <w:shd w:val="clear" w:color="000000" w:fill="FFFFFF"/>
            <w:noWrap/>
            <w:vAlign w:val="center"/>
            <w:hideMark/>
          </w:tcPr>
          <w:p w14:paraId="480C9BFF"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39.746</w:t>
            </w:r>
          </w:p>
        </w:tc>
        <w:tc>
          <w:tcPr>
            <w:tcW w:w="782" w:type="dxa"/>
            <w:tcBorders>
              <w:top w:val="nil"/>
              <w:left w:val="nil"/>
              <w:bottom w:val="single" w:sz="4" w:space="0" w:color="auto"/>
              <w:right w:val="single" w:sz="4" w:space="0" w:color="auto"/>
            </w:tcBorders>
            <w:noWrap/>
            <w:vAlign w:val="center"/>
            <w:hideMark/>
          </w:tcPr>
          <w:p w14:paraId="26C969BE"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61.674</w:t>
            </w:r>
          </w:p>
        </w:tc>
        <w:tc>
          <w:tcPr>
            <w:tcW w:w="782" w:type="dxa"/>
            <w:tcBorders>
              <w:top w:val="nil"/>
              <w:left w:val="nil"/>
              <w:bottom w:val="single" w:sz="4" w:space="0" w:color="auto"/>
              <w:right w:val="single" w:sz="4" w:space="0" w:color="auto"/>
            </w:tcBorders>
            <w:noWrap/>
            <w:vAlign w:val="center"/>
            <w:hideMark/>
          </w:tcPr>
          <w:p w14:paraId="17EA6B47"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61.256</w:t>
            </w:r>
          </w:p>
        </w:tc>
        <w:tc>
          <w:tcPr>
            <w:tcW w:w="782" w:type="dxa"/>
            <w:tcBorders>
              <w:top w:val="nil"/>
              <w:left w:val="nil"/>
              <w:bottom w:val="single" w:sz="4" w:space="0" w:color="auto"/>
              <w:right w:val="single" w:sz="4" w:space="0" w:color="auto"/>
            </w:tcBorders>
            <w:noWrap/>
            <w:vAlign w:val="center"/>
            <w:hideMark/>
          </w:tcPr>
          <w:p w14:paraId="172240B0"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0</w:t>
            </w:r>
          </w:p>
        </w:tc>
        <w:tc>
          <w:tcPr>
            <w:tcW w:w="683" w:type="dxa"/>
            <w:tcBorders>
              <w:top w:val="nil"/>
              <w:left w:val="nil"/>
              <w:bottom w:val="single" w:sz="4" w:space="0" w:color="auto"/>
              <w:right w:val="single" w:sz="4" w:space="0" w:color="auto"/>
            </w:tcBorders>
            <w:noWrap/>
            <w:vAlign w:val="center"/>
            <w:hideMark/>
          </w:tcPr>
          <w:p w14:paraId="181854C4"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1.784</w:t>
            </w:r>
          </w:p>
        </w:tc>
        <w:tc>
          <w:tcPr>
            <w:tcW w:w="736" w:type="dxa"/>
            <w:tcBorders>
              <w:top w:val="nil"/>
              <w:left w:val="nil"/>
              <w:bottom w:val="single" w:sz="4" w:space="0" w:color="auto"/>
              <w:right w:val="single" w:sz="4" w:space="0" w:color="auto"/>
            </w:tcBorders>
            <w:vAlign w:val="center"/>
          </w:tcPr>
          <w:p w14:paraId="787898D9" w14:textId="77777777" w:rsidR="0098691F" w:rsidRPr="00F53A87" w:rsidRDefault="0098691F" w:rsidP="005807C9">
            <w:pPr>
              <w:jc w:val="center"/>
              <w:rPr>
                <w:rFonts w:cstheme="minorHAnsi"/>
                <w:color w:val="000000"/>
                <w:sz w:val="18"/>
                <w:szCs w:val="18"/>
                <w:lang w:eastAsia="es-CO"/>
              </w:rPr>
            </w:pPr>
            <w:r>
              <w:rPr>
                <w:rFonts w:cstheme="minorHAnsi"/>
                <w:color w:val="000000"/>
                <w:sz w:val="18"/>
                <w:szCs w:val="18"/>
                <w:lang w:eastAsia="es-CO"/>
              </w:rPr>
              <w:t>27.814</w:t>
            </w:r>
          </w:p>
        </w:tc>
        <w:tc>
          <w:tcPr>
            <w:tcW w:w="736" w:type="dxa"/>
            <w:tcBorders>
              <w:top w:val="nil"/>
              <w:left w:val="nil"/>
              <w:bottom w:val="single" w:sz="4" w:space="0" w:color="auto"/>
              <w:right w:val="single" w:sz="4" w:space="0" w:color="auto"/>
            </w:tcBorders>
            <w:vAlign w:val="center"/>
          </w:tcPr>
          <w:p w14:paraId="458CBF22"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45.318</w:t>
            </w:r>
          </w:p>
        </w:tc>
        <w:tc>
          <w:tcPr>
            <w:tcW w:w="736" w:type="dxa"/>
            <w:tcBorders>
              <w:top w:val="nil"/>
              <w:left w:val="nil"/>
              <w:bottom w:val="single" w:sz="4" w:space="0" w:color="auto"/>
              <w:right w:val="single" w:sz="4" w:space="0" w:color="auto"/>
            </w:tcBorders>
            <w:vAlign w:val="center"/>
          </w:tcPr>
          <w:p w14:paraId="438D5065"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49.611</w:t>
            </w:r>
          </w:p>
        </w:tc>
        <w:tc>
          <w:tcPr>
            <w:tcW w:w="736" w:type="dxa"/>
            <w:tcBorders>
              <w:top w:val="nil"/>
              <w:left w:val="nil"/>
              <w:bottom w:val="single" w:sz="4" w:space="0" w:color="auto"/>
              <w:right w:val="single" w:sz="4" w:space="0" w:color="auto"/>
            </w:tcBorders>
          </w:tcPr>
          <w:p w14:paraId="1F5212C0"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45.161</w:t>
            </w:r>
          </w:p>
        </w:tc>
        <w:tc>
          <w:tcPr>
            <w:tcW w:w="736" w:type="dxa"/>
            <w:tcBorders>
              <w:top w:val="nil"/>
              <w:left w:val="nil"/>
              <w:bottom w:val="single" w:sz="4" w:space="0" w:color="auto"/>
              <w:right w:val="single" w:sz="4" w:space="0" w:color="auto"/>
            </w:tcBorders>
          </w:tcPr>
          <w:p w14:paraId="2AA62458" w14:textId="77777777" w:rsidR="0098691F" w:rsidRDefault="0098691F" w:rsidP="005807C9">
            <w:pPr>
              <w:jc w:val="center"/>
              <w:rPr>
                <w:rFonts w:cstheme="minorHAnsi"/>
                <w:color w:val="000000"/>
                <w:sz w:val="18"/>
                <w:szCs w:val="18"/>
                <w:lang w:eastAsia="es-CO"/>
              </w:rPr>
            </w:pPr>
          </w:p>
        </w:tc>
      </w:tr>
      <w:tr w:rsidR="0098691F" w:rsidRPr="00F53A87" w14:paraId="6E537859" w14:textId="77777777" w:rsidTr="005807C9">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5267BB16"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mayo</w:t>
            </w:r>
          </w:p>
        </w:tc>
        <w:tc>
          <w:tcPr>
            <w:tcW w:w="783" w:type="dxa"/>
            <w:tcBorders>
              <w:top w:val="nil"/>
              <w:left w:val="nil"/>
              <w:bottom w:val="single" w:sz="4" w:space="0" w:color="auto"/>
              <w:right w:val="single" w:sz="4" w:space="0" w:color="auto"/>
            </w:tcBorders>
            <w:shd w:val="clear" w:color="000000" w:fill="FFFFFF"/>
            <w:noWrap/>
            <w:vAlign w:val="center"/>
            <w:hideMark/>
          </w:tcPr>
          <w:p w14:paraId="7081155A"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11.901</w:t>
            </w:r>
          </w:p>
        </w:tc>
        <w:tc>
          <w:tcPr>
            <w:tcW w:w="783" w:type="dxa"/>
            <w:tcBorders>
              <w:top w:val="nil"/>
              <w:left w:val="nil"/>
              <w:bottom w:val="single" w:sz="4" w:space="0" w:color="auto"/>
              <w:right w:val="single" w:sz="4" w:space="0" w:color="auto"/>
            </w:tcBorders>
            <w:shd w:val="clear" w:color="000000" w:fill="FFFFFF"/>
            <w:noWrap/>
            <w:vAlign w:val="center"/>
            <w:hideMark/>
          </w:tcPr>
          <w:p w14:paraId="231D2026"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26.183</w:t>
            </w:r>
          </w:p>
        </w:tc>
        <w:tc>
          <w:tcPr>
            <w:tcW w:w="839" w:type="dxa"/>
            <w:tcBorders>
              <w:top w:val="nil"/>
              <w:left w:val="nil"/>
              <w:bottom w:val="single" w:sz="4" w:space="0" w:color="auto"/>
              <w:right w:val="single" w:sz="4" w:space="0" w:color="auto"/>
            </w:tcBorders>
            <w:shd w:val="clear" w:color="000000" w:fill="FFFFFF"/>
            <w:noWrap/>
            <w:vAlign w:val="center"/>
            <w:hideMark/>
          </w:tcPr>
          <w:p w14:paraId="2F670E6C"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31876</w:t>
            </w:r>
          </w:p>
        </w:tc>
        <w:tc>
          <w:tcPr>
            <w:tcW w:w="782" w:type="dxa"/>
            <w:tcBorders>
              <w:top w:val="nil"/>
              <w:left w:val="nil"/>
              <w:bottom w:val="single" w:sz="4" w:space="0" w:color="auto"/>
              <w:right w:val="single" w:sz="4" w:space="0" w:color="auto"/>
            </w:tcBorders>
            <w:shd w:val="clear" w:color="000000" w:fill="FFFFFF"/>
            <w:noWrap/>
            <w:vAlign w:val="center"/>
            <w:hideMark/>
          </w:tcPr>
          <w:p w14:paraId="1FA11D0D"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31.158</w:t>
            </w:r>
          </w:p>
        </w:tc>
        <w:tc>
          <w:tcPr>
            <w:tcW w:w="782" w:type="dxa"/>
            <w:tcBorders>
              <w:top w:val="nil"/>
              <w:left w:val="nil"/>
              <w:bottom w:val="single" w:sz="4" w:space="0" w:color="auto"/>
              <w:right w:val="single" w:sz="4" w:space="0" w:color="auto"/>
            </w:tcBorders>
            <w:shd w:val="clear" w:color="000000" w:fill="FFFFFF"/>
            <w:noWrap/>
            <w:vAlign w:val="center"/>
            <w:hideMark/>
          </w:tcPr>
          <w:p w14:paraId="02E45112"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43.518</w:t>
            </w:r>
          </w:p>
        </w:tc>
        <w:tc>
          <w:tcPr>
            <w:tcW w:w="782" w:type="dxa"/>
            <w:tcBorders>
              <w:top w:val="nil"/>
              <w:left w:val="nil"/>
              <w:bottom w:val="single" w:sz="4" w:space="0" w:color="auto"/>
              <w:right w:val="single" w:sz="4" w:space="0" w:color="auto"/>
            </w:tcBorders>
            <w:noWrap/>
            <w:vAlign w:val="center"/>
            <w:hideMark/>
          </w:tcPr>
          <w:p w14:paraId="0C06CEBF"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52.124</w:t>
            </w:r>
          </w:p>
        </w:tc>
        <w:tc>
          <w:tcPr>
            <w:tcW w:w="782" w:type="dxa"/>
            <w:tcBorders>
              <w:top w:val="nil"/>
              <w:left w:val="nil"/>
              <w:bottom w:val="single" w:sz="4" w:space="0" w:color="auto"/>
              <w:right w:val="single" w:sz="4" w:space="0" w:color="auto"/>
            </w:tcBorders>
            <w:noWrap/>
            <w:vAlign w:val="center"/>
            <w:hideMark/>
          </w:tcPr>
          <w:p w14:paraId="7C36397F"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60.890</w:t>
            </w:r>
          </w:p>
        </w:tc>
        <w:tc>
          <w:tcPr>
            <w:tcW w:w="782" w:type="dxa"/>
            <w:tcBorders>
              <w:top w:val="nil"/>
              <w:left w:val="nil"/>
              <w:bottom w:val="single" w:sz="4" w:space="0" w:color="auto"/>
              <w:right w:val="single" w:sz="4" w:space="0" w:color="auto"/>
            </w:tcBorders>
            <w:noWrap/>
            <w:vAlign w:val="center"/>
            <w:hideMark/>
          </w:tcPr>
          <w:p w14:paraId="4748B23D"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0</w:t>
            </w:r>
          </w:p>
        </w:tc>
        <w:tc>
          <w:tcPr>
            <w:tcW w:w="683" w:type="dxa"/>
            <w:tcBorders>
              <w:top w:val="nil"/>
              <w:left w:val="nil"/>
              <w:bottom w:val="single" w:sz="4" w:space="0" w:color="auto"/>
              <w:right w:val="single" w:sz="4" w:space="0" w:color="auto"/>
            </w:tcBorders>
            <w:noWrap/>
            <w:vAlign w:val="center"/>
            <w:hideMark/>
          </w:tcPr>
          <w:p w14:paraId="4AEABB7B"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253 </w:t>
            </w:r>
          </w:p>
        </w:tc>
        <w:tc>
          <w:tcPr>
            <w:tcW w:w="736" w:type="dxa"/>
            <w:tcBorders>
              <w:top w:val="nil"/>
              <w:left w:val="nil"/>
              <w:bottom w:val="single" w:sz="4" w:space="0" w:color="auto"/>
              <w:right w:val="single" w:sz="4" w:space="0" w:color="auto"/>
            </w:tcBorders>
            <w:vAlign w:val="center"/>
          </w:tcPr>
          <w:p w14:paraId="2A27380C" w14:textId="77777777" w:rsidR="0098691F" w:rsidRPr="00F53A87" w:rsidRDefault="0098691F" w:rsidP="005807C9">
            <w:pPr>
              <w:jc w:val="center"/>
              <w:rPr>
                <w:rFonts w:cstheme="minorHAnsi"/>
                <w:color w:val="000000"/>
                <w:sz w:val="18"/>
                <w:szCs w:val="18"/>
                <w:lang w:eastAsia="es-CO"/>
              </w:rPr>
            </w:pPr>
            <w:r>
              <w:rPr>
                <w:rFonts w:cstheme="minorHAnsi"/>
                <w:color w:val="000000"/>
                <w:sz w:val="18"/>
                <w:szCs w:val="18"/>
                <w:lang w:eastAsia="es-CO"/>
              </w:rPr>
              <w:t>0</w:t>
            </w:r>
          </w:p>
        </w:tc>
        <w:tc>
          <w:tcPr>
            <w:tcW w:w="736" w:type="dxa"/>
            <w:tcBorders>
              <w:top w:val="nil"/>
              <w:left w:val="nil"/>
              <w:bottom w:val="single" w:sz="4" w:space="0" w:color="auto"/>
              <w:right w:val="single" w:sz="4" w:space="0" w:color="auto"/>
            </w:tcBorders>
            <w:vAlign w:val="center"/>
          </w:tcPr>
          <w:p w14:paraId="3D9E0072"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50.007</w:t>
            </w:r>
          </w:p>
        </w:tc>
        <w:tc>
          <w:tcPr>
            <w:tcW w:w="736" w:type="dxa"/>
            <w:tcBorders>
              <w:top w:val="nil"/>
              <w:left w:val="nil"/>
              <w:bottom w:val="single" w:sz="4" w:space="0" w:color="auto"/>
              <w:right w:val="single" w:sz="4" w:space="0" w:color="auto"/>
            </w:tcBorders>
            <w:vAlign w:val="center"/>
          </w:tcPr>
          <w:p w14:paraId="7183F851"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39.033</w:t>
            </w:r>
          </w:p>
        </w:tc>
        <w:tc>
          <w:tcPr>
            <w:tcW w:w="736" w:type="dxa"/>
            <w:tcBorders>
              <w:top w:val="nil"/>
              <w:left w:val="nil"/>
              <w:bottom w:val="single" w:sz="4" w:space="0" w:color="auto"/>
              <w:right w:val="single" w:sz="4" w:space="0" w:color="auto"/>
            </w:tcBorders>
          </w:tcPr>
          <w:p w14:paraId="6EDA32A2"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42.172</w:t>
            </w:r>
          </w:p>
        </w:tc>
        <w:tc>
          <w:tcPr>
            <w:tcW w:w="736" w:type="dxa"/>
            <w:tcBorders>
              <w:top w:val="nil"/>
              <w:left w:val="nil"/>
              <w:bottom w:val="single" w:sz="4" w:space="0" w:color="auto"/>
              <w:right w:val="single" w:sz="4" w:space="0" w:color="auto"/>
            </w:tcBorders>
          </w:tcPr>
          <w:p w14:paraId="43D570C1" w14:textId="77777777" w:rsidR="0098691F" w:rsidRDefault="0098691F" w:rsidP="005807C9">
            <w:pPr>
              <w:jc w:val="center"/>
              <w:rPr>
                <w:rFonts w:cstheme="minorHAnsi"/>
                <w:color w:val="000000"/>
                <w:sz w:val="18"/>
                <w:szCs w:val="18"/>
                <w:lang w:eastAsia="es-CO"/>
              </w:rPr>
            </w:pPr>
          </w:p>
        </w:tc>
      </w:tr>
      <w:tr w:rsidR="0098691F" w:rsidRPr="00F53A87" w14:paraId="0297E59E" w14:textId="77777777" w:rsidTr="005807C9">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133CDF2D"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junio</w:t>
            </w:r>
          </w:p>
        </w:tc>
        <w:tc>
          <w:tcPr>
            <w:tcW w:w="783" w:type="dxa"/>
            <w:tcBorders>
              <w:top w:val="nil"/>
              <w:left w:val="nil"/>
              <w:bottom w:val="single" w:sz="4" w:space="0" w:color="auto"/>
              <w:right w:val="single" w:sz="4" w:space="0" w:color="auto"/>
            </w:tcBorders>
            <w:shd w:val="clear" w:color="000000" w:fill="FFFFFF"/>
            <w:noWrap/>
            <w:vAlign w:val="center"/>
            <w:hideMark/>
          </w:tcPr>
          <w:p w14:paraId="214A8A1B"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6.505</w:t>
            </w:r>
          </w:p>
        </w:tc>
        <w:tc>
          <w:tcPr>
            <w:tcW w:w="783" w:type="dxa"/>
            <w:tcBorders>
              <w:top w:val="nil"/>
              <w:left w:val="nil"/>
              <w:bottom w:val="single" w:sz="4" w:space="0" w:color="auto"/>
              <w:right w:val="single" w:sz="4" w:space="0" w:color="auto"/>
            </w:tcBorders>
            <w:shd w:val="clear" w:color="000000" w:fill="FFFFFF"/>
            <w:noWrap/>
            <w:vAlign w:val="center"/>
            <w:hideMark/>
          </w:tcPr>
          <w:p w14:paraId="43A0EF99"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11.902</w:t>
            </w:r>
          </w:p>
        </w:tc>
        <w:tc>
          <w:tcPr>
            <w:tcW w:w="839" w:type="dxa"/>
            <w:tcBorders>
              <w:top w:val="nil"/>
              <w:left w:val="nil"/>
              <w:bottom w:val="single" w:sz="4" w:space="0" w:color="auto"/>
              <w:right w:val="single" w:sz="4" w:space="0" w:color="auto"/>
            </w:tcBorders>
            <w:shd w:val="clear" w:color="000000" w:fill="FFFFFF"/>
            <w:noWrap/>
            <w:vAlign w:val="center"/>
            <w:hideMark/>
          </w:tcPr>
          <w:p w14:paraId="1014867E"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10738</w:t>
            </w:r>
          </w:p>
        </w:tc>
        <w:tc>
          <w:tcPr>
            <w:tcW w:w="782" w:type="dxa"/>
            <w:tcBorders>
              <w:top w:val="nil"/>
              <w:left w:val="nil"/>
              <w:bottom w:val="single" w:sz="4" w:space="0" w:color="auto"/>
              <w:right w:val="single" w:sz="4" w:space="0" w:color="auto"/>
            </w:tcBorders>
            <w:shd w:val="clear" w:color="000000" w:fill="FFFFFF"/>
            <w:noWrap/>
            <w:vAlign w:val="center"/>
            <w:hideMark/>
          </w:tcPr>
          <w:p w14:paraId="7E78554E"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10.630</w:t>
            </w:r>
          </w:p>
        </w:tc>
        <w:tc>
          <w:tcPr>
            <w:tcW w:w="782" w:type="dxa"/>
            <w:tcBorders>
              <w:top w:val="nil"/>
              <w:left w:val="nil"/>
              <w:bottom w:val="single" w:sz="4" w:space="0" w:color="auto"/>
              <w:right w:val="single" w:sz="4" w:space="0" w:color="auto"/>
            </w:tcBorders>
            <w:shd w:val="clear" w:color="000000" w:fill="FFFFFF"/>
            <w:noWrap/>
            <w:vAlign w:val="center"/>
            <w:hideMark/>
          </w:tcPr>
          <w:p w14:paraId="696D80C1"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9.388</w:t>
            </w:r>
          </w:p>
        </w:tc>
        <w:tc>
          <w:tcPr>
            <w:tcW w:w="782" w:type="dxa"/>
            <w:tcBorders>
              <w:top w:val="nil"/>
              <w:left w:val="nil"/>
              <w:bottom w:val="single" w:sz="4" w:space="0" w:color="auto"/>
              <w:right w:val="single" w:sz="4" w:space="0" w:color="auto"/>
            </w:tcBorders>
            <w:noWrap/>
            <w:vAlign w:val="center"/>
            <w:hideMark/>
          </w:tcPr>
          <w:p w14:paraId="28F149DA"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17.346</w:t>
            </w:r>
          </w:p>
        </w:tc>
        <w:tc>
          <w:tcPr>
            <w:tcW w:w="782" w:type="dxa"/>
            <w:tcBorders>
              <w:top w:val="nil"/>
              <w:left w:val="nil"/>
              <w:bottom w:val="single" w:sz="4" w:space="0" w:color="auto"/>
              <w:right w:val="single" w:sz="4" w:space="0" w:color="auto"/>
            </w:tcBorders>
            <w:noWrap/>
            <w:vAlign w:val="center"/>
            <w:hideMark/>
          </w:tcPr>
          <w:p w14:paraId="4BAAEC96"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22.088</w:t>
            </w:r>
          </w:p>
        </w:tc>
        <w:tc>
          <w:tcPr>
            <w:tcW w:w="782" w:type="dxa"/>
            <w:tcBorders>
              <w:top w:val="nil"/>
              <w:left w:val="nil"/>
              <w:bottom w:val="single" w:sz="4" w:space="0" w:color="auto"/>
              <w:right w:val="single" w:sz="4" w:space="0" w:color="auto"/>
            </w:tcBorders>
            <w:noWrap/>
            <w:vAlign w:val="center"/>
            <w:hideMark/>
          </w:tcPr>
          <w:p w14:paraId="77431FC3"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0</w:t>
            </w:r>
          </w:p>
        </w:tc>
        <w:tc>
          <w:tcPr>
            <w:tcW w:w="683" w:type="dxa"/>
            <w:tcBorders>
              <w:top w:val="nil"/>
              <w:left w:val="nil"/>
              <w:bottom w:val="single" w:sz="4" w:space="0" w:color="auto"/>
              <w:right w:val="single" w:sz="4" w:space="0" w:color="auto"/>
            </w:tcBorders>
            <w:noWrap/>
            <w:vAlign w:val="center"/>
            <w:hideMark/>
          </w:tcPr>
          <w:p w14:paraId="652683E8"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w:t>
            </w:r>
            <w:r>
              <w:rPr>
                <w:rFonts w:cstheme="minorHAnsi"/>
                <w:color w:val="000000"/>
                <w:sz w:val="18"/>
                <w:szCs w:val="18"/>
                <w:lang w:eastAsia="es-CO"/>
              </w:rPr>
              <w:t>.</w:t>
            </w:r>
            <w:r w:rsidRPr="00F53A87">
              <w:rPr>
                <w:rFonts w:cstheme="minorHAnsi"/>
                <w:color w:val="000000"/>
                <w:sz w:val="18"/>
                <w:szCs w:val="18"/>
                <w:lang w:eastAsia="es-CO"/>
              </w:rPr>
              <w:t>452</w:t>
            </w:r>
          </w:p>
        </w:tc>
        <w:tc>
          <w:tcPr>
            <w:tcW w:w="736" w:type="dxa"/>
            <w:tcBorders>
              <w:top w:val="nil"/>
              <w:left w:val="nil"/>
              <w:bottom w:val="single" w:sz="4" w:space="0" w:color="auto"/>
              <w:right w:val="single" w:sz="4" w:space="0" w:color="auto"/>
            </w:tcBorders>
            <w:vAlign w:val="center"/>
          </w:tcPr>
          <w:p w14:paraId="119F5618" w14:textId="77777777" w:rsidR="0098691F" w:rsidRPr="00F53A87" w:rsidRDefault="0098691F" w:rsidP="005807C9">
            <w:pPr>
              <w:jc w:val="center"/>
              <w:rPr>
                <w:rFonts w:cstheme="minorHAnsi"/>
                <w:color w:val="000000"/>
                <w:sz w:val="18"/>
                <w:szCs w:val="18"/>
                <w:lang w:eastAsia="es-CO"/>
              </w:rPr>
            </w:pPr>
            <w:r>
              <w:rPr>
                <w:rFonts w:cstheme="minorHAnsi"/>
                <w:color w:val="000000"/>
                <w:sz w:val="18"/>
                <w:szCs w:val="18"/>
                <w:lang w:eastAsia="es-CO"/>
              </w:rPr>
              <w:t>6.547</w:t>
            </w:r>
          </w:p>
        </w:tc>
        <w:tc>
          <w:tcPr>
            <w:tcW w:w="736" w:type="dxa"/>
            <w:tcBorders>
              <w:top w:val="nil"/>
              <w:left w:val="nil"/>
              <w:bottom w:val="single" w:sz="4" w:space="0" w:color="auto"/>
              <w:right w:val="single" w:sz="4" w:space="0" w:color="auto"/>
            </w:tcBorders>
            <w:vAlign w:val="center"/>
          </w:tcPr>
          <w:p w14:paraId="28B67F08"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16.130</w:t>
            </w:r>
          </w:p>
        </w:tc>
        <w:tc>
          <w:tcPr>
            <w:tcW w:w="736" w:type="dxa"/>
            <w:tcBorders>
              <w:top w:val="nil"/>
              <w:left w:val="nil"/>
              <w:bottom w:val="single" w:sz="4" w:space="0" w:color="auto"/>
              <w:right w:val="single" w:sz="4" w:space="0" w:color="auto"/>
            </w:tcBorders>
            <w:vAlign w:val="center"/>
          </w:tcPr>
          <w:p w14:paraId="7C34251A"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15.577</w:t>
            </w:r>
          </w:p>
        </w:tc>
        <w:tc>
          <w:tcPr>
            <w:tcW w:w="736" w:type="dxa"/>
            <w:tcBorders>
              <w:top w:val="nil"/>
              <w:left w:val="nil"/>
              <w:bottom w:val="single" w:sz="4" w:space="0" w:color="auto"/>
              <w:right w:val="single" w:sz="4" w:space="0" w:color="auto"/>
            </w:tcBorders>
          </w:tcPr>
          <w:p w14:paraId="7780566B"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14.431</w:t>
            </w:r>
          </w:p>
        </w:tc>
        <w:tc>
          <w:tcPr>
            <w:tcW w:w="736" w:type="dxa"/>
            <w:tcBorders>
              <w:top w:val="nil"/>
              <w:left w:val="nil"/>
              <w:bottom w:val="single" w:sz="4" w:space="0" w:color="auto"/>
              <w:right w:val="single" w:sz="4" w:space="0" w:color="auto"/>
            </w:tcBorders>
          </w:tcPr>
          <w:p w14:paraId="1180505E" w14:textId="77777777" w:rsidR="0098691F" w:rsidRDefault="0098691F" w:rsidP="005807C9">
            <w:pPr>
              <w:jc w:val="center"/>
              <w:rPr>
                <w:rFonts w:cstheme="minorHAnsi"/>
                <w:color w:val="000000"/>
                <w:sz w:val="18"/>
                <w:szCs w:val="18"/>
                <w:lang w:eastAsia="es-CO"/>
              </w:rPr>
            </w:pPr>
          </w:p>
        </w:tc>
      </w:tr>
      <w:tr w:rsidR="0098691F" w:rsidRPr="00F53A87" w14:paraId="3AD8EB8F" w14:textId="77777777" w:rsidTr="005807C9">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18508C1C"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julio</w:t>
            </w:r>
          </w:p>
        </w:tc>
        <w:tc>
          <w:tcPr>
            <w:tcW w:w="783" w:type="dxa"/>
            <w:tcBorders>
              <w:top w:val="nil"/>
              <w:left w:val="nil"/>
              <w:bottom w:val="single" w:sz="4" w:space="0" w:color="auto"/>
              <w:right w:val="single" w:sz="4" w:space="0" w:color="auto"/>
            </w:tcBorders>
            <w:shd w:val="clear" w:color="000000" w:fill="FFFFFF"/>
            <w:noWrap/>
            <w:vAlign w:val="center"/>
            <w:hideMark/>
          </w:tcPr>
          <w:p w14:paraId="651BBA01"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14.428</w:t>
            </w:r>
          </w:p>
        </w:tc>
        <w:tc>
          <w:tcPr>
            <w:tcW w:w="783" w:type="dxa"/>
            <w:tcBorders>
              <w:top w:val="nil"/>
              <w:left w:val="nil"/>
              <w:bottom w:val="single" w:sz="4" w:space="0" w:color="auto"/>
              <w:right w:val="single" w:sz="4" w:space="0" w:color="auto"/>
            </w:tcBorders>
            <w:shd w:val="clear" w:color="000000" w:fill="FFFFFF"/>
            <w:noWrap/>
            <w:vAlign w:val="center"/>
            <w:hideMark/>
          </w:tcPr>
          <w:p w14:paraId="73BBB32B"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24.244</w:t>
            </w:r>
          </w:p>
        </w:tc>
        <w:tc>
          <w:tcPr>
            <w:tcW w:w="839" w:type="dxa"/>
            <w:tcBorders>
              <w:top w:val="nil"/>
              <w:left w:val="nil"/>
              <w:bottom w:val="single" w:sz="4" w:space="0" w:color="auto"/>
              <w:right w:val="single" w:sz="4" w:space="0" w:color="auto"/>
            </w:tcBorders>
            <w:shd w:val="clear" w:color="000000" w:fill="FFFFFF"/>
            <w:noWrap/>
            <w:vAlign w:val="center"/>
            <w:hideMark/>
          </w:tcPr>
          <w:p w14:paraId="02D56DAA"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22500</w:t>
            </w:r>
          </w:p>
        </w:tc>
        <w:tc>
          <w:tcPr>
            <w:tcW w:w="782" w:type="dxa"/>
            <w:tcBorders>
              <w:top w:val="nil"/>
              <w:left w:val="nil"/>
              <w:bottom w:val="single" w:sz="4" w:space="0" w:color="auto"/>
              <w:right w:val="single" w:sz="4" w:space="0" w:color="auto"/>
            </w:tcBorders>
            <w:shd w:val="clear" w:color="000000" w:fill="FFFFFF"/>
            <w:noWrap/>
            <w:vAlign w:val="center"/>
            <w:hideMark/>
          </w:tcPr>
          <w:p w14:paraId="50DCBBBE"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22.214</w:t>
            </w:r>
          </w:p>
        </w:tc>
        <w:tc>
          <w:tcPr>
            <w:tcW w:w="782" w:type="dxa"/>
            <w:tcBorders>
              <w:top w:val="nil"/>
              <w:left w:val="nil"/>
              <w:bottom w:val="single" w:sz="4" w:space="0" w:color="auto"/>
              <w:right w:val="single" w:sz="4" w:space="0" w:color="auto"/>
            </w:tcBorders>
            <w:shd w:val="clear" w:color="000000" w:fill="FFFFFF"/>
            <w:noWrap/>
            <w:vAlign w:val="center"/>
            <w:hideMark/>
          </w:tcPr>
          <w:p w14:paraId="3F1B4F94"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15.194</w:t>
            </w:r>
          </w:p>
        </w:tc>
        <w:tc>
          <w:tcPr>
            <w:tcW w:w="782" w:type="dxa"/>
            <w:tcBorders>
              <w:top w:val="nil"/>
              <w:left w:val="nil"/>
              <w:bottom w:val="single" w:sz="4" w:space="0" w:color="auto"/>
              <w:right w:val="single" w:sz="4" w:space="0" w:color="auto"/>
            </w:tcBorders>
            <w:noWrap/>
            <w:vAlign w:val="center"/>
            <w:hideMark/>
          </w:tcPr>
          <w:p w14:paraId="15C8AC4C"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20.978</w:t>
            </w:r>
          </w:p>
        </w:tc>
        <w:tc>
          <w:tcPr>
            <w:tcW w:w="782" w:type="dxa"/>
            <w:tcBorders>
              <w:top w:val="nil"/>
              <w:left w:val="nil"/>
              <w:bottom w:val="single" w:sz="4" w:space="0" w:color="auto"/>
              <w:right w:val="single" w:sz="4" w:space="0" w:color="auto"/>
            </w:tcBorders>
            <w:noWrap/>
            <w:vAlign w:val="center"/>
            <w:hideMark/>
          </w:tcPr>
          <w:p w14:paraId="4E8696AE"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13.396</w:t>
            </w:r>
          </w:p>
        </w:tc>
        <w:tc>
          <w:tcPr>
            <w:tcW w:w="782" w:type="dxa"/>
            <w:tcBorders>
              <w:top w:val="nil"/>
              <w:left w:val="nil"/>
              <w:bottom w:val="single" w:sz="4" w:space="0" w:color="auto"/>
              <w:right w:val="single" w:sz="4" w:space="0" w:color="auto"/>
            </w:tcBorders>
            <w:noWrap/>
            <w:vAlign w:val="center"/>
            <w:hideMark/>
          </w:tcPr>
          <w:p w14:paraId="1C4F7E75"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239</w:t>
            </w:r>
          </w:p>
        </w:tc>
        <w:tc>
          <w:tcPr>
            <w:tcW w:w="683" w:type="dxa"/>
            <w:tcBorders>
              <w:top w:val="nil"/>
              <w:left w:val="nil"/>
              <w:bottom w:val="single" w:sz="4" w:space="0" w:color="auto"/>
              <w:right w:val="single" w:sz="4" w:space="0" w:color="auto"/>
            </w:tcBorders>
            <w:noWrap/>
            <w:vAlign w:val="center"/>
            <w:hideMark/>
          </w:tcPr>
          <w:p w14:paraId="30B321E6" w14:textId="77777777" w:rsidR="0098691F" w:rsidRPr="00F53A87" w:rsidRDefault="0098691F" w:rsidP="005807C9">
            <w:pPr>
              <w:jc w:val="center"/>
              <w:rPr>
                <w:rFonts w:cstheme="minorHAnsi"/>
                <w:color w:val="000000"/>
                <w:sz w:val="18"/>
                <w:szCs w:val="18"/>
                <w:lang w:eastAsia="es-CO"/>
              </w:rPr>
            </w:pPr>
            <w:r>
              <w:rPr>
                <w:rFonts w:cstheme="minorHAnsi"/>
                <w:color w:val="000000"/>
                <w:sz w:val="18"/>
                <w:szCs w:val="18"/>
                <w:lang w:eastAsia="es-CO"/>
              </w:rPr>
              <w:t>2.684</w:t>
            </w:r>
            <w:r w:rsidRPr="00F53A87">
              <w:rPr>
                <w:rFonts w:cstheme="minorHAnsi"/>
                <w:color w:val="000000"/>
                <w:sz w:val="18"/>
                <w:szCs w:val="18"/>
                <w:lang w:eastAsia="es-CO"/>
              </w:rPr>
              <w:t> </w:t>
            </w:r>
          </w:p>
        </w:tc>
        <w:tc>
          <w:tcPr>
            <w:tcW w:w="736" w:type="dxa"/>
            <w:tcBorders>
              <w:top w:val="nil"/>
              <w:left w:val="nil"/>
              <w:bottom w:val="single" w:sz="4" w:space="0" w:color="auto"/>
              <w:right w:val="single" w:sz="4" w:space="0" w:color="auto"/>
            </w:tcBorders>
            <w:vAlign w:val="center"/>
          </w:tcPr>
          <w:p w14:paraId="632854C3"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21.752</w:t>
            </w:r>
          </w:p>
        </w:tc>
        <w:tc>
          <w:tcPr>
            <w:tcW w:w="736" w:type="dxa"/>
            <w:tcBorders>
              <w:top w:val="nil"/>
              <w:left w:val="nil"/>
              <w:bottom w:val="single" w:sz="4" w:space="0" w:color="auto"/>
              <w:right w:val="single" w:sz="4" w:space="0" w:color="auto"/>
            </w:tcBorders>
            <w:vAlign w:val="center"/>
          </w:tcPr>
          <w:p w14:paraId="1D489F5F"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26.576</w:t>
            </w:r>
          </w:p>
        </w:tc>
        <w:tc>
          <w:tcPr>
            <w:tcW w:w="736" w:type="dxa"/>
            <w:tcBorders>
              <w:top w:val="nil"/>
              <w:left w:val="nil"/>
              <w:bottom w:val="single" w:sz="4" w:space="0" w:color="auto"/>
              <w:right w:val="single" w:sz="4" w:space="0" w:color="auto"/>
            </w:tcBorders>
            <w:vAlign w:val="center"/>
          </w:tcPr>
          <w:p w14:paraId="0616D3E3"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28.682</w:t>
            </w:r>
          </w:p>
        </w:tc>
        <w:tc>
          <w:tcPr>
            <w:tcW w:w="736" w:type="dxa"/>
            <w:tcBorders>
              <w:top w:val="nil"/>
              <w:left w:val="nil"/>
              <w:bottom w:val="single" w:sz="4" w:space="0" w:color="auto"/>
              <w:right w:val="single" w:sz="4" w:space="0" w:color="auto"/>
            </w:tcBorders>
          </w:tcPr>
          <w:p w14:paraId="34CB4CCF"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27.885</w:t>
            </w:r>
          </w:p>
        </w:tc>
        <w:tc>
          <w:tcPr>
            <w:tcW w:w="736" w:type="dxa"/>
            <w:tcBorders>
              <w:top w:val="nil"/>
              <w:left w:val="nil"/>
              <w:bottom w:val="single" w:sz="4" w:space="0" w:color="auto"/>
              <w:right w:val="single" w:sz="4" w:space="0" w:color="auto"/>
            </w:tcBorders>
          </w:tcPr>
          <w:p w14:paraId="764E7484" w14:textId="77777777" w:rsidR="0098691F" w:rsidRDefault="0098691F" w:rsidP="005807C9">
            <w:pPr>
              <w:jc w:val="center"/>
              <w:rPr>
                <w:rFonts w:cstheme="minorHAnsi"/>
                <w:color w:val="000000"/>
                <w:sz w:val="18"/>
                <w:szCs w:val="18"/>
                <w:lang w:eastAsia="es-CO"/>
              </w:rPr>
            </w:pPr>
          </w:p>
        </w:tc>
      </w:tr>
      <w:tr w:rsidR="0098691F" w:rsidRPr="00F53A87" w14:paraId="0BBC1DD2" w14:textId="77777777" w:rsidTr="005807C9">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2ED18D50"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lastRenderedPageBreak/>
              <w:t>agosto</w:t>
            </w:r>
          </w:p>
        </w:tc>
        <w:tc>
          <w:tcPr>
            <w:tcW w:w="783" w:type="dxa"/>
            <w:tcBorders>
              <w:top w:val="nil"/>
              <w:left w:val="nil"/>
              <w:bottom w:val="single" w:sz="4" w:space="0" w:color="auto"/>
              <w:right w:val="single" w:sz="4" w:space="0" w:color="auto"/>
            </w:tcBorders>
            <w:shd w:val="clear" w:color="000000" w:fill="FFFFFF"/>
            <w:noWrap/>
            <w:vAlign w:val="center"/>
            <w:hideMark/>
          </w:tcPr>
          <w:p w14:paraId="38271107"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19.485</w:t>
            </w:r>
          </w:p>
        </w:tc>
        <w:tc>
          <w:tcPr>
            <w:tcW w:w="783" w:type="dxa"/>
            <w:tcBorders>
              <w:top w:val="nil"/>
              <w:left w:val="nil"/>
              <w:bottom w:val="single" w:sz="4" w:space="0" w:color="auto"/>
              <w:right w:val="single" w:sz="4" w:space="0" w:color="auto"/>
            </w:tcBorders>
            <w:shd w:val="clear" w:color="000000" w:fill="FFFFFF"/>
            <w:noWrap/>
            <w:vAlign w:val="center"/>
            <w:hideMark/>
          </w:tcPr>
          <w:p w14:paraId="4DC500A6"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42.024</w:t>
            </w:r>
          </w:p>
        </w:tc>
        <w:tc>
          <w:tcPr>
            <w:tcW w:w="839" w:type="dxa"/>
            <w:tcBorders>
              <w:top w:val="nil"/>
              <w:left w:val="nil"/>
              <w:bottom w:val="single" w:sz="4" w:space="0" w:color="auto"/>
              <w:right w:val="single" w:sz="4" w:space="0" w:color="auto"/>
            </w:tcBorders>
            <w:shd w:val="clear" w:color="000000" w:fill="FFFFFF"/>
            <w:noWrap/>
            <w:vAlign w:val="center"/>
            <w:hideMark/>
          </w:tcPr>
          <w:p w14:paraId="19B6C89C"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42338</w:t>
            </w:r>
          </w:p>
        </w:tc>
        <w:tc>
          <w:tcPr>
            <w:tcW w:w="782" w:type="dxa"/>
            <w:tcBorders>
              <w:top w:val="nil"/>
              <w:left w:val="nil"/>
              <w:bottom w:val="single" w:sz="4" w:space="0" w:color="auto"/>
              <w:right w:val="single" w:sz="4" w:space="0" w:color="auto"/>
            </w:tcBorders>
            <w:shd w:val="clear" w:color="000000" w:fill="FFFFFF"/>
            <w:noWrap/>
            <w:vAlign w:val="center"/>
            <w:hideMark/>
          </w:tcPr>
          <w:p w14:paraId="143AB628"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46.105</w:t>
            </w:r>
          </w:p>
        </w:tc>
        <w:tc>
          <w:tcPr>
            <w:tcW w:w="782" w:type="dxa"/>
            <w:tcBorders>
              <w:top w:val="nil"/>
              <w:left w:val="nil"/>
              <w:bottom w:val="single" w:sz="4" w:space="0" w:color="auto"/>
              <w:right w:val="single" w:sz="4" w:space="0" w:color="auto"/>
            </w:tcBorders>
            <w:noWrap/>
            <w:vAlign w:val="center"/>
            <w:hideMark/>
          </w:tcPr>
          <w:p w14:paraId="2B6AD9D3"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51.616</w:t>
            </w:r>
          </w:p>
        </w:tc>
        <w:tc>
          <w:tcPr>
            <w:tcW w:w="782" w:type="dxa"/>
            <w:tcBorders>
              <w:top w:val="nil"/>
              <w:left w:val="nil"/>
              <w:bottom w:val="single" w:sz="4" w:space="0" w:color="auto"/>
              <w:right w:val="single" w:sz="4" w:space="0" w:color="auto"/>
            </w:tcBorders>
            <w:shd w:val="clear" w:color="000000" w:fill="FFFFFF"/>
            <w:noWrap/>
            <w:vAlign w:val="center"/>
            <w:hideMark/>
          </w:tcPr>
          <w:p w14:paraId="3D333D75"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64.200</w:t>
            </w:r>
          </w:p>
        </w:tc>
        <w:tc>
          <w:tcPr>
            <w:tcW w:w="782" w:type="dxa"/>
            <w:tcBorders>
              <w:top w:val="nil"/>
              <w:left w:val="nil"/>
              <w:bottom w:val="single" w:sz="4" w:space="0" w:color="auto"/>
              <w:right w:val="single" w:sz="4" w:space="0" w:color="auto"/>
            </w:tcBorders>
            <w:noWrap/>
            <w:vAlign w:val="center"/>
            <w:hideMark/>
          </w:tcPr>
          <w:p w14:paraId="71C9881E"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71.926</w:t>
            </w:r>
          </w:p>
        </w:tc>
        <w:tc>
          <w:tcPr>
            <w:tcW w:w="782" w:type="dxa"/>
            <w:tcBorders>
              <w:top w:val="nil"/>
              <w:left w:val="nil"/>
              <w:bottom w:val="single" w:sz="4" w:space="0" w:color="auto"/>
              <w:right w:val="single" w:sz="4" w:space="0" w:color="auto"/>
            </w:tcBorders>
            <w:noWrap/>
            <w:vAlign w:val="center"/>
            <w:hideMark/>
          </w:tcPr>
          <w:p w14:paraId="5B77E633"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0</w:t>
            </w:r>
          </w:p>
        </w:tc>
        <w:tc>
          <w:tcPr>
            <w:tcW w:w="683" w:type="dxa"/>
            <w:tcBorders>
              <w:top w:val="nil"/>
              <w:left w:val="nil"/>
              <w:bottom w:val="single" w:sz="4" w:space="0" w:color="auto"/>
              <w:right w:val="single" w:sz="4" w:space="0" w:color="auto"/>
            </w:tcBorders>
            <w:noWrap/>
            <w:vAlign w:val="center"/>
            <w:hideMark/>
          </w:tcPr>
          <w:p w14:paraId="21C723BF"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 </w:t>
            </w:r>
            <w:r>
              <w:rPr>
                <w:rFonts w:cstheme="minorHAnsi"/>
                <w:color w:val="000000"/>
                <w:sz w:val="18"/>
                <w:szCs w:val="18"/>
                <w:lang w:eastAsia="es-CO"/>
              </w:rPr>
              <w:t>6.701</w:t>
            </w:r>
          </w:p>
        </w:tc>
        <w:tc>
          <w:tcPr>
            <w:tcW w:w="736" w:type="dxa"/>
            <w:tcBorders>
              <w:top w:val="nil"/>
              <w:left w:val="nil"/>
              <w:bottom w:val="single" w:sz="4" w:space="0" w:color="auto"/>
              <w:right w:val="single" w:sz="4" w:space="0" w:color="auto"/>
            </w:tcBorders>
            <w:vAlign w:val="center"/>
          </w:tcPr>
          <w:p w14:paraId="6FB31B78" w14:textId="77777777" w:rsidR="0098691F" w:rsidRPr="00F53A87" w:rsidRDefault="0098691F" w:rsidP="005807C9">
            <w:pPr>
              <w:jc w:val="center"/>
              <w:rPr>
                <w:rFonts w:cstheme="minorHAnsi"/>
                <w:color w:val="000000"/>
                <w:sz w:val="18"/>
                <w:szCs w:val="18"/>
                <w:lang w:eastAsia="es-CO"/>
              </w:rPr>
            </w:pPr>
            <w:r>
              <w:rPr>
                <w:rFonts w:cstheme="minorHAnsi"/>
                <w:color w:val="000000"/>
                <w:sz w:val="18"/>
                <w:szCs w:val="18"/>
                <w:lang w:eastAsia="es-CO"/>
              </w:rPr>
              <w:t>47.147</w:t>
            </w:r>
          </w:p>
        </w:tc>
        <w:tc>
          <w:tcPr>
            <w:tcW w:w="736" w:type="dxa"/>
            <w:tcBorders>
              <w:top w:val="nil"/>
              <w:left w:val="nil"/>
              <w:bottom w:val="single" w:sz="4" w:space="0" w:color="auto"/>
              <w:right w:val="single" w:sz="4" w:space="0" w:color="auto"/>
            </w:tcBorders>
            <w:vAlign w:val="center"/>
          </w:tcPr>
          <w:p w14:paraId="4531B691"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56.619</w:t>
            </w:r>
          </w:p>
        </w:tc>
        <w:tc>
          <w:tcPr>
            <w:tcW w:w="736" w:type="dxa"/>
            <w:tcBorders>
              <w:top w:val="nil"/>
              <w:left w:val="nil"/>
              <w:bottom w:val="single" w:sz="4" w:space="0" w:color="auto"/>
              <w:right w:val="single" w:sz="4" w:space="0" w:color="auto"/>
            </w:tcBorders>
            <w:vAlign w:val="center"/>
          </w:tcPr>
          <w:p w14:paraId="1F35A8C7"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54.476</w:t>
            </w:r>
          </w:p>
        </w:tc>
        <w:tc>
          <w:tcPr>
            <w:tcW w:w="736" w:type="dxa"/>
            <w:tcBorders>
              <w:top w:val="nil"/>
              <w:left w:val="nil"/>
              <w:bottom w:val="single" w:sz="4" w:space="0" w:color="auto"/>
              <w:right w:val="single" w:sz="4" w:space="0" w:color="auto"/>
            </w:tcBorders>
          </w:tcPr>
          <w:p w14:paraId="6898946F"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52.915</w:t>
            </w:r>
          </w:p>
        </w:tc>
        <w:tc>
          <w:tcPr>
            <w:tcW w:w="736" w:type="dxa"/>
            <w:tcBorders>
              <w:top w:val="nil"/>
              <w:left w:val="nil"/>
              <w:bottom w:val="single" w:sz="4" w:space="0" w:color="auto"/>
              <w:right w:val="single" w:sz="4" w:space="0" w:color="auto"/>
            </w:tcBorders>
          </w:tcPr>
          <w:p w14:paraId="408364BB" w14:textId="77777777" w:rsidR="0098691F" w:rsidRDefault="0098691F" w:rsidP="005807C9">
            <w:pPr>
              <w:jc w:val="center"/>
              <w:rPr>
                <w:rFonts w:cstheme="minorHAnsi"/>
                <w:color w:val="000000"/>
                <w:sz w:val="18"/>
                <w:szCs w:val="18"/>
                <w:lang w:eastAsia="es-CO"/>
              </w:rPr>
            </w:pPr>
          </w:p>
        </w:tc>
      </w:tr>
      <w:tr w:rsidR="0098691F" w:rsidRPr="00F53A87" w14:paraId="1FE5F562" w14:textId="77777777" w:rsidTr="005807C9">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4AD0CA7E"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septiembre</w:t>
            </w:r>
          </w:p>
        </w:tc>
        <w:tc>
          <w:tcPr>
            <w:tcW w:w="783" w:type="dxa"/>
            <w:tcBorders>
              <w:top w:val="nil"/>
              <w:left w:val="nil"/>
              <w:bottom w:val="single" w:sz="4" w:space="0" w:color="auto"/>
              <w:right w:val="single" w:sz="4" w:space="0" w:color="auto"/>
            </w:tcBorders>
            <w:shd w:val="clear" w:color="000000" w:fill="FFFFFF"/>
            <w:noWrap/>
            <w:vAlign w:val="center"/>
            <w:hideMark/>
          </w:tcPr>
          <w:p w14:paraId="46F52F5F"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19.985</w:t>
            </w:r>
          </w:p>
        </w:tc>
        <w:tc>
          <w:tcPr>
            <w:tcW w:w="783" w:type="dxa"/>
            <w:tcBorders>
              <w:top w:val="nil"/>
              <w:left w:val="nil"/>
              <w:bottom w:val="single" w:sz="4" w:space="0" w:color="auto"/>
              <w:right w:val="single" w:sz="4" w:space="0" w:color="auto"/>
            </w:tcBorders>
            <w:shd w:val="clear" w:color="000000" w:fill="FFFFFF"/>
            <w:noWrap/>
            <w:vAlign w:val="center"/>
            <w:hideMark/>
          </w:tcPr>
          <w:p w14:paraId="4727230F"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41.728</w:t>
            </w:r>
          </w:p>
        </w:tc>
        <w:tc>
          <w:tcPr>
            <w:tcW w:w="839" w:type="dxa"/>
            <w:tcBorders>
              <w:top w:val="nil"/>
              <w:left w:val="nil"/>
              <w:bottom w:val="single" w:sz="4" w:space="0" w:color="auto"/>
              <w:right w:val="single" w:sz="4" w:space="0" w:color="auto"/>
            </w:tcBorders>
            <w:shd w:val="clear" w:color="000000" w:fill="FFFFFF"/>
            <w:noWrap/>
            <w:vAlign w:val="center"/>
            <w:hideMark/>
          </w:tcPr>
          <w:p w14:paraId="4378BE3B"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42728</w:t>
            </w:r>
          </w:p>
        </w:tc>
        <w:tc>
          <w:tcPr>
            <w:tcW w:w="782" w:type="dxa"/>
            <w:tcBorders>
              <w:top w:val="nil"/>
              <w:left w:val="nil"/>
              <w:bottom w:val="single" w:sz="4" w:space="0" w:color="auto"/>
              <w:right w:val="single" w:sz="4" w:space="0" w:color="auto"/>
            </w:tcBorders>
            <w:shd w:val="clear" w:color="000000" w:fill="FFFFFF"/>
            <w:noWrap/>
            <w:vAlign w:val="center"/>
            <w:hideMark/>
          </w:tcPr>
          <w:p w14:paraId="0A26B7BA"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43.043</w:t>
            </w:r>
          </w:p>
        </w:tc>
        <w:tc>
          <w:tcPr>
            <w:tcW w:w="782" w:type="dxa"/>
            <w:tcBorders>
              <w:top w:val="nil"/>
              <w:left w:val="nil"/>
              <w:bottom w:val="single" w:sz="4" w:space="0" w:color="auto"/>
              <w:right w:val="single" w:sz="4" w:space="0" w:color="auto"/>
            </w:tcBorders>
            <w:shd w:val="clear" w:color="000000" w:fill="FFFFFF"/>
            <w:noWrap/>
            <w:vAlign w:val="center"/>
            <w:hideMark/>
          </w:tcPr>
          <w:p w14:paraId="0A630954"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43.997</w:t>
            </w:r>
          </w:p>
        </w:tc>
        <w:tc>
          <w:tcPr>
            <w:tcW w:w="782" w:type="dxa"/>
            <w:tcBorders>
              <w:top w:val="nil"/>
              <w:left w:val="nil"/>
              <w:bottom w:val="single" w:sz="4" w:space="0" w:color="auto"/>
              <w:right w:val="single" w:sz="4" w:space="0" w:color="auto"/>
            </w:tcBorders>
            <w:shd w:val="clear" w:color="000000" w:fill="FFFFFF"/>
            <w:noWrap/>
            <w:vAlign w:val="center"/>
            <w:hideMark/>
          </w:tcPr>
          <w:p w14:paraId="14699C2F"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65.734</w:t>
            </w:r>
          </w:p>
        </w:tc>
        <w:tc>
          <w:tcPr>
            <w:tcW w:w="782" w:type="dxa"/>
            <w:tcBorders>
              <w:top w:val="nil"/>
              <w:left w:val="nil"/>
              <w:bottom w:val="single" w:sz="4" w:space="0" w:color="auto"/>
              <w:right w:val="single" w:sz="4" w:space="0" w:color="auto"/>
            </w:tcBorders>
            <w:shd w:val="clear" w:color="000000" w:fill="FFFFFF"/>
            <w:noWrap/>
            <w:vAlign w:val="center"/>
            <w:hideMark/>
          </w:tcPr>
          <w:p w14:paraId="3299612F"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73.102</w:t>
            </w:r>
          </w:p>
        </w:tc>
        <w:tc>
          <w:tcPr>
            <w:tcW w:w="782" w:type="dxa"/>
            <w:tcBorders>
              <w:top w:val="nil"/>
              <w:left w:val="nil"/>
              <w:bottom w:val="single" w:sz="4" w:space="0" w:color="auto"/>
              <w:right w:val="single" w:sz="4" w:space="0" w:color="auto"/>
            </w:tcBorders>
            <w:noWrap/>
            <w:vAlign w:val="center"/>
            <w:hideMark/>
          </w:tcPr>
          <w:p w14:paraId="4132250F"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84</w:t>
            </w:r>
          </w:p>
        </w:tc>
        <w:tc>
          <w:tcPr>
            <w:tcW w:w="683" w:type="dxa"/>
            <w:tcBorders>
              <w:top w:val="nil"/>
              <w:left w:val="nil"/>
              <w:bottom w:val="single" w:sz="4" w:space="0" w:color="auto"/>
              <w:right w:val="single" w:sz="4" w:space="0" w:color="auto"/>
            </w:tcBorders>
            <w:noWrap/>
            <w:vAlign w:val="center"/>
            <w:hideMark/>
          </w:tcPr>
          <w:p w14:paraId="3BC49A40"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 </w:t>
            </w:r>
            <w:r>
              <w:rPr>
                <w:rFonts w:cstheme="minorHAnsi"/>
                <w:color w:val="000000"/>
                <w:sz w:val="18"/>
                <w:szCs w:val="18"/>
                <w:lang w:eastAsia="es-CO"/>
              </w:rPr>
              <w:t>6.820</w:t>
            </w:r>
          </w:p>
        </w:tc>
        <w:tc>
          <w:tcPr>
            <w:tcW w:w="736" w:type="dxa"/>
            <w:tcBorders>
              <w:top w:val="nil"/>
              <w:left w:val="nil"/>
              <w:bottom w:val="single" w:sz="4" w:space="0" w:color="auto"/>
              <w:right w:val="single" w:sz="4" w:space="0" w:color="auto"/>
            </w:tcBorders>
            <w:vAlign w:val="center"/>
          </w:tcPr>
          <w:p w14:paraId="005E4F03" w14:textId="77777777" w:rsidR="0098691F" w:rsidRPr="00F53A87" w:rsidRDefault="0098691F" w:rsidP="005807C9">
            <w:pPr>
              <w:jc w:val="center"/>
              <w:rPr>
                <w:rFonts w:cstheme="minorHAnsi"/>
                <w:color w:val="000000"/>
                <w:sz w:val="18"/>
                <w:szCs w:val="18"/>
                <w:lang w:eastAsia="es-CO"/>
              </w:rPr>
            </w:pPr>
            <w:r>
              <w:rPr>
                <w:rFonts w:cstheme="minorHAnsi"/>
                <w:color w:val="000000"/>
                <w:sz w:val="18"/>
                <w:szCs w:val="18"/>
                <w:lang w:eastAsia="es-CO"/>
              </w:rPr>
              <w:t>48.865</w:t>
            </w:r>
          </w:p>
        </w:tc>
        <w:tc>
          <w:tcPr>
            <w:tcW w:w="736" w:type="dxa"/>
            <w:tcBorders>
              <w:top w:val="nil"/>
              <w:left w:val="nil"/>
              <w:bottom w:val="single" w:sz="4" w:space="0" w:color="auto"/>
              <w:right w:val="single" w:sz="4" w:space="0" w:color="auto"/>
            </w:tcBorders>
            <w:vAlign w:val="center"/>
          </w:tcPr>
          <w:p w14:paraId="3D09DDB0"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50.105</w:t>
            </w:r>
          </w:p>
        </w:tc>
        <w:tc>
          <w:tcPr>
            <w:tcW w:w="736" w:type="dxa"/>
            <w:tcBorders>
              <w:top w:val="nil"/>
              <w:left w:val="nil"/>
              <w:bottom w:val="single" w:sz="4" w:space="0" w:color="auto"/>
              <w:right w:val="single" w:sz="4" w:space="0" w:color="auto"/>
            </w:tcBorders>
            <w:vAlign w:val="center"/>
          </w:tcPr>
          <w:p w14:paraId="3E8A7A3D"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41.377</w:t>
            </w:r>
          </w:p>
        </w:tc>
        <w:tc>
          <w:tcPr>
            <w:tcW w:w="736" w:type="dxa"/>
            <w:tcBorders>
              <w:top w:val="nil"/>
              <w:left w:val="nil"/>
              <w:bottom w:val="single" w:sz="4" w:space="0" w:color="auto"/>
              <w:right w:val="single" w:sz="4" w:space="0" w:color="auto"/>
            </w:tcBorders>
          </w:tcPr>
          <w:p w14:paraId="61803B18"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48.324</w:t>
            </w:r>
          </w:p>
        </w:tc>
        <w:tc>
          <w:tcPr>
            <w:tcW w:w="736" w:type="dxa"/>
            <w:tcBorders>
              <w:top w:val="nil"/>
              <w:left w:val="nil"/>
              <w:bottom w:val="single" w:sz="4" w:space="0" w:color="auto"/>
              <w:right w:val="single" w:sz="4" w:space="0" w:color="auto"/>
            </w:tcBorders>
          </w:tcPr>
          <w:p w14:paraId="0F67E5C2" w14:textId="77777777" w:rsidR="0098691F" w:rsidRDefault="0098691F" w:rsidP="005807C9">
            <w:pPr>
              <w:jc w:val="center"/>
              <w:rPr>
                <w:rFonts w:cstheme="minorHAnsi"/>
                <w:color w:val="000000"/>
                <w:sz w:val="18"/>
                <w:szCs w:val="18"/>
                <w:lang w:eastAsia="es-CO"/>
              </w:rPr>
            </w:pPr>
          </w:p>
        </w:tc>
      </w:tr>
      <w:tr w:rsidR="0098691F" w:rsidRPr="00F53A87" w14:paraId="0EDCDFC1" w14:textId="77777777" w:rsidTr="005807C9">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54036307"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octubre</w:t>
            </w:r>
          </w:p>
        </w:tc>
        <w:tc>
          <w:tcPr>
            <w:tcW w:w="783" w:type="dxa"/>
            <w:tcBorders>
              <w:top w:val="nil"/>
              <w:left w:val="nil"/>
              <w:bottom w:val="single" w:sz="4" w:space="0" w:color="auto"/>
              <w:right w:val="single" w:sz="4" w:space="0" w:color="auto"/>
            </w:tcBorders>
            <w:shd w:val="clear" w:color="000000" w:fill="FFFFFF"/>
            <w:noWrap/>
            <w:vAlign w:val="center"/>
            <w:hideMark/>
          </w:tcPr>
          <w:p w14:paraId="20FAE6C0"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25.492</w:t>
            </w:r>
          </w:p>
        </w:tc>
        <w:tc>
          <w:tcPr>
            <w:tcW w:w="783" w:type="dxa"/>
            <w:tcBorders>
              <w:top w:val="nil"/>
              <w:left w:val="nil"/>
              <w:bottom w:val="single" w:sz="4" w:space="0" w:color="auto"/>
              <w:right w:val="single" w:sz="4" w:space="0" w:color="auto"/>
            </w:tcBorders>
            <w:shd w:val="clear" w:color="000000" w:fill="FFFFFF"/>
            <w:noWrap/>
            <w:vAlign w:val="center"/>
            <w:hideMark/>
          </w:tcPr>
          <w:p w14:paraId="54731A1B"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36.024</w:t>
            </w:r>
          </w:p>
        </w:tc>
        <w:tc>
          <w:tcPr>
            <w:tcW w:w="839" w:type="dxa"/>
            <w:tcBorders>
              <w:top w:val="nil"/>
              <w:left w:val="nil"/>
              <w:bottom w:val="single" w:sz="4" w:space="0" w:color="auto"/>
              <w:right w:val="single" w:sz="4" w:space="0" w:color="auto"/>
            </w:tcBorders>
            <w:shd w:val="clear" w:color="000000" w:fill="FFFFFF"/>
            <w:noWrap/>
            <w:vAlign w:val="center"/>
            <w:hideMark/>
          </w:tcPr>
          <w:p w14:paraId="5EBD6D27"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35448</w:t>
            </w:r>
          </w:p>
        </w:tc>
        <w:tc>
          <w:tcPr>
            <w:tcW w:w="782" w:type="dxa"/>
            <w:tcBorders>
              <w:top w:val="nil"/>
              <w:left w:val="nil"/>
              <w:bottom w:val="single" w:sz="4" w:space="0" w:color="auto"/>
              <w:right w:val="single" w:sz="4" w:space="0" w:color="auto"/>
            </w:tcBorders>
            <w:shd w:val="clear" w:color="000000" w:fill="FFFFFF"/>
            <w:noWrap/>
            <w:vAlign w:val="center"/>
            <w:hideMark/>
          </w:tcPr>
          <w:p w14:paraId="241147DD"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41.974</w:t>
            </w:r>
          </w:p>
        </w:tc>
        <w:tc>
          <w:tcPr>
            <w:tcW w:w="782" w:type="dxa"/>
            <w:tcBorders>
              <w:top w:val="nil"/>
              <w:left w:val="nil"/>
              <w:bottom w:val="single" w:sz="4" w:space="0" w:color="auto"/>
              <w:right w:val="single" w:sz="4" w:space="0" w:color="auto"/>
            </w:tcBorders>
            <w:shd w:val="clear" w:color="000000" w:fill="FFFFFF"/>
            <w:noWrap/>
            <w:vAlign w:val="center"/>
            <w:hideMark/>
          </w:tcPr>
          <w:p w14:paraId="45FEA2D4"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51.277</w:t>
            </w:r>
          </w:p>
        </w:tc>
        <w:tc>
          <w:tcPr>
            <w:tcW w:w="782" w:type="dxa"/>
            <w:tcBorders>
              <w:top w:val="nil"/>
              <w:left w:val="nil"/>
              <w:bottom w:val="single" w:sz="4" w:space="0" w:color="auto"/>
              <w:right w:val="single" w:sz="4" w:space="0" w:color="auto"/>
            </w:tcBorders>
            <w:shd w:val="clear" w:color="000000" w:fill="FFFFFF"/>
            <w:noWrap/>
            <w:vAlign w:val="center"/>
            <w:hideMark/>
          </w:tcPr>
          <w:p w14:paraId="54B98C09"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64.406</w:t>
            </w:r>
          </w:p>
        </w:tc>
        <w:tc>
          <w:tcPr>
            <w:tcW w:w="782" w:type="dxa"/>
            <w:tcBorders>
              <w:top w:val="nil"/>
              <w:left w:val="nil"/>
              <w:bottom w:val="single" w:sz="4" w:space="0" w:color="auto"/>
              <w:right w:val="single" w:sz="4" w:space="0" w:color="auto"/>
            </w:tcBorders>
            <w:shd w:val="clear" w:color="000000" w:fill="FFFFFF"/>
            <w:noWrap/>
            <w:vAlign w:val="center"/>
            <w:hideMark/>
          </w:tcPr>
          <w:p w14:paraId="6D3E1A1F"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71.207</w:t>
            </w:r>
          </w:p>
        </w:tc>
        <w:tc>
          <w:tcPr>
            <w:tcW w:w="782" w:type="dxa"/>
            <w:tcBorders>
              <w:top w:val="nil"/>
              <w:left w:val="nil"/>
              <w:bottom w:val="single" w:sz="4" w:space="0" w:color="auto"/>
              <w:right w:val="single" w:sz="4" w:space="0" w:color="auto"/>
            </w:tcBorders>
            <w:noWrap/>
            <w:vAlign w:val="center"/>
            <w:hideMark/>
          </w:tcPr>
          <w:p w14:paraId="027D03D6"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2.037</w:t>
            </w:r>
          </w:p>
        </w:tc>
        <w:tc>
          <w:tcPr>
            <w:tcW w:w="683" w:type="dxa"/>
            <w:tcBorders>
              <w:top w:val="nil"/>
              <w:left w:val="nil"/>
              <w:bottom w:val="single" w:sz="4" w:space="0" w:color="auto"/>
              <w:right w:val="single" w:sz="4" w:space="0" w:color="auto"/>
            </w:tcBorders>
            <w:noWrap/>
            <w:vAlign w:val="center"/>
            <w:hideMark/>
          </w:tcPr>
          <w:p w14:paraId="1108E3DD" w14:textId="77777777" w:rsidR="0098691F" w:rsidRPr="00F53A87" w:rsidRDefault="0098691F" w:rsidP="005807C9">
            <w:pPr>
              <w:jc w:val="center"/>
              <w:rPr>
                <w:rFonts w:cstheme="minorHAnsi"/>
                <w:color w:val="000000"/>
                <w:sz w:val="18"/>
                <w:szCs w:val="18"/>
                <w:lang w:eastAsia="es-CO"/>
              </w:rPr>
            </w:pPr>
            <w:r>
              <w:rPr>
                <w:rFonts w:cstheme="minorHAnsi"/>
                <w:color w:val="000000"/>
                <w:sz w:val="18"/>
                <w:szCs w:val="18"/>
                <w:lang w:eastAsia="es-CO"/>
              </w:rPr>
              <w:t>14.797</w:t>
            </w:r>
            <w:r w:rsidRPr="00F53A87">
              <w:rPr>
                <w:rFonts w:cstheme="minorHAnsi"/>
                <w:color w:val="000000"/>
                <w:sz w:val="18"/>
                <w:szCs w:val="18"/>
                <w:lang w:eastAsia="es-CO"/>
              </w:rPr>
              <w:t> </w:t>
            </w:r>
          </w:p>
        </w:tc>
        <w:tc>
          <w:tcPr>
            <w:tcW w:w="736" w:type="dxa"/>
            <w:tcBorders>
              <w:top w:val="nil"/>
              <w:left w:val="nil"/>
              <w:bottom w:val="single" w:sz="4" w:space="0" w:color="auto"/>
              <w:right w:val="single" w:sz="4" w:space="0" w:color="auto"/>
            </w:tcBorders>
            <w:vAlign w:val="center"/>
          </w:tcPr>
          <w:p w14:paraId="1D1A54D4"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45.391</w:t>
            </w:r>
          </w:p>
        </w:tc>
        <w:tc>
          <w:tcPr>
            <w:tcW w:w="736" w:type="dxa"/>
            <w:tcBorders>
              <w:top w:val="nil"/>
              <w:left w:val="nil"/>
              <w:bottom w:val="single" w:sz="4" w:space="0" w:color="auto"/>
              <w:right w:val="single" w:sz="4" w:space="0" w:color="auto"/>
            </w:tcBorders>
            <w:vAlign w:val="center"/>
          </w:tcPr>
          <w:p w14:paraId="163514B2"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44.749</w:t>
            </w:r>
          </w:p>
        </w:tc>
        <w:tc>
          <w:tcPr>
            <w:tcW w:w="736" w:type="dxa"/>
            <w:tcBorders>
              <w:top w:val="nil"/>
              <w:left w:val="nil"/>
              <w:bottom w:val="single" w:sz="4" w:space="0" w:color="auto"/>
              <w:right w:val="single" w:sz="4" w:space="0" w:color="auto"/>
            </w:tcBorders>
            <w:vAlign w:val="center"/>
          </w:tcPr>
          <w:p w14:paraId="0D67B5AD"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43.609</w:t>
            </w:r>
          </w:p>
        </w:tc>
        <w:tc>
          <w:tcPr>
            <w:tcW w:w="736" w:type="dxa"/>
            <w:tcBorders>
              <w:top w:val="nil"/>
              <w:left w:val="nil"/>
              <w:bottom w:val="single" w:sz="4" w:space="0" w:color="auto"/>
              <w:right w:val="single" w:sz="4" w:space="0" w:color="auto"/>
            </w:tcBorders>
          </w:tcPr>
          <w:p w14:paraId="5EB16C7C" w14:textId="77777777" w:rsidR="0098691F" w:rsidRDefault="0098691F" w:rsidP="005807C9">
            <w:pPr>
              <w:jc w:val="center"/>
              <w:rPr>
                <w:rFonts w:cstheme="minorHAnsi"/>
                <w:color w:val="000000"/>
                <w:sz w:val="18"/>
                <w:szCs w:val="18"/>
                <w:lang w:eastAsia="es-CO"/>
              </w:rPr>
            </w:pPr>
            <w:r w:rsidRPr="00B165E1">
              <w:rPr>
                <w:rFonts w:cstheme="minorHAnsi"/>
                <w:color w:val="000000"/>
                <w:sz w:val="18"/>
                <w:szCs w:val="18"/>
                <w:lang w:eastAsia="es-CO"/>
              </w:rPr>
              <w:t>46.783</w:t>
            </w:r>
          </w:p>
        </w:tc>
        <w:tc>
          <w:tcPr>
            <w:tcW w:w="736" w:type="dxa"/>
            <w:tcBorders>
              <w:top w:val="nil"/>
              <w:left w:val="nil"/>
              <w:bottom w:val="single" w:sz="4" w:space="0" w:color="auto"/>
              <w:right w:val="single" w:sz="4" w:space="0" w:color="auto"/>
            </w:tcBorders>
          </w:tcPr>
          <w:p w14:paraId="579BCB8E" w14:textId="77777777" w:rsidR="0098691F" w:rsidRPr="00B165E1" w:rsidRDefault="0098691F" w:rsidP="005807C9">
            <w:pPr>
              <w:jc w:val="center"/>
              <w:rPr>
                <w:rFonts w:cstheme="minorHAnsi"/>
                <w:color w:val="000000"/>
                <w:sz w:val="18"/>
                <w:szCs w:val="18"/>
                <w:lang w:eastAsia="es-CO"/>
              </w:rPr>
            </w:pPr>
          </w:p>
        </w:tc>
      </w:tr>
      <w:tr w:rsidR="0098691F" w:rsidRPr="00F53A87" w14:paraId="6B3BEBEA" w14:textId="77777777" w:rsidTr="005807C9">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4A80A86F"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noviembre</w:t>
            </w:r>
          </w:p>
        </w:tc>
        <w:tc>
          <w:tcPr>
            <w:tcW w:w="783" w:type="dxa"/>
            <w:tcBorders>
              <w:top w:val="nil"/>
              <w:left w:val="nil"/>
              <w:bottom w:val="single" w:sz="4" w:space="0" w:color="auto"/>
              <w:right w:val="single" w:sz="4" w:space="0" w:color="auto"/>
            </w:tcBorders>
            <w:shd w:val="clear" w:color="000000" w:fill="FFFFFF"/>
            <w:noWrap/>
            <w:vAlign w:val="center"/>
            <w:hideMark/>
          </w:tcPr>
          <w:p w14:paraId="44CA8271"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14.684</w:t>
            </w:r>
          </w:p>
        </w:tc>
        <w:tc>
          <w:tcPr>
            <w:tcW w:w="783" w:type="dxa"/>
            <w:tcBorders>
              <w:top w:val="nil"/>
              <w:left w:val="nil"/>
              <w:bottom w:val="single" w:sz="4" w:space="0" w:color="auto"/>
              <w:right w:val="single" w:sz="4" w:space="0" w:color="auto"/>
            </w:tcBorders>
            <w:shd w:val="clear" w:color="000000" w:fill="FFFFFF"/>
            <w:noWrap/>
            <w:vAlign w:val="center"/>
            <w:hideMark/>
          </w:tcPr>
          <w:p w14:paraId="27FAF3E8"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24.450</w:t>
            </w:r>
          </w:p>
        </w:tc>
        <w:tc>
          <w:tcPr>
            <w:tcW w:w="839" w:type="dxa"/>
            <w:tcBorders>
              <w:top w:val="nil"/>
              <w:left w:val="nil"/>
              <w:bottom w:val="single" w:sz="4" w:space="0" w:color="auto"/>
              <w:right w:val="single" w:sz="4" w:space="0" w:color="auto"/>
            </w:tcBorders>
            <w:shd w:val="clear" w:color="000000" w:fill="FFFFFF"/>
            <w:noWrap/>
            <w:vAlign w:val="center"/>
            <w:hideMark/>
          </w:tcPr>
          <w:p w14:paraId="616BD05D"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21320</w:t>
            </w:r>
          </w:p>
        </w:tc>
        <w:tc>
          <w:tcPr>
            <w:tcW w:w="782" w:type="dxa"/>
            <w:tcBorders>
              <w:top w:val="nil"/>
              <w:left w:val="nil"/>
              <w:bottom w:val="single" w:sz="4" w:space="0" w:color="auto"/>
              <w:right w:val="single" w:sz="4" w:space="0" w:color="auto"/>
            </w:tcBorders>
            <w:shd w:val="clear" w:color="000000" w:fill="FFFFFF"/>
            <w:noWrap/>
            <w:vAlign w:val="center"/>
            <w:hideMark/>
          </w:tcPr>
          <w:p w14:paraId="00256BC3"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28.578</w:t>
            </w:r>
          </w:p>
        </w:tc>
        <w:tc>
          <w:tcPr>
            <w:tcW w:w="782" w:type="dxa"/>
            <w:tcBorders>
              <w:top w:val="nil"/>
              <w:left w:val="nil"/>
              <w:bottom w:val="single" w:sz="4" w:space="0" w:color="auto"/>
              <w:right w:val="single" w:sz="4" w:space="0" w:color="auto"/>
            </w:tcBorders>
            <w:noWrap/>
            <w:vAlign w:val="center"/>
            <w:hideMark/>
          </w:tcPr>
          <w:p w14:paraId="36A3C180"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47.480</w:t>
            </w:r>
          </w:p>
        </w:tc>
        <w:tc>
          <w:tcPr>
            <w:tcW w:w="782" w:type="dxa"/>
            <w:tcBorders>
              <w:top w:val="nil"/>
              <w:left w:val="nil"/>
              <w:bottom w:val="single" w:sz="4" w:space="0" w:color="auto"/>
              <w:right w:val="single" w:sz="4" w:space="0" w:color="auto"/>
            </w:tcBorders>
            <w:shd w:val="clear" w:color="000000" w:fill="FFFFFF"/>
            <w:noWrap/>
            <w:vAlign w:val="center"/>
            <w:hideMark/>
          </w:tcPr>
          <w:p w14:paraId="4343250A"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53.790</w:t>
            </w:r>
          </w:p>
        </w:tc>
        <w:tc>
          <w:tcPr>
            <w:tcW w:w="782" w:type="dxa"/>
            <w:tcBorders>
              <w:top w:val="nil"/>
              <w:left w:val="nil"/>
              <w:bottom w:val="single" w:sz="4" w:space="0" w:color="auto"/>
              <w:right w:val="single" w:sz="4" w:space="0" w:color="auto"/>
            </w:tcBorders>
            <w:shd w:val="clear" w:color="000000" w:fill="FFFFFF"/>
            <w:noWrap/>
            <w:vAlign w:val="center"/>
            <w:hideMark/>
          </w:tcPr>
          <w:p w14:paraId="01F0DB2F"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51.027</w:t>
            </w:r>
          </w:p>
        </w:tc>
        <w:tc>
          <w:tcPr>
            <w:tcW w:w="782" w:type="dxa"/>
            <w:tcBorders>
              <w:top w:val="nil"/>
              <w:left w:val="nil"/>
              <w:bottom w:val="single" w:sz="4" w:space="0" w:color="auto"/>
              <w:right w:val="single" w:sz="4" w:space="0" w:color="auto"/>
            </w:tcBorders>
            <w:shd w:val="clear" w:color="000000" w:fill="FFFFFF"/>
            <w:noWrap/>
            <w:vAlign w:val="center"/>
            <w:hideMark/>
          </w:tcPr>
          <w:p w14:paraId="101558CB"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2.168</w:t>
            </w:r>
          </w:p>
        </w:tc>
        <w:tc>
          <w:tcPr>
            <w:tcW w:w="683" w:type="dxa"/>
            <w:tcBorders>
              <w:top w:val="nil"/>
              <w:left w:val="nil"/>
              <w:bottom w:val="single" w:sz="4" w:space="0" w:color="auto"/>
              <w:right w:val="single" w:sz="4" w:space="0" w:color="auto"/>
            </w:tcBorders>
            <w:shd w:val="clear" w:color="000000" w:fill="FFFFFF"/>
            <w:noWrap/>
            <w:vAlign w:val="center"/>
            <w:hideMark/>
          </w:tcPr>
          <w:p w14:paraId="1DFC1880" w14:textId="77777777" w:rsidR="0098691F" w:rsidRPr="00F53A87" w:rsidRDefault="0098691F" w:rsidP="005807C9">
            <w:pPr>
              <w:jc w:val="center"/>
              <w:rPr>
                <w:rFonts w:cstheme="minorHAnsi"/>
                <w:color w:val="000000"/>
                <w:sz w:val="18"/>
                <w:szCs w:val="18"/>
                <w:lang w:eastAsia="es-CO"/>
              </w:rPr>
            </w:pPr>
            <w:r>
              <w:rPr>
                <w:rFonts w:cstheme="minorHAnsi"/>
                <w:color w:val="000000"/>
                <w:sz w:val="18"/>
                <w:szCs w:val="18"/>
                <w:lang w:eastAsia="es-CO"/>
              </w:rPr>
              <w:t>12.801</w:t>
            </w:r>
            <w:r w:rsidRPr="00F53A87">
              <w:rPr>
                <w:rFonts w:cstheme="minorHAnsi"/>
                <w:color w:val="000000"/>
                <w:sz w:val="18"/>
                <w:szCs w:val="18"/>
                <w:lang w:eastAsia="es-CO"/>
              </w:rPr>
              <w:t> </w:t>
            </w:r>
          </w:p>
        </w:tc>
        <w:tc>
          <w:tcPr>
            <w:tcW w:w="736" w:type="dxa"/>
            <w:tcBorders>
              <w:top w:val="nil"/>
              <w:left w:val="nil"/>
              <w:bottom w:val="single" w:sz="4" w:space="0" w:color="auto"/>
              <w:right w:val="single" w:sz="4" w:space="0" w:color="auto"/>
            </w:tcBorders>
            <w:shd w:val="clear" w:color="000000" w:fill="FFFFFF"/>
            <w:vAlign w:val="center"/>
          </w:tcPr>
          <w:p w14:paraId="6B44AC2E"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35.594</w:t>
            </w:r>
          </w:p>
        </w:tc>
        <w:tc>
          <w:tcPr>
            <w:tcW w:w="736" w:type="dxa"/>
            <w:tcBorders>
              <w:top w:val="nil"/>
              <w:left w:val="nil"/>
              <w:bottom w:val="single" w:sz="4" w:space="0" w:color="auto"/>
              <w:right w:val="single" w:sz="4" w:space="0" w:color="auto"/>
            </w:tcBorders>
            <w:shd w:val="clear" w:color="000000" w:fill="FFFFFF"/>
            <w:vAlign w:val="center"/>
          </w:tcPr>
          <w:p w14:paraId="448E5E11"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36.104</w:t>
            </w:r>
          </w:p>
        </w:tc>
        <w:tc>
          <w:tcPr>
            <w:tcW w:w="736" w:type="dxa"/>
            <w:tcBorders>
              <w:top w:val="nil"/>
              <w:left w:val="nil"/>
              <w:bottom w:val="single" w:sz="4" w:space="0" w:color="auto"/>
              <w:right w:val="single" w:sz="4" w:space="0" w:color="auto"/>
            </w:tcBorders>
            <w:shd w:val="clear" w:color="000000" w:fill="FFFFFF"/>
            <w:vAlign w:val="center"/>
          </w:tcPr>
          <w:p w14:paraId="24BB87AC"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39.775</w:t>
            </w:r>
          </w:p>
        </w:tc>
        <w:tc>
          <w:tcPr>
            <w:tcW w:w="736" w:type="dxa"/>
            <w:tcBorders>
              <w:top w:val="nil"/>
              <w:left w:val="nil"/>
              <w:bottom w:val="single" w:sz="4" w:space="0" w:color="auto"/>
              <w:right w:val="single" w:sz="4" w:space="0" w:color="auto"/>
            </w:tcBorders>
            <w:shd w:val="clear" w:color="000000" w:fill="FFFFFF"/>
          </w:tcPr>
          <w:p w14:paraId="49508EA0"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38.778</w:t>
            </w:r>
          </w:p>
        </w:tc>
        <w:tc>
          <w:tcPr>
            <w:tcW w:w="736" w:type="dxa"/>
            <w:tcBorders>
              <w:top w:val="nil"/>
              <w:left w:val="nil"/>
              <w:bottom w:val="single" w:sz="4" w:space="0" w:color="auto"/>
              <w:right w:val="single" w:sz="4" w:space="0" w:color="auto"/>
            </w:tcBorders>
            <w:shd w:val="clear" w:color="000000" w:fill="FFFFFF"/>
          </w:tcPr>
          <w:p w14:paraId="327C725B" w14:textId="77777777" w:rsidR="0098691F" w:rsidRDefault="0098691F" w:rsidP="005807C9">
            <w:pPr>
              <w:jc w:val="center"/>
              <w:rPr>
                <w:rFonts w:cstheme="minorHAnsi"/>
                <w:color w:val="000000"/>
                <w:sz w:val="18"/>
                <w:szCs w:val="18"/>
                <w:lang w:eastAsia="es-CO"/>
              </w:rPr>
            </w:pPr>
          </w:p>
        </w:tc>
      </w:tr>
      <w:tr w:rsidR="0098691F" w:rsidRPr="00F53A87" w14:paraId="2BD84F4F" w14:textId="77777777" w:rsidTr="005807C9">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74D66E8F"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diciembre</w:t>
            </w:r>
          </w:p>
        </w:tc>
        <w:tc>
          <w:tcPr>
            <w:tcW w:w="783" w:type="dxa"/>
            <w:tcBorders>
              <w:top w:val="nil"/>
              <w:left w:val="nil"/>
              <w:bottom w:val="single" w:sz="4" w:space="0" w:color="auto"/>
              <w:right w:val="single" w:sz="4" w:space="0" w:color="auto"/>
            </w:tcBorders>
            <w:shd w:val="clear" w:color="000000" w:fill="FFFFFF"/>
            <w:noWrap/>
            <w:vAlign w:val="center"/>
            <w:hideMark/>
          </w:tcPr>
          <w:p w14:paraId="615C5C35"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33.348</w:t>
            </w:r>
          </w:p>
        </w:tc>
        <w:tc>
          <w:tcPr>
            <w:tcW w:w="783" w:type="dxa"/>
            <w:tcBorders>
              <w:top w:val="nil"/>
              <w:left w:val="nil"/>
              <w:bottom w:val="single" w:sz="4" w:space="0" w:color="auto"/>
              <w:right w:val="single" w:sz="4" w:space="0" w:color="auto"/>
            </w:tcBorders>
            <w:shd w:val="clear" w:color="000000" w:fill="FFFFFF"/>
            <w:noWrap/>
            <w:vAlign w:val="center"/>
            <w:hideMark/>
          </w:tcPr>
          <w:p w14:paraId="2F4A4BA0"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34.928</w:t>
            </w:r>
          </w:p>
        </w:tc>
        <w:tc>
          <w:tcPr>
            <w:tcW w:w="839" w:type="dxa"/>
            <w:tcBorders>
              <w:top w:val="nil"/>
              <w:left w:val="nil"/>
              <w:bottom w:val="single" w:sz="4" w:space="0" w:color="auto"/>
              <w:right w:val="single" w:sz="4" w:space="0" w:color="auto"/>
            </w:tcBorders>
            <w:shd w:val="clear" w:color="000000" w:fill="FFFFFF"/>
            <w:noWrap/>
            <w:vAlign w:val="center"/>
            <w:hideMark/>
          </w:tcPr>
          <w:p w14:paraId="504401F4"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31512</w:t>
            </w:r>
          </w:p>
        </w:tc>
        <w:tc>
          <w:tcPr>
            <w:tcW w:w="782" w:type="dxa"/>
            <w:tcBorders>
              <w:top w:val="nil"/>
              <w:left w:val="nil"/>
              <w:bottom w:val="single" w:sz="4" w:space="0" w:color="auto"/>
              <w:right w:val="single" w:sz="4" w:space="0" w:color="auto"/>
            </w:tcBorders>
            <w:shd w:val="clear" w:color="000000" w:fill="FFFFFF"/>
            <w:noWrap/>
            <w:vAlign w:val="center"/>
            <w:hideMark/>
          </w:tcPr>
          <w:p w14:paraId="5C0BDCC2"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39.142</w:t>
            </w:r>
          </w:p>
        </w:tc>
        <w:tc>
          <w:tcPr>
            <w:tcW w:w="782" w:type="dxa"/>
            <w:tcBorders>
              <w:top w:val="nil"/>
              <w:left w:val="nil"/>
              <w:bottom w:val="single" w:sz="4" w:space="0" w:color="auto"/>
              <w:right w:val="single" w:sz="4" w:space="0" w:color="auto"/>
            </w:tcBorders>
            <w:shd w:val="clear" w:color="000000" w:fill="FFFFFF"/>
            <w:noWrap/>
            <w:vAlign w:val="center"/>
            <w:hideMark/>
          </w:tcPr>
          <w:p w14:paraId="4E20E6A0"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43.678</w:t>
            </w:r>
          </w:p>
        </w:tc>
        <w:tc>
          <w:tcPr>
            <w:tcW w:w="782" w:type="dxa"/>
            <w:tcBorders>
              <w:top w:val="nil"/>
              <w:left w:val="nil"/>
              <w:bottom w:val="single" w:sz="4" w:space="0" w:color="auto"/>
              <w:right w:val="single" w:sz="4" w:space="0" w:color="auto"/>
            </w:tcBorders>
            <w:shd w:val="clear" w:color="000000" w:fill="FFFFFF"/>
            <w:noWrap/>
            <w:vAlign w:val="center"/>
            <w:hideMark/>
          </w:tcPr>
          <w:p w14:paraId="5F3C7465"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47.252</w:t>
            </w:r>
          </w:p>
        </w:tc>
        <w:tc>
          <w:tcPr>
            <w:tcW w:w="782" w:type="dxa"/>
            <w:tcBorders>
              <w:top w:val="nil"/>
              <w:left w:val="nil"/>
              <w:bottom w:val="single" w:sz="4" w:space="0" w:color="auto"/>
              <w:right w:val="single" w:sz="4" w:space="0" w:color="auto"/>
            </w:tcBorders>
            <w:shd w:val="clear" w:color="000000" w:fill="FFFFFF"/>
            <w:noWrap/>
            <w:vAlign w:val="center"/>
            <w:hideMark/>
          </w:tcPr>
          <w:p w14:paraId="2D4A3297"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37.062</w:t>
            </w:r>
          </w:p>
        </w:tc>
        <w:tc>
          <w:tcPr>
            <w:tcW w:w="782" w:type="dxa"/>
            <w:tcBorders>
              <w:top w:val="nil"/>
              <w:left w:val="nil"/>
              <w:bottom w:val="single" w:sz="4" w:space="0" w:color="auto"/>
              <w:right w:val="single" w:sz="4" w:space="0" w:color="auto"/>
            </w:tcBorders>
            <w:shd w:val="clear" w:color="000000" w:fill="FFFFFF"/>
            <w:noWrap/>
            <w:vAlign w:val="center"/>
            <w:hideMark/>
          </w:tcPr>
          <w:p w14:paraId="128393EA"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3.150</w:t>
            </w:r>
          </w:p>
        </w:tc>
        <w:tc>
          <w:tcPr>
            <w:tcW w:w="683" w:type="dxa"/>
            <w:tcBorders>
              <w:top w:val="nil"/>
              <w:left w:val="nil"/>
              <w:bottom w:val="single" w:sz="4" w:space="0" w:color="auto"/>
              <w:right w:val="single" w:sz="4" w:space="0" w:color="auto"/>
            </w:tcBorders>
            <w:shd w:val="clear" w:color="000000" w:fill="FFFFFF"/>
            <w:noWrap/>
            <w:vAlign w:val="center"/>
            <w:hideMark/>
          </w:tcPr>
          <w:p w14:paraId="5CCE2F4E" w14:textId="77777777" w:rsidR="0098691F" w:rsidRPr="00F53A87" w:rsidRDefault="0098691F" w:rsidP="005807C9">
            <w:pPr>
              <w:jc w:val="center"/>
              <w:rPr>
                <w:rFonts w:cstheme="minorHAnsi"/>
                <w:color w:val="000000"/>
                <w:sz w:val="18"/>
                <w:szCs w:val="18"/>
                <w:lang w:eastAsia="es-CO"/>
              </w:rPr>
            </w:pPr>
            <w:r w:rsidRPr="00F53A87">
              <w:rPr>
                <w:rFonts w:cstheme="minorHAnsi"/>
                <w:color w:val="000000"/>
                <w:sz w:val="18"/>
                <w:szCs w:val="18"/>
                <w:lang w:eastAsia="es-CO"/>
              </w:rPr>
              <w:t> </w:t>
            </w:r>
            <w:r>
              <w:rPr>
                <w:rFonts w:cstheme="minorHAnsi"/>
                <w:color w:val="000000"/>
                <w:sz w:val="18"/>
                <w:szCs w:val="18"/>
                <w:lang w:eastAsia="es-CO"/>
              </w:rPr>
              <w:t>27.913</w:t>
            </w:r>
          </w:p>
        </w:tc>
        <w:tc>
          <w:tcPr>
            <w:tcW w:w="736" w:type="dxa"/>
            <w:tcBorders>
              <w:top w:val="nil"/>
              <w:left w:val="nil"/>
              <w:bottom w:val="single" w:sz="4" w:space="0" w:color="auto"/>
              <w:right w:val="single" w:sz="4" w:space="0" w:color="auto"/>
            </w:tcBorders>
            <w:shd w:val="clear" w:color="000000" w:fill="FFFFFF"/>
            <w:vAlign w:val="center"/>
          </w:tcPr>
          <w:p w14:paraId="6CF99F1F" w14:textId="77777777" w:rsidR="0098691F" w:rsidRPr="00F53A87" w:rsidRDefault="0098691F" w:rsidP="005807C9">
            <w:pPr>
              <w:jc w:val="center"/>
              <w:rPr>
                <w:rFonts w:cstheme="minorHAnsi"/>
                <w:color w:val="000000"/>
                <w:sz w:val="18"/>
                <w:szCs w:val="18"/>
                <w:lang w:eastAsia="es-CO"/>
              </w:rPr>
            </w:pPr>
            <w:r>
              <w:rPr>
                <w:rFonts w:cstheme="minorHAnsi"/>
                <w:color w:val="000000"/>
                <w:sz w:val="18"/>
                <w:szCs w:val="18"/>
                <w:lang w:eastAsia="es-CO"/>
              </w:rPr>
              <w:t>34.411</w:t>
            </w:r>
          </w:p>
        </w:tc>
        <w:tc>
          <w:tcPr>
            <w:tcW w:w="736" w:type="dxa"/>
            <w:tcBorders>
              <w:top w:val="nil"/>
              <w:left w:val="nil"/>
              <w:bottom w:val="single" w:sz="4" w:space="0" w:color="auto"/>
              <w:right w:val="single" w:sz="4" w:space="0" w:color="auto"/>
            </w:tcBorders>
            <w:shd w:val="clear" w:color="000000" w:fill="FFFFFF"/>
            <w:vAlign w:val="center"/>
          </w:tcPr>
          <w:p w14:paraId="3F5A55A8" w14:textId="77777777" w:rsidR="0098691F" w:rsidRDefault="0098691F" w:rsidP="005807C9">
            <w:pPr>
              <w:jc w:val="center"/>
              <w:rPr>
                <w:rFonts w:cstheme="minorHAnsi"/>
                <w:color w:val="000000"/>
                <w:sz w:val="18"/>
                <w:szCs w:val="18"/>
                <w:lang w:eastAsia="es-CO"/>
              </w:rPr>
            </w:pPr>
            <w:r w:rsidRPr="00744BD6">
              <w:rPr>
                <w:rFonts w:cstheme="minorHAnsi"/>
                <w:color w:val="000000"/>
                <w:sz w:val="18"/>
                <w:szCs w:val="18"/>
                <w:lang w:eastAsia="es-CO"/>
              </w:rPr>
              <w:t>45</w:t>
            </w:r>
            <w:r>
              <w:rPr>
                <w:rFonts w:cstheme="minorHAnsi"/>
                <w:color w:val="000000"/>
                <w:sz w:val="18"/>
                <w:szCs w:val="18"/>
                <w:lang w:eastAsia="es-CO"/>
              </w:rPr>
              <w:t>.</w:t>
            </w:r>
            <w:r w:rsidRPr="00744BD6">
              <w:rPr>
                <w:rFonts w:cstheme="minorHAnsi"/>
                <w:color w:val="000000"/>
                <w:sz w:val="18"/>
                <w:szCs w:val="18"/>
                <w:lang w:eastAsia="es-CO"/>
              </w:rPr>
              <w:t>954</w:t>
            </w:r>
          </w:p>
        </w:tc>
        <w:tc>
          <w:tcPr>
            <w:tcW w:w="736" w:type="dxa"/>
            <w:tcBorders>
              <w:top w:val="nil"/>
              <w:left w:val="nil"/>
              <w:bottom w:val="single" w:sz="4" w:space="0" w:color="auto"/>
              <w:right w:val="single" w:sz="4" w:space="0" w:color="auto"/>
            </w:tcBorders>
            <w:shd w:val="clear" w:color="000000" w:fill="FFFFFF"/>
            <w:vAlign w:val="center"/>
          </w:tcPr>
          <w:p w14:paraId="0794EF5E" w14:textId="77777777" w:rsidR="0098691F" w:rsidRPr="00744BD6" w:rsidRDefault="0098691F" w:rsidP="005807C9">
            <w:pPr>
              <w:jc w:val="center"/>
              <w:rPr>
                <w:rFonts w:cstheme="minorHAnsi"/>
                <w:color w:val="000000"/>
                <w:sz w:val="18"/>
                <w:szCs w:val="18"/>
                <w:lang w:eastAsia="es-CO"/>
              </w:rPr>
            </w:pPr>
            <w:r>
              <w:rPr>
                <w:rFonts w:cstheme="minorHAnsi"/>
                <w:color w:val="000000"/>
                <w:sz w:val="18"/>
                <w:szCs w:val="18"/>
                <w:lang w:eastAsia="es-CO"/>
              </w:rPr>
              <w:t>73.019</w:t>
            </w:r>
          </w:p>
        </w:tc>
        <w:tc>
          <w:tcPr>
            <w:tcW w:w="736" w:type="dxa"/>
            <w:tcBorders>
              <w:top w:val="nil"/>
              <w:left w:val="nil"/>
              <w:bottom w:val="single" w:sz="4" w:space="0" w:color="auto"/>
              <w:right w:val="single" w:sz="4" w:space="0" w:color="auto"/>
            </w:tcBorders>
            <w:shd w:val="clear" w:color="000000" w:fill="FFFFFF"/>
          </w:tcPr>
          <w:p w14:paraId="77AF9ABF" w14:textId="77777777" w:rsidR="0098691F" w:rsidRDefault="0098691F" w:rsidP="005807C9">
            <w:pPr>
              <w:jc w:val="center"/>
              <w:rPr>
                <w:rFonts w:cstheme="minorHAnsi"/>
                <w:color w:val="000000"/>
                <w:sz w:val="18"/>
                <w:szCs w:val="18"/>
                <w:lang w:eastAsia="es-CO"/>
              </w:rPr>
            </w:pPr>
            <w:r>
              <w:rPr>
                <w:rFonts w:cstheme="minorHAnsi"/>
                <w:color w:val="000000"/>
                <w:sz w:val="18"/>
                <w:szCs w:val="18"/>
                <w:lang w:eastAsia="es-CO"/>
              </w:rPr>
              <w:t>28.006</w:t>
            </w:r>
          </w:p>
        </w:tc>
        <w:tc>
          <w:tcPr>
            <w:tcW w:w="736" w:type="dxa"/>
            <w:tcBorders>
              <w:top w:val="nil"/>
              <w:left w:val="nil"/>
              <w:bottom w:val="single" w:sz="4" w:space="0" w:color="auto"/>
              <w:right w:val="single" w:sz="4" w:space="0" w:color="auto"/>
            </w:tcBorders>
            <w:shd w:val="clear" w:color="000000" w:fill="FFFFFF"/>
          </w:tcPr>
          <w:p w14:paraId="26D09B08" w14:textId="77777777" w:rsidR="0098691F" w:rsidRDefault="0098691F" w:rsidP="005807C9">
            <w:pPr>
              <w:jc w:val="center"/>
              <w:rPr>
                <w:rFonts w:cstheme="minorHAnsi"/>
                <w:color w:val="000000"/>
                <w:sz w:val="18"/>
                <w:szCs w:val="18"/>
                <w:lang w:eastAsia="es-CO"/>
              </w:rPr>
            </w:pPr>
          </w:p>
        </w:tc>
      </w:tr>
      <w:tr w:rsidR="0098691F" w:rsidRPr="00F53A87" w14:paraId="6B433831" w14:textId="77777777" w:rsidTr="005807C9">
        <w:trPr>
          <w:trHeight w:val="300"/>
          <w:jc w:val="center"/>
        </w:trPr>
        <w:tc>
          <w:tcPr>
            <w:tcW w:w="994" w:type="dxa"/>
            <w:tcBorders>
              <w:top w:val="nil"/>
              <w:left w:val="single" w:sz="4" w:space="0" w:color="auto"/>
              <w:bottom w:val="single" w:sz="4" w:space="0" w:color="auto"/>
              <w:right w:val="single" w:sz="4" w:space="0" w:color="auto"/>
            </w:tcBorders>
            <w:shd w:val="clear" w:color="000000" w:fill="FFF2CC"/>
            <w:noWrap/>
            <w:vAlign w:val="bottom"/>
            <w:hideMark/>
          </w:tcPr>
          <w:p w14:paraId="24675587"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TOTALES</w:t>
            </w:r>
          </w:p>
        </w:tc>
        <w:tc>
          <w:tcPr>
            <w:tcW w:w="783" w:type="dxa"/>
            <w:tcBorders>
              <w:top w:val="nil"/>
              <w:left w:val="nil"/>
              <w:bottom w:val="single" w:sz="4" w:space="0" w:color="auto"/>
              <w:right w:val="single" w:sz="4" w:space="0" w:color="auto"/>
            </w:tcBorders>
            <w:shd w:val="clear" w:color="000000" w:fill="FFF2CC"/>
            <w:noWrap/>
            <w:vAlign w:val="center"/>
            <w:hideMark/>
          </w:tcPr>
          <w:p w14:paraId="2B48EEFD"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216.510</w:t>
            </w:r>
          </w:p>
        </w:tc>
        <w:tc>
          <w:tcPr>
            <w:tcW w:w="783" w:type="dxa"/>
            <w:tcBorders>
              <w:top w:val="nil"/>
              <w:left w:val="nil"/>
              <w:bottom w:val="single" w:sz="4" w:space="0" w:color="auto"/>
              <w:right w:val="single" w:sz="4" w:space="0" w:color="auto"/>
            </w:tcBorders>
            <w:shd w:val="clear" w:color="000000" w:fill="FFF2CC"/>
            <w:noWrap/>
            <w:vAlign w:val="center"/>
            <w:hideMark/>
          </w:tcPr>
          <w:p w14:paraId="28053CAC"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388.897</w:t>
            </w:r>
          </w:p>
        </w:tc>
        <w:tc>
          <w:tcPr>
            <w:tcW w:w="839" w:type="dxa"/>
            <w:tcBorders>
              <w:top w:val="nil"/>
              <w:left w:val="nil"/>
              <w:bottom w:val="single" w:sz="4" w:space="0" w:color="auto"/>
              <w:right w:val="single" w:sz="4" w:space="0" w:color="auto"/>
            </w:tcBorders>
            <w:shd w:val="clear" w:color="000000" w:fill="FFF2CC"/>
            <w:noWrap/>
            <w:vAlign w:val="center"/>
            <w:hideMark/>
          </w:tcPr>
          <w:p w14:paraId="6BF56760"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385.792</w:t>
            </w:r>
          </w:p>
        </w:tc>
        <w:tc>
          <w:tcPr>
            <w:tcW w:w="782" w:type="dxa"/>
            <w:tcBorders>
              <w:top w:val="nil"/>
              <w:left w:val="nil"/>
              <w:bottom w:val="single" w:sz="4" w:space="0" w:color="auto"/>
              <w:right w:val="single" w:sz="4" w:space="0" w:color="auto"/>
            </w:tcBorders>
            <w:shd w:val="clear" w:color="000000" w:fill="FFF2CC"/>
            <w:noWrap/>
            <w:vAlign w:val="center"/>
            <w:hideMark/>
          </w:tcPr>
          <w:p w14:paraId="408BC65C"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405.650</w:t>
            </w:r>
          </w:p>
        </w:tc>
        <w:tc>
          <w:tcPr>
            <w:tcW w:w="782" w:type="dxa"/>
            <w:tcBorders>
              <w:top w:val="nil"/>
              <w:left w:val="nil"/>
              <w:bottom w:val="single" w:sz="4" w:space="0" w:color="auto"/>
              <w:right w:val="single" w:sz="4" w:space="0" w:color="auto"/>
            </w:tcBorders>
            <w:shd w:val="clear" w:color="000000" w:fill="FFF2CC"/>
            <w:noWrap/>
            <w:vAlign w:val="center"/>
            <w:hideMark/>
          </w:tcPr>
          <w:p w14:paraId="4D459442"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456.826</w:t>
            </w:r>
          </w:p>
        </w:tc>
        <w:tc>
          <w:tcPr>
            <w:tcW w:w="782" w:type="dxa"/>
            <w:tcBorders>
              <w:top w:val="nil"/>
              <w:left w:val="nil"/>
              <w:bottom w:val="single" w:sz="4" w:space="0" w:color="auto"/>
              <w:right w:val="single" w:sz="4" w:space="0" w:color="auto"/>
            </w:tcBorders>
            <w:shd w:val="clear" w:color="000000" w:fill="FFF2CC"/>
            <w:noWrap/>
            <w:vAlign w:val="center"/>
            <w:hideMark/>
          </w:tcPr>
          <w:p w14:paraId="015583D8"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590.304</w:t>
            </w:r>
          </w:p>
        </w:tc>
        <w:tc>
          <w:tcPr>
            <w:tcW w:w="782" w:type="dxa"/>
            <w:tcBorders>
              <w:top w:val="nil"/>
              <w:left w:val="nil"/>
              <w:bottom w:val="single" w:sz="4" w:space="0" w:color="auto"/>
              <w:right w:val="single" w:sz="4" w:space="0" w:color="auto"/>
            </w:tcBorders>
            <w:shd w:val="clear" w:color="000000" w:fill="FFF2CC"/>
            <w:noWrap/>
            <w:vAlign w:val="center"/>
            <w:hideMark/>
          </w:tcPr>
          <w:p w14:paraId="48AF9D1B"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631.654</w:t>
            </w:r>
          </w:p>
        </w:tc>
        <w:tc>
          <w:tcPr>
            <w:tcW w:w="782" w:type="dxa"/>
            <w:tcBorders>
              <w:top w:val="nil"/>
              <w:left w:val="nil"/>
              <w:bottom w:val="single" w:sz="4" w:space="0" w:color="auto"/>
              <w:right w:val="single" w:sz="4" w:space="0" w:color="auto"/>
            </w:tcBorders>
            <w:shd w:val="clear" w:color="000000" w:fill="FFF2CC"/>
            <w:noWrap/>
            <w:vAlign w:val="center"/>
            <w:hideMark/>
          </w:tcPr>
          <w:p w14:paraId="142AF206" w14:textId="77777777" w:rsidR="0098691F" w:rsidRPr="00F53A87" w:rsidRDefault="0098691F" w:rsidP="005807C9">
            <w:pPr>
              <w:jc w:val="center"/>
              <w:rPr>
                <w:rFonts w:cstheme="minorHAnsi"/>
                <w:b/>
                <w:bCs/>
                <w:color w:val="000000"/>
                <w:sz w:val="18"/>
                <w:szCs w:val="18"/>
                <w:lang w:eastAsia="es-CO"/>
              </w:rPr>
            </w:pPr>
            <w:r w:rsidRPr="00F53A87">
              <w:rPr>
                <w:rFonts w:cstheme="minorHAnsi"/>
                <w:b/>
                <w:bCs/>
                <w:color w:val="000000"/>
                <w:sz w:val="18"/>
                <w:szCs w:val="18"/>
                <w:lang w:eastAsia="es-CO"/>
              </w:rPr>
              <w:t>156.306</w:t>
            </w:r>
          </w:p>
        </w:tc>
        <w:tc>
          <w:tcPr>
            <w:tcW w:w="683" w:type="dxa"/>
            <w:tcBorders>
              <w:top w:val="nil"/>
              <w:left w:val="nil"/>
              <w:bottom w:val="single" w:sz="4" w:space="0" w:color="auto"/>
              <w:right w:val="single" w:sz="4" w:space="0" w:color="auto"/>
            </w:tcBorders>
            <w:shd w:val="clear" w:color="000000" w:fill="FFF2CC"/>
            <w:noWrap/>
            <w:vAlign w:val="center"/>
            <w:hideMark/>
          </w:tcPr>
          <w:p w14:paraId="4E938D9F" w14:textId="77777777" w:rsidR="0098691F" w:rsidRPr="00F53A87" w:rsidRDefault="0098691F" w:rsidP="005807C9">
            <w:pPr>
              <w:jc w:val="center"/>
              <w:rPr>
                <w:rFonts w:cstheme="minorHAnsi"/>
                <w:b/>
                <w:bCs/>
                <w:color w:val="000000"/>
                <w:sz w:val="18"/>
                <w:szCs w:val="18"/>
                <w:lang w:eastAsia="es-CO"/>
              </w:rPr>
            </w:pPr>
            <w:r>
              <w:rPr>
                <w:rFonts w:cstheme="minorHAnsi"/>
                <w:b/>
                <w:bCs/>
                <w:color w:val="000000"/>
                <w:sz w:val="18"/>
                <w:szCs w:val="18"/>
                <w:lang w:eastAsia="es-CO"/>
              </w:rPr>
              <w:t>80</w:t>
            </w:r>
            <w:r w:rsidRPr="00F53A87">
              <w:rPr>
                <w:rFonts w:cstheme="minorHAnsi"/>
                <w:b/>
                <w:bCs/>
                <w:color w:val="000000"/>
                <w:sz w:val="18"/>
                <w:szCs w:val="18"/>
                <w:lang w:eastAsia="es-CO"/>
              </w:rPr>
              <w:t>.</w:t>
            </w:r>
            <w:r>
              <w:rPr>
                <w:rFonts w:cstheme="minorHAnsi"/>
                <w:b/>
                <w:bCs/>
                <w:color w:val="000000"/>
                <w:sz w:val="18"/>
                <w:szCs w:val="18"/>
                <w:lang w:eastAsia="es-CO"/>
              </w:rPr>
              <w:t>169</w:t>
            </w:r>
          </w:p>
        </w:tc>
        <w:tc>
          <w:tcPr>
            <w:tcW w:w="736" w:type="dxa"/>
            <w:tcBorders>
              <w:top w:val="nil"/>
              <w:left w:val="nil"/>
              <w:bottom w:val="single" w:sz="4" w:space="0" w:color="auto"/>
              <w:right w:val="single" w:sz="4" w:space="0" w:color="auto"/>
            </w:tcBorders>
            <w:shd w:val="clear" w:color="000000" w:fill="FFF2CC"/>
            <w:vAlign w:val="center"/>
          </w:tcPr>
          <w:p w14:paraId="0DACE482" w14:textId="77777777" w:rsidR="0098691F" w:rsidRDefault="0098691F" w:rsidP="005807C9">
            <w:pPr>
              <w:jc w:val="center"/>
              <w:rPr>
                <w:rFonts w:cstheme="minorHAnsi"/>
                <w:b/>
                <w:bCs/>
                <w:color w:val="000000"/>
                <w:sz w:val="18"/>
                <w:szCs w:val="18"/>
                <w:lang w:eastAsia="es-CO"/>
              </w:rPr>
            </w:pPr>
            <w:r>
              <w:rPr>
                <w:rFonts w:cstheme="minorHAnsi"/>
                <w:b/>
                <w:bCs/>
                <w:color w:val="000000"/>
                <w:sz w:val="18"/>
                <w:szCs w:val="18"/>
                <w:lang w:eastAsia="es-CO"/>
              </w:rPr>
              <w:t>397.542</w:t>
            </w:r>
          </w:p>
        </w:tc>
        <w:tc>
          <w:tcPr>
            <w:tcW w:w="736" w:type="dxa"/>
            <w:tcBorders>
              <w:top w:val="nil"/>
              <w:left w:val="nil"/>
              <w:bottom w:val="single" w:sz="4" w:space="0" w:color="auto"/>
              <w:right w:val="single" w:sz="4" w:space="0" w:color="auto"/>
            </w:tcBorders>
            <w:shd w:val="clear" w:color="000000" w:fill="FFF2CC"/>
            <w:vAlign w:val="center"/>
          </w:tcPr>
          <w:p w14:paraId="3CC6F73D" w14:textId="77777777" w:rsidR="0098691F" w:rsidRDefault="0098691F" w:rsidP="005807C9">
            <w:pPr>
              <w:jc w:val="center"/>
              <w:rPr>
                <w:rFonts w:cstheme="minorHAnsi"/>
                <w:b/>
                <w:bCs/>
                <w:color w:val="000000"/>
                <w:sz w:val="18"/>
                <w:szCs w:val="18"/>
                <w:lang w:eastAsia="es-CO"/>
              </w:rPr>
            </w:pPr>
            <w:r>
              <w:rPr>
                <w:rFonts w:cstheme="minorHAnsi"/>
                <w:b/>
                <w:bCs/>
                <w:color w:val="000000"/>
                <w:sz w:val="18"/>
                <w:szCs w:val="18"/>
                <w:lang w:eastAsia="es-CO"/>
              </w:rPr>
              <w:t>409.077</w:t>
            </w:r>
          </w:p>
        </w:tc>
        <w:tc>
          <w:tcPr>
            <w:tcW w:w="736" w:type="dxa"/>
            <w:tcBorders>
              <w:top w:val="nil"/>
              <w:left w:val="nil"/>
              <w:bottom w:val="single" w:sz="4" w:space="0" w:color="auto"/>
              <w:right w:val="single" w:sz="4" w:space="0" w:color="auto"/>
            </w:tcBorders>
            <w:shd w:val="clear" w:color="000000" w:fill="FFF2CC"/>
            <w:vAlign w:val="center"/>
          </w:tcPr>
          <w:p w14:paraId="3807B8DA" w14:textId="77777777" w:rsidR="0098691F" w:rsidRDefault="0098691F" w:rsidP="005807C9">
            <w:pPr>
              <w:jc w:val="center"/>
              <w:rPr>
                <w:rFonts w:cstheme="minorHAnsi"/>
                <w:b/>
                <w:bCs/>
                <w:color w:val="000000"/>
                <w:sz w:val="18"/>
                <w:szCs w:val="18"/>
                <w:lang w:eastAsia="es-CO"/>
              </w:rPr>
            </w:pPr>
            <w:r>
              <w:rPr>
                <w:rFonts w:cstheme="minorHAnsi"/>
                <w:b/>
                <w:bCs/>
                <w:color w:val="000000"/>
                <w:sz w:val="18"/>
                <w:szCs w:val="18"/>
                <w:lang w:eastAsia="es-CO"/>
              </w:rPr>
              <w:t>514.284</w:t>
            </w:r>
          </w:p>
        </w:tc>
        <w:tc>
          <w:tcPr>
            <w:tcW w:w="736" w:type="dxa"/>
            <w:tcBorders>
              <w:top w:val="nil"/>
              <w:left w:val="nil"/>
              <w:bottom w:val="single" w:sz="4" w:space="0" w:color="auto"/>
              <w:right w:val="single" w:sz="4" w:space="0" w:color="auto"/>
            </w:tcBorders>
            <w:shd w:val="clear" w:color="000000" w:fill="FFF2CC"/>
            <w:vAlign w:val="center"/>
          </w:tcPr>
          <w:p w14:paraId="1B4B46EF" w14:textId="77777777" w:rsidR="0098691F" w:rsidRDefault="0098691F" w:rsidP="005807C9">
            <w:pPr>
              <w:jc w:val="center"/>
              <w:rPr>
                <w:rFonts w:cstheme="minorHAnsi"/>
                <w:b/>
                <w:bCs/>
                <w:color w:val="000000"/>
                <w:sz w:val="18"/>
                <w:szCs w:val="18"/>
                <w:lang w:eastAsia="es-CO"/>
              </w:rPr>
            </w:pPr>
            <w:r>
              <w:rPr>
                <w:rFonts w:cstheme="minorHAnsi"/>
                <w:b/>
                <w:bCs/>
                <w:color w:val="000000"/>
                <w:sz w:val="18"/>
                <w:szCs w:val="18"/>
                <w:lang w:eastAsia="es-CO"/>
              </w:rPr>
              <w:t>466.935</w:t>
            </w:r>
          </w:p>
        </w:tc>
        <w:tc>
          <w:tcPr>
            <w:tcW w:w="736" w:type="dxa"/>
            <w:tcBorders>
              <w:top w:val="nil"/>
              <w:left w:val="nil"/>
              <w:bottom w:val="single" w:sz="4" w:space="0" w:color="auto"/>
              <w:right w:val="single" w:sz="4" w:space="0" w:color="auto"/>
            </w:tcBorders>
            <w:shd w:val="clear" w:color="000000" w:fill="FFF2CC"/>
            <w:vAlign w:val="center"/>
          </w:tcPr>
          <w:p w14:paraId="31ECFA18" w14:textId="77777777" w:rsidR="0098691F" w:rsidRDefault="0098691F" w:rsidP="005807C9">
            <w:pPr>
              <w:jc w:val="center"/>
              <w:rPr>
                <w:rFonts w:cstheme="minorHAnsi"/>
                <w:b/>
                <w:bCs/>
                <w:color w:val="000000"/>
                <w:sz w:val="18"/>
                <w:szCs w:val="18"/>
                <w:lang w:eastAsia="es-CO"/>
              </w:rPr>
            </w:pPr>
            <w:r>
              <w:rPr>
                <w:rFonts w:cstheme="minorHAnsi"/>
                <w:b/>
                <w:bCs/>
                <w:color w:val="000000"/>
                <w:sz w:val="18"/>
                <w:szCs w:val="18"/>
                <w:lang w:eastAsia="es-CO"/>
              </w:rPr>
              <w:t>122.612</w:t>
            </w:r>
          </w:p>
        </w:tc>
      </w:tr>
    </w:tbl>
    <w:p w14:paraId="0CCFA8F7" w14:textId="77777777" w:rsidR="0098691F" w:rsidRDefault="0098691F" w:rsidP="0098691F">
      <w:pPr>
        <w:jc w:val="center"/>
        <w:rPr>
          <w:rFonts w:cstheme="minorHAnsi"/>
          <w:b/>
        </w:rPr>
      </w:pPr>
    </w:p>
    <w:p w14:paraId="1591B445" w14:textId="77777777" w:rsidR="0098691F" w:rsidRDefault="0098691F" w:rsidP="0098691F">
      <w:pPr>
        <w:jc w:val="center"/>
        <w:rPr>
          <w:rFonts w:cstheme="minorHAnsi"/>
          <w:b/>
        </w:rPr>
      </w:pPr>
    </w:p>
    <w:p w14:paraId="11BD78CF" w14:textId="77777777" w:rsidR="0098691F" w:rsidRPr="00BD3C37" w:rsidRDefault="0098691F" w:rsidP="0098691F">
      <w:pPr>
        <w:jc w:val="both"/>
        <w:rPr>
          <w:rFonts w:ascii="Times New Roman" w:hAnsi="Times New Roman" w:cs="Times New Roman"/>
          <w:sz w:val="24"/>
          <w:szCs w:val="24"/>
        </w:rPr>
      </w:pPr>
      <w:r w:rsidRPr="00BD3C37">
        <w:rPr>
          <w:rFonts w:ascii="Times New Roman" w:hAnsi="Times New Roman" w:cs="Times New Roman"/>
          <w:sz w:val="24"/>
          <w:szCs w:val="24"/>
        </w:rPr>
        <w:t xml:space="preserve">En el año 2025 se movilizaron un total de 466.935 pasajeros. Para el mes de marzo de 2026 se movilizaron 37.640 pasajeros en el corredor Bogotá-Belencito en el tramo Bogotá – Zipaquirá por el operador </w:t>
      </w:r>
      <w:proofErr w:type="spellStart"/>
      <w:r w:rsidRPr="00BD3C37">
        <w:rPr>
          <w:rFonts w:ascii="Times New Roman" w:hAnsi="Times New Roman" w:cs="Times New Roman"/>
          <w:sz w:val="24"/>
          <w:szCs w:val="24"/>
        </w:rPr>
        <w:t>Turistren</w:t>
      </w:r>
      <w:proofErr w:type="spellEnd"/>
      <w:r w:rsidRPr="00BD3C37">
        <w:rPr>
          <w:rFonts w:ascii="Times New Roman" w:hAnsi="Times New Roman" w:cs="Times New Roman"/>
          <w:sz w:val="24"/>
          <w:szCs w:val="24"/>
        </w:rPr>
        <w:t>, teniendo un total de 122.612 pasajeros en lo corrido de 2026.</w:t>
      </w:r>
    </w:p>
    <w:p w14:paraId="2CD06A74" w14:textId="77777777" w:rsidR="0098691F" w:rsidRPr="00BD3C37" w:rsidRDefault="0098691F" w:rsidP="0098691F">
      <w:pPr>
        <w:rPr>
          <w:rFonts w:ascii="Times New Roman" w:hAnsi="Times New Roman" w:cs="Times New Roman"/>
          <w:b/>
          <w:sz w:val="24"/>
          <w:szCs w:val="24"/>
        </w:rPr>
      </w:pPr>
    </w:p>
    <w:p w14:paraId="5290A208" w14:textId="77777777" w:rsidR="0098691F" w:rsidRPr="00BD3C37" w:rsidRDefault="0098691F" w:rsidP="0098691F">
      <w:pPr>
        <w:rPr>
          <w:rFonts w:ascii="Times New Roman" w:hAnsi="Times New Roman" w:cs="Times New Roman"/>
          <w:b/>
          <w:sz w:val="24"/>
          <w:szCs w:val="24"/>
        </w:rPr>
      </w:pPr>
      <w:r w:rsidRPr="00BD3C37">
        <w:rPr>
          <w:rFonts w:ascii="Times New Roman" w:hAnsi="Times New Roman" w:cs="Times New Roman"/>
          <w:b/>
          <w:sz w:val="24"/>
          <w:szCs w:val="24"/>
        </w:rPr>
        <w:t>Operación carga Bogotá-Belencito:</w:t>
      </w:r>
    </w:p>
    <w:p w14:paraId="11A4E819" w14:textId="77777777" w:rsidR="0098691F" w:rsidRPr="00BD3C37" w:rsidRDefault="0098691F" w:rsidP="0098691F">
      <w:pPr>
        <w:jc w:val="both"/>
        <w:rPr>
          <w:rFonts w:ascii="Times New Roman" w:hAnsi="Times New Roman" w:cs="Times New Roman"/>
          <w:bCs/>
          <w:sz w:val="24"/>
          <w:szCs w:val="24"/>
        </w:rPr>
      </w:pPr>
      <w:r w:rsidRPr="00BD3C37">
        <w:rPr>
          <w:rFonts w:ascii="Times New Roman" w:hAnsi="Times New Roman" w:cs="Times New Roman"/>
          <w:bCs/>
          <w:sz w:val="24"/>
          <w:szCs w:val="24"/>
        </w:rPr>
        <w:t>El Corredor férreo Bogotá - Belencito es estratégico para el transporte de carga de los Departamentos de Boyacá y Cundinamarca hacia el interior del país. El transporte de carga con vocación férrea permite beneficiar al País, dada su importancia y utilidad frente al modo carretero, en materia de costos financieros y ambientales.</w:t>
      </w:r>
    </w:p>
    <w:p w14:paraId="7E68BCBA" w14:textId="77777777" w:rsidR="0098691F" w:rsidRPr="005B7FBF" w:rsidRDefault="0098691F" w:rsidP="0098691F">
      <w:pPr>
        <w:jc w:val="both"/>
        <w:rPr>
          <w:rFonts w:cstheme="minorHAnsi"/>
          <w:bCs/>
        </w:rPr>
      </w:pPr>
      <w:r>
        <w:rPr>
          <w:noProof/>
        </w:rPr>
        <w:drawing>
          <wp:inline distT="0" distB="0" distL="0" distR="0" wp14:anchorId="13FE38DE" wp14:editId="1AD8634F">
            <wp:extent cx="5612130" cy="3038475"/>
            <wp:effectExtent l="0" t="0" r="7620" b="9525"/>
            <wp:docPr id="585648714" name="Gráfico 1">
              <a:extLst xmlns:a="http://schemas.openxmlformats.org/drawingml/2006/main">
                <a:ext uri="{FF2B5EF4-FFF2-40B4-BE49-F238E27FC236}">
                  <a16:creationId xmlns:a16="http://schemas.microsoft.com/office/drawing/2014/main" id="{00000000-0008-0000-0400-00002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1D2DE0" w14:textId="77777777" w:rsidR="0098691F" w:rsidRPr="00BD3C37" w:rsidRDefault="0098691F" w:rsidP="0098691F">
      <w:pPr>
        <w:jc w:val="both"/>
        <w:rPr>
          <w:rFonts w:ascii="Times New Roman" w:hAnsi="Times New Roman" w:cs="Times New Roman"/>
          <w:sz w:val="24"/>
          <w:szCs w:val="24"/>
        </w:rPr>
      </w:pPr>
      <w:r w:rsidRPr="00BD3C37">
        <w:rPr>
          <w:rFonts w:ascii="Times New Roman" w:hAnsi="Times New Roman" w:cs="Times New Roman"/>
          <w:sz w:val="24"/>
          <w:szCs w:val="24"/>
        </w:rPr>
        <w:lastRenderedPageBreak/>
        <w:t>En el año 2025 se logró una movilización de carga de 61.925 toneladas. Durante el mes de marzo de 2026 se movilizaron 6.395 toneladas y se tiene un total de 18.825 toneladas en lo corrido de 2026.</w:t>
      </w:r>
    </w:p>
    <w:p w14:paraId="6175990E" w14:textId="77777777" w:rsidR="0098691F" w:rsidRPr="00BD3C37" w:rsidRDefault="0098691F" w:rsidP="0098691F">
      <w:pPr>
        <w:jc w:val="center"/>
        <w:rPr>
          <w:rFonts w:ascii="Times New Roman" w:hAnsi="Times New Roman" w:cs="Times New Roman"/>
          <w:b/>
          <w:bCs/>
          <w:color w:val="000000"/>
          <w:sz w:val="24"/>
          <w:szCs w:val="24"/>
          <w:lang w:eastAsia="es-CO"/>
        </w:rPr>
      </w:pPr>
      <w:r w:rsidRPr="00BD3C37">
        <w:rPr>
          <w:rFonts w:ascii="Times New Roman" w:hAnsi="Times New Roman" w:cs="Times New Roman"/>
          <w:b/>
          <w:bCs/>
          <w:color w:val="000000"/>
          <w:sz w:val="24"/>
          <w:szCs w:val="24"/>
          <w:lang w:eastAsia="es-CO"/>
        </w:rPr>
        <w:t>La Dorada- Chiriguaná</w:t>
      </w:r>
    </w:p>
    <w:p w14:paraId="777D8E24" w14:textId="77777777" w:rsidR="0098691F" w:rsidRPr="00BD3C37" w:rsidRDefault="0098691F" w:rsidP="0098691F">
      <w:pPr>
        <w:pStyle w:val="NormalWeb"/>
        <w:shd w:val="clear" w:color="auto" w:fill="FFFFFF"/>
        <w:jc w:val="both"/>
        <w:rPr>
          <w:color w:val="000000"/>
        </w:rPr>
      </w:pPr>
      <w:r w:rsidRPr="00BD3C37">
        <w:rPr>
          <w:color w:val="000000"/>
        </w:rPr>
        <w:t xml:space="preserve">El 3 de abril de 2025 se adjudicó el proceso de Licitación Pública No. VJ-VE-APP-IPB-001-2023 a la Estructura Plural Línea Férrea Central, conformada por las empresas Ortiz Construcciones y Proyectos S.A., CI Colombia Natural </w:t>
      </w:r>
      <w:proofErr w:type="spellStart"/>
      <w:r w:rsidRPr="00BD3C37">
        <w:rPr>
          <w:color w:val="000000"/>
        </w:rPr>
        <w:t>Resources</w:t>
      </w:r>
      <w:proofErr w:type="spellEnd"/>
      <w:r w:rsidRPr="00BD3C37">
        <w:rPr>
          <w:color w:val="000000"/>
        </w:rPr>
        <w:t xml:space="preserve"> S.A.S. y Transporte </w:t>
      </w:r>
      <w:proofErr w:type="spellStart"/>
      <w:r w:rsidRPr="00BD3C37">
        <w:rPr>
          <w:color w:val="000000"/>
        </w:rPr>
        <w:t>Ferroportuario</w:t>
      </w:r>
      <w:proofErr w:type="spellEnd"/>
      <w:r w:rsidRPr="00BD3C37">
        <w:rPr>
          <w:color w:val="000000"/>
        </w:rPr>
        <w:t xml:space="preserve"> de Colombia </w:t>
      </w:r>
      <w:proofErr w:type="spellStart"/>
      <w:r w:rsidRPr="00BD3C37">
        <w:rPr>
          <w:color w:val="000000"/>
        </w:rPr>
        <w:t>Transferport</w:t>
      </w:r>
      <w:proofErr w:type="spellEnd"/>
      <w:r w:rsidRPr="00BD3C37">
        <w:rPr>
          <w:color w:val="000000"/>
        </w:rPr>
        <w:t xml:space="preserve"> S.A.S., las cuales posteriormente constituyeron la sociedad concesionaria Concesión Línea Férrea Central S.A.S.</w:t>
      </w:r>
    </w:p>
    <w:p w14:paraId="26C2F60A" w14:textId="77777777" w:rsidR="0098691F" w:rsidRPr="00BD3C37" w:rsidRDefault="0098691F" w:rsidP="0098691F">
      <w:pPr>
        <w:pStyle w:val="NormalWeb"/>
        <w:shd w:val="clear" w:color="auto" w:fill="FFFFFF" w:themeFill="background1"/>
        <w:jc w:val="both"/>
        <w:rPr>
          <w:color w:val="000000"/>
        </w:rPr>
      </w:pPr>
      <w:r w:rsidRPr="00BD3C37">
        <w:rPr>
          <w:color w:val="000000" w:themeColor="text1"/>
        </w:rPr>
        <w:t xml:space="preserve">Posteriormente, el 21 de abril de 2025 se suscribió el Contrato de Concesión bajo el esquema APP No. 001 de 2025, así mismo, el 01 de agosto de 2025 se suscribió el Acta de Inicio de Ejecución del Contrato </w:t>
      </w:r>
      <w:proofErr w:type="gramStart"/>
      <w:r w:rsidRPr="00BD3C37">
        <w:rPr>
          <w:color w:val="000000" w:themeColor="text1"/>
        </w:rPr>
        <w:t>que</w:t>
      </w:r>
      <w:proofErr w:type="gramEnd"/>
      <w:r w:rsidRPr="00BD3C37">
        <w:rPr>
          <w:color w:val="000000" w:themeColor="text1"/>
        </w:rPr>
        <w:t xml:space="preserve"> </w:t>
      </w:r>
      <w:proofErr w:type="gramStart"/>
      <w:r w:rsidRPr="00BD3C37">
        <w:rPr>
          <w:color w:val="000000" w:themeColor="text1"/>
        </w:rPr>
        <w:t>de acuerdo al</w:t>
      </w:r>
      <w:proofErr w:type="gramEnd"/>
      <w:r w:rsidRPr="00BD3C37">
        <w:rPr>
          <w:color w:val="000000" w:themeColor="text1"/>
        </w:rPr>
        <w:t xml:space="preserve"> contrato, inició su ejecución el 02 de agosto de 2025, y tendrá vigencia hasta el 01 de agosto de 2035.</w:t>
      </w:r>
    </w:p>
    <w:p w14:paraId="206593F5" w14:textId="77777777" w:rsidR="0098691F" w:rsidRPr="00BD3C37" w:rsidRDefault="0098691F" w:rsidP="0098691F">
      <w:pPr>
        <w:pStyle w:val="NormalWeb"/>
        <w:shd w:val="clear" w:color="auto" w:fill="FFFFFF"/>
        <w:spacing w:before="0" w:beforeAutospacing="0" w:after="0" w:afterAutospacing="0"/>
        <w:jc w:val="both"/>
        <w:rPr>
          <w:b/>
          <w:bCs/>
        </w:rPr>
      </w:pPr>
      <w:r w:rsidRPr="00BD3C37">
        <w:rPr>
          <w:b/>
          <w:bCs/>
        </w:rPr>
        <w:t>Pasajeros La Dorada – Chiriguaná:</w:t>
      </w:r>
    </w:p>
    <w:p w14:paraId="73E9EBED" w14:textId="77777777" w:rsidR="0098691F" w:rsidRPr="00BD3C37" w:rsidRDefault="0098691F" w:rsidP="0098691F">
      <w:pPr>
        <w:pStyle w:val="NormalWeb"/>
        <w:shd w:val="clear" w:color="auto" w:fill="FFFFFF"/>
        <w:spacing w:before="0" w:beforeAutospacing="0" w:after="0" w:afterAutospacing="0"/>
        <w:jc w:val="both"/>
        <w:rPr>
          <w:b/>
          <w:bCs/>
        </w:rPr>
      </w:pPr>
    </w:p>
    <w:p w14:paraId="700CDFB3" w14:textId="77777777" w:rsidR="0098691F" w:rsidRPr="00BD3C37" w:rsidRDefault="0098691F" w:rsidP="0098691F">
      <w:pPr>
        <w:jc w:val="both"/>
        <w:rPr>
          <w:rFonts w:ascii="Times New Roman" w:hAnsi="Times New Roman" w:cs="Times New Roman"/>
          <w:bCs/>
          <w:sz w:val="24"/>
          <w:szCs w:val="24"/>
        </w:rPr>
      </w:pPr>
      <w:r w:rsidRPr="00BD3C37">
        <w:rPr>
          <w:rFonts w:ascii="Times New Roman" w:hAnsi="Times New Roman" w:cs="Times New Roman"/>
          <w:bCs/>
          <w:sz w:val="24"/>
          <w:szCs w:val="24"/>
        </w:rPr>
        <w:t xml:space="preserve">El servicio de pasajeros en este corredor lo presta el operador </w:t>
      </w:r>
      <w:proofErr w:type="spellStart"/>
      <w:r w:rsidRPr="00BD3C37">
        <w:rPr>
          <w:rFonts w:ascii="Times New Roman" w:hAnsi="Times New Roman" w:cs="Times New Roman"/>
          <w:bCs/>
          <w:sz w:val="24"/>
          <w:szCs w:val="24"/>
        </w:rPr>
        <w:t>Coopsercol</w:t>
      </w:r>
      <w:proofErr w:type="spellEnd"/>
      <w:r w:rsidRPr="00BD3C37">
        <w:rPr>
          <w:rFonts w:ascii="Times New Roman" w:hAnsi="Times New Roman" w:cs="Times New Roman"/>
          <w:bCs/>
          <w:sz w:val="24"/>
          <w:szCs w:val="24"/>
        </w:rPr>
        <w:t>. A continuación, se presenta el comportamiento histórico de la movilización de pasajeros por parte de dicho operador:</w:t>
      </w:r>
    </w:p>
    <w:p w14:paraId="38EED8EE" w14:textId="77777777" w:rsidR="0098691F" w:rsidRPr="00BD3C37" w:rsidRDefault="0098691F" w:rsidP="0098691F">
      <w:pPr>
        <w:jc w:val="both"/>
        <w:rPr>
          <w:rFonts w:ascii="Times New Roman" w:hAnsi="Times New Roman" w:cs="Times New Roman"/>
          <w:bCs/>
          <w:sz w:val="24"/>
          <w:szCs w:val="24"/>
        </w:rPr>
      </w:pPr>
    </w:p>
    <w:p w14:paraId="3E04E286" w14:textId="77777777" w:rsidR="0098691F" w:rsidRPr="00BD3C37" w:rsidRDefault="0098691F" w:rsidP="0098691F">
      <w:pPr>
        <w:jc w:val="center"/>
        <w:rPr>
          <w:rFonts w:ascii="Times New Roman" w:hAnsi="Times New Roman" w:cs="Times New Roman"/>
          <w:b/>
          <w:sz w:val="24"/>
          <w:szCs w:val="24"/>
        </w:rPr>
      </w:pPr>
      <w:r w:rsidRPr="00BD3C37">
        <w:rPr>
          <w:rFonts w:ascii="Times New Roman" w:hAnsi="Times New Roman" w:cs="Times New Roman"/>
          <w:b/>
          <w:sz w:val="24"/>
          <w:szCs w:val="24"/>
        </w:rPr>
        <w:t xml:space="preserve">Cantidad Pasajeros movilizados </w:t>
      </w:r>
      <w:proofErr w:type="spellStart"/>
      <w:r w:rsidRPr="00BD3C37">
        <w:rPr>
          <w:rFonts w:ascii="Times New Roman" w:hAnsi="Times New Roman" w:cs="Times New Roman"/>
          <w:b/>
          <w:sz w:val="24"/>
          <w:szCs w:val="24"/>
        </w:rPr>
        <w:t>Coopsercol</w:t>
      </w:r>
      <w:proofErr w:type="spellEnd"/>
      <w:r w:rsidRPr="00BD3C37">
        <w:rPr>
          <w:rFonts w:ascii="Times New Roman" w:hAnsi="Times New Roman" w:cs="Times New Roman"/>
          <w:b/>
          <w:sz w:val="24"/>
          <w:szCs w:val="24"/>
        </w:rPr>
        <w:t xml:space="preserve"> La Dorada-Chiriguaná con corte al 31 de </w:t>
      </w:r>
      <w:proofErr w:type="gramStart"/>
      <w:r w:rsidRPr="00BD3C37">
        <w:rPr>
          <w:rFonts w:ascii="Times New Roman" w:hAnsi="Times New Roman" w:cs="Times New Roman"/>
          <w:b/>
          <w:sz w:val="24"/>
          <w:szCs w:val="24"/>
        </w:rPr>
        <w:t>Marzo  del</w:t>
      </w:r>
      <w:proofErr w:type="gramEnd"/>
      <w:r w:rsidRPr="00BD3C37">
        <w:rPr>
          <w:rFonts w:ascii="Times New Roman" w:hAnsi="Times New Roman" w:cs="Times New Roman"/>
          <w:b/>
          <w:sz w:val="24"/>
          <w:szCs w:val="24"/>
        </w:rPr>
        <w:t xml:space="preserve"> 2026</w:t>
      </w:r>
    </w:p>
    <w:p w14:paraId="5C731422" w14:textId="77777777" w:rsidR="0098691F" w:rsidRDefault="0098691F" w:rsidP="0098691F">
      <w:pPr>
        <w:jc w:val="center"/>
        <w:rPr>
          <w:rFonts w:cstheme="minorHAnsi"/>
          <w:b/>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0"/>
        <w:gridCol w:w="645"/>
        <w:gridCol w:w="645"/>
        <w:gridCol w:w="645"/>
        <w:gridCol w:w="645"/>
        <w:gridCol w:w="645"/>
        <w:gridCol w:w="645"/>
        <w:gridCol w:w="645"/>
        <w:gridCol w:w="645"/>
        <w:gridCol w:w="645"/>
        <w:gridCol w:w="645"/>
        <w:gridCol w:w="645"/>
        <w:gridCol w:w="645"/>
        <w:gridCol w:w="645"/>
        <w:gridCol w:w="645"/>
      </w:tblGrid>
      <w:tr w:rsidR="0098691F" w14:paraId="124D8B5B" w14:textId="77777777" w:rsidTr="009E41E9">
        <w:trPr>
          <w:trHeight w:val="570"/>
          <w:tblHeader/>
        </w:trPr>
        <w:tc>
          <w:tcPr>
            <w:tcW w:w="9062" w:type="dxa"/>
            <w:gridSpan w:val="15"/>
            <w:shd w:val="clear" w:color="auto" w:fill="1F4E78"/>
            <w:noWrap/>
            <w:vAlign w:val="center"/>
            <w:hideMark/>
          </w:tcPr>
          <w:p w14:paraId="45D833F1" w14:textId="77777777" w:rsidR="0098691F" w:rsidRDefault="0098691F" w:rsidP="005807C9">
            <w:pPr>
              <w:jc w:val="center"/>
              <w:rPr>
                <w:rFonts w:ascii="Calibri" w:hAnsi="Calibri" w:cs="Calibri"/>
                <w:b/>
                <w:bCs/>
                <w:color w:val="FFFFFF"/>
                <w:sz w:val="18"/>
                <w:szCs w:val="18"/>
                <w:lang w:eastAsia="es-CO"/>
              </w:rPr>
            </w:pPr>
            <w:r>
              <w:rPr>
                <w:rFonts w:ascii="Calibri" w:hAnsi="Calibri" w:cs="Calibri"/>
                <w:b/>
                <w:bCs/>
                <w:color w:val="FFFFFF"/>
                <w:sz w:val="18"/>
                <w:szCs w:val="18"/>
              </w:rPr>
              <w:t>CANTIDAD PASAJEROS MOVILIZADOS TRAMO LA DORADA - CHIRIGUANÁ</w:t>
            </w:r>
          </w:p>
        </w:tc>
      </w:tr>
      <w:tr w:rsidR="0098691F" w14:paraId="3717985A" w14:textId="77777777" w:rsidTr="009E41E9">
        <w:trPr>
          <w:trHeight w:val="300"/>
          <w:tblHeader/>
        </w:trPr>
        <w:tc>
          <w:tcPr>
            <w:tcW w:w="0" w:type="auto"/>
            <w:shd w:val="clear" w:color="auto" w:fill="1F4E78"/>
            <w:noWrap/>
            <w:vAlign w:val="center"/>
            <w:hideMark/>
          </w:tcPr>
          <w:p w14:paraId="43E7DDA0" w14:textId="77777777" w:rsidR="0098691F" w:rsidRDefault="0098691F" w:rsidP="005807C9">
            <w:pPr>
              <w:jc w:val="center"/>
              <w:rPr>
                <w:rFonts w:ascii="Calibri" w:hAnsi="Calibri" w:cs="Calibri"/>
                <w:b/>
                <w:bCs/>
                <w:color w:val="FFFFFF"/>
                <w:sz w:val="18"/>
                <w:szCs w:val="18"/>
              </w:rPr>
            </w:pPr>
            <w:r>
              <w:rPr>
                <w:rFonts w:ascii="Calibri" w:hAnsi="Calibri" w:cs="Calibri"/>
                <w:b/>
                <w:bCs/>
                <w:color w:val="FFFFFF"/>
                <w:sz w:val="18"/>
                <w:szCs w:val="18"/>
              </w:rPr>
              <w:t>MES</w:t>
            </w:r>
          </w:p>
        </w:tc>
        <w:tc>
          <w:tcPr>
            <w:tcW w:w="0" w:type="auto"/>
            <w:shd w:val="clear" w:color="auto" w:fill="1F4E78"/>
            <w:vAlign w:val="center"/>
            <w:hideMark/>
          </w:tcPr>
          <w:p w14:paraId="312E2C7A" w14:textId="77777777" w:rsidR="0098691F" w:rsidRDefault="0098691F" w:rsidP="005807C9">
            <w:pPr>
              <w:jc w:val="center"/>
              <w:rPr>
                <w:rFonts w:ascii="Calibri" w:hAnsi="Calibri" w:cs="Calibri"/>
                <w:b/>
                <w:bCs/>
                <w:color w:val="FFFFFF"/>
                <w:sz w:val="18"/>
                <w:szCs w:val="18"/>
              </w:rPr>
            </w:pPr>
            <w:r>
              <w:rPr>
                <w:rFonts w:ascii="Calibri" w:hAnsi="Calibri" w:cs="Calibri"/>
                <w:b/>
                <w:bCs/>
                <w:color w:val="FFFFFF"/>
                <w:sz w:val="18"/>
                <w:szCs w:val="18"/>
              </w:rPr>
              <w:t>2013</w:t>
            </w:r>
          </w:p>
        </w:tc>
        <w:tc>
          <w:tcPr>
            <w:tcW w:w="0" w:type="auto"/>
            <w:shd w:val="clear" w:color="auto" w:fill="1F4E78"/>
            <w:vAlign w:val="center"/>
            <w:hideMark/>
          </w:tcPr>
          <w:p w14:paraId="536D06A2" w14:textId="77777777" w:rsidR="0098691F" w:rsidRDefault="0098691F" w:rsidP="005807C9">
            <w:pPr>
              <w:jc w:val="center"/>
              <w:rPr>
                <w:rFonts w:ascii="Calibri" w:hAnsi="Calibri" w:cs="Calibri"/>
                <w:b/>
                <w:bCs/>
                <w:color w:val="FFFFFF"/>
                <w:sz w:val="18"/>
                <w:szCs w:val="18"/>
              </w:rPr>
            </w:pPr>
            <w:r>
              <w:rPr>
                <w:rFonts w:ascii="Calibri" w:hAnsi="Calibri" w:cs="Calibri"/>
                <w:b/>
                <w:bCs/>
                <w:color w:val="FFFFFF"/>
                <w:sz w:val="18"/>
                <w:szCs w:val="18"/>
              </w:rPr>
              <w:t>2014</w:t>
            </w:r>
          </w:p>
        </w:tc>
        <w:tc>
          <w:tcPr>
            <w:tcW w:w="0" w:type="auto"/>
            <w:shd w:val="clear" w:color="auto" w:fill="1F4E78"/>
            <w:vAlign w:val="center"/>
            <w:hideMark/>
          </w:tcPr>
          <w:p w14:paraId="18A4452D" w14:textId="77777777" w:rsidR="0098691F" w:rsidRDefault="0098691F" w:rsidP="005807C9">
            <w:pPr>
              <w:jc w:val="center"/>
              <w:rPr>
                <w:rFonts w:ascii="Calibri" w:hAnsi="Calibri" w:cs="Calibri"/>
                <w:b/>
                <w:bCs/>
                <w:color w:val="FFFFFF"/>
                <w:sz w:val="18"/>
                <w:szCs w:val="18"/>
              </w:rPr>
            </w:pPr>
            <w:r>
              <w:rPr>
                <w:rFonts w:ascii="Calibri" w:hAnsi="Calibri" w:cs="Calibri"/>
                <w:b/>
                <w:bCs/>
                <w:color w:val="FFFFFF"/>
                <w:sz w:val="18"/>
                <w:szCs w:val="18"/>
              </w:rPr>
              <w:t>2015</w:t>
            </w:r>
          </w:p>
        </w:tc>
        <w:tc>
          <w:tcPr>
            <w:tcW w:w="0" w:type="auto"/>
            <w:shd w:val="clear" w:color="auto" w:fill="1F4E78"/>
            <w:vAlign w:val="center"/>
            <w:hideMark/>
          </w:tcPr>
          <w:p w14:paraId="70FE9E65" w14:textId="77777777" w:rsidR="0098691F" w:rsidRDefault="0098691F" w:rsidP="005807C9">
            <w:pPr>
              <w:jc w:val="center"/>
              <w:rPr>
                <w:rFonts w:ascii="Calibri" w:hAnsi="Calibri" w:cs="Calibri"/>
                <w:b/>
                <w:bCs/>
                <w:color w:val="FFFFFF"/>
                <w:sz w:val="18"/>
                <w:szCs w:val="18"/>
              </w:rPr>
            </w:pPr>
            <w:r>
              <w:rPr>
                <w:rFonts w:ascii="Calibri" w:hAnsi="Calibri" w:cs="Calibri"/>
                <w:b/>
                <w:bCs/>
                <w:color w:val="FFFFFF"/>
                <w:sz w:val="18"/>
                <w:szCs w:val="18"/>
              </w:rPr>
              <w:t>2016</w:t>
            </w:r>
          </w:p>
        </w:tc>
        <w:tc>
          <w:tcPr>
            <w:tcW w:w="0" w:type="auto"/>
            <w:shd w:val="clear" w:color="auto" w:fill="1F4E78"/>
            <w:vAlign w:val="center"/>
            <w:hideMark/>
          </w:tcPr>
          <w:p w14:paraId="730F7ABB" w14:textId="77777777" w:rsidR="0098691F" w:rsidRDefault="0098691F" w:rsidP="005807C9">
            <w:pPr>
              <w:jc w:val="center"/>
              <w:rPr>
                <w:rFonts w:ascii="Calibri" w:hAnsi="Calibri" w:cs="Calibri"/>
                <w:b/>
                <w:bCs/>
                <w:color w:val="FFFFFF"/>
                <w:sz w:val="18"/>
                <w:szCs w:val="18"/>
              </w:rPr>
            </w:pPr>
            <w:r>
              <w:rPr>
                <w:rFonts w:ascii="Calibri" w:hAnsi="Calibri" w:cs="Calibri"/>
                <w:b/>
                <w:bCs/>
                <w:color w:val="FFFFFF"/>
                <w:sz w:val="18"/>
                <w:szCs w:val="18"/>
              </w:rPr>
              <w:t>2017</w:t>
            </w:r>
          </w:p>
        </w:tc>
        <w:tc>
          <w:tcPr>
            <w:tcW w:w="0" w:type="auto"/>
            <w:shd w:val="clear" w:color="auto" w:fill="1F4E78"/>
            <w:vAlign w:val="center"/>
            <w:hideMark/>
          </w:tcPr>
          <w:p w14:paraId="33E44375" w14:textId="77777777" w:rsidR="0098691F" w:rsidRDefault="0098691F" w:rsidP="005807C9">
            <w:pPr>
              <w:jc w:val="center"/>
              <w:rPr>
                <w:rFonts w:ascii="Calibri" w:hAnsi="Calibri" w:cs="Calibri"/>
                <w:b/>
                <w:bCs/>
                <w:color w:val="FFFFFF"/>
                <w:sz w:val="18"/>
                <w:szCs w:val="18"/>
              </w:rPr>
            </w:pPr>
            <w:r>
              <w:rPr>
                <w:rFonts w:ascii="Calibri" w:hAnsi="Calibri" w:cs="Calibri"/>
                <w:b/>
                <w:bCs/>
                <w:color w:val="FFFFFF"/>
                <w:sz w:val="18"/>
                <w:szCs w:val="18"/>
              </w:rPr>
              <w:t>2018</w:t>
            </w:r>
          </w:p>
        </w:tc>
        <w:tc>
          <w:tcPr>
            <w:tcW w:w="0" w:type="auto"/>
            <w:shd w:val="clear" w:color="auto" w:fill="1F4E78"/>
            <w:vAlign w:val="center"/>
            <w:hideMark/>
          </w:tcPr>
          <w:p w14:paraId="56FCAC28" w14:textId="77777777" w:rsidR="0098691F" w:rsidRDefault="0098691F" w:rsidP="005807C9">
            <w:pPr>
              <w:jc w:val="center"/>
              <w:rPr>
                <w:rFonts w:ascii="Calibri" w:hAnsi="Calibri" w:cs="Calibri"/>
                <w:b/>
                <w:bCs/>
                <w:color w:val="FFFFFF"/>
                <w:sz w:val="18"/>
                <w:szCs w:val="18"/>
              </w:rPr>
            </w:pPr>
            <w:r>
              <w:rPr>
                <w:rFonts w:ascii="Calibri" w:hAnsi="Calibri" w:cs="Calibri"/>
                <w:b/>
                <w:bCs/>
                <w:color w:val="FFFFFF"/>
                <w:sz w:val="18"/>
                <w:szCs w:val="18"/>
              </w:rPr>
              <w:t>2019</w:t>
            </w:r>
          </w:p>
        </w:tc>
        <w:tc>
          <w:tcPr>
            <w:tcW w:w="0" w:type="auto"/>
            <w:shd w:val="clear" w:color="auto" w:fill="1F4E78"/>
            <w:vAlign w:val="center"/>
            <w:hideMark/>
          </w:tcPr>
          <w:p w14:paraId="36654D67" w14:textId="77777777" w:rsidR="0098691F" w:rsidRDefault="0098691F" w:rsidP="005807C9">
            <w:pPr>
              <w:jc w:val="center"/>
              <w:rPr>
                <w:rFonts w:ascii="Calibri" w:hAnsi="Calibri" w:cs="Calibri"/>
                <w:b/>
                <w:bCs/>
                <w:color w:val="FFFFFF"/>
                <w:sz w:val="18"/>
                <w:szCs w:val="18"/>
              </w:rPr>
            </w:pPr>
            <w:r>
              <w:rPr>
                <w:rFonts w:ascii="Calibri" w:hAnsi="Calibri" w:cs="Calibri"/>
                <w:b/>
                <w:bCs/>
                <w:color w:val="FFFFFF"/>
                <w:sz w:val="18"/>
                <w:szCs w:val="18"/>
              </w:rPr>
              <w:t>2020</w:t>
            </w:r>
          </w:p>
        </w:tc>
        <w:tc>
          <w:tcPr>
            <w:tcW w:w="0" w:type="auto"/>
            <w:shd w:val="clear" w:color="auto" w:fill="1F4E78"/>
            <w:vAlign w:val="center"/>
            <w:hideMark/>
          </w:tcPr>
          <w:p w14:paraId="67573E35" w14:textId="77777777" w:rsidR="0098691F" w:rsidRDefault="0098691F" w:rsidP="005807C9">
            <w:pPr>
              <w:jc w:val="center"/>
              <w:rPr>
                <w:rFonts w:ascii="Calibri" w:hAnsi="Calibri" w:cs="Calibri"/>
                <w:b/>
                <w:bCs/>
                <w:color w:val="FFFFFF"/>
                <w:sz w:val="18"/>
                <w:szCs w:val="18"/>
              </w:rPr>
            </w:pPr>
            <w:r>
              <w:rPr>
                <w:rFonts w:ascii="Calibri" w:hAnsi="Calibri" w:cs="Calibri"/>
                <w:b/>
                <w:bCs/>
                <w:color w:val="FFFFFF"/>
                <w:sz w:val="18"/>
                <w:szCs w:val="18"/>
              </w:rPr>
              <w:t>2021</w:t>
            </w:r>
          </w:p>
        </w:tc>
        <w:tc>
          <w:tcPr>
            <w:tcW w:w="0" w:type="auto"/>
            <w:shd w:val="clear" w:color="auto" w:fill="1F4E78"/>
            <w:vAlign w:val="center"/>
            <w:hideMark/>
          </w:tcPr>
          <w:p w14:paraId="18FA76A2" w14:textId="77777777" w:rsidR="0098691F" w:rsidRDefault="0098691F" w:rsidP="005807C9">
            <w:pPr>
              <w:jc w:val="center"/>
              <w:rPr>
                <w:rFonts w:ascii="Calibri" w:hAnsi="Calibri" w:cs="Calibri"/>
                <w:b/>
                <w:bCs/>
                <w:color w:val="FFFFFF"/>
                <w:sz w:val="18"/>
                <w:szCs w:val="18"/>
              </w:rPr>
            </w:pPr>
            <w:r>
              <w:rPr>
                <w:rFonts w:ascii="Calibri" w:hAnsi="Calibri" w:cs="Calibri"/>
                <w:b/>
                <w:bCs/>
                <w:color w:val="FFFFFF"/>
                <w:sz w:val="18"/>
                <w:szCs w:val="18"/>
              </w:rPr>
              <w:t>2022</w:t>
            </w:r>
          </w:p>
        </w:tc>
        <w:tc>
          <w:tcPr>
            <w:tcW w:w="0" w:type="auto"/>
            <w:shd w:val="clear" w:color="auto" w:fill="1F4E78"/>
            <w:vAlign w:val="center"/>
            <w:hideMark/>
          </w:tcPr>
          <w:p w14:paraId="5BA5F699" w14:textId="77777777" w:rsidR="0098691F" w:rsidRDefault="0098691F" w:rsidP="005807C9">
            <w:pPr>
              <w:jc w:val="center"/>
              <w:rPr>
                <w:rFonts w:ascii="Calibri" w:hAnsi="Calibri" w:cs="Calibri"/>
                <w:b/>
                <w:bCs/>
                <w:color w:val="FFFFFF"/>
                <w:sz w:val="18"/>
                <w:szCs w:val="18"/>
              </w:rPr>
            </w:pPr>
            <w:r>
              <w:rPr>
                <w:rFonts w:ascii="Calibri" w:hAnsi="Calibri" w:cs="Calibri"/>
                <w:b/>
                <w:bCs/>
                <w:color w:val="FFFFFF"/>
                <w:sz w:val="18"/>
                <w:szCs w:val="18"/>
              </w:rPr>
              <w:t>2023</w:t>
            </w:r>
          </w:p>
        </w:tc>
        <w:tc>
          <w:tcPr>
            <w:tcW w:w="0" w:type="auto"/>
            <w:shd w:val="clear" w:color="auto" w:fill="1F4E78"/>
            <w:vAlign w:val="center"/>
            <w:hideMark/>
          </w:tcPr>
          <w:p w14:paraId="08F22BF2" w14:textId="77777777" w:rsidR="0098691F" w:rsidRDefault="0098691F" w:rsidP="005807C9">
            <w:pPr>
              <w:jc w:val="center"/>
              <w:rPr>
                <w:rFonts w:ascii="Calibri" w:hAnsi="Calibri" w:cs="Calibri"/>
                <w:b/>
                <w:bCs/>
                <w:color w:val="FFFFFF"/>
                <w:sz w:val="18"/>
                <w:szCs w:val="18"/>
              </w:rPr>
            </w:pPr>
            <w:r>
              <w:rPr>
                <w:rFonts w:ascii="Calibri" w:hAnsi="Calibri" w:cs="Calibri"/>
                <w:b/>
                <w:bCs/>
                <w:color w:val="FFFFFF"/>
                <w:sz w:val="18"/>
                <w:szCs w:val="18"/>
              </w:rPr>
              <w:t>2024</w:t>
            </w:r>
          </w:p>
        </w:tc>
        <w:tc>
          <w:tcPr>
            <w:tcW w:w="0" w:type="auto"/>
            <w:shd w:val="clear" w:color="auto" w:fill="1F4E78"/>
            <w:vAlign w:val="center"/>
            <w:hideMark/>
          </w:tcPr>
          <w:p w14:paraId="4D8C86A8" w14:textId="77777777" w:rsidR="0098691F" w:rsidRDefault="0098691F" w:rsidP="005807C9">
            <w:pPr>
              <w:jc w:val="center"/>
              <w:rPr>
                <w:rFonts w:ascii="Calibri" w:hAnsi="Calibri" w:cs="Calibri"/>
                <w:b/>
                <w:bCs/>
                <w:color w:val="FFFFFF"/>
                <w:sz w:val="18"/>
                <w:szCs w:val="18"/>
              </w:rPr>
            </w:pPr>
            <w:r>
              <w:rPr>
                <w:rFonts w:ascii="Calibri" w:hAnsi="Calibri" w:cs="Calibri"/>
                <w:b/>
                <w:bCs/>
                <w:color w:val="FFFFFF"/>
                <w:sz w:val="18"/>
                <w:szCs w:val="18"/>
              </w:rPr>
              <w:t>2025</w:t>
            </w:r>
          </w:p>
        </w:tc>
        <w:tc>
          <w:tcPr>
            <w:tcW w:w="738" w:type="dxa"/>
            <w:shd w:val="clear" w:color="auto" w:fill="1F4E78"/>
            <w:vAlign w:val="center"/>
            <w:hideMark/>
          </w:tcPr>
          <w:p w14:paraId="2316A729" w14:textId="77777777" w:rsidR="0098691F" w:rsidRDefault="0098691F" w:rsidP="005807C9">
            <w:pPr>
              <w:jc w:val="center"/>
              <w:rPr>
                <w:rFonts w:ascii="Calibri" w:hAnsi="Calibri" w:cs="Calibri"/>
                <w:b/>
                <w:bCs/>
                <w:color w:val="FFFFFF"/>
                <w:sz w:val="18"/>
                <w:szCs w:val="18"/>
              </w:rPr>
            </w:pPr>
            <w:r>
              <w:rPr>
                <w:rFonts w:ascii="Calibri" w:hAnsi="Calibri" w:cs="Calibri"/>
                <w:b/>
                <w:bCs/>
                <w:color w:val="FFFFFF"/>
                <w:sz w:val="18"/>
                <w:szCs w:val="18"/>
              </w:rPr>
              <w:t>2026</w:t>
            </w:r>
          </w:p>
        </w:tc>
      </w:tr>
      <w:tr w:rsidR="0098691F" w14:paraId="4DD6E2E0" w14:textId="77777777" w:rsidTr="005807C9">
        <w:trPr>
          <w:trHeight w:val="300"/>
        </w:trPr>
        <w:tc>
          <w:tcPr>
            <w:tcW w:w="0" w:type="auto"/>
            <w:noWrap/>
            <w:vAlign w:val="center"/>
            <w:hideMark/>
          </w:tcPr>
          <w:p w14:paraId="1F3C80FA"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enero</w:t>
            </w:r>
          </w:p>
        </w:tc>
        <w:tc>
          <w:tcPr>
            <w:tcW w:w="0" w:type="auto"/>
            <w:shd w:val="clear" w:color="auto" w:fill="FFFFFF" w:themeFill="background1"/>
            <w:noWrap/>
            <w:vAlign w:val="center"/>
            <w:hideMark/>
          </w:tcPr>
          <w:p w14:paraId="6F2CA6D9"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6.130</w:t>
            </w:r>
          </w:p>
        </w:tc>
        <w:tc>
          <w:tcPr>
            <w:tcW w:w="0" w:type="auto"/>
            <w:shd w:val="clear" w:color="auto" w:fill="FFFFFF" w:themeFill="background1"/>
            <w:noWrap/>
            <w:vAlign w:val="center"/>
            <w:hideMark/>
          </w:tcPr>
          <w:p w14:paraId="1F09BD3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6.696</w:t>
            </w:r>
          </w:p>
        </w:tc>
        <w:tc>
          <w:tcPr>
            <w:tcW w:w="0" w:type="auto"/>
            <w:shd w:val="clear" w:color="auto" w:fill="FFFFFF" w:themeFill="background1"/>
            <w:noWrap/>
            <w:vAlign w:val="center"/>
            <w:hideMark/>
          </w:tcPr>
          <w:p w14:paraId="53AD5793"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6.895</w:t>
            </w:r>
          </w:p>
        </w:tc>
        <w:tc>
          <w:tcPr>
            <w:tcW w:w="0" w:type="auto"/>
            <w:shd w:val="clear" w:color="auto" w:fill="FFFFFF" w:themeFill="background1"/>
            <w:noWrap/>
            <w:vAlign w:val="center"/>
            <w:hideMark/>
          </w:tcPr>
          <w:p w14:paraId="3C0585C2"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6.591</w:t>
            </w:r>
          </w:p>
        </w:tc>
        <w:tc>
          <w:tcPr>
            <w:tcW w:w="0" w:type="auto"/>
            <w:shd w:val="clear" w:color="auto" w:fill="FFFFFF" w:themeFill="background1"/>
            <w:noWrap/>
            <w:vAlign w:val="center"/>
            <w:hideMark/>
          </w:tcPr>
          <w:p w14:paraId="3AE937C6"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7.234</w:t>
            </w:r>
          </w:p>
        </w:tc>
        <w:tc>
          <w:tcPr>
            <w:tcW w:w="0" w:type="auto"/>
            <w:shd w:val="clear" w:color="auto" w:fill="FFFFFF" w:themeFill="background1"/>
            <w:noWrap/>
            <w:vAlign w:val="center"/>
            <w:hideMark/>
          </w:tcPr>
          <w:p w14:paraId="200D67A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6.524</w:t>
            </w:r>
          </w:p>
        </w:tc>
        <w:tc>
          <w:tcPr>
            <w:tcW w:w="0" w:type="auto"/>
            <w:shd w:val="clear" w:color="auto" w:fill="FFFFFF" w:themeFill="background1"/>
            <w:noWrap/>
            <w:vAlign w:val="center"/>
            <w:hideMark/>
          </w:tcPr>
          <w:p w14:paraId="3D4EE290"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6.548</w:t>
            </w:r>
          </w:p>
        </w:tc>
        <w:tc>
          <w:tcPr>
            <w:tcW w:w="0" w:type="auto"/>
            <w:shd w:val="clear" w:color="auto" w:fill="FFFFFF" w:themeFill="background1"/>
            <w:noWrap/>
            <w:vAlign w:val="center"/>
            <w:hideMark/>
          </w:tcPr>
          <w:p w14:paraId="1656872E"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6.408</w:t>
            </w:r>
          </w:p>
        </w:tc>
        <w:tc>
          <w:tcPr>
            <w:tcW w:w="0" w:type="auto"/>
            <w:shd w:val="clear" w:color="auto" w:fill="FFFFFF" w:themeFill="background1"/>
            <w:noWrap/>
            <w:vAlign w:val="center"/>
            <w:hideMark/>
          </w:tcPr>
          <w:p w14:paraId="108CB386"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3.515</w:t>
            </w:r>
          </w:p>
        </w:tc>
        <w:tc>
          <w:tcPr>
            <w:tcW w:w="0" w:type="auto"/>
            <w:shd w:val="clear" w:color="auto" w:fill="FFFFFF" w:themeFill="background1"/>
            <w:vAlign w:val="center"/>
            <w:hideMark/>
          </w:tcPr>
          <w:p w14:paraId="00CFDDE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5.735</w:t>
            </w:r>
          </w:p>
        </w:tc>
        <w:tc>
          <w:tcPr>
            <w:tcW w:w="0" w:type="auto"/>
            <w:shd w:val="clear" w:color="auto" w:fill="FFFFFF" w:themeFill="background1"/>
            <w:vAlign w:val="center"/>
            <w:hideMark/>
          </w:tcPr>
          <w:p w14:paraId="418149BA"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5.667</w:t>
            </w:r>
          </w:p>
        </w:tc>
        <w:tc>
          <w:tcPr>
            <w:tcW w:w="0" w:type="auto"/>
            <w:shd w:val="clear" w:color="auto" w:fill="FFFFFF" w:themeFill="background1"/>
            <w:vAlign w:val="center"/>
            <w:hideMark/>
          </w:tcPr>
          <w:p w14:paraId="17F637BF"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7.145</w:t>
            </w:r>
          </w:p>
        </w:tc>
        <w:tc>
          <w:tcPr>
            <w:tcW w:w="0" w:type="auto"/>
            <w:shd w:val="clear" w:color="auto" w:fill="FFFFFF" w:themeFill="background1"/>
            <w:vAlign w:val="center"/>
            <w:hideMark/>
          </w:tcPr>
          <w:p w14:paraId="5BC54ACA"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6.127</w:t>
            </w:r>
          </w:p>
        </w:tc>
        <w:tc>
          <w:tcPr>
            <w:tcW w:w="738" w:type="dxa"/>
            <w:shd w:val="clear" w:color="auto" w:fill="FFFFFF" w:themeFill="background1"/>
            <w:vAlign w:val="center"/>
            <w:hideMark/>
          </w:tcPr>
          <w:p w14:paraId="3AD30E43"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5.689</w:t>
            </w:r>
          </w:p>
        </w:tc>
      </w:tr>
      <w:tr w:rsidR="0098691F" w14:paraId="6F36687D" w14:textId="77777777" w:rsidTr="005807C9">
        <w:trPr>
          <w:trHeight w:val="300"/>
        </w:trPr>
        <w:tc>
          <w:tcPr>
            <w:tcW w:w="0" w:type="auto"/>
            <w:noWrap/>
            <w:vAlign w:val="center"/>
            <w:hideMark/>
          </w:tcPr>
          <w:p w14:paraId="47CA909A"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febrero</w:t>
            </w:r>
          </w:p>
        </w:tc>
        <w:tc>
          <w:tcPr>
            <w:tcW w:w="0" w:type="auto"/>
            <w:shd w:val="clear" w:color="auto" w:fill="FFFFFF" w:themeFill="background1"/>
            <w:noWrap/>
            <w:vAlign w:val="center"/>
            <w:hideMark/>
          </w:tcPr>
          <w:p w14:paraId="411A4CFF"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5.702</w:t>
            </w:r>
          </w:p>
        </w:tc>
        <w:tc>
          <w:tcPr>
            <w:tcW w:w="0" w:type="auto"/>
            <w:shd w:val="clear" w:color="auto" w:fill="FFFFFF" w:themeFill="background1"/>
            <w:noWrap/>
            <w:vAlign w:val="center"/>
            <w:hideMark/>
          </w:tcPr>
          <w:p w14:paraId="29089F71"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5.241</w:t>
            </w:r>
          </w:p>
        </w:tc>
        <w:tc>
          <w:tcPr>
            <w:tcW w:w="0" w:type="auto"/>
            <w:shd w:val="clear" w:color="auto" w:fill="FFFFFF" w:themeFill="background1"/>
            <w:noWrap/>
            <w:vAlign w:val="center"/>
            <w:hideMark/>
          </w:tcPr>
          <w:p w14:paraId="4AD96C7F"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5.069</w:t>
            </w:r>
          </w:p>
        </w:tc>
        <w:tc>
          <w:tcPr>
            <w:tcW w:w="0" w:type="auto"/>
            <w:shd w:val="clear" w:color="auto" w:fill="FFFFFF" w:themeFill="background1"/>
            <w:noWrap/>
            <w:vAlign w:val="center"/>
            <w:hideMark/>
          </w:tcPr>
          <w:p w14:paraId="122411B1"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4.516</w:t>
            </w:r>
          </w:p>
        </w:tc>
        <w:tc>
          <w:tcPr>
            <w:tcW w:w="0" w:type="auto"/>
            <w:shd w:val="clear" w:color="auto" w:fill="FFFFFF" w:themeFill="background1"/>
            <w:noWrap/>
            <w:vAlign w:val="center"/>
            <w:hideMark/>
          </w:tcPr>
          <w:p w14:paraId="0CC766B4"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5.626</w:t>
            </w:r>
          </w:p>
        </w:tc>
        <w:tc>
          <w:tcPr>
            <w:tcW w:w="0" w:type="auto"/>
            <w:shd w:val="clear" w:color="auto" w:fill="FFFFFF" w:themeFill="background1"/>
            <w:noWrap/>
            <w:vAlign w:val="center"/>
            <w:hideMark/>
          </w:tcPr>
          <w:p w14:paraId="58BBD218"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6.479</w:t>
            </w:r>
          </w:p>
        </w:tc>
        <w:tc>
          <w:tcPr>
            <w:tcW w:w="0" w:type="auto"/>
            <w:shd w:val="clear" w:color="auto" w:fill="FFFFFF" w:themeFill="background1"/>
            <w:noWrap/>
            <w:vAlign w:val="center"/>
            <w:hideMark/>
          </w:tcPr>
          <w:p w14:paraId="3877C03B"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6.683</w:t>
            </w:r>
          </w:p>
        </w:tc>
        <w:tc>
          <w:tcPr>
            <w:tcW w:w="0" w:type="auto"/>
            <w:shd w:val="clear" w:color="auto" w:fill="FFFFFF" w:themeFill="background1"/>
            <w:noWrap/>
            <w:vAlign w:val="center"/>
            <w:hideMark/>
          </w:tcPr>
          <w:p w14:paraId="65166548"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4.633</w:t>
            </w:r>
          </w:p>
        </w:tc>
        <w:tc>
          <w:tcPr>
            <w:tcW w:w="0" w:type="auto"/>
            <w:shd w:val="clear" w:color="auto" w:fill="FFFFFF" w:themeFill="background1"/>
            <w:noWrap/>
            <w:vAlign w:val="center"/>
            <w:hideMark/>
          </w:tcPr>
          <w:p w14:paraId="273870C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3.035</w:t>
            </w:r>
          </w:p>
        </w:tc>
        <w:tc>
          <w:tcPr>
            <w:tcW w:w="0" w:type="auto"/>
            <w:shd w:val="clear" w:color="auto" w:fill="FFFFFF" w:themeFill="background1"/>
            <w:vAlign w:val="center"/>
            <w:hideMark/>
          </w:tcPr>
          <w:p w14:paraId="3B4BFC54"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5.571</w:t>
            </w:r>
          </w:p>
        </w:tc>
        <w:tc>
          <w:tcPr>
            <w:tcW w:w="0" w:type="auto"/>
            <w:shd w:val="clear" w:color="auto" w:fill="FFFFFF" w:themeFill="background1"/>
            <w:vAlign w:val="center"/>
            <w:hideMark/>
          </w:tcPr>
          <w:p w14:paraId="6D1C0186"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3.517</w:t>
            </w:r>
          </w:p>
        </w:tc>
        <w:tc>
          <w:tcPr>
            <w:tcW w:w="0" w:type="auto"/>
            <w:shd w:val="clear" w:color="auto" w:fill="FFFFFF" w:themeFill="background1"/>
            <w:vAlign w:val="center"/>
            <w:hideMark/>
          </w:tcPr>
          <w:p w14:paraId="667357CE"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5.052</w:t>
            </w:r>
          </w:p>
        </w:tc>
        <w:tc>
          <w:tcPr>
            <w:tcW w:w="0" w:type="auto"/>
            <w:shd w:val="clear" w:color="auto" w:fill="FFFFFF" w:themeFill="background1"/>
            <w:vAlign w:val="center"/>
            <w:hideMark/>
          </w:tcPr>
          <w:p w14:paraId="71FC69DA"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4.979</w:t>
            </w:r>
          </w:p>
        </w:tc>
        <w:tc>
          <w:tcPr>
            <w:tcW w:w="738" w:type="dxa"/>
            <w:shd w:val="clear" w:color="auto" w:fill="FFFFFF" w:themeFill="background1"/>
            <w:vAlign w:val="center"/>
            <w:hideMark/>
          </w:tcPr>
          <w:p w14:paraId="7B75BF3C" w14:textId="77777777" w:rsidR="0098691F" w:rsidRDefault="0098691F" w:rsidP="005807C9">
            <w:pPr>
              <w:jc w:val="center"/>
              <w:rPr>
                <w:rFonts w:ascii="Calibri" w:hAnsi="Calibri" w:cs="Calibri"/>
                <w:color w:val="000000"/>
                <w:sz w:val="18"/>
                <w:szCs w:val="18"/>
              </w:rPr>
            </w:pPr>
            <w:r w:rsidRPr="4AAF22FF">
              <w:rPr>
                <w:rFonts w:ascii="Calibri" w:hAnsi="Calibri" w:cs="Calibri"/>
                <w:color w:val="000000" w:themeColor="text1"/>
                <w:sz w:val="18"/>
                <w:szCs w:val="18"/>
              </w:rPr>
              <w:t>4.416</w:t>
            </w:r>
          </w:p>
        </w:tc>
      </w:tr>
      <w:tr w:rsidR="0098691F" w14:paraId="4C0B805F" w14:textId="77777777" w:rsidTr="005807C9">
        <w:trPr>
          <w:trHeight w:val="300"/>
        </w:trPr>
        <w:tc>
          <w:tcPr>
            <w:tcW w:w="0" w:type="auto"/>
            <w:noWrap/>
            <w:vAlign w:val="center"/>
            <w:hideMark/>
          </w:tcPr>
          <w:p w14:paraId="155381D1"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marzo</w:t>
            </w:r>
          </w:p>
        </w:tc>
        <w:tc>
          <w:tcPr>
            <w:tcW w:w="0" w:type="auto"/>
            <w:shd w:val="clear" w:color="auto" w:fill="FFFFFF" w:themeFill="background1"/>
            <w:noWrap/>
            <w:vAlign w:val="center"/>
            <w:hideMark/>
          </w:tcPr>
          <w:p w14:paraId="3FA7F2E3"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7.800</w:t>
            </w:r>
          </w:p>
        </w:tc>
        <w:tc>
          <w:tcPr>
            <w:tcW w:w="0" w:type="auto"/>
            <w:shd w:val="clear" w:color="auto" w:fill="FFFFFF" w:themeFill="background1"/>
            <w:noWrap/>
            <w:vAlign w:val="center"/>
            <w:hideMark/>
          </w:tcPr>
          <w:p w14:paraId="291DBEA4"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6.250</w:t>
            </w:r>
          </w:p>
        </w:tc>
        <w:tc>
          <w:tcPr>
            <w:tcW w:w="0" w:type="auto"/>
            <w:shd w:val="clear" w:color="auto" w:fill="FFFFFF" w:themeFill="background1"/>
            <w:noWrap/>
            <w:vAlign w:val="center"/>
            <w:hideMark/>
          </w:tcPr>
          <w:p w14:paraId="75275AB0"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5.587</w:t>
            </w:r>
          </w:p>
        </w:tc>
        <w:tc>
          <w:tcPr>
            <w:tcW w:w="0" w:type="auto"/>
            <w:shd w:val="clear" w:color="auto" w:fill="FFFFFF" w:themeFill="background1"/>
            <w:noWrap/>
            <w:vAlign w:val="center"/>
            <w:hideMark/>
          </w:tcPr>
          <w:p w14:paraId="01CF0C39"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5.651</w:t>
            </w:r>
          </w:p>
        </w:tc>
        <w:tc>
          <w:tcPr>
            <w:tcW w:w="0" w:type="auto"/>
            <w:shd w:val="clear" w:color="auto" w:fill="FFFFFF" w:themeFill="background1"/>
            <w:noWrap/>
            <w:vAlign w:val="center"/>
            <w:hideMark/>
          </w:tcPr>
          <w:p w14:paraId="7F14AAF7"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7.121</w:t>
            </w:r>
          </w:p>
        </w:tc>
        <w:tc>
          <w:tcPr>
            <w:tcW w:w="0" w:type="auto"/>
            <w:noWrap/>
            <w:vAlign w:val="center"/>
            <w:hideMark/>
          </w:tcPr>
          <w:p w14:paraId="56EFB1C7"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7.843</w:t>
            </w:r>
          </w:p>
        </w:tc>
        <w:tc>
          <w:tcPr>
            <w:tcW w:w="0" w:type="auto"/>
            <w:noWrap/>
            <w:vAlign w:val="center"/>
            <w:hideMark/>
          </w:tcPr>
          <w:p w14:paraId="44840D5D"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6.221</w:t>
            </w:r>
          </w:p>
        </w:tc>
        <w:tc>
          <w:tcPr>
            <w:tcW w:w="0" w:type="auto"/>
            <w:noWrap/>
            <w:vAlign w:val="center"/>
            <w:hideMark/>
          </w:tcPr>
          <w:p w14:paraId="19017C1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4.218</w:t>
            </w:r>
          </w:p>
        </w:tc>
        <w:tc>
          <w:tcPr>
            <w:tcW w:w="0" w:type="auto"/>
            <w:noWrap/>
            <w:vAlign w:val="center"/>
            <w:hideMark/>
          </w:tcPr>
          <w:p w14:paraId="6902F10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4.200</w:t>
            </w:r>
          </w:p>
        </w:tc>
        <w:tc>
          <w:tcPr>
            <w:tcW w:w="0" w:type="auto"/>
            <w:vAlign w:val="center"/>
            <w:hideMark/>
          </w:tcPr>
          <w:p w14:paraId="30E64003"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5.730</w:t>
            </w:r>
          </w:p>
        </w:tc>
        <w:tc>
          <w:tcPr>
            <w:tcW w:w="0" w:type="auto"/>
            <w:vAlign w:val="center"/>
            <w:hideMark/>
          </w:tcPr>
          <w:p w14:paraId="0C328717"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4.164</w:t>
            </w:r>
          </w:p>
        </w:tc>
        <w:tc>
          <w:tcPr>
            <w:tcW w:w="0" w:type="auto"/>
            <w:shd w:val="clear" w:color="auto" w:fill="FFFFFF" w:themeFill="background1"/>
            <w:vAlign w:val="center"/>
            <w:hideMark/>
          </w:tcPr>
          <w:p w14:paraId="09752239"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5.497</w:t>
            </w:r>
          </w:p>
        </w:tc>
        <w:tc>
          <w:tcPr>
            <w:tcW w:w="0" w:type="auto"/>
            <w:shd w:val="clear" w:color="auto" w:fill="FFFFFF" w:themeFill="background1"/>
            <w:vAlign w:val="center"/>
            <w:hideMark/>
          </w:tcPr>
          <w:p w14:paraId="6DAEA644"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4.910</w:t>
            </w:r>
          </w:p>
        </w:tc>
        <w:tc>
          <w:tcPr>
            <w:tcW w:w="738" w:type="dxa"/>
            <w:shd w:val="clear" w:color="auto" w:fill="FFFFFF" w:themeFill="background1"/>
            <w:vAlign w:val="center"/>
            <w:hideMark/>
          </w:tcPr>
          <w:p w14:paraId="602D7C6E" w14:textId="77777777" w:rsidR="0098691F" w:rsidRDefault="0098691F" w:rsidP="005807C9">
            <w:pPr>
              <w:jc w:val="center"/>
              <w:rPr>
                <w:rFonts w:ascii="Calibri" w:hAnsi="Calibri" w:cs="Calibri"/>
                <w:color w:val="000000"/>
                <w:sz w:val="18"/>
                <w:szCs w:val="18"/>
              </w:rPr>
            </w:pPr>
            <w:r w:rsidRPr="4AAF22FF">
              <w:rPr>
                <w:rFonts w:ascii="Calibri" w:hAnsi="Calibri" w:cs="Calibri"/>
                <w:color w:val="000000" w:themeColor="text1"/>
                <w:sz w:val="18"/>
                <w:szCs w:val="18"/>
              </w:rPr>
              <w:t>5.457</w:t>
            </w:r>
          </w:p>
        </w:tc>
      </w:tr>
      <w:tr w:rsidR="0098691F" w14:paraId="556384DC" w14:textId="77777777" w:rsidTr="005807C9">
        <w:trPr>
          <w:trHeight w:val="300"/>
        </w:trPr>
        <w:tc>
          <w:tcPr>
            <w:tcW w:w="0" w:type="auto"/>
            <w:noWrap/>
            <w:vAlign w:val="center"/>
            <w:hideMark/>
          </w:tcPr>
          <w:p w14:paraId="70489260"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abril</w:t>
            </w:r>
          </w:p>
        </w:tc>
        <w:tc>
          <w:tcPr>
            <w:tcW w:w="0" w:type="auto"/>
            <w:shd w:val="clear" w:color="auto" w:fill="FFFFFF" w:themeFill="background1"/>
            <w:noWrap/>
            <w:vAlign w:val="center"/>
            <w:hideMark/>
          </w:tcPr>
          <w:p w14:paraId="2B247339"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7.089</w:t>
            </w:r>
          </w:p>
        </w:tc>
        <w:tc>
          <w:tcPr>
            <w:tcW w:w="0" w:type="auto"/>
            <w:shd w:val="clear" w:color="auto" w:fill="FFFFFF" w:themeFill="background1"/>
            <w:noWrap/>
            <w:vAlign w:val="center"/>
            <w:hideMark/>
          </w:tcPr>
          <w:p w14:paraId="30651F69"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6.398</w:t>
            </w:r>
          </w:p>
        </w:tc>
        <w:tc>
          <w:tcPr>
            <w:tcW w:w="0" w:type="auto"/>
            <w:shd w:val="clear" w:color="auto" w:fill="FFFFFF" w:themeFill="background1"/>
            <w:noWrap/>
            <w:vAlign w:val="center"/>
            <w:hideMark/>
          </w:tcPr>
          <w:p w14:paraId="3272C07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5.259</w:t>
            </w:r>
          </w:p>
        </w:tc>
        <w:tc>
          <w:tcPr>
            <w:tcW w:w="0" w:type="auto"/>
            <w:shd w:val="clear" w:color="auto" w:fill="FFFFFF" w:themeFill="background1"/>
            <w:noWrap/>
            <w:vAlign w:val="center"/>
            <w:hideMark/>
          </w:tcPr>
          <w:p w14:paraId="774F1781"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5.036</w:t>
            </w:r>
          </w:p>
        </w:tc>
        <w:tc>
          <w:tcPr>
            <w:tcW w:w="0" w:type="auto"/>
            <w:shd w:val="clear" w:color="auto" w:fill="FFFFFF" w:themeFill="background1"/>
            <w:noWrap/>
            <w:vAlign w:val="center"/>
            <w:hideMark/>
          </w:tcPr>
          <w:p w14:paraId="3045B47D"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6.075</w:t>
            </w:r>
          </w:p>
        </w:tc>
        <w:tc>
          <w:tcPr>
            <w:tcW w:w="0" w:type="auto"/>
            <w:shd w:val="clear" w:color="auto" w:fill="FFFFFF" w:themeFill="background1"/>
            <w:noWrap/>
            <w:vAlign w:val="center"/>
            <w:hideMark/>
          </w:tcPr>
          <w:p w14:paraId="7D29E65D"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6.743</w:t>
            </w:r>
          </w:p>
        </w:tc>
        <w:tc>
          <w:tcPr>
            <w:tcW w:w="0" w:type="auto"/>
            <w:shd w:val="clear" w:color="auto" w:fill="FFFFFF" w:themeFill="background1"/>
            <w:noWrap/>
            <w:vAlign w:val="center"/>
            <w:hideMark/>
          </w:tcPr>
          <w:p w14:paraId="4B777E83"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5.308</w:t>
            </w:r>
          </w:p>
        </w:tc>
        <w:tc>
          <w:tcPr>
            <w:tcW w:w="0" w:type="auto"/>
            <w:shd w:val="clear" w:color="auto" w:fill="FFFFFF" w:themeFill="background1"/>
            <w:noWrap/>
            <w:vAlign w:val="center"/>
            <w:hideMark/>
          </w:tcPr>
          <w:p w14:paraId="423D43D4"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0</w:t>
            </w:r>
          </w:p>
        </w:tc>
        <w:tc>
          <w:tcPr>
            <w:tcW w:w="0" w:type="auto"/>
            <w:noWrap/>
            <w:vAlign w:val="center"/>
            <w:hideMark/>
          </w:tcPr>
          <w:p w14:paraId="435FE67F"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1.776</w:t>
            </w:r>
          </w:p>
        </w:tc>
        <w:tc>
          <w:tcPr>
            <w:tcW w:w="0" w:type="auto"/>
            <w:vAlign w:val="center"/>
            <w:hideMark/>
          </w:tcPr>
          <w:p w14:paraId="511A5EBE"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4.521</w:t>
            </w:r>
          </w:p>
        </w:tc>
        <w:tc>
          <w:tcPr>
            <w:tcW w:w="0" w:type="auto"/>
            <w:vAlign w:val="center"/>
            <w:hideMark/>
          </w:tcPr>
          <w:p w14:paraId="7BB1793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4.817</w:t>
            </w:r>
          </w:p>
        </w:tc>
        <w:tc>
          <w:tcPr>
            <w:tcW w:w="0" w:type="auto"/>
            <w:vAlign w:val="center"/>
            <w:hideMark/>
          </w:tcPr>
          <w:p w14:paraId="6284E74F"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5.432</w:t>
            </w:r>
          </w:p>
        </w:tc>
        <w:tc>
          <w:tcPr>
            <w:tcW w:w="0" w:type="auto"/>
            <w:vAlign w:val="center"/>
            <w:hideMark/>
          </w:tcPr>
          <w:p w14:paraId="1FAAACED"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3.774</w:t>
            </w:r>
          </w:p>
        </w:tc>
        <w:tc>
          <w:tcPr>
            <w:tcW w:w="738" w:type="dxa"/>
            <w:vAlign w:val="center"/>
            <w:hideMark/>
          </w:tcPr>
          <w:p w14:paraId="71B8B0C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 </w:t>
            </w:r>
          </w:p>
        </w:tc>
      </w:tr>
      <w:tr w:rsidR="0098691F" w14:paraId="7B699351" w14:textId="77777777" w:rsidTr="005807C9">
        <w:trPr>
          <w:trHeight w:val="300"/>
        </w:trPr>
        <w:tc>
          <w:tcPr>
            <w:tcW w:w="0" w:type="auto"/>
            <w:noWrap/>
            <w:vAlign w:val="center"/>
            <w:hideMark/>
          </w:tcPr>
          <w:p w14:paraId="65ECC469"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mayo</w:t>
            </w:r>
          </w:p>
        </w:tc>
        <w:tc>
          <w:tcPr>
            <w:tcW w:w="0" w:type="auto"/>
            <w:shd w:val="clear" w:color="auto" w:fill="FFFFFF" w:themeFill="background1"/>
            <w:noWrap/>
            <w:vAlign w:val="center"/>
            <w:hideMark/>
          </w:tcPr>
          <w:p w14:paraId="4737DDD7"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7.823</w:t>
            </w:r>
          </w:p>
        </w:tc>
        <w:tc>
          <w:tcPr>
            <w:tcW w:w="0" w:type="auto"/>
            <w:shd w:val="clear" w:color="auto" w:fill="FFFFFF" w:themeFill="background1"/>
            <w:noWrap/>
            <w:vAlign w:val="center"/>
            <w:hideMark/>
          </w:tcPr>
          <w:p w14:paraId="454657F3"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7.177</w:t>
            </w:r>
          </w:p>
        </w:tc>
        <w:tc>
          <w:tcPr>
            <w:tcW w:w="0" w:type="auto"/>
            <w:shd w:val="clear" w:color="auto" w:fill="FFFFFF" w:themeFill="background1"/>
            <w:noWrap/>
            <w:vAlign w:val="center"/>
            <w:hideMark/>
          </w:tcPr>
          <w:p w14:paraId="36A8CCC3"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5.847</w:t>
            </w:r>
          </w:p>
        </w:tc>
        <w:tc>
          <w:tcPr>
            <w:tcW w:w="0" w:type="auto"/>
            <w:shd w:val="clear" w:color="auto" w:fill="FFFFFF" w:themeFill="background1"/>
            <w:noWrap/>
            <w:vAlign w:val="center"/>
            <w:hideMark/>
          </w:tcPr>
          <w:p w14:paraId="04C41342"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5.908</w:t>
            </w:r>
          </w:p>
        </w:tc>
        <w:tc>
          <w:tcPr>
            <w:tcW w:w="0" w:type="auto"/>
            <w:shd w:val="clear" w:color="auto" w:fill="FFFFFF" w:themeFill="background1"/>
            <w:noWrap/>
            <w:vAlign w:val="center"/>
            <w:hideMark/>
          </w:tcPr>
          <w:p w14:paraId="71238A37"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5.845</w:t>
            </w:r>
          </w:p>
        </w:tc>
        <w:tc>
          <w:tcPr>
            <w:tcW w:w="0" w:type="auto"/>
            <w:shd w:val="clear" w:color="auto" w:fill="FFFFFF" w:themeFill="background1"/>
            <w:noWrap/>
            <w:vAlign w:val="center"/>
            <w:hideMark/>
          </w:tcPr>
          <w:p w14:paraId="7B7A4581"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5.991</w:t>
            </w:r>
          </w:p>
        </w:tc>
        <w:tc>
          <w:tcPr>
            <w:tcW w:w="0" w:type="auto"/>
            <w:shd w:val="clear" w:color="auto" w:fill="FFFFFF" w:themeFill="background1"/>
            <w:noWrap/>
            <w:vAlign w:val="center"/>
            <w:hideMark/>
          </w:tcPr>
          <w:p w14:paraId="1CC96ADD"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6.161</w:t>
            </w:r>
          </w:p>
        </w:tc>
        <w:tc>
          <w:tcPr>
            <w:tcW w:w="0" w:type="auto"/>
            <w:shd w:val="clear" w:color="auto" w:fill="FFFFFF" w:themeFill="background1"/>
            <w:noWrap/>
            <w:vAlign w:val="center"/>
            <w:hideMark/>
          </w:tcPr>
          <w:p w14:paraId="761563A5"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0</w:t>
            </w:r>
          </w:p>
        </w:tc>
        <w:tc>
          <w:tcPr>
            <w:tcW w:w="0" w:type="auto"/>
            <w:shd w:val="clear" w:color="auto" w:fill="FFFFFF" w:themeFill="background1"/>
            <w:noWrap/>
            <w:vAlign w:val="center"/>
            <w:hideMark/>
          </w:tcPr>
          <w:p w14:paraId="2D9C9619"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0</w:t>
            </w:r>
          </w:p>
        </w:tc>
        <w:tc>
          <w:tcPr>
            <w:tcW w:w="0" w:type="auto"/>
            <w:shd w:val="clear" w:color="auto" w:fill="FFFFFF" w:themeFill="background1"/>
            <w:vAlign w:val="center"/>
            <w:hideMark/>
          </w:tcPr>
          <w:p w14:paraId="6B36F8F3"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4.966</w:t>
            </w:r>
          </w:p>
        </w:tc>
        <w:tc>
          <w:tcPr>
            <w:tcW w:w="0" w:type="auto"/>
            <w:shd w:val="clear" w:color="auto" w:fill="FFFFFF" w:themeFill="background1"/>
            <w:vAlign w:val="center"/>
            <w:hideMark/>
          </w:tcPr>
          <w:p w14:paraId="36F96123"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4.196</w:t>
            </w:r>
          </w:p>
        </w:tc>
        <w:tc>
          <w:tcPr>
            <w:tcW w:w="0" w:type="auto"/>
            <w:shd w:val="clear" w:color="auto" w:fill="FFFFFF" w:themeFill="background1"/>
            <w:vAlign w:val="center"/>
            <w:hideMark/>
          </w:tcPr>
          <w:p w14:paraId="1810540F"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5.421</w:t>
            </w:r>
          </w:p>
        </w:tc>
        <w:tc>
          <w:tcPr>
            <w:tcW w:w="0" w:type="auto"/>
            <w:shd w:val="clear" w:color="auto" w:fill="FFFFFF" w:themeFill="background1"/>
            <w:vAlign w:val="center"/>
            <w:hideMark/>
          </w:tcPr>
          <w:p w14:paraId="45757CD8"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5.523</w:t>
            </w:r>
          </w:p>
        </w:tc>
        <w:tc>
          <w:tcPr>
            <w:tcW w:w="738" w:type="dxa"/>
            <w:shd w:val="clear" w:color="auto" w:fill="FFFFFF" w:themeFill="background1"/>
            <w:vAlign w:val="center"/>
            <w:hideMark/>
          </w:tcPr>
          <w:p w14:paraId="4743498D"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 </w:t>
            </w:r>
          </w:p>
        </w:tc>
      </w:tr>
      <w:tr w:rsidR="0098691F" w14:paraId="6FD0F4D1" w14:textId="77777777" w:rsidTr="005807C9">
        <w:trPr>
          <w:trHeight w:val="300"/>
        </w:trPr>
        <w:tc>
          <w:tcPr>
            <w:tcW w:w="0" w:type="auto"/>
            <w:noWrap/>
            <w:vAlign w:val="center"/>
            <w:hideMark/>
          </w:tcPr>
          <w:p w14:paraId="1C457640"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junio</w:t>
            </w:r>
          </w:p>
        </w:tc>
        <w:tc>
          <w:tcPr>
            <w:tcW w:w="0" w:type="auto"/>
            <w:shd w:val="clear" w:color="auto" w:fill="FFFFFF" w:themeFill="background1"/>
            <w:noWrap/>
            <w:vAlign w:val="center"/>
            <w:hideMark/>
          </w:tcPr>
          <w:p w14:paraId="2FD6376A"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6.534</w:t>
            </w:r>
          </w:p>
        </w:tc>
        <w:tc>
          <w:tcPr>
            <w:tcW w:w="0" w:type="auto"/>
            <w:shd w:val="clear" w:color="auto" w:fill="FFFFFF" w:themeFill="background1"/>
            <w:noWrap/>
            <w:vAlign w:val="center"/>
            <w:hideMark/>
          </w:tcPr>
          <w:p w14:paraId="48189FE5"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6.506</w:t>
            </w:r>
          </w:p>
        </w:tc>
        <w:tc>
          <w:tcPr>
            <w:tcW w:w="0" w:type="auto"/>
            <w:shd w:val="clear" w:color="auto" w:fill="FFFFFF" w:themeFill="background1"/>
            <w:noWrap/>
            <w:vAlign w:val="center"/>
            <w:hideMark/>
          </w:tcPr>
          <w:p w14:paraId="73BAEB7B"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5.827</w:t>
            </w:r>
          </w:p>
        </w:tc>
        <w:tc>
          <w:tcPr>
            <w:tcW w:w="0" w:type="auto"/>
            <w:shd w:val="clear" w:color="auto" w:fill="FFFFFF" w:themeFill="background1"/>
            <w:noWrap/>
            <w:vAlign w:val="center"/>
            <w:hideMark/>
          </w:tcPr>
          <w:p w14:paraId="64E8BEF9"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6.059</w:t>
            </w:r>
          </w:p>
        </w:tc>
        <w:tc>
          <w:tcPr>
            <w:tcW w:w="0" w:type="auto"/>
            <w:shd w:val="clear" w:color="auto" w:fill="FFFFFF" w:themeFill="background1"/>
            <w:noWrap/>
            <w:vAlign w:val="center"/>
            <w:hideMark/>
          </w:tcPr>
          <w:p w14:paraId="4FF348DF"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5.896</w:t>
            </w:r>
          </w:p>
        </w:tc>
        <w:tc>
          <w:tcPr>
            <w:tcW w:w="0" w:type="auto"/>
            <w:shd w:val="clear" w:color="auto" w:fill="FFFFFF" w:themeFill="background1"/>
            <w:noWrap/>
            <w:vAlign w:val="center"/>
            <w:hideMark/>
          </w:tcPr>
          <w:p w14:paraId="433F7ADD"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4.218</w:t>
            </w:r>
          </w:p>
        </w:tc>
        <w:tc>
          <w:tcPr>
            <w:tcW w:w="0" w:type="auto"/>
            <w:shd w:val="clear" w:color="auto" w:fill="FFFFFF" w:themeFill="background1"/>
            <w:noWrap/>
            <w:vAlign w:val="center"/>
            <w:hideMark/>
          </w:tcPr>
          <w:p w14:paraId="755940AE"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6.374</w:t>
            </w:r>
          </w:p>
        </w:tc>
        <w:tc>
          <w:tcPr>
            <w:tcW w:w="0" w:type="auto"/>
            <w:shd w:val="clear" w:color="auto" w:fill="FFFFFF" w:themeFill="background1"/>
            <w:noWrap/>
            <w:vAlign w:val="center"/>
            <w:hideMark/>
          </w:tcPr>
          <w:p w14:paraId="7C134F97"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0</w:t>
            </w:r>
          </w:p>
        </w:tc>
        <w:tc>
          <w:tcPr>
            <w:tcW w:w="0" w:type="auto"/>
            <w:shd w:val="clear" w:color="auto" w:fill="FFFFFF" w:themeFill="background1"/>
            <w:noWrap/>
            <w:vAlign w:val="center"/>
            <w:hideMark/>
          </w:tcPr>
          <w:p w14:paraId="0BE141C7"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0</w:t>
            </w:r>
          </w:p>
        </w:tc>
        <w:tc>
          <w:tcPr>
            <w:tcW w:w="0" w:type="auto"/>
            <w:shd w:val="clear" w:color="auto" w:fill="FFFFFF" w:themeFill="background1"/>
            <w:vAlign w:val="center"/>
            <w:hideMark/>
          </w:tcPr>
          <w:p w14:paraId="5BA534C0"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4.988</w:t>
            </w:r>
          </w:p>
        </w:tc>
        <w:tc>
          <w:tcPr>
            <w:tcW w:w="0" w:type="auto"/>
            <w:shd w:val="clear" w:color="auto" w:fill="FFFFFF" w:themeFill="background1"/>
            <w:vAlign w:val="center"/>
            <w:hideMark/>
          </w:tcPr>
          <w:p w14:paraId="6BE59233"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4.862</w:t>
            </w:r>
          </w:p>
        </w:tc>
        <w:tc>
          <w:tcPr>
            <w:tcW w:w="0" w:type="auto"/>
            <w:shd w:val="clear" w:color="auto" w:fill="FFFFFF" w:themeFill="background1"/>
            <w:vAlign w:val="center"/>
            <w:hideMark/>
          </w:tcPr>
          <w:p w14:paraId="6126904F"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6.628</w:t>
            </w:r>
          </w:p>
        </w:tc>
        <w:tc>
          <w:tcPr>
            <w:tcW w:w="0" w:type="auto"/>
            <w:shd w:val="clear" w:color="auto" w:fill="FFFFFF" w:themeFill="background1"/>
            <w:vAlign w:val="center"/>
            <w:hideMark/>
          </w:tcPr>
          <w:p w14:paraId="1F7B0230"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5.331</w:t>
            </w:r>
          </w:p>
        </w:tc>
        <w:tc>
          <w:tcPr>
            <w:tcW w:w="738" w:type="dxa"/>
            <w:shd w:val="clear" w:color="auto" w:fill="FFFFFF" w:themeFill="background1"/>
            <w:vAlign w:val="center"/>
            <w:hideMark/>
          </w:tcPr>
          <w:p w14:paraId="4D0FBCF6"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 </w:t>
            </w:r>
          </w:p>
        </w:tc>
      </w:tr>
      <w:tr w:rsidR="0098691F" w14:paraId="446E6EA4" w14:textId="77777777" w:rsidTr="005807C9">
        <w:trPr>
          <w:trHeight w:val="300"/>
        </w:trPr>
        <w:tc>
          <w:tcPr>
            <w:tcW w:w="0" w:type="auto"/>
            <w:noWrap/>
            <w:vAlign w:val="center"/>
            <w:hideMark/>
          </w:tcPr>
          <w:p w14:paraId="3E4CF2C2"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julio</w:t>
            </w:r>
          </w:p>
        </w:tc>
        <w:tc>
          <w:tcPr>
            <w:tcW w:w="0" w:type="auto"/>
            <w:shd w:val="clear" w:color="auto" w:fill="FFFFFF" w:themeFill="background1"/>
            <w:noWrap/>
            <w:vAlign w:val="center"/>
            <w:hideMark/>
          </w:tcPr>
          <w:p w14:paraId="2909C7A2"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7.152</w:t>
            </w:r>
          </w:p>
        </w:tc>
        <w:tc>
          <w:tcPr>
            <w:tcW w:w="0" w:type="auto"/>
            <w:shd w:val="clear" w:color="auto" w:fill="FFFFFF" w:themeFill="background1"/>
            <w:noWrap/>
            <w:vAlign w:val="center"/>
            <w:hideMark/>
          </w:tcPr>
          <w:p w14:paraId="773C4C71"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7.044</w:t>
            </w:r>
          </w:p>
        </w:tc>
        <w:tc>
          <w:tcPr>
            <w:tcW w:w="0" w:type="auto"/>
            <w:shd w:val="clear" w:color="auto" w:fill="FFFFFF" w:themeFill="background1"/>
            <w:noWrap/>
            <w:vAlign w:val="center"/>
            <w:hideMark/>
          </w:tcPr>
          <w:p w14:paraId="5F4D8CE6"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6.561</w:t>
            </w:r>
          </w:p>
        </w:tc>
        <w:tc>
          <w:tcPr>
            <w:tcW w:w="0" w:type="auto"/>
            <w:shd w:val="clear" w:color="auto" w:fill="FFFFFF" w:themeFill="background1"/>
            <w:noWrap/>
            <w:vAlign w:val="center"/>
            <w:hideMark/>
          </w:tcPr>
          <w:p w14:paraId="3D234B84"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6.267</w:t>
            </w:r>
          </w:p>
        </w:tc>
        <w:tc>
          <w:tcPr>
            <w:tcW w:w="0" w:type="auto"/>
            <w:shd w:val="clear" w:color="auto" w:fill="FFFFFF" w:themeFill="background1"/>
            <w:noWrap/>
            <w:vAlign w:val="center"/>
            <w:hideMark/>
          </w:tcPr>
          <w:p w14:paraId="0E14D961"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7.788</w:t>
            </w:r>
          </w:p>
        </w:tc>
        <w:tc>
          <w:tcPr>
            <w:tcW w:w="0" w:type="auto"/>
            <w:shd w:val="clear" w:color="auto" w:fill="FFFFFF" w:themeFill="background1"/>
            <w:noWrap/>
            <w:vAlign w:val="center"/>
            <w:hideMark/>
          </w:tcPr>
          <w:p w14:paraId="50E40A38"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5.048</w:t>
            </w:r>
          </w:p>
        </w:tc>
        <w:tc>
          <w:tcPr>
            <w:tcW w:w="0" w:type="auto"/>
            <w:shd w:val="clear" w:color="auto" w:fill="FFFFFF" w:themeFill="background1"/>
            <w:noWrap/>
            <w:vAlign w:val="center"/>
            <w:hideMark/>
          </w:tcPr>
          <w:p w14:paraId="5768F815"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5.853</w:t>
            </w:r>
          </w:p>
        </w:tc>
        <w:tc>
          <w:tcPr>
            <w:tcW w:w="0" w:type="auto"/>
            <w:shd w:val="clear" w:color="auto" w:fill="FFFFFF" w:themeFill="background1"/>
            <w:noWrap/>
            <w:vAlign w:val="center"/>
            <w:hideMark/>
          </w:tcPr>
          <w:p w14:paraId="7102337D"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0</w:t>
            </w:r>
          </w:p>
        </w:tc>
        <w:tc>
          <w:tcPr>
            <w:tcW w:w="0" w:type="auto"/>
            <w:shd w:val="clear" w:color="auto" w:fill="FFFFFF" w:themeFill="background1"/>
            <w:noWrap/>
            <w:vAlign w:val="center"/>
            <w:hideMark/>
          </w:tcPr>
          <w:p w14:paraId="7C7E37E5"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0</w:t>
            </w:r>
          </w:p>
        </w:tc>
        <w:tc>
          <w:tcPr>
            <w:tcW w:w="0" w:type="auto"/>
            <w:shd w:val="clear" w:color="auto" w:fill="FFFFFF" w:themeFill="background1"/>
            <w:vAlign w:val="center"/>
            <w:hideMark/>
          </w:tcPr>
          <w:p w14:paraId="11334534"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5.515</w:t>
            </w:r>
          </w:p>
        </w:tc>
        <w:tc>
          <w:tcPr>
            <w:tcW w:w="0" w:type="auto"/>
            <w:shd w:val="clear" w:color="auto" w:fill="FFFFFF" w:themeFill="background1"/>
            <w:vAlign w:val="center"/>
            <w:hideMark/>
          </w:tcPr>
          <w:p w14:paraId="76F29CDA"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5.634</w:t>
            </w:r>
          </w:p>
        </w:tc>
        <w:tc>
          <w:tcPr>
            <w:tcW w:w="0" w:type="auto"/>
            <w:shd w:val="clear" w:color="auto" w:fill="FFFFFF" w:themeFill="background1"/>
            <w:vAlign w:val="center"/>
            <w:hideMark/>
          </w:tcPr>
          <w:p w14:paraId="5478438A"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6.041</w:t>
            </w:r>
          </w:p>
        </w:tc>
        <w:tc>
          <w:tcPr>
            <w:tcW w:w="0" w:type="auto"/>
            <w:shd w:val="clear" w:color="auto" w:fill="FFFFFF" w:themeFill="background1"/>
            <w:vAlign w:val="center"/>
            <w:hideMark/>
          </w:tcPr>
          <w:p w14:paraId="24C3F826"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5.730</w:t>
            </w:r>
          </w:p>
        </w:tc>
        <w:tc>
          <w:tcPr>
            <w:tcW w:w="738" w:type="dxa"/>
            <w:shd w:val="clear" w:color="auto" w:fill="FFFFFF" w:themeFill="background1"/>
            <w:vAlign w:val="center"/>
            <w:hideMark/>
          </w:tcPr>
          <w:p w14:paraId="0D139CAE"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 </w:t>
            </w:r>
          </w:p>
        </w:tc>
      </w:tr>
      <w:tr w:rsidR="0098691F" w14:paraId="50D0E0FD" w14:textId="77777777" w:rsidTr="005807C9">
        <w:trPr>
          <w:trHeight w:val="300"/>
        </w:trPr>
        <w:tc>
          <w:tcPr>
            <w:tcW w:w="0" w:type="auto"/>
            <w:noWrap/>
            <w:vAlign w:val="center"/>
            <w:hideMark/>
          </w:tcPr>
          <w:p w14:paraId="5B976297"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agosto</w:t>
            </w:r>
          </w:p>
        </w:tc>
        <w:tc>
          <w:tcPr>
            <w:tcW w:w="0" w:type="auto"/>
            <w:shd w:val="clear" w:color="auto" w:fill="FFFFFF" w:themeFill="background1"/>
            <w:noWrap/>
            <w:vAlign w:val="center"/>
            <w:hideMark/>
          </w:tcPr>
          <w:p w14:paraId="59AE32F7"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4.156</w:t>
            </w:r>
          </w:p>
        </w:tc>
        <w:tc>
          <w:tcPr>
            <w:tcW w:w="0" w:type="auto"/>
            <w:shd w:val="clear" w:color="auto" w:fill="FFFFFF" w:themeFill="background1"/>
            <w:noWrap/>
            <w:vAlign w:val="center"/>
            <w:hideMark/>
          </w:tcPr>
          <w:p w14:paraId="0AE60E18"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5.224</w:t>
            </w:r>
          </w:p>
        </w:tc>
        <w:tc>
          <w:tcPr>
            <w:tcW w:w="0" w:type="auto"/>
            <w:shd w:val="clear" w:color="auto" w:fill="FFFFFF" w:themeFill="background1"/>
            <w:noWrap/>
            <w:vAlign w:val="center"/>
            <w:hideMark/>
          </w:tcPr>
          <w:p w14:paraId="36B75276"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6.223</w:t>
            </w:r>
          </w:p>
        </w:tc>
        <w:tc>
          <w:tcPr>
            <w:tcW w:w="0" w:type="auto"/>
            <w:shd w:val="clear" w:color="auto" w:fill="FFFFFF" w:themeFill="background1"/>
            <w:noWrap/>
            <w:vAlign w:val="center"/>
            <w:hideMark/>
          </w:tcPr>
          <w:p w14:paraId="31E344FF"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5.772</w:t>
            </w:r>
          </w:p>
        </w:tc>
        <w:tc>
          <w:tcPr>
            <w:tcW w:w="0" w:type="auto"/>
            <w:shd w:val="clear" w:color="auto" w:fill="FFFFFF" w:themeFill="background1"/>
            <w:noWrap/>
            <w:vAlign w:val="center"/>
            <w:hideMark/>
          </w:tcPr>
          <w:p w14:paraId="76DAB317"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7.717</w:t>
            </w:r>
          </w:p>
        </w:tc>
        <w:tc>
          <w:tcPr>
            <w:tcW w:w="0" w:type="auto"/>
            <w:shd w:val="clear" w:color="auto" w:fill="FFFFFF" w:themeFill="background1"/>
            <w:noWrap/>
            <w:vAlign w:val="center"/>
            <w:hideMark/>
          </w:tcPr>
          <w:p w14:paraId="3F156BFF"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5.693</w:t>
            </w:r>
          </w:p>
        </w:tc>
        <w:tc>
          <w:tcPr>
            <w:tcW w:w="0" w:type="auto"/>
            <w:shd w:val="clear" w:color="auto" w:fill="FFFFFF" w:themeFill="background1"/>
            <w:noWrap/>
            <w:vAlign w:val="center"/>
            <w:hideMark/>
          </w:tcPr>
          <w:p w14:paraId="33DCEC2E"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6.404</w:t>
            </w:r>
          </w:p>
        </w:tc>
        <w:tc>
          <w:tcPr>
            <w:tcW w:w="0" w:type="auto"/>
            <w:shd w:val="clear" w:color="auto" w:fill="FFFFFF" w:themeFill="background1"/>
            <w:noWrap/>
            <w:vAlign w:val="center"/>
            <w:hideMark/>
          </w:tcPr>
          <w:p w14:paraId="3D5D72AF"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0</w:t>
            </w:r>
          </w:p>
        </w:tc>
        <w:tc>
          <w:tcPr>
            <w:tcW w:w="0" w:type="auto"/>
            <w:shd w:val="clear" w:color="auto" w:fill="FFFFFF" w:themeFill="background1"/>
            <w:noWrap/>
            <w:vAlign w:val="center"/>
            <w:hideMark/>
          </w:tcPr>
          <w:p w14:paraId="45057279"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0</w:t>
            </w:r>
          </w:p>
        </w:tc>
        <w:tc>
          <w:tcPr>
            <w:tcW w:w="0" w:type="auto"/>
            <w:shd w:val="clear" w:color="auto" w:fill="FFFFFF" w:themeFill="background1"/>
            <w:vAlign w:val="center"/>
            <w:hideMark/>
          </w:tcPr>
          <w:p w14:paraId="7D05700F"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5.462</w:t>
            </w:r>
          </w:p>
        </w:tc>
        <w:tc>
          <w:tcPr>
            <w:tcW w:w="0" w:type="auto"/>
            <w:shd w:val="clear" w:color="auto" w:fill="FFFFFF" w:themeFill="background1"/>
            <w:vAlign w:val="center"/>
            <w:hideMark/>
          </w:tcPr>
          <w:p w14:paraId="54A8E310"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5.128</w:t>
            </w:r>
          </w:p>
        </w:tc>
        <w:tc>
          <w:tcPr>
            <w:tcW w:w="0" w:type="auto"/>
            <w:shd w:val="clear" w:color="auto" w:fill="FFFFFF" w:themeFill="background1"/>
            <w:vAlign w:val="center"/>
            <w:hideMark/>
          </w:tcPr>
          <w:p w14:paraId="6E1BC124"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5.841</w:t>
            </w:r>
          </w:p>
        </w:tc>
        <w:tc>
          <w:tcPr>
            <w:tcW w:w="0" w:type="auto"/>
            <w:shd w:val="clear" w:color="auto" w:fill="FFFFFF" w:themeFill="background1"/>
            <w:vAlign w:val="center"/>
            <w:hideMark/>
          </w:tcPr>
          <w:p w14:paraId="39CD643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3.035</w:t>
            </w:r>
          </w:p>
        </w:tc>
        <w:tc>
          <w:tcPr>
            <w:tcW w:w="738" w:type="dxa"/>
            <w:shd w:val="clear" w:color="auto" w:fill="FFFFFF" w:themeFill="background1"/>
            <w:vAlign w:val="center"/>
            <w:hideMark/>
          </w:tcPr>
          <w:p w14:paraId="178B29D7"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 </w:t>
            </w:r>
          </w:p>
        </w:tc>
      </w:tr>
      <w:tr w:rsidR="0098691F" w14:paraId="0B95BED8" w14:textId="77777777" w:rsidTr="005807C9">
        <w:trPr>
          <w:trHeight w:val="300"/>
        </w:trPr>
        <w:tc>
          <w:tcPr>
            <w:tcW w:w="0" w:type="auto"/>
            <w:noWrap/>
            <w:vAlign w:val="center"/>
            <w:hideMark/>
          </w:tcPr>
          <w:p w14:paraId="7854397A"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septiembre</w:t>
            </w:r>
          </w:p>
        </w:tc>
        <w:tc>
          <w:tcPr>
            <w:tcW w:w="0" w:type="auto"/>
            <w:shd w:val="clear" w:color="auto" w:fill="FFFFFF" w:themeFill="background1"/>
            <w:noWrap/>
            <w:vAlign w:val="center"/>
            <w:hideMark/>
          </w:tcPr>
          <w:p w14:paraId="522DE8EB"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6.130</w:t>
            </w:r>
          </w:p>
        </w:tc>
        <w:tc>
          <w:tcPr>
            <w:tcW w:w="0" w:type="auto"/>
            <w:shd w:val="clear" w:color="auto" w:fill="FFFFFF" w:themeFill="background1"/>
            <w:noWrap/>
            <w:vAlign w:val="center"/>
            <w:hideMark/>
          </w:tcPr>
          <w:p w14:paraId="464D52EB"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4.959</w:t>
            </w:r>
          </w:p>
        </w:tc>
        <w:tc>
          <w:tcPr>
            <w:tcW w:w="0" w:type="auto"/>
            <w:shd w:val="clear" w:color="auto" w:fill="FFFFFF" w:themeFill="background1"/>
            <w:noWrap/>
            <w:vAlign w:val="center"/>
            <w:hideMark/>
          </w:tcPr>
          <w:p w14:paraId="1F72C928"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5.452</w:t>
            </w:r>
          </w:p>
        </w:tc>
        <w:tc>
          <w:tcPr>
            <w:tcW w:w="0" w:type="auto"/>
            <w:shd w:val="clear" w:color="auto" w:fill="FFFFFF" w:themeFill="background1"/>
            <w:noWrap/>
            <w:vAlign w:val="center"/>
            <w:hideMark/>
          </w:tcPr>
          <w:p w14:paraId="119BB776"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5.735</w:t>
            </w:r>
          </w:p>
        </w:tc>
        <w:tc>
          <w:tcPr>
            <w:tcW w:w="0" w:type="auto"/>
            <w:shd w:val="clear" w:color="auto" w:fill="FFFFFF" w:themeFill="background1"/>
            <w:noWrap/>
            <w:vAlign w:val="center"/>
            <w:hideMark/>
          </w:tcPr>
          <w:p w14:paraId="1DD9D8A0"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7.031</w:t>
            </w:r>
          </w:p>
        </w:tc>
        <w:tc>
          <w:tcPr>
            <w:tcW w:w="0" w:type="auto"/>
            <w:shd w:val="clear" w:color="auto" w:fill="FFFFFF" w:themeFill="background1"/>
            <w:noWrap/>
            <w:vAlign w:val="center"/>
            <w:hideMark/>
          </w:tcPr>
          <w:p w14:paraId="495832CA"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6.400</w:t>
            </w:r>
          </w:p>
        </w:tc>
        <w:tc>
          <w:tcPr>
            <w:tcW w:w="0" w:type="auto"/>
            <w:shd w:val="clear" w:color="auto" w:fill="FFFFFF" w:themeFill="background1"/>
            <w:noWrap/>
            <w:vAlign w:val="center"/>
            <w:hideMark/>
          </w:tcPr>
          <w:p w14:paraId="57A13FDB"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6.111</w:t>
            </w:r>
          </w:p>
        </w:tc>
        <w:tc>
          <w:tcPr>
            <w:tcW w:w="0" w:type="auto"/>
            <w:shd w:val="clear" w:color="auto" w:fill="FFFFFF" w:themeFill="background1"/>
            <w:noWrap/>
            <w:vAlign w:val="center"/>
            <w:hideMark/>
          </w:tcPr>
          <w:p w14:paraId="601B918B"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0</w:t>
            </w:r>
          </w:p>
        </w:tc>
        <w:tc>
          <w:tcPr>
            <w:tcW w:w="0" w:type="auto"/>
            <w:shd w:val="clear" w:color="auto" w:fill="FFFFFF" w:themeFill="background1"/>
            <w:noWrap/>
            <w:vAlign w:val="center"/>
            <w:hideMark/>
          </w:tcPr>
          <w:p w14:paraId="1CAB6B4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522</w:t>
            </w:r>
          </w:p>
        </w:tc>
        <w:tc>
          <w:tcPr>
            <w:tcW w:w="0" w:type="auto"/>
            <w:shd w:val="clear" w:color="auto" w:fill="FFFFFF" w:themeFill="background1"/>
            <w:vAlign w:val="center"/>
            <w:hideMark/>
          </w:tcPr>
          <w:p w14:paraId="7740085D"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5.262</w:t>
            </w:r>
          </w:p>
        </w:tc>
        <w:tc>
          <w:tcPr>
            <w:tcW w:w="0" w:type="auto"/>
            <w:shd w:val="clear" w:color="auto" w:fill="FFFFFF" w:themeFill="background1"/>
            <w:vAlign w:val="center"/>
            <w:hideMark/>
          </w:tcPr>
          <w:p w14:paraId="6E8DDC1B"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5.184</w:t>
            </w:r>
          </w:p>
        </w:tc>
        <w:tc>
          <w:tcPr>
            <w:tcW w:w="0" w:type="auto"/>
            <w:shd w:val="clear" w:color="auto" w:fill="FFFFFF" w:themeFill="background1"/>
            <w:vAlign w:val="center"/>
            <w:hideMark/>
          </w:tcPr>
          <w:p w14:paraId="5341EF9E"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6.241</w:t>
            </w:r>
          </w:p>
        </w:tc>
        <w:tc>
          <w:tcPr>
            <w:tcW w:w="0" w:type="auto"/>
            <w:shd w:val="clear" w:color="auto" w:fill="FFFFFF" w:themeFill="background1"/>
            <w:vAlign w:val="center"/>
            <w:hideMark/>
          </w:tcPr>
          <w:p w14:paraId="23926B53"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4.819</w:t>
            </w:r>
          </w:p>
        </w:tc>
        <w:tc>
          <w:tcPr>
            <w:tcW w:w="738" w:type="dxa"/>
            <w:shd w:val="clear" w:color="auto" w:fill="FFFFFF" w:themeFill="background1"/>
            <w:vAlign w:val="center"/>
            <w:hideMark/>
          </w:tcPr>
          <w:p w14:paraId="432C0A59"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 </w:t>
            </w:r>
          </w:p>
        </w:tc>
      </w:tr>
      <w:tr w:rsidR="0098691F" w14:paraId="0CE63D83" w14:textId="77777777" w:rsidTr="005807C9">
        <w:trPr>
          <w:trHeight w:val="300"/>
        </w:trPr>
        <w:tc>
          <w:tcPr>
            <w:tcW w:w="0" w:type="auto"/>
            <w:noWrap/>
            <w:vAlign w:val="center"/>
            <w:hideMark/>
          </w:tcPr>
          <w:p w14:paraId="0AC71507"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lastRenderedPageBreak/>
              <w:t>octubre</w:t>
            </w:r>
          </w:p>
        </w:tc>
        <w:tc>
          <w:tcPr>
            <w:tcW w:w="0" w:type="auto"/>
            <w:shd w:val="clear" w:color="auto" w:fill="FFFFFF" w:themeFill="background1"/>
            <w:noWrap/>
            <w:vAlign w:val="center"/>
            <w:hideMark/>
          </w:tcPr>
          <w:p w14:paraId="127E55A2"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4.193</w:t>
            </w:r>
          </w:p>
        </w:tc>
        <w:tc>
          <w:tcPr>
            <w:tcW w:w="0" w:type="auto"/>
            <w:shd w:val="clear" w:color="auto" w:fill="FFFFFF" w:themeFill="background1"/>
            <w:noWrap/>
            <w:vAlign w:val="center"/>
            <w:hideMark/>
          </w:tcPr>
          <w:p w14:paraId="13A7E226"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6.098</w:t>
            </w:r>
          </w:p>
        </w:tc>
        <w:tc>
          <w:tcPr>
            <w:tcW w:w="0" w:type="auto"/>
            <w:shd w:val="clear" w:color="auto" w:fill="FFFFFF" w:themeFill="background1"/>
            <w:noWrap/>
            <w:vAlign w:val="center"/>
            <w:hideMark/>
          </w:tcPr>
          <w:p w14:paraId="2A9B8B6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5.789</w:t>
            </w:r>
          </w:p>
        </w:tc>
        <w:tc>
          <w:tcPr>
            <w:tcW w:w="0" w:type="auto"/>
            <w:shd w:val="clear" w:color="auto" w:fill="FFFFFF" w:themeFill="background1"/>
            <w:noWrap/>
            <w:vAlign w:val="center"/>
            <w:hideMark/>
          </w:tcPr>
          <w:p w14:paraId="2C4069E1"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7.057</w:t>
            </w:r>
          </w:p>
        </w:tc>
        <w:tc>
          <w:tcPr>
            <w:tcW w:w="0" w:type="auto"/>
            <w:shd w:val="clear" w:color="auto" w:fill="FFFFFF" w:themeFill="background1"/>
            <w:noWrap/>
            <w:vAlign w:val="center"/>
            <w:hideMark/>
          </w:tcPr>
          <w:p w14:paraId="3E2AA6B1"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6.763</w:t>
            </w:r>
          </w:p>
        </w:tc>
        <w:tc>
          <w:tcPr>
            <w:tcW w:w="0" w:type="auto"/>
            <w:shd w:val="clear" w:color="auto" w:fill="FFFFFF" w:themeFill="background1"/>
            <w:noWrap/>
            <w:vAlign w:val="center"/>
            <w:hideMark/>
          </w:tcPr>
          <w:p w14:paraId="0549B8D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6.852</w:t>
            </w:r>
          </w:p>
        </w:tc>
        <w:tc>
          <w:tcPr>
            <w:tcW w:w="0" w:type="auto"/>
            <w:shd w:val="clear" w:color="auto" w:fill="FFFFFF" w:themeFill="background1"/>
            <w:noWrap/>
            <w:vAlign w:val="center"/>
            <w:hideMark/>
          </w:tcPr>
          <w:p w14:paraId="78457A41"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6.693</w:t>
            </w:r>
          </w:p>
        </w:tc>
        <w:tc>
          <w:tcPr>
            <w:tcW w:w="0" w:type="auto"/>
            <w:shd w:val="clear" w:color="auto" w:fill="FFFFFF" w:themeFill="background1"/>
            <w:noWrap/>
            <w:vAlign w:val="center"/>
            <w:hideMark/>
          </w:tcPr>
          <w:p w14:paraId="1C700182"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1.494</w:t>
            </w:r>
          </w:p>
        </w:tc>
        <w:tc>
          <w:tcPr>
            <w:tcW w:w="0" w:type="auto"/>
            <w:shd w:val="clear" w:color="auto" w:fill="FFFFFF" w:themeFill="background1"/>
            <w:noWrap/>
            <w:vAlign w:val="center"/>
            <w:hideMark/>
          </w:tcPr>
          <w:p w14:paraId="0FF68F4D"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4.286</w:t>
            </w:r>
          </w:p>
        </w:tc>
        <w:tc>
          <w:tcPr>
            <w:tcW w:w="0" w:type="auto"/>
            <w:shd w:val="clear" w:color="auto" w:fill="FFFFFF" w:themeFill="background1"/>
            <w:vAlign w:val="center"/>
            <w:hideMark/>
          </w:tcPr>
          <w:p w14:paraId="00E443D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5.135</w:t>
            </w:r>
          </w:p>
        </w:tc>
        <w:tc>
          <w:tcPr>
            <w:tcW w:w="0" w:type="auto"/>
            <w:shd w:val="clear" w:color="auto" w:fill="FFFFFF" w:themeFill="background1"/>
            <w:vAlign w:val="center"/>
            <w:hideMark/>
          </w:tcPr>
          <w:p w14:paraId="500BFBF4"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5.409</w:t>
            </w:r>
          </w:p>
        </w:tc>
        <w:tc>
          <w:tcPr>
            <w:tcW w:w="0" w:type="auto"/>
            <w:shd w:val="clear" w:color="auto" w:fill="FFFFFF" w:themeFill="background1"/>
            <w:vAlign w:val="center"/>
            <w:hideMark/>
          </w:tcPr>
          <w:p w14:paraId="76CD9FD9"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5.926</w:t>
            </w:r>
          </w:p>
        </w:tc>
        <w:tc>
          <w:tcPr>
            <w:tcW w:w="0" w:type="auto"/>
            <w:shd w:val="clear" w:color="auto" w:fill="FFFFFF" w:themeFill="background1"/>
            <w:vAlign w:val="center"/>
            <w:hideMark/>
          </w:tcPr>
          <w:p w14:paraId="497A35D4"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5.104</w:t>
            </w:r>
          </w:p>
        </w:tc>
        <w:tc>
          <w:tcPr>
            <w:tcW w:w="738" w:type="dxa"/>
            <w:shd w:val="clear" w:color="auto" w:fill="FFFFFF" w:themeFill="background1"/>
            <w:vAlign w:val="center"/>
            <w:hideMark/>
          </w:tcPr>
          <w:p w14:paraId="706FD25D"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 </w:t>
            </w:r>
          </w:p>
        </w:tc>
      </w:tr>
      <w:tr w:rsidR="0098691F" w14:paraId="6FCE2338" w14:textId="77777777" w:rsidTr="005807C9">
        <w:trPr>
          <w:trHeight w:val="300"/>
        </w:trPr>
        <w:tc>
          <w:tcPr>
            <w:tcW w:w="0" w:type="auto"/>
            <w:noWrap/>
            <w:vAlign w:val="center"/>
            <w:hideMark/>
          </w:tcPr>
          <w:p w14:paraId="77D28AA7"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noviembre</w:t>
            </w:r>
          </w:p>
        </w:tc>
        <w:tc>
          <w:tcPr>
            <w:tcW w:w="0" w:type="auto"/>
            <w:shd w:val="clear" w:color="auto" w:fill="FFFFFF" w:themeFill="background1"/>
            <w:noWrap/>
            <w:vAlign w:val="center"/>
            <w:hideMark/>
          </w:tcPr>
          <w:p w14:paraId="631E0E1E"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4.717</w:t>
            </w:r>
          </w:p>
        </w:tc>
        <w:tc>
          <w:tcPr>
            <w:tcW w:w="0" w:type="auto"/>
            <w:shd w:val="clear" w:color="auto" w:fill="FFFFFF" w:themeFill="background1"/>
            <w:noWrap/>
            <w:vAlign w:val="center"/>
            <w:hideMark/>
          </w:tcPr>
          <w:p w14:paraId="13109301"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6.306</w:t>
            </w:r>
          </w:p>
        </w:tc>
        <w:tc>
          <w:tcPr>
            <w:tcW w:w="0" w:type="auto"/>
            <w:shd w:val="clear" w:color="auto" w:fill="FFFFFF" w:themeFill="background1"/>
            <w:noWrap/>
            <w:vAlign w:val="center"/>
            <w:hideMark/>
          </w:tcPr>
          <w:p w14:paraId="7DE45BB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6.248</w:t>
            </w:r>
          </w:p>
        </w:tc>
        <w:tc>
          <w:tcPr>
            <w:tcW w:w="0" w:type="auto"/>
            <w:shd w:val="clear" w:color="auto" w:fill="FFFFFF" w:themeFill="background1"/>
            <w:noWrap/>
            <w:vAlign w:val="center"/>
            <w:hideMark/>
          </w:tcPr>
          <w:p w14:paraId="3CA03B5A"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6.745</w:t>
            </w:r>
          </w:p>
        </w:tc>
        <w:tc>
          <w:tcPr>
            <w:tcW w:w="0" w:type="auto"/>
            <w:noWrap/>
            <w:vAlign w:val="center"/>
            <w:hideMark/>
          </w:tcPr>
          <w:p w14:paraId="6A11AF81"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7.013</w:t>
            </w:r>
          </w:p>
        </w:tc>
        <w:tc>
          <w:tcPr>
            <w:tcW w:w="0" w:type="auto"/>
            <w:noWrap/>
            <w:vAlign w:val="center"/>
            <w:hideMark/>
          </w:tcPr>
          <w:p w14:paraId="4386D077"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6.132</w:t>
            </w:r>
          </w:p>
        </w:tc>
        <w:tc>
          <w:tcPr>
            <w:tcW w:w="0" w:type="auto"/>
            <w:noWrap/>
            <w:vAlign w:val="center"/>
            <w:hideMark/>
          </w:tcPr>
          <w:p w14:paraId="25F82E96"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5.457</w:t>
            </w:r>
          </w:p>
        </w:tc>
        <w:tc>
          <w:tcPr>
            <w:tcW w:w="0" w:type="auto"/>
            <w:noWrap/>
            <w:vAlign w:val="center"/>
            <w:hideMark/>
          </w:tcPr>
          <w:p w14:paraId="3D2003AA"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2.038</w:t>
            </w:r>
          </w:p>
        </w:tc>
        <w:tc>
          <w:tcPr>
            <w:tcW w:w="0" w:type="auto"/>
            <w:noWrap/>
            <w:vAlign w:val="center"/>
            <w:hideMark/>
          </w:tcPr>
          <w:p w14:paraId="10395C10"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4.693</w:t>
            </w:r>
          </w:p>
        </w:tc>
        <w:tc>
          <w:tcPr>
            <w:tcW w:w="0" w:type="auto"/>
            <w:vAlign w:val="center"/>
            <w:hideMark/>
          </w:tcPr>
          <w:p w14:paraId="038D9A59"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5.323</w:t>
            </w:r>
          </w:p>
        </w:tc>
        <w:tc>
          <w:tcPr>
            <w:tcW w:w="0" w:type="auto"/>
            <w:vAlign w:val="center"/>
            <w:hideMark/>
          </w:tcPr>
          <w:p w14:paraId="6A66F536"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5.370</w:t>
            </w:r>
          </w:p>
        </w:tc>
        <w:tc>
          <w:tcPr>
            <w:tcW w:w="0" w:type="auto"/>
            <w:vAlign w:val="center"/>
            <w:hideMark/>
          </w:tcPr>
          <w:p w14:paraId="0ADA1141"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5.605</w:t>
            </w:r>
          </w:p>
        </w:tc>
        <w:tc>
          <w:tcPr>
            <w:tcW w:w="0" w:type="auto"/>
            <w:vAlign w:val="center"/>
            <w:hideMark/>
          </w:tcPr>
          <w:p w14:paraId="6AD4AF05"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5.461</w:t>
            </w:r>
          </w:p>
        </w:tc>
        <w:tc>
          <w:tcPr>
            <w:tcW w:w="738" w:type="dxa"/>
            <w:vAlign w:val="center"/>
            <w:hideMark/>
          </w:tcPr>
          <w:p w14:paraId="7C4B4CC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 </w:t>
            </w:r>
          </w:p>
        </w:tc>
      </w:tr>
      <w:tr w:rsidR="0098691F" w14:paraId="13655AE6" w14:textId="77777777" w:rsidTr="005807C9">
        <w:trPr>
          <w:trHeight w:val="300"/>
        </w:trPr>
        <w:tc>
          <w:tcPr>
            <w:tcW w:w="0" w:type="auto"/>
            <w:noWrap/>
            <w:vAlign w:val="center"/>
            <w:hideMark/>
          </w:tcPr>
          <w:p w14:paraId="522A17F3"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diciembre</w:t>
            </w:r>
          </w:p>
        </w:tc>
        <w:tc>
          <w:tcPr>
            <w:tcW w:w="0" w:type="auto"/>
            <w:shd w:val="clear" w:color="auto" w:fill="FFFFFF" w:themeFill="background1"/>
            <w:noWrap/>
            <w:vAlign w:val="center"/>
            <w:hideMark/>
          </w:tcPr>
          <w:p w14:paraId="33E5A1D1"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6.830</w:t>
            </w:r>
          </w:p>
        </w:tc>
        <w:tc>
          <w:tcPr>
            <w:tcW w:w="0" w:type="auto"/>
            <w:shd w:val="clear" w:color="auto" w:fill="FFFFFF" w:themeFill="background1"/>
            <w:noWrap/>
            <w:vAlign w:val="center"/>
            <w:hideMark/>
          </w:tcPr>
          <w:p w14:paraId="0B7D8EEB"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7.662</w:t>
            </w:r>
          </w:p>
        </w:tc>
        <w:tc>
          <w:tcPr>
            <w:tcW w:w="0" w:type="auto"/>
            <w:shd w:val="clear" w:color="auto" w:fill="FFFFFF" w:themeFill="background1"/>
            <w:noWrap/>
            <w:vAlign w:val="center"/>
            <w:hideMark/>
          </w:tcPr>
          <w:p w14:paraId="6AE0857D"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8.070</w:t>
            </w:r>
          </w:p>
        </w:tc>
        <w:tc>
          <w:tcPr>
            <w:tcW w:w="0" w:type="auto"/>
            <w:shd w:val="clear" w:color="auto" w:fill="FFFFFF" w:themeFill="background1"/>
            <w:noWrap/>
            <w:vAlign w:val="center"/>
            <w:hideMark/>
          </w:tcPr>
          <w:p w14:paraId="426E0E7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8.138</w:t>
            </w:r>
          </w:p>
        </w:tc>
        <w:tc>
          <w:tcPr>
            <w:tcW w:w="0" w:type="auto"/>
            <w:shd w:val="clear" w:color="auto" w:fill="FFFFFF" w:themeFill="background1"/>
            <w:noWrap/>
            <w:vAlign w:val="center"/>
            <w:hideMark/>
          </w:tcPr>
          <w:p w14:paraId="132E917A"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6.758</w:t>
            </w:r>
          </w:p>
        </w:tc>
        <w:tc>
          <w:tcPr>
            <w:tcW w:w="0" w:type="auto"/>
            <w:shd w:val="clear" w:color="auto" w:fill="FFFFFF" w:themeFill="background1"/>
            <w:noWrap/>
            <w:vAlign w:val="center"/>
            <w:hideMark/>
          </w:tcPr>
          <w:p w14:paraId="7C8FB468"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8.880</w:t>
            </w:r>
          </w:p>
        </w:tc>
        <w:tc>
          <w:tcPr>
            <w:tcW w:w="0" w:type="auto"/>
            <w:shd w:val="clear" w:color="auto" w:fill="FFFFFF" w:themeFill="background1"/>
            <w:noWrap/>
            <w:vAlign w:val="center"/>
            <w:hideMark/>
          </w:tcPr>
          <w:p w14:paraId="3008F7BD"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6.900</w:t>
            </w:r>
          </w:p>
        </w:tc>
        <w:tc>
          <w:tcPr>
            <w:tcW w:w="0" w:type="auto"/>
            <w:shd w:val="clear" w:color="auto" w:fill="FFFFFF" w:themeFill="background1"/>
            <w:noWrap/>
            <w:vAlign w:val="center"/>
            <w:hideMark/>
          </w:tcPr>
          <w:p w14:paraId="6314CE2C"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3.567</w:t>
            </w:r>
          </w:p>
        </w:tc>
        <w:tc>
          <w:tcPr>
            <w:tcW w:w="0" w:type="auto"/>
            <w:shd w:val="clear" w:color="auto" w:fill="FFFFFF" w:themeFill="background1"/>
            <w:noWrap/>
            <w:vAlign w:val="center"/>
            <w:hideMark/>
          </w:tcPr>
          <w:p w14:paraId="303656E3"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5.498</w:t>
            </w:r>
          </w:p>
        </w:tc>
        <w:tc>
          <w:tcPr>
            <w:tcW w:w="0" w:type="auto"/>
            <w:shd w:val="clear" w:color="auto" w:fill="FFFFFF" w:themeFill="background1"/>
            <w:vAlign w:val="center"/>
            <w:hideMark/>
          </w:tcPr>
          <w:p w14:paraId="2FB00155"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6.281</w:t>
            </w:r>
          </w:p>
        </w:tc>
        <w:tc>
          <w:tcPr>
            <w:tcW w:w="0" w:type="auto"/>
            <w:shd w:val="clear" w:color="auto" w:fill="FFFFFF" w:themeFill="background1"/>
            <w:vAlign w:val="center"/>
            <w:hideMark/>
          </w:tcPr>
          <w:p w14:paraId="0E2FDC92"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5.877</w:t>
            </w:r>
          </w:p>
        </w:tc>
        <w:tc>
          <w:tcPr>
            <w:tcW w:w="0" w:type="auto"/>
            <w:shd w:val="clear" w:color="auto" w:fill="FFFFFF" w:themeFill="background1"/>
            <w:vAlign w:val="center"/>
            <w:hideMark/>
          </w:tcPr>
          <w:p w14:paraId="5D2D737A"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6.729</w:t>
            </w:r>
          </w:p>
        </w:tc>
        <w:tc>
          <w:tcPr>
            <w:tcW w:w="0" w:type="auto"/>
            <w:shd w:val="clear" w:color="auto" w:fill="FFFFFF" w:themeFill="background1"/>
            <w:vAlign w:val="center"/>
            <w:hideMark/>
          </w:tcPr>
          <w:p w14:paraId="33B3F021"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6.651</w:t>
            </w:r>
          </w:p>
        </w:tc>
        <w:tc>
          <w:tcPr>
            <w:tcW w:w="738" w:type="dxa"/>
            <w:shd w:val="clear" w:color="auto" w:fill="FFFFFF" w:themeFill="background1"/>
            <w:vAlign w:val="center"/>
            <w:hideMark/>
          </w:tcPr>
          <w:p w14:paraId="190FEF8B" w14:textId="77777777" w:rsidR="0098691F" w:rsidRDefault="0098691F" w:rsidP="005807C9">
            <w:pPr>
              <w:jc w:val="center"/>
              <w:rPr>
                <w:rFonts w:ascii="Calibri" w:hAnsi="Calibri" w:cs="Calibri"/>
                <w:color w:val="000000"/>
                <w:sz w:val="18"/>
                <w:szCs w:val="18"/>
              </w:rPr>
            </w:pPr>
            <w:r>
              <w:rPr>
                <w:rFonts w:ascii="Calibri" w:hAnsi="Calibri" w:cs="Calibri"/>
                <w:color w:val="000000"/>
                <w:sz w:val="18"/>
                <w:szCs w:val="18"/>
              </w:rPr>
              <w:t> </w:t>
            </w:r>
          </w:p>
        </w:tc>
      </w:tr>
      <w:tr w:rsidR="0098691F" w14:paraId="538E4547" w14:textId="77777777" w:rsidTr="005807C9">
        <w:trPr>
          <w:trHeight w:val="300"/>
        </w:trPr>
        <w:tc>
          <w:tcPr>
            <w:tcW w:w="0" w:type="auto"/>
            <w:shd w:val="clear" w:color="auto" w:fill="FFF2CC" w:themeFill="accent4" w:themeFillTint="33"/>
            <w:noWrap/>
            <w:vAlign w:val="center"/>
            <w:hideMark/>
          </w:tcPr>
          <w:p w14:paraId="325CF442"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TOTALES</w:t>
            </w:r>
          </w:p>
        </w:tc>
        <w:tc>
          <w:tcPr>
            <w:tcW w:w="0" w:type="auto"/>
            <w:shd w:val="clear" w:color="auto" w:fill="FFF2CC" w:themeFill="accent4" w:themeFillTint="33"/>
            <w:noWrap/>
            <w:vAlign w:val="center"/>
            <w:hideMark/>
          </w:tcPr>
          <w:p w14:paraId="3313657D"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74.256</w:t>
            </w:r>
          </w:p>
        </w:tc>
        <w:tc>
          <w:tcPr>
            <w:tcW w:w="0" w:type="auto"/>
            <w:shd w:val="clear" w:color="auto" w:fill="FFF2CC" w:themeFill="accent4" w:themeFillTint="33"/>
            <w:noWrap/>
            <w:vAlign w:val="center"/>
            <w:hideMark/>
          </w:tcPr>
          <w:p w14:paraId="0A293A44"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75.561</w:t>
            </w:r>
          </w:p>
        </w:tc>
        <w:tc>
          <w:tcPr>
            <w:tcW w:w="0" w:type="auto"/>
            <w:shd w:val="clear" w:color="auto" w:fill="FFF2CC" w:themeFill="accent4" w:themeFillTint="33"/>
            <w:noWrap/>
            <w:vAlign w:val="center"/>
            <w:hideMark/>
          </w:tcPr>
          <w:p w14:paraId="6AACEB9D"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72.827</w:t>
            </w:r>
          </w:p>
        </w:tc>
        <w:tc>
          <w:tcPr>
            <w:tcW w:w="0" w:type="auto"/>
            <w:shd w:val="clear" w:color="auto" w:fill="FFF2CC" w:themeFill="accent4" w:themeFillTint="33"/>
            <w:noWrap/>
            <w:vAlign w:val="center"/>
            <w:hideMark/>
          </w:tcPr>
          <w:p w14:paraId="06D7C69F"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73.475</w:t>
            </w:r>
          </w:p>
        </w:tc>
        <w:tc>
          <w:tcPr>
            <w:tcW w:w="0" w:type="auto"/>
            <w:shd w:val="clear" w:color="auto" w:fill="FFF2CC" w:themeFill="accent4" w:themeFillTint="33"/>
            <w:noWrap/>
            <w:vAlign w:val="center"/>
            <w:hideMark/>
          </w:tcPr>
          <w:p w14:paraId="1EEB7A69"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80.867</w:t>
            </w:r>
          </w:p>
        </w:tc>
        <w:tc>
          <w:tcPr>
            <w:tcW w:w="0" w:type="auto"/>
            <w:shd w:val="clear" w:color="auto" w:fill="FFF2CC" w:themeFill="accent4" w:themeFillTint="33"/>
            <w:noWrap/>
            <w:vAlign w:val="center"/>
            <w:hideMark/>
          </w:tcPr>
          <w:p w14:paraId="4AC3CDE8"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76.803</w:t>
            </w:r>
          </w:p>
        </w:tc>
        <w:tc>
          <w:tcPr>
            <w:tcW w:w="0" w:type="auto"/>
            <w:shd w:val="clear" w:color="auto" w:fill="FFF2CC" w:themeFill="accent4" w:themeFillTint="33"/>
            <w:noWrap/>
            <w:vAlign w:val="center"/>
            <w:hideMark/>
          </w:tcPr>
          <w:p w14:paraId="54BF2D39"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74.713</w:t>
            </w:r>
          </w:p>
        </w:tc>
        <w:tc>
          <w:tcPr>
            <w:tcW w:w="0" w:type="auto"/>
            <w:shd w:val="clear" w:color="auto" w:fill="FFF2CC" w:themeFill="accent4" w:themeFillTint="33"/>
            <w:noWrap/>
            <w:vAlign w:val="center"/>
            <w:hideMark/>
          </w:tcPr>
          <w:p w14:paraId="4536CBC8"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22.358</w:t>
            </w:r>
          </w:p>
        </w:tc>
        <w:tc>
          <w:tcPr>
            <w:tcW w:w="0" w:type="auto"/>
            <w:shd w:val="clear" w:color="auto" w:fill="FFF2CC" w:themeFill="accent4" w:themeFillTint="33"/>
            <w:noWrap/>
            <w:vAlign w:val="center"/>
            <w:hideMark/>
          </w:tcPr>
          <w:p w14:paraId="62349CF5"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27.525</w:t>
            </w:r>
          </w:p>
        </w:tc>
        <w:tc>
          <w:tcPr>
            <w:tcW w:w="0" w:type="auto"/>
            <w:shd w:val="clear" w:color="auto" w:fill="FFF2CC" w:themeFill="accent4" w:themeFillTint="33"/>
            <w:vAlign w:val="center"/>
            <w:hideMark/>
          </w:tcPr>
          <w:p w14:paraId="17765306"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64.489</w:t>
            </w:r>
          </w:p>
        </w:tc>
        <w:tc>
          <w:tcPr>
            <w:tcW w:w="0" w:type="auto"/>
            <w:shd w:val="clear" w:color="auto" w:fill="FFF2CC" w:themeFill="accent4" w:themeFillTint="33"/>
            <w:vAlign w:val="center"/>
            <w:hideMark/>
          </w:tcPr>
          <w:p w14:paraId="315BD5DD"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59.825</w:t>
            </w:r>
          </w:p>
        </w:tc>
        <w:tc>
          <w:tcPr>
            <w:tcW w:w="0" w:type="auto"/>
            <w:shd w:val="clear" w:color="auto" w:fill="FFF2CC" w:themeFill="accent4" w:themeFillTint="33"/>
            <w:vAlign w:val="center"/>
            <w:hideMark/>
          </w:tcPr>
          <w:p w14:paraId="2B283A1B"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71.558</w:t>
            </w:r>
          </w:p>
        </w:tc>
        <w:tc>
          <w:tcPr>
            <w:tcW w:w="0" w:type="auto"/>
            <w:shd w:val="clear" w:color="auto" w:fill="FFF2CC" w:themeFill="accent4" w:themeFillTint="33"/>
            <w:vAlign w:val="center"/>
            <w:hideMark/>
          </w:tcPr>
          <w:p w14:paraId="4149E7D7" w14:textId="77777777" w:rsidR="0098691F" w:rsidRDefault="0098691F" w:rsidP="005807C9">
            <w:pPr>
              <w:jc w:val="center"/>
              <w:rPr>
                <w:rFonts w:ascii="Calibri" w:hAnsi="Calibri" w:cs="Calibri"/>
                <w:b/>
                <w:bCs/>
                <w:color w:val="000000"/>
                <w:sz w:val="18"/>
                <w:szCs w:val="18"/>
              </w:rPr>
            </w:pPr>
            <w:r>
              <w:rPr>
                <w:rFonts w:ascii="Calibri" w:hAnsi="Calibri" w:cs="Calibri"/>
                <w:b/>
                <w:bCs/>
                <w:color w:val="000000"/>
                <w:sz w:val="18"/>
                <w:szCs w:val="18"/>
              </w:rPr>
              <w:t>61.444</w:t>
            </w:r>
          </w:p>
        </w:tc>
        <w:tc>
          <w:tcPr>
            <w:tcW w:w="738" w:type="dxa"/>
            <w:shd w:val="clear" w:color="auto" w:fill="FFF2CC" w:themeFill="accent4" w:themeFillTint="33"/>
            <w:vAlign w:val="center"/>
            <w:hideMark/>
          </w:tcPr>
          <w:p w14:paraId="4B4FE844" w14:textId="77777777" w:rsidR="0098691F" w:rsidRDefault="0098691F" w:rsidP="005807C9">
            <w:pPr>
              <w:jc w:val="center"/>
              <w:rPr>
                <w:rFonts w:ascii="Calibri" w:hAnsi="Calibri" w:cs="Calibri"/>
                <w:b/>
                <w:bCs/>
                <w:color w:val="000000"/>
                <w:sz w:val="18"/>
                <w:szCs w:val="18"/>
              </w:rPr>
            </w:pPr>
            <w:r w:rsidRPr="4AAF22FF">
              <w:rPr>
                <w:rFonts w:ascii="Calibri" w:hAnsi="Calibri" w:cs="Calibri"/>
                <w:b/>
                <w:bCs/>
                <w:color w:val="000000" w:themeColor="text1"/>
                <w:sz w:val="18"/>
                <w:szCs w:val="18"/>
              </w:rPr>
              <w:t>15.562</w:t>
            </w:r>
          </w:p>
        </w:tc>
      </w:tr>
    </w:tbl>
    <w:p w14:paraId="1404A710" w14:textId="77777777" w:rsidR="0098691F" w:rsidRDefault="0098691F" w:rsidP="0098691F">
      <w:pPr>
        <w:jc w:val="both"/>
        <w:rPr>
          <w:rFonts w:cstheme="minorHAnsi"/>
        </w:rPr>
      </w:pPr>
    </w:p>
    <w:p w14:paraId="1189C45E" w14:textId="77777777" w:rsidR="0098691F" w:rsidRPr="00BD3C37" w:rsidRDefault="0098691F" w:rsidP="0098691F">
      <w:pPr>
        <w:jc w:val="both"/>
        <w:rPr>
          <w:rFonts w:ascii="Times New Roman" w:hAnsi="Times New Roman" w:cs="Times New Roman"/>
          <w:sz w:val="24"/>
          <w:szCs w:val="24"/>
        </w:rPr>
      </w:pPr>
      <w:r w:rsidRPr="00BD3C37">
        <w:rPr>
          <w:rFonts w:ascii="Times New Roman" w:hAnsi="Times New Roman" w:cs="Times New Roman"/>
          <w:sz w:val="24"/>
          <w:szCs w:val="24"/>
        </w:rPr>
        <w:t>En el mes de marzo del 2026 se movilizaron 5.457 pasajeros.</w:t>
      </w:r>
    </w:p>
    <w:p w14:paraId="6D3EFC6C" w14:textId="77777777" w:rsidR="0098691F" w:rsidRPr="00BD3C37" w:rsidRDefault="0098691F" w:rsidP="0098691F">
      <w:pPr>
        <w:jc w:val="both"/>
        <w:rPr>
          <w:rFonts w:ascii="Times New Roman" w:hAnsi="Times New Roman" w:cs="Times New Roman"/>
          <w:b/>
          <w:bCs/>
          <w:sz w:val="24"/>
          <w:szCs w:val="24"/>
        </w:rPr>
      </w:pPr>
      <w:r w:rsidRPr="00BD3C37">
        <w:rPr>
          <w:rFonts w:ascii="Times New Roman" w:hAnsi="Times New Roman" w:cs="Times New Roman"/>
          <w:b/>
          <w:bCs/>
          <w:sz w:val="24"/>
          <w:szCs w:val="24"/>
        </w:rPr>
        <w:t>Operación de Carga La Dorada-Chiriguaná:</w:t>
      </w:r>
    </w:p>
    <w:p w14:paraId="2466B6DE" w14:textId="77777777" w:rsidR="0098691F" w:rsidRPr="00BD3C37" w:rsidRDefault="0098691F" w:rsidP="0098691F">
      <w:pPr>
        <w:jc w:val="both"/>
        <w:rPr>
          <w:rFonts w:ascii="Times New Roman" w:hAnsi="Times New Roman" w:cs="Times New Roman"/>
          <w:color w:val="000000"/>
          <w:sz w:val="24"/>
          <w:szCs w:val="24"/>
          <w:lang w:eastAsia="es-CO"/>
        </w:rPr>
      </w:pPr>
      <w:r w:rsidRPr="00BD3C37">
        <w:rPr>
          <w:rFonts w:ascii="Times New Roman" w:hAnsi="Times New Roman" w:cs="Times New Roman"/>
          <w:color w:val="000000" w:themeColor="text1"/>
          <w:sz w:val="24"/>
          <w:szCs w:val="24"/>
          <w:lang w:eastAsia="es-CO"/>
        </w:rPr>
        <w:t>En el Corredor La Dorada – Chiriguaná, en 2022 se movilizaron 89.671 toneladas, lo que representó un 747% de cumplimiento frente a la meta fijada de 12.000 toneladas. En 2023, el volumen transportado ascendió a 182.630 toneladas, alcanzando un 356% de la meta establecida en 40.000 toneladas. Para 2024, se movilizaron 225.348 toneladas, equivalentes a un 522% de cumplimiento respecto a la meta de 43.200 toneladas. Para 2025, se movilizaron 1.151.898 toneladas. Actualmente en 2026, con corte al mes de marzo, se transportaron 184.922,58 toneladas en el mes en mención, acumulando un total de 422.409 toneladas en lo corrido del año.</w:t>
      </w:r>
    </w:p>
    <w:p w14:paraId="13823167" w14:textId="77777777" w:rsidR="0098691F" w:rsidRDefault="0098691F" w:rsidP="0098691F">
      <w:pPr>
        <w:jc w:val="both"/>
        <w:rPr>
          <w:rFonts w:cstheme="minorHAnsi"/>
        </w:rPr>
      </w:pPr>
    </w:p>
    <w:p w14:paraId="04ADEC3A" w14:textId="77777777" w:rsidR="0098691F" w:rsidRPr="00CB640C" w:rsidRDefault="0098691F" w:rsidP="0098691F">
      <w:pPr>
        <w:jc w:val="center"/>
      </w:pPr>
      <w:r>
        <w:rPr>
          <w:noProof/>
        </w:rPr>
        <w:drawing>
          <wp:inline distT="0" distB="0" distL="0" distR="0" wp14:anchorId="7A668C30" wp14:editId="4B1CFA02">
            <wp:extent cx="5133975" cy="3552825"/>
            <wp:effectExtent l="0" t="0" r="0" b="0"/>
            <wp:docPr id="13014921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92183" name="Picture 1301492183"/>
                    <pic:cNvPicPr/>
                  </pic:nvPicPr>
                  <pic:blipFill>
                    <a:blip r:embed="rId9">
                      <a:extLst>
                        <a:ext uri="{28A0092B-C50C-407E-A947-70E740481C1C}">
                          <a14:useLocalDpi xmlns:a14="http://schemas.microsoft.com/office/drawing/2010/main"/>
                        </a:ext>
                      </a:extLst>
                    </a:blip>
                    <a:stretch>
                      <a:fillRect/>
                    </a:stretch>
                  </pic:blipFill>
                  <pic:spPr>
                    <a:xfrm>
                      <a:off x="0" y="0"/>
                      <a:ext cx="5133975" cy="3552825"/>
                    </a:xfrm>
                    <a:prstGeom prst="rect">
                      <a:avLst/>
                    </a:prstGeom>
                  </pic:spPr>
                </pic:pic>
              </a:graphicData>
            </a:graphic>
          </wp:inline>
        </w:drawing>
      </w:r>
    </w:p>
    <w:p w14:paraId="1BC89AF4" w14:textId="77777777" w:rsidR="00385B53" w:rsidRPr="00385B53" w:rsidRDefault="00385B53" w:rsidP="00DB4455">
      <w:pPr>
        <w:autoSpaceDE w:val="0"/>
        <w:autoSpaceDN w:val="0"/>
        <w:adjustRightInd w:val="0"/>
        <w:spacing w:after="0" w:line="240" w:lineRule="auto"/>
        <w:jc w:val="both"/>
        <w:rPr>
          <w:rFonts w:ascii="Times New Roman" w:eastAsia="Times New Roman" w:hAnsi="Times New Roman" w:cs="Times New Roman"/>
          <w:kern w:val="0"/>
          <w:sz w:val="24"/>
          <w:szCs w:val="24"/>
          <w:highlight w:val="yellow"/>
          <w:lang w:eastAsia="es-ES" w:bidi="es-ES"/>
          <w14:ligatures w14:val="none"/>
        </w:rPr>
      </w:pPr>
    </w:p>
    <w:p w14:paraId="6D03B280" w14:textId="77777777" w:rsidR="00DF593D" w:rsidRPr="00F428E9" w:rsidRDefault="00DF593D" w:rsidP="00F428E9">
      <w:pPr>
        <w:jc w:val="both"/>
        <w:rPr>
          <w:rFonts w:ascii="Times New Roman" w:hAnsi="Times New Roman" w:cs="Times New Roman"/>
          <w:sz w:val="24"/>
          <w:szCs w:val="24"/>
          <w:lang w:val="es-ES"/>
        </w:rPr>
      </w:pPr>
    </w:p>
    <w:p w14:paraId="218A70FD" w14:textId="63DE5178" w:rsidR="00347AC9" w:rsidRPr="00EC69D6" w:rsidRDefault="004B01FF" w:rsidP="00AB1642">
      <w:pPr>
        <w:pStyle w:val="Ttulo3"/>
        <w:rPr>
          <w:rFonts w:ascii="Times New Roman" w:hAnsi="Times New Roman" w:cs="Times New Roman"/>
          <w:b/>
          <w:bCs/>
          <w:sz w:val="24"/>
        </w:rPr>
      </w:pPr>
      <w:bookmarkStart w:id="24" w:name="_Toc230185827"/>
      <w:r w:rsidRPr="00EC69D6">
        <w:rPr>
          <w:rFonts w:ascii="Times New Roman" w:hAnsi="Times New Roman" w:cs="Times New Roman"/>
          <w:b/>
          <w:bCs/>
          <w:sz w:val="24"/>
        </w:rPr>
        <w:t xml:space="preserve">Nota </w:t>
      </w:r>
      <w:r w:rsidR="009D3BE5" w:rsidRPr="00EC69D6">
        <w:rPr>
          <w:rFonts w:ascii="Times New Roman" w:hAnsi="Times New Roman" w:cs="Times New Roman"/>
          <w:b/>
          <w:bCs/>
          <w:sz w:val="24"/>
        </w:rPr>
        <w:t xml:space="preserve">5. </w:t>
      </w:r>
      <w:r w:rsidR="00347AC9" w:rsidRPr="00EC69D6">
        <w:rPr>
          <w:rFonts w:ascii="Times New Roman" w:hAnsi="Times New Roman" w:cs="Times New Roman"/>
          <w:b/>
          <w:bCs/>
          <w:sz w:val="24"/>
        </w:rPr>
        <w:t>GASTOS</w:t>
      </w:r>
      <w:bookmarkEnd w:id="24"/>
    </w:p>
    <w:p w14:paraId="65279C06" w14:textId="77777777" w:rsidR="006A587B" w:rsidRDefault="006A587B" w:rsidP="00424D05">
      <w:pPr>
        <w:rPr>
          <w:b/>
          <w:bCs/>
        </w:rPr>
      </w:pPr>
    </w:p>
    <w:tbl>
      <w:tblPr>
        <w:tblW w:w="5000" w:type="pct"/>
        <w:tblLayout w:type="fixed"/>
        <w:tblCellMar>
          <w:left w:w="70" w:type="dxa"/>
          <w:right w:w="70" w:type="dxa"/>
        </w:tblCellMar>
        <w:tblLook w:val="04A0" w:firstRow="1" w:lastRow="0" w:firstColumn="1" w:lastColumn="0" w:noHBand="0" w:noVBand="1"/>
      </w:tblPr>
      <w:tblGrid>
        <w:gridCol w:w="2691"/>
        <w:gridCol w:w="1700"/>
        <w:gridCol w:w="1842"/>
        <w:gridCol w:w="1559"/>
        <w:gridCol w:w="1036"/>
      </w:tblGrid>
      <w:tr w:rsidR="00424D05" w:rsidRPr="00424D05" w14:paraId="71A2EB75" w14:textId="77777777" w:rsidTr="00894371">
        <w:trPr>
          <w:trHeight w:val="300"/>
        </w:trPr>
        <w:tc>
          <w:tcPr>
            <w:tcW w:w="1524"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309A2D94"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Descripción</w:t>
            </w:r>
          </w:p>
        </w:tc>
        <w:tc>
          <w:tcPr>
            <w:tcW w:w="963" w:type="pct"/>
            <w:tcBorders>
              <w:top w:val="single" w:sz="4" w:space="0" w:color="auto"/>
              <w:left w:val="nil"/>
              <w:bottom w:val="single" w:sz="4" w:space="0" w:color="auto"/>
              <w:right w:val="single" w:sz="4" w:space="0" w:color="auto"/>
            </w:tcBorders>
            <w:shd w:val="clear" w:color="000000" w:fill="0070C0"/>
            <w:vAlign w:val="center"/>
            <w:hideMark/>
          </w:tcPr>
          <w:p w14:paraId="25D35AC3"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Gastos</w:t>
            </w:r>
          </w:p>
        </w:tc>
        <w:tc>
          <w:tcPr>
            <w:tcW w:w="1043" w:type="pct"/>
            <w:tcBorders>
              <w:top w:val="single" w:sz="4" w:space="0" w:color="auto"/>
              <w:left w:val="nil"/>
              <w:bottom w:val="single" w:sz="4" w:space="0" w:color="auto"/>
              <w:right w:val="single" w:sz="4" w:space="0" w:color="auto"/>
            </w:tcBorders>
            <w:shd w:val="clear" w:color="000000" w:fill="0070C0"/>
            <w:vAlign w:val="center"/>
            <w:hideMark/>
          </w:tcPr>
          <w:p w14:paraId="384DB612"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Gastos</w:t>
            </w:r>
          </w:p>
        </w:tc>
        <w:tc>
          <w:tcPr>
            <w:tcW w:w="883"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184E921B"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Variaciones</w:t>
            </w:r>
          </w:p>
        </w:tc>
        <w:tc>
          <w:tcPr>
            <w:tcW w:w="587"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1947C6D0"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Porcentaje</w:t>
            </w:r>
          </w:p>
        </w:tc>
      </w:tr>
      <w:tr w:rsidR="00424D05" w:rsidRPr="00424D05" w14:paraId="3C6ECCCE" w14:textId="77777777" w:rsidTr="00894371">
        <w:trPr>
          <w:trHeight w:val="300"/>
        </w:trPr>
        <w:tc>
          <w:tcPr>
            <w:tcW w:w="1524" w:type="pct"/>
            <w:vMerge/>
            <w:tcBorders>
              <w:top w:val="single" w:sz="4" w:space="0" w:color="auto"/>
              <w:left w:val="single" w:sz="4" w:space="0" w:color="auto"/>
              <w:bottom w:val="single" w:sz="4" w:space="0" w:color="auto"/>
              <w:right w:val="single" w:sz="4" w:space="0" w:color="auto"/>
            </w:tcBorders>
            <w:vAlign w:val="center"/>
            <w:hideMark/>
          </w:tcPr>
          <w:p w14:paraId="122FD5CD" w14:textId="77777777" w:rsidR="00424D05" w:rsidRPr="00424D05" w:rsidRDefault="00424D05" w:rsidP="00424D05">
            <w:pPr>
              <w:spacing w:after="0" w:line="240" w:lineRule="auto"/>
              <w:rPr>
                <w:rFonts w:ascii="Times New Roman" w:eastAsia="Times New Roman" w:hAnsi="Times New Roman" w:cs="Times New Roman"/>
                <w:b/>
                <w:bCs/>
                <w:color w:val="FFFFFF"/>
                <w:kern w:val="0"/>
                <w:sz w:val="18"/>
                <w:szCs w:val="18"/>
                <w:lang w:eastAsia="es-CO"/>
                <w14:ligatures w14:val="none"/>
              </w:rPr>
            </w:pPr>
          </w:p>
        </w:tc>
        <w:tc>
          <w:tcPr>
            <w:tcW w:w="963" w:type="pct"/>
            <w:tcBorders>
              <w:top w:val="nil"/>
              <w:left w:val="nil"/>
              <w:bottom w:val="single" w:sz="4" w:space="0" w:color="auto"/>
              <w:right w:val="single" w:sz="4" w:space="0" w:color="auto"/>
            </w:tcBorders>
            <w:shd w:val="clear" w:color="000000" w:fill="0070C0"/>
            <w:vAlign w:val="center"/>
            <w:hideMark/>
          </w:tcPr>
          <w:p w14:paraId="5029DB55"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 xml:space="preserve">marzo de 2026 ($) </w:t>
            </w:r>
          </w:p>
        </w:tc>
        <w:tc>
          <w:tcPr>
            <w:tcW w:w="1043" w:type="pct"/>
            <w:tcBorders>
              <w:top w:val="nil"/>
              <w:left w:val="nil"/>
              <w:bottom w:val="single" w:sz="4" w:space="0" w:color="auto"/>
              <w:right w:val="single" w:sz="4" w:space="0" w:color="auto"/>
            </w:tcBorders>
            <w:shd w:val="clear" w:color="000000" w:fill="0070C0"/>
            <w:vAlign w:val="center"/>
            <w:hideMark/>
          </w:tcPr>
          <w:p w14:paraId="70D03F1E"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 xml:space="preserve">marzo de 2025 ($) </w:t>
            </w: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001249AE" w14:textId="77777777" w:rsidR="00424D05" w:rsidRPr="00424D05" w:rsidRDefault="00424D05" w:rsidP="00424D05">
            <w:pPr>
              <w:spacing w:after="0" w:line="240" w:lineRule="auto"/>
              <w:rPr>
                <w:rFonts w:ascii="Times New Roman" w:eastAsia="Times New Roman" w:hAnsi="Times New Roman" w:cs="Times New Roman"/>
                <w:b/>
                <w:bCs/>
                <w:color w:val="FFFFFF"/>
                <w:kern w:val="0"/>
                <w:sz w:val="18"/>
                <w:szCs w:val="18"/>
                <w:lang w:eastAsia="es-CO"/>
                <w14:ligatures w14:val="none"/>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58A13B5A" w14:textId="77777777" w:rsidR="00424D05" w:rsidRPr="00424D05" w:rsidRDefault="00424D05" w:rsidP="00424D05">
            <w:pPr>
              <w:spacing w:after="0" w:line="240" w:lineRule="auto"/>
              <w:rPr>
                <w:rFonts w:ascii="Times New Roman" w:eastAsia="Times New Roman" w:hAnsi="Times New Roman" w:cs="Times New Roman"/>
                <w:b/>
                <w:bCs/>
                <w:color w:val="FFFFFF"/>
                <w:kern w:val="0"/>
                <w:sz w:val="18"/>
                <w:szCs w:val="18"/>
                <w:lang w:eastAsia="es-CO"/>
                <w14:ligatures w14:val="none"/>
              </w:rPr>
            </w:pPr>
          </w:p>
        </w:tc>
      </w:tr>
      <w:tr w:rsidR="00424D05" w:rsidRPr="00424D05" w14:paraId="3954DEE2" w14:textId="77777777" w:rsidTr="00894371">
        <w:trPr>
          <w:trHeight w:val="300"/>
        </w:trPr>
        <w:tc>
          <w:tcPr>
            <w:tcW w:w="1524" w:type="pct"/>
            <w:tcBorders>
              <w:top w:val="nil"/>
              <w:left w:val="single" w:sz="4" w:space="0" w:color="auto"/>
              <w:bottom w:val="single" w:sz="4" w:space="0" w:color="auto"/>
              <w:right w:val="single" w:sz="4" w:space="0" w:color="auto"/>
            </w:tcBorders>
            <w:noWrap/>
            <w:vAlign w:val="center"/>
            <w:hideMark/>
          </w:tcPr>
          <w:p w14:paraId="01B3CB8A"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De administración y operación</w:t>
            </w:r>
          </w:p>
        </w:tc>
        <w:tc>
          <w:tcPr>
            <w:tcW w:w="963" w:type="pct"/>
            <w:tcBorders>
              <w:top w:val="nil"/>
              <w:left w:val="nil"/>
              <w:bottom w:val="single" w:sz="4" w:space="0" w:color="auto"/>
              <w:right w:val="single" w:sz="4" w:space="0" w:color="auto"/>
            </w:tcBorders>
            <w:noWrap/>
            <w:vAlign w:val="center"/>
            <w:hideMark/>
          </w:tcPr>
          <w:p w14:paraId="6994124C"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47.035.136.551 </w:t>
            </w:r>
          </w:p>
        </w:tc>
        <w:tc>
          <w:tcPr>
            <w:tcW w:w="1043" w:type="pct"/>
            <w:tcBorders>
              <w:top w:val="nil"/>
              <w:left w:val="nil"/>
              <w:bottom w:val="single" w:sz="4" w:space="0" w:color="auto"/>
              <w:right w:val="single" w:sz="4" w:space="0" w:color="auto"/>
            </w:tcBorders>
            <w:noWrap/>
            <w:vAlign w:val="center"/>
            <w:hideMark/>
          </w:tcPr>
          <w:p w14:paraId="708ECB0B"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31.343.522.300 </w:t>
            </w:r>
          </w:p>
        </w:tc>
        <w:tc>
          <w:tcPr>
            <w:tcW w:w="883" w:type="pct"/>
            <w:tcBorders>
              <w:top w:val="nil"/>
              <w:left w:val="nil"/>
              <w:bottom w:val="single" w:sz="4" w:space="0" w:color="auto"/>
              <w:right w:val="single" w:sz="4" w:space="0" w:color="auto"/>
            </w:tcBorders>
            <w:noWrap/>
            <w:vAlign w:val="center"/>
            <w:hideMark/>
          </w:tcPr>
          <w:p w14:paraId="3110693F"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15.691.614.251 </w:t>
            </w:r>
          </w:p>
        </w:tc>
        <w:tc>
          <w:tcPr>
            <w:tcW w:w="587" w:type="pct"/>
            <w:tcBorders>
              <w:top w:val="nil"/>
              <w:left w:val="nil"/>
              <w:bottom w:val="single" w:sz="4" w:space="0" w:color="auto"/>
              <w:right w:val="single" w:sz="4" w:space="0" w:color="auto"/>
            </w:tcBorders>
            <w:noWrap/>
            <w:vAlign w:val="center"/>
            <w:hideMark/>
          </w:tcPr>
          <w:p w14:paraId="5DA2604A"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50,06%</w:t>
            </w:r>
          </w:p>
        </w:tc>
      </w:tr>
      <w:tr w:rsidR="00424D05" w:rsidRPr="00424D05" w14:paraId="69209781" w14:textId="77777777" w:rsidTr="00894371">
        <w:trPr>
          <w:trHeight w:val="300"/>
        </w:trPr>
        <w:tc>
          <w:tcPr>
            <w:tcW w:w="1524" w:type="pct"/>
            <w:tcBorders>
              <w:top w:val="single" w:sz="4" w:space="0" w:color="auto"/>
              <w:left w:val="single" w:sz="4" w:space="0" w:color="auto"/>
              <w:bottom w:val="single" w:sz="4" w:space="0" w:color="auto"/>
              <w:right w:val="single" w:sz="4" w:space="0" w:color="auto"/>
            </w:tcBorders>
            <w:noWrap/>
            <w:vAlign w:val="center"/>
            <w:hideMark/>
          </w:tcPr>
          <w:p w14:paraId="07F76271"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Deterioro, depreciaciones, amortizaciones y provisiones</w:t>
            </w:r>
          </w:p>
        </w:tc>
        <w:tc>
          <w:tcPr>
            <w:tcW w:w="963" w:type="pct"/>
            <w:tcBorders>
              <w:top w:val="single" w:sz="4" w:space="0" w:color="auto"/>
              <w:left w:val="nil"/>
              <w:bottom w:val="single" w:sz="4" w:space="0" w:color="auto"/>
              <w:right w:val="single" w:sz="4" w:space="0" w:color="auto"/>
            </w:tcBorders>
            <w:noWrap/>
            <w:vAlign w:val="center"/>
            <w:hideMark/>
          </w:tcPr>
          <w:p w14:paraId="38883077"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48.281.759.948 </w:t>
            </w:r>
          </w:p>
        </w:tc>
        <w:tc>
          <w:tcPr>
            <w:tcW w:w="1043" w:type="pct"/>
            <w:tcBorders>
              <w:top w:val="single" w:sz="4" w:space="0" w:color="auto"/>
              <w:left w:val="nil"/>
              <w:bottom w:val="single" w:sz="4" w:space="0" w:color="auto"/>
              <w:right w:val="single" w:sz="4" w:space="0" w:color="auto"/>
            </w:tcBorders>
            <w:noWrap/>
            <w:vAlign w:val="center"/>
            <w:hideMark/>
          </w:tcPr>
          <w:p w14:paraId="5BB80D89"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2.630.273.645 </w:t>
            </w:r>
          </w:p>
        </w:tc>
        <w:tc>
          <w:tcPr>
            <w:tcW w:w="883" w:type="pct"/>
            <w:tcBorders>
              <w:top w:val="single" w:sz="4" w:space="0" w:color="auto"/>
              <w:left w:val="nil"/>
              <w:bottom w:val="single" w:sz="4" w:space="0" w:color="auto"/>
              <w:right w:val="single" w:sz="4" w:space="0" w:color="auto"/>
            </w:tcBorders>
            <w:noWrap/>
            <w:vAlign w:val="center"/>
            <w:hideMark/>
          </w:tcPr>
          <w:p w14:paraId="3EEC2579"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45.651.486.303 </w:t>
            </w:r>
          </w:p>
        </w:tc>
        <w:tc>
          <w:tcPr>
            <w:tcW w:w="587" w:type="pct"/>
            <w:tcBorders>
              <w:top w:val="single" w:sz="4" w:space="0" w:color="auto"/>
              <w:left w:val="nil"/>
              <w:bottom w:val="single" w:sz="4" w:space="0" w:color="auto"/>
              <w:right w:val="single" w:sz="4" w:space="0" w:color="auto"/>
            </w:tcBorders>
            <w:noWrap/>
            <w:vAlign w:val="center"/>
            <w:hideMark/>
          </w:tcPr>
          <w:p w14:paraId="04667198"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1735,62%</w:t>
            </w:r>
          </w:p>
        </w:tc>
      </w:tr>
      <w:tr w:rsidR="00424D05" w:rsidRPr="00424D05" w14:paraId="29FD3064" w14:textId="77777777" w:rsidTr="00894371">
        <w:trPr>
          <w:trHeight w:val="300"/>
        </w:trPr>
        <w:tc>
          <w:tcPr>
            <w:tcW w:w="1524" w:type="pct"/>
            <w:tcBorders>
              <w:top w:val="single" w:sz="4" w:space="0" w:color="auto"/>
              <w:left w:val="single" w:sz="4" w:space="0" w:color="auto"/>
              <w:bottom w:val="single" w:sz="4" w:space="0" w:color="auto"/>
              <w:right w:val="single" w:sz="4" w:space="0" w:color="auto"/>
            </w:tcBorders>
            <w:noWrap/>
            <w:vAlign w:val="center"/>
            <w:hideMark/>
          </w:tcPr>
          <w:p w14:paraId="22610E0D"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Transferencias y subvenciones</w:t>
            </w:r>
          </w:p>
        </w:tc>
        <w:tc>
          <w:tcPr>
            <w:tcW w:w="963" w:type="pct"/>
            <w:tcBorders>
              <w:top w:val="single" w:sz="4" w:space="0" w:color="auto"/>
              <w:left w:val="nil"/>
              <w:bottom w:val="single" w:sz="4" w:space="0" w:color="auto"/>
              <w:right w:val="single" w:sz="4" w:space="0" w:color="auto"/>
            </w:tcBorders>
            <w:noWrap/>
            <w:vAlign w:val="center"/>
            <w:hideMark/>
          </w:tcPr>
          <w:p w14:paraId="0064C891"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16.321.462 </w:t>
            </w:r>
          </w:p>
        </w:tc>
        <w:tc>
          <w:tcPr>
            <w:tcW w:w="1043" w:type="pct"/>
            <w:tcBorders>
              <w:top w:val="single" w:sz="4" w:space="0" w:color="auto"/>
              <w:left w:val="nil"/>
              <w:bottom w:val="single" w:sz="4" w:space="0" w:color="auto"/>
              <w:right w:val="single" w:sz="4" w:space="0" w:color="auto"/>
            </w:tcBorders>
            <w:noWrap/>
            <w:vAlign w:val="center"/>
            <w:hideMark/>
          </w:tcPr>
          <w:p w14:paraId="356F0CDD"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0 </w:t>
            </w:r>
          </w:p>
        </w:tc>
        <w:tc>
          <w:tcPr>
            <w:tcW w:w="883" w:type="pct"/>
            <w:tcBorders>
              <w:top w:val="single" w:sz="4" w:space="0" w:color="auto"/>
              <w:left w:val="nil"/>
              <w:bottom w:val="single" w:sz="4" w:space="0" w:color="auto"/>
              <w:right w:val="single" w:sz="4" w:space="0" w:color="auto"/>
            </w:tcBorders>
            <w:noWrap/>
            <w:vAlign w:val="center"/>
            <w:hideMark/>
          </w:tcPr>
          <w:p w14:paraId="004D37E2"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16.321.462 </w:t>
            </w:r>
          </w:p>
        </w:tc>
        <w:tc>
          <w:tcPr>
            <w:tcW w:w="587" w:type="pct"/>
            <w:tcBorders>
              <w:top w:val="single" w:sz="4" w:space="0" w:color="auto"/>
              <w:left w:val="nil"/>
              <w:bottom w:val="single" w:sz="4" w:space="0" w:color="auto"/>
              <w:right w:val="single" w:sz="4" w:space="0" w:color="auto"/>
            </w:tcBorders>
            <w:noWrap/>
            <w:vAlign w:val="center"/>
            <w:hideMark/>
          </w:tcPr>
          <w:p w14:paraId="2D658071"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100,00%</w:t>
            </w:r>
          </w:p>
        </w:tc>
      </w:tr>
      <w:tr w:rsidR="00424D05" w:rsidRPr="00424D05" w14:paraId="3B05C272" w14:textId="77777777" w:rsidTr="00894371">
        <w:trPr>
          <w:trHeight w:val="300"/>
        </w:trPr>
        <w:tc>
          <w:tcPr>
            <w:tcW w:w="1524" w:type="pct"/>
            <w:tcBorders>
              <w:top w:val="single" w:sz="4" w:space="0" w:color="auto"/>
              <w:left w:val="single" w:sz="4" w:space="0" w:color="auto"/>
              <w:bottom w:val="single" w:sz="4" w:space="0" w:color="auto"/>
              <w:right w:val="single" w:sz="4" w:space="0" w:color="auto"/>
            </w:tcBorders>
            <w:noWrap/>
            <w:vAlign w:val="center"/>
            <w:hideMark/>
          </w:tcPr>
          <w:p w14:paraId="71363D2C"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Operaciones interinstitucionales</w:t>
            </w:r>
          </w:p>
        </w:tc>
        <w:tc>
          <w:tcPr>
            <w:tcW w:w="963" w:type="pct"/>
            <w:tcBorders>
              <w:top w:val="single" w:sz="4" w:space="0" w:color="auto"/>
              <w:left w:val="nil"/>
              <w:bottom w:val="single" w:sz="4" w:space="0" w:color="auto"/>
              <w:right w:val="single" w:sz="4" w:space="0" w:color="auto"/>
            </w:tcBorders>
            <w:noWrap/>
            <w:vAlign w:val="center"/>
            <w:hideMark/>
          </w:tcPr>
          <w:p w14:paraId="48D5C0D0"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4.965.647.242 </w:t>
            </w:r>
          </w:p>
        </w:tc>
        <w:tc>
          <w:tcPr>
            <w:tcW w:w="1043" w:type="pct"/>
            <w:tcBorders>
              <w:top w:val="single" w:sz="4" w:space="0" w:color="auto"/>
              <w:left w:val="nil"/>
              <w:bottom w:val="single" w:sz="4" w:space="0" w:color="auto"/>
              <w:right w:val="single" w:sz="4" w:space="0" w:color="auto"/>
            </w:tcBorders>
            <w:noWrap/>
            <w:vAlign w:val="center"/>
            <w:hideMark/>
          </w:tcPr>
          <w:p w14:paraId="4B52C0E8"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4.429.355.810 </w:t>
            </w:r>
          </w:p>
        </w:tc>
        <w:tc>
          <w:tcPr>
            <w:tcW w:w="883" w:type="pct"/>
            <w:tcBorders>
              <w:top w:val="single" w:sz="4" w:space="0" w:color="auto"/>
              <w:left w:val="nil"/>
              <w:bottom w:val="single" w:sz="4" w:space="0" w:color="auto"/>
              <w:right w:val="single" w:sz="4" w:space="0" w:color="auto"/>
            </w:tcBorders>
            <w:noWrap/>
            <w:vAlign w:val="center"/>
            <w:hideMark/>
          </w:tcPr>
          <w:p w14:paraId="40BF59DA"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536.291.432 </w:t>
            </w:r>
          </w:p>
        </w:tc>
        <w:tc>
          <w:tcPr>
            <w:tcW w:w="587" w:type="pct"/>
            <w:tcBorders>
              <w:top w:val="single" w:sz="4" w:space="0" w:color="auto"/>
              <w:left w:val="nil"/>
              <w:bottom w:val="single" w:sz="4" w:space="0" w:color="auto"/>
              <w:right w:val="single" w:sz="4" w:space="0" w:color="auto"/>
            </w:tcBorders>
            <w:noWrap/>
            <w:vAlign w:val="center"/>
            <w:hideMark/>
          </w:tcPr>
          <w:p w14:paraId="07E6C44F"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12,11%</w:t>
            </w:r>
          </w:p>
        </w:tc>
      </w:tr>
      <w:tr w:rsidR="00424D05" w:rsidRPr="00424D05" w14:paraId="2AE6F372" w14:textId="77777777" w:rsidTr="00894371">
        <w:trPr>
          <w:trHeight w:val="300"/>
        </w:trPr>
        <w:tc>
          <w:tcPr>
            <w:tcW w:w="1524" w:type="pct"/>
            <w:tcBorders>
              <w:top w:val="single" w:sz="4" w:space="0" w:color="auto"/>
              <w:left w:val="single" w:sz="4" w:space="0" w:color="auto"/>
              <w:bottom w:val="single" w:sz="4" w:space="0" w:color="auto"/>
              <w:right w:val="single" w:sz="4" w:space="0" w:color="auto"/>
            </w:tcBorders>
            <w:noWrap/>
            <w:vAlign w:val="center"/>
            <w:hideMark/>
          </w:tcPr>
          <w:p w14:paraId="67016EA5"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Otros gastos</w:t>
            </w:r>
          </w:p>
        </w:tc>
        <w:tc>
          <w:tcPr>
            <w:tcW w:w="963" w:type="pct"/>
            <w:tcBorders>
              <w:top w:val="single" w:sz="4" w:space="0" w:color="auto"/>
              <w:left w:val="nil"/>
              <w:bottom w:val="single" w:sz="4" w:space="0" w:color="auto"/>
              <w:right w:val="single" w:sz="4" w:space="0" w:color="auto"/>
            </w:tcBorders>
            <w:noWrap/>
            <w:vAlign w:val="center"/>
            <w:hideMark/>
          </w:tcPr>
          <w:p w14:paraId="3CFEAAF9"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153.385.579.065 </w:t>
            </w:r>
          </w:p>
        </w:tc>
        <w:tc>
          <w:tcPr>
            <w:tcW w:w="1043" w:type="pct"/>
            <w:tcBorders>
              <w:top w:val="single" w:sz="4" w:space="0" w:color="auto"/>
              <w:left w:val="nil"/>
              <w:bottom w:val="single" w:sz="4" w:space="0" w:color="auto"/>
              <w:right w:val="single" w:sz="4" w:space="0" w:color="auto"/>
            </w:tcBorders>
            <w:noWrap/>
            <w:vAlign w:val="center"/>
            <w:hideMark/>
          </w:tcPr>
          <w:p w14:paraId="10F1F60A"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146.327.625.244 </w:t>
            </w:r>
          </w:p>
        </w:tc>
        <w:tc>
          <w:tcPr>
            <w:tcW w:w="883" w:type="pct"/>
            <w:tcBorders>
              <w:top w:val="single" w:sz="4" w:space="0" w:color="auto"/>
              <w:left w:val="nil"/>
              <w:bottom w:val="single" w:sz="4" w:space="0" w:color="auto"/>
              <w:right w:val="single" w:sz="4" w:space="0" w:color="auto"/>
            </w:tcBorders>
            <w:noWrap/>
            <w:vAlign w:val="center"/>
            <w:hideMark/>
          </w:tcPr>
          <w:p w14:paraId="2D78A078"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7.057.953.821 </w:t>
            </w:r>
          </w:p>
        </w:tc>
        <w:tc>
          <w:tcPr>
            <w:tcW w:w="587" w:type="pct"/>
            <w:tcBorders>
              <w:top w:val="single" w:sz="4" w:space="0" w:color="auto"/>
              <w:left w:val="nil"/>
              <w:bottom w:val="single" w:sz="4" w:space="0" w:color="auto"/>
              <w:right w:val="single" w:sz="4" w:space="0" w:color="auto"/>
            </w:tcBorders>
            <w:noWrap/>
            <w:vAlign w:val="center"/>
            <w:hideMark/>
          </w:tcPr>
          <w:p w14:paraId="07B0F656"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4,82%</w:t>
            </w:r>
          </w:p>
        </w:tc>
      </w:tr>
      <w:tr w:rsidR="00424D05" w:rsidRPr="00424D05" w14:paraId="1A6DAB97" w14:textId="77777777" w:rsidTr="00894371">
        <w:trPr>
          <w:trHeight w:val="300"/>
        </w:trPr>
        <w:tc>
          <w:tcPr>
            <w:tcW w:w="1524" w:type="pct"/>
            <w:tcBorders>
              <w:top w:val="single" w:sz="4" w:space="0" w:color="auto"/>
              <w:left w:val="single" w:sz="4" w:space="0" w:color="auto"/>
              <w:bottom w:val="single" w:sz="4" w:space="0" w:color="auto"/>
              <w:right w:val="single" w:sz="4" w:space="0" w:color="auto"/>
            </w:tcBorders>
            <w:noWrap/>
            <w:vAlign w:val="center"/>
            <w:hideMark/>
          </w:tcPr>
          <w:p w14:paraId="79162AB6" w14:textId="77777777" w:rsidR="00424D05" w:rsidRPr="00424D05" w:rsidRDefault="00424D05" w:rsidP="00424D05">
            <w:pPr>
              <w:spacing w:after="0" w:line="240" w:lineRule="auto"/>
              <w:jc w:val="center"/>
              <w:rPr>
                <w:rFonts w:ascii="Times New Roman" w:eastAsia="Times New Roman" w:hAnsi="Times New Roman" w:cs="Times New Roman"/>
                <w:b/>
                <w:bCs/>
                <w:color w:val="000000"/>
                <w:kern w:val="0"/>
                <w:sz w:val="18"/>
                <w:szCs w:val="18"/>
                <w:lang w:eastAsia="es-CO"/>
                <w14:ligatures w14:val="none"/>
              </w:rPr>
            </w:pPr>
            <w:proofErr w:type="gramStart"/>
            <w:r w:rsidRPr="00424D05">
              <w:rPr>
                <w:rFonts w:ascii="Times New Roman" w:eastAsia="Times New Roman" w:hAnsi="Times New Roman" w:cs="Times New Roman"/>
                <w:b/>
                <w:bCs/>
                <w:color w:val="000000"/>
                <w:kern w:val="0"/>
                <w:sz w:val="18"/>
                <w:szCs w:val="18"/>
                <w:lang w:eastAsia="es-CO"/>
                <w14:ligatures w14:val="none"/>
              </w:rPr>
              <w:t>Total  Gastos</w:t>
            </w:r>
            <w:proofErr w:type="gramEnd"/>
          </w:p>
        </w:tc>
        <w:tc>
          <w:tcPr>
            <w:tcW w:w="963" w:type="pct"/>
            <w:tcBorders>
              <w:top w:val="single" w:sz="4" w:space="0" w:color="auto"/>
              <w:left w:val="nil"/>
              <w:bottom w:val="single" w:sz="4" w:space="0" w:color="auto"/>
              <w:right w:val="single" w:sz="4" w:space="0" w:color="auto"/>
            </w:tcBorders>
            <w:shd w:val="clear" w:color="000000" w:fill="D9D9D9"/>
            <w:noWrap/>
            <w:vAlign w:val="center"/>
            <w:hideMark/>
          </w:tcPr>
          <w:p w14:paraId="62718133"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253.684.444.269</w:t>
            </w:r>
          </w:p>
        </w:tc>
        <w:tc>
          <w:tcPr>
            <w:tcW w:w="1043" w:type="pct"/>
            <w:tcBorders>
              <w:top w:val="single" w:sz="4" w:space="0" w:color="auto"/>
              <w:left w:val="nil"/>
              <w:bottom w:val="single" w:sz="4" w:space="0" w:color="auto"/>
              <w:right w:val="single" w:sz="4" w:space="0" w:color="auto"/>
            </w:tcBorders>
            <w:shd w:val="clear" w:color="000000" w:fill="D9D9D9"/>
            <w:noWrap/>
            <w:vAlign w:val="center"/>
            <w:hideMark/>
          </w:tcPr>
          <w:p w14:paraId="37766FBF"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184.730.777.000</w:t>
            </w:r>
          </w:p>
        </w:tc>
        <w:tc>
          <w:tcPr>
            <w:tcW w:w="883" w:type="pct"/>
            <w:tcBorders>
              <w:top w:val="single" w:sz="4" w:space="0" w:color="auto"/>
              <w:left w:val="nil"/>
              <w:bottom w:val="single" w:sz="4" w:space="0" w:color="auto"/>
              <w:right w:val="single" w:sz="4" w:space="0" w:color="auto"/>
            </w:tcBorders>
            <w:shd w:val="clear" w:color="000000" w:fill="D9D9D9"/>
            <w:noWrap/>
            <w:vAlign w:val="center"/>
            <w:hideMark/>
          </w:tcPr>
          <w:p w14:paraId="55A9D3A5"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68.953.667.269</w:t>
            </w:r>
          </w:p>
        </w:tc>
        <w:tc>
          <w:tcPr>
            <w:tcW w:w="587" w:type="pct"/>
            <w:tcBorders>
              <w:top w:val="single" w:sz="4" w:space="0" w:color="auto"/>
              <w:left w:val="nil"/>
              <w:bottom w:val="single" w:sz="4" w:space="0" w:color="auto"/>
              <w:right w:val="single" w:sz="4" w:space="0" w:color="auto"/>
            </w:tcBorders>
            <w:shd w:val="clear" w:color="000000" w:fill="D0D0D0"/>
            <w:noWrap/>
            <w:vAlign w:val="center"/>
            <w:hideMark/>
          </w:tcPr>
          <w:p w14:paraId="6F2931F0"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37,33%</w:t>
            </w:r>
          </w:p>
        </w:tc>
      </w:tr>
    </w:tbl>
    <w:p w14:paraId="4C34EE5A" w14:textId="77777777" w:rsidR="00424D05" w:rsidRDefault="00424D05" w:rsidP="00424D05"/>
    <w:p w14:paraId="3391E62A" w14:textId="77777777" w:rsidR="006E2069" w:rsidRDefault="00AD5A2F" w:rsidP="00EC69D6">
      <w:pPr>
        <w:jc w:val="both"/>
        <w:rPr>
          <w:rFonts w:ascii="Times New Roman" w:hAnsi="Times New Roman" w:cs="Times New Roman"/>
          <w:sz w:val="24"/>
          <w:szCs w:val="24"/>
        </w:rPr>
      </w:pPr>
      <w:r w:rsidRPr="00EC69D6">
        <w:rPr>
          <w:rFonts w:ascii="Times New Roman" w:hAnsi="Times New Roman" w:cs="Times New Roman"/>
          <w:sz w:val="24"/>
          <w:szCs w:val="24"/>
        </w:rPr>
        <w:t xml:space="preserve">Los gastos a marzo de 2026 presentan un incremento por de $68.953.667.269, </w:t>
      </w:r>
      <w:r w:rsidR="006E2069">
        <w:rPr>
          <w:rFonts w:ascii="Times New Roman" w:hAnsi="Times New Roman" w:cs="Times New Roman"/>
          <w:sz w:val="24"/>
          <w:szCs w:val="24"/>
        </w:rPr>
        <w:t>frente</w:t>
      </w:r>
      <w:r w:rsidRPr="00EC69D6">
        <w:rPr>
          <w:rFonts w:ascii="Times New Roman" w:hAnsi="Times New Roman" w:cs="Times New Roman"/>
          <w:sz w:val="24"/>
          <w:szCs w:val="24"/>
        </w:rPr>
        <w:t xml:space="preserve"> al mismo periodo del 2025, </w:t>
      </w:r>
      <w:r w:rsidR="006E2069">
        <w:rPr>
          <w:rFonts w:ascii="Times New Roman" w:hAnsi="Times New Roman" w:cs="Times New Roman"/>
          <w:sz w:val="24"/>
          <w:szCs w:val="24"/>
        </w:rPr>
        <w:t xml:space="preserve">equivalente a una variación </w:t>
      </w:r>
      <w:r w:rsidRPr="00EC69D6">
        <w:rPr>
          <w:rFonts w:ascii="Times New Roman" w:hAnsi="Times New Roman" w:cs="Times New Roman"/>
          <w:sz w:val="24"/>
          <w:szCs w:val="24"/>
        </w:rPr>
        <w:t>corriente del 37.33%.</w:t>
      </w:r>
    </w:p>
    <w:p w14:paraId="025F4998" w14:textId="77777777" w:rsidR="006E2069" w:rsidRDefault="00AD5A2F" w:rsidP="00EC69D6">
      <w:pPr>
        <w:jc w:val="both"/>
        <w:rPr>
          <w:rFonts w:ascii="Times New Roman" w:hAnsi="Times New Roman" w:cs="Times New Roman"/>
          <w:sz w:val="24"/>
          <w:szCs w:val="24"/>
        </w:rPr>
      </w:pPr>
      <w:r w:rsidRPr="00EC69D6">
        <w:rPr>
          <w:rFonts w:ascii="Times New Roman" w:hAnsi="Times New Roman" w:cs="Times New Roman"/>
          <w:sz w:val="24"/>
          <w:szCs w:val="24"/>
        </w:rPr>
        <w:t xml:space="preserve">Al </w:t>
      </w:r>
      <w:r w:rsidR="006E2069">
        <w:rPr>
          <w:rFonts w:ascii="Times New Roman" w:hAnsi="Times New Roman" w:cs="Times New Roman"/>
          <w:sz w:val="24"/>
          <w:szCs w:val="24"/>
        </w:rPr>
        <w:t>analizar</w:t>
      </w:r>
      <w:r w:rsidRPr="00EC69D6">
        <w:rPr>
          <w:rFonts w:ascii="Times New Roman" w:hAnsi="Times New Roman" w:cs="Times New Roman"/>
          <w:sz w:val="24"/>
          <w:szCs w:val="24"/>
        </w:rPr>
        <w:t xml:space="preserve"> el comportamiento de los grupos</w:t>
      </w:r>
      <w:r w:rsidR="006E2069">
        <w:rPr>
          <w:rFonts w:ascii="Times New Roman" w:hAnsi="Times New Roman" w:cs="Times New Roman"/>
          <w:sz w:val="24"/>
          <w:szCs w:val="24"/>
        </w:rPr>
        <w:t xml:space="preserve"> de gasto, se evidencia que esta variación obedece</w:t>
      </w:r>
      <w:r w:rsidRPr="00EC69D6">
        <w:rPr>
          <w:rFonts w:ascii="Times New Roman" w:hAnsi="Times New Roman" w:cs="Times New Roman"/>
          <w:sz w:val="24"/>
          <w:szCs w:val="24"/>
        </w:rPr>
        <w:t xml:space="preserve"> principalmente al incremento </w:t>
      </w:r>
      <w:r w:rsidR="006E2069">
        <w:rPr>
          <w:rFonts w:ascii="Times New Roman" w:hAnsi="Times New Roman" w:cs="Times New Roman"/>
          <w:sz w:val="24"/>
          <w:szCs w:val="24"/>
        </w:rPr>
        <w:t>en</w:t>
      </w:r>
      <w:r w:rsidRPr="00EC69D6">
        <w:rPr>
          <w:rFonts w:ascii="Times New Roman" w:hAnsi="Times New Roman" w:cs="Times New Roman"/>
          <w:sz w:val="24"/>
          <w:szCs w:val="24"/>
        </w:rPr>
        <w:t xml:space="preserve"> los grupos Deterioro, depreciaciones, amortizaciones y provisiones</w:t>
      </w:r>
      <w:r w:rsidR="006E2069">
        <w:rPr>
          <w:rFonts w:ascii="Times New Roman" w:hAnsi="Times New Roman" w:cs="Times New Roman"/>
          <w:sz w:val="24"/>
          <w:szCs w:val="24"/>
        </w:rPr>
        <w:t>,</w:t>
      </w:r>
      <w:r w:rsidRPr="00EC69D6">
        <w:rPr>
          <w:rFonts w:ascii="Times New Roman" w:hAnsi="Times New Roman" w:cs="Times New Roman"/>
          <w:sz w:val="24"/>
          <w:szCs w:val="24"/>
        </w:rPr>
        <w:t xml:space="preserve"> por valor de $45.651.486.303, De administración y operación</w:t>
      </w:r>
      <w:r w:rsidR="006E2069">
        <w:rPr>
          <w:rFonts w:ascii="Times New Roman" w:hAnsi="Times New Roman" w:cs="Times New Roman"/>
          <w:sz w:val="24"/>
          <w:szCs w:val="24"/>
        </w:rPr>
        <w:t>,</w:t>
      </w:r>
      <w:r w:rsidRPr="00EC69D6">
        <w:rPr>
          <w:rFonts w:ascii="Times New Roman" w:hAnsi="Times New Roman" w:cs="Times New Roman"/>
          <w:sz w:val="24"/>
          <w:szCs w:val="24"/>
        </w:rPr>
        <w:t xml:space="preserve"> por valor de $15.691.614.25</w:t>
      </w:r>
      <w:r w:rsidR="006E2069">
        <w:rPr>
          <w:rFonts w:ascii="Times New Roman" w:hAnsi="Times New Roman" w:cs="Times New Roman"/>
          <w:sz w:val="24"/>
          <w:szCs w:val="24"/>
        </w:rPr>
        <w:t>; y</w:t>
      </w:r>
      <w:r w:rsidRPr="00EC69D6">
        <w:rPr>
          <w:rFonts w:ascii="Times New Roman" w:hAnsi="Times New Roman" w:cs="Times New Roman"/>
          <w:sz w:val="24"/>
          <w:szCs w:val="24"/>
        </w:rPr>
        <w:t xml:space="preserve"> Otros Gastos</w:t>
      </w:r>
      <w:r w:rsidR="006E2069">
        <w:rPr>
          <w:rFonts w:ascii="Times New Roman" w:hAnsi="Times New Roman" w:cs="Times New Roman"/>
          <w:sz w:val="24"/>
          <w:szCs w:val="24"/>
        </w:rPr>
        <w:t>,</w:t>
      </w:r>
      <w:r w:rsidRPr="00EC69D6">
        <w:rPr>
          <w:rFonts w:ascii="Times New Roman" w:hAnsi="Times New Roman" w:cs="Times New Roman"/>
          <w:sz w:val="24"/>
          <w:szCs w:val="24"/>
        </w:rPr>
        <w:t xml:space="preserve"> por valor de $7.057.953.821.</w:t>
      </w:r>
    </w:p>
    <w:p w14:paraId="26EFA854" w14:textId="77777777" w:rsidR="006734BC" w:rsidRDefault="006734BC" w:rsidP="00EC69D6">
      <w:pPr>
        <w:jc w:val="both"/>
        <w:rPr>
          <w:rFonts w:ascii="Times New Roman" w:hAnsi="Times New Roman" w:cs="Times New Roman"/>
          <w:sz w:val="24"/>
          <w:szCs w:val="24"/>
        </w:rPr>
      </w:pPr>
    </w:p>
    <w:p w14:paraId="101F999A" w14:textId="4FD12E72" w:rsidR="00AD5A2F" w:rsidRPr="00EC69D6" w:rsidRDefault="00AD5A2F" w:rsidP="00EC69D6">
      <w:pPr>
        <w:jc w:val="both"/>
        <w:rPr>
          <w:rFonts w:ascii="Times New Roman" w:hAnsi="Times New Roman" w:cs="Times New Roman"/>
          <w:sz w:val="24"/>
          <w:szCs w:val="24"/>
        </w:rPr>
      </w:pPr>
      <w:r w:rsidRPr="00EC69D6">
        <w:rPr>
          <w:rFonts w:ascii="Times New Roman" w:hAnsi="Times New Roman" w:cs="Times New Roman"/>
          <w:sz w:val="24"/>
          <w:szCs w:val="24"/>
        </w:rPr>
        <w:t xml:space="preserve">A continuación, se describe las </w:t>
      </w:r>
      <w:r w:rsidR="006E2069">
        <w:rPr>
          <w:rFonts w:ascii="Times New Roman" w:hAnsi="Times New Roman" w:cs="Times New Roman"/>
          <w:sz w:val="24"/>
          <w:szCs w:val="24"/>
        </w:rPr>
        <w:t xml:space="preserve">principales </w:t>
      </w:r>
      <w:r w:rsidRPr="00EC69D6">
        <w:rPr>
          <w:rFonts w:ascii="Times New Roman" w:hAnsi="Times New Roman" w:cs="Times New Roman"/>
          <w:sz w:val="24"/>
          <w:szCs w:val="24"/>
        </w:rPr>
        <w:t>variaciones de estos grupos:</w:t>
      </w:r>
    </w:p>
    <w:p w14:paraId="4F83303D" w14:textId="77777777" w:rsidR="00AD5A2F" w:rsidRPr="00EC69D6" w:rsidRDefault="00AD5A2F" w:rsidP="00EC69D6">
      <w:pPr>
        <w:jc w:val="both"/>
        <w:rPr>
          <w:rFonts w:ascii="Times New Roman" w:hAnsi="Times New Roman" w:cs="Times New Roman"/>
          <w:sz w:val="24"/>
          <w:szCs w:val="24"/>
        </w:rPr>
      </w:pPr>
    </w:p>
    <w:p w14:paraId="59AB09FB" w14:textId="08042105" w:rsidR="00EC69D6" w:rsidRPr="006734BC" w:rsidRDefault="00EC69D6" w:rsidP="00EC69D6">
      <w:pPr>
        <w:jc w:val="both"/>
        <w:rPr>
          <w:rFonts w:ascii="Times New Roman" w:hAnsi="Times New Roman" w:cs="Times New Roman"/>
          <w:i/>
          <w:iCs/>
          <w:sz w:val="24"/>
          <w:szCs w:val="24"/>
        </w:rPr>
      </w:pPr>
      <w:r w:rsidRPr="006734BC">
        <w:rPr>
          <w:rFonts w:ascii="Times New Roman" w:hAnsi="Times New Roman" w:cs="Times New Roman"/>
          <w:i/>
          <w:iCs/>
          <w:sz w:val="24"/>
          <w:szCs w:val="24"/>
        </w:rPr>
        <w:t>Deterioro, depreciaciones, amortizaciones y provisiones</w:t>
      </w:r>
    </w:p>
    <w:p w14:paraId="1D0E2D7A" w14:textId="41E04132" w:rsidR="00196E62" w:rsidRPr="00196E62" w:rsidRDefault="004B1636" w:rsidP="00EC69D6">
      <w:pPr>
        <w:jc w:val="both"/>
        <w:rPr>
          <w:rFonts w:ascii="Times New Roman" w:hAnsi="Times New Roman" w:cs="Times New Roman"/>
          <w:sz w:val="24"/>
          <w:szCs w:val="24"/>
        </w:rPr>
      </w:pPr>
      <w:r>
        <w:rPr>
          <w:rFonts w:ascii="Times New Roman" w:hAnsi="Times New Roman" w:cs="Times New Roman"/>
          <w:sz w:val="24"/>
          <w:szCs w:val="24"/>
        </w:rPr>
        <w:t>En est</w:t>
      </w:r>
      <w:r w:rsidR="00713B81">
        <w:rPr>
          <w:rFonts w:ascii="Times New Roman" w:hAnsi="Times New Roman" w:cs="Times New Roman"/>
          <w:sz w:val="24"/>
          <w:szCs w:val="24"/>
        </w:rPr>
        <w:t>e</w:t>
      </w:r>
      <w:r>
        <w:rPr>
          <w:rFonts w:ascii="Times New Roman" w:hAnsi="Times New Roman" w:cs="Times New Roman"/>
          <w:sz w:val="24"/>
          <w:szCs w:val="24"/>
        </w:rPr>
        <w:t xml:space="preserve"> </w:t>
      </w:r>
      <w:r w:rsidR="00713B81">
        <w:rPr>
          <w:rFonts w:ascii="Times New Roman" w:hAnsi="Times New Roman" w:cs="Times New Roman"/>
          <w:sz w:val="24"/>
          <w:szCs w:val="24"/>
        </w:rPr>
        <w:t>grupo</w:t>
      </w:r>
      <w:r>
        <w:rPr>
          <w:rFonts w:ascii="Times New Roman" w:hAnsi="Times New Roman" w:cs="Times New Roman"/>
          <w:sz w:val="24"/>
          <w:szCs w:val="24"/>
        </w:rPr>
        <w:t xml:space="preserve"> se registra, a</w:t>
      </w:r>
      <w:r w:rsidR="00FB67F4">
        <w:rPr>
          <w:rFonts w:ascii="Times New Roman" w:hAnsi="Times New Roman" w:cs="Times New Roman"/>
          <w:sz w:val="24"/>
          <w:szCs w:val="24"/>
        </w:rPr>
        <w:t>l corte de</w:t>
      </w:r>
      <w:r>
        <w:rPr>
          <w:rFonts w:ascii="Times New Roman" w:hAnsi="Times New Roman" w:cs="Times New Roman"/>
          <w:sz w:val="24"/>
          <w:szCs w:val="24"/>
        </w:rPr>
        <w:t xml:space="preserve"> marzo de 2026, la materialización de riesgos</w:t>
      </w:r>
      <w:r w:rsidR="00196E62">
        <w:rPr>
          <w:rFonts w:ascii="Times New Roman" w:hAnsi="Times New Roman" w:cs="Times New Roman"/>
          <w:sz w:val="24"/>
          <w:szCs w:val="24"/>
        </w:rPr>
        <w:t xml:space="preserve"> </w:t>
      </w:r>
      <w:r>
        <w:rPr>
          <w:rFonts w:ascii="Times New Roman" w:hAnsi="Times New Roman" w:cs="Times New Roman"/>
          <w:sz w:val="24"/>
          <w:szCs w:val="24"/>
        </w:rPr>
        <w:t>comerciales</w:t>
      </w:r>
      <w:r w:rsidR="00196E62">
        <w:rPr>
          <w:rFonts w:ascii="Times New Roman" w:hAnsi="Times New Roman" w:cs="Times New Roman"/>
          <w:sz w:val="24"/>
          <w:szCs w:val="24"/>
        </w:rPr>
        <w:t xml:space="preserve"> </w:t>
      </w:r>
      <w:r>
        <w:rPr>
          <w:rFonts w:ascii="Times New Roman" w:hAnsi="Times New Roman" w:cs="Times New Roman"/>
          <w:sz w:val="24"/>
          <w:szCs w:val="24"/>
        </w:rPr>
        <w:t>del proyecto carretero Pamplona – Cúcuta,</w:t>
      </w:r>
      <w:r w:rsidR="00FB67F4">
        <w:rPr>
          <w:rFonts w:ascii="Times New Roman" w:hAnsi="Times New Roman" w:cs="Times New Roman"/>
          <w:sz w:val="24"/>
          <w:szCs w:val="24"/>
        </w:rPr>
        <w:t xml:space="preserve"> por valor de $</w:t>
      </w:r>
      <w:r w:rsidR="00FB67F4" w:rsidRPr="004B1636">
        <w:rPr>
          <w:rFonts w:ascii="Times New Roman" w:hAnsi="Times New Roman" w:cs="Times New Roman"/>
          <w:sz w:val="24"/>
          <w:szCs w:val="24"/>
        </w:rPr>
        <w:t>48.281.759.948</w:t>
      </w:r>
      <w:r w:rsidR="00FB67F4">
        <w:rPr>
          <w:rFonts w:ascii="Times New Roman" w:hAnsi="Times New Roman" w:cs="Times New Roman"/>
          <w:sz w:val="24"/>
          <w:szCs w:val="24"/>
        </w:rPr>
        <w:t xml:space="preserve">, reconocida en </w:t>
      </w:r>
      <w:r w:rsidR="00D00318">
        <w:rPr>
          <w:rFonts w:ascii="Times New Roman" w:hAnsi="Times New Roman" w:cs="Times New Roman"/>
          <w:sz w:val="24"/>
          <w:szCs w:val="24"/>
        </w:rPr>
        <w:t xml:space="preserve">la </w:t>
      </w:r>
      <w:r>
        <w:rPr>
          <w:rFonts w:ascii="Times New Roman" w:hAnsi="Times New Roman" w:cs="Times New Roman"/>
          <w:sz w:val="24"/>
          <w:szCs w:val="24"/>
        </w:rPr>
        <w:t>subcuenta</w:t>
      </w:r>
      <w:r w:rsidRPr="004B1636">
        <w:rPr>
          <w:rFonts w:ascii="Times New Roman" w:hAnsi="Times New Roman" w:cs="Times New Roman"/>
          <w:sz w:val="24"/>
          <w:szCs w:val="24"/>
        </w:rPr>
        <w:t xml:space="preserve"> Garantías contractuales </w:t>
      </w:r>
      <w:r>
        <w:rPr>
          <w:rFonts w:ascii="Times New Roman" w:hAnsi="Times New Roman" w:cs="Times New Roman"/>
          <w:sz w:val="24"/>
          <w:szCs w:val="24"/>
        </w:rPr>
        <w:t>–</w:t>
      </w:r>
      <w:r w:rsidRPr="004B1636">
        <w:rPr>
          <w:rFonts w:ascii="Times New Roman" w:hAnsi="Times New Roman" w:cs="Times New Roman"/>
          <w:sz w:val="24"/>
          <w:szCs w:val="24"/>
        </w:rPr>
        <w:t xml:space="preserve"> concesiones</w:t>
      </w:r>
      <w:r>
        <w:rPr>
          <w:rFonts w:ascii="Times New Roman" w:hAnsi="Times New Roman" w:cs="Times New Roman"/>
          <w:sz w:val="24"/>
          <w:szCs w:val="24"/>
        </w:rPr>
        <w:t>,</w:t>
      </w:r>
      <w:r w:rsidR="00FB67F4">
        <w:rPr>
          <w:rFonts w:ascii="Times New Roman" w:hAnsi="Times New Roman" w:cs="Times New Roman"/>
          <w:sz w:val="24"/>
          <w:szCs w:val="24"/>
        </w:rPr>
        <w:t xml:space="preserve"> de acuerdo con la</w:t>
      </w:r>
      <w:r>
        <w:rPr>
          <w:rFonts w:ascii="Times New Roman" w:hAnsi="Times New Roman" w:cs="Times New Roman"/>
          <w:sz w:val="24"/>
          <w:szCs w:val="24"/>
        </w:rPr>
        <w:t xml:space="preserve"> información remitida por el GIT de Riesgos.</w:t>
      </w:r>
    </w:p>
    <w:p w14:paraId="6908E7C7" w14:textId="77777777" w:rsidR="00196E62" w:rsidRDefault="00196E62" w:rsidP="00EC69D6">
      <w:pPr>
        <w:jc w:val="both"/>
        <w:rPr>
          <w:rFonts w:ascii="Times New Roman" w:hAnsi="Times New Roman" w:cs="Times New Roman"/>
          <w:b/>
          <w:bCs/>
          <w:sz w:val="24"/>
          <w:szCs w:val="24"/>
        </w:rPr>
      </w:pPr>
    </w:p>
    <w:p w14:paraId="49EE77B0" w14:textId="29BC2B62" w:rsidR="00713B81" w:rsidRPr="006734BC" w:rsidRDefault="00713B81" w:rsidP="00EC69D6">
      <w:pPr>
        <w:jc w:val="both"/>
        <w:rPr>
          <w:rFonts w:ascii="Times New Roman" w:hAnsi="Times New Roman" w:cs="Times New Roman"/>
          <w:i/>
          <w:iCs/>
          <w:sz w:val="24"/>
          <w:szCs w:val="24"/>
        </w:rPr>
      </w:pPr>
      <w:r w:rsidRPr="006734BC">
        <w:rPr>
          <w:rFonts w:ascii="Times New Roman" w:hAnsi="Times New Roman" w:cs="Times New Roman"/>
          <w:i/>
          <w:iCs/>
          <w:sz w:val="24"/>
          <w:szCs w:val="24"/>
        </w:rPr>
        <w:t>De administración y operación</w:t>
      </w:r>
    </w:p>
    <w:p w14:paraId="107B775C" w14:textId="77777777" w:rsidR="00920F0A" w:rsidRDefault="00D00318" w:rsidP="00EC69D6">
      <w:pPr>
        <w:jc w:val="both"/>
        <w:rPr>
          <w:rFonts w:ascii="Times New Roman" w:hAnsi="Times New Roman" w:cs="Times New Roman"/>
          <w:sz w:val="24"/>
          <w:szCs w:val="24"/>
          <w:lang w:val="es-ES"/>
        </w:rPr>
      </w:pPr>
      <w:r>
        <w:rPr>
          <w:rFonts w:ascii="Times New Roman" w:hAnsi="Times New Roman" w:cs="Times New Roman"/>
          <w:sz w:val="24"/>
          <w:szCs w:val="24"/>
        </w:rPr>
        <w:t>De</w:t>
      </w:r>
      <w:r w:rsidRPr="00D00318">
        <w:rPr>
          <w:rFonts w:ascii="Times New Roman" w:hAnsi="Times New Roman" w:cs="Times New Roman"/>
          <w:sz w:val="24"/>
          <w:szCs w:val="24"/>
        </w:rPr>
        <w:t xml:space="preserve"> es</w:t>
      </w:r>
      <w:r>
        <w:rPr>
          <w:rFonts w:ascii="Times New Roman" w:hAnsi="Times New Roman" w:cs="Times New Roman"/>
          <w:sz w:val="24"/>
          <w:szCs w:val="24"/>
        </w:rPr>
        <w:t>te grupo, la variación por valor de $</w:t>
      </w:r>
      <w:r w:rsidRPr="00D00318">
        <w:rPr>
          <w:rFonts w:ascii="Times New Roman" w:hAnsi="Times New Roman" w:cs="Times New Roman"/>
          <w:sz w:val="24"/>
          <w:szCs w:val="24"/>
        </w:rPr>
        <w:t>15.691.614.251</w:t>
      </w:r>
      <w:r>
        <w:rPr>
          <w:rFonts w:ascii="Times New Roman" w:hAnsi="Times New Roman" w:cs="Times New Roman"/>
          <w:sz w:val="24"/>
          <w:szCs w:val="24"/>
        </w:rPr>
        <w:t xml:space="preserve">, se </w:t>
      </w:r>
      <w:r w:rsidR="00920F0A">
        <w:rPr>
          <w:rFonts w:ascii="Times New Roman" w:hAnsi="Times New Roman" w:cs="Times New Roman"/>
          <w:sz w:val="24"/>
          <w:szCs w:val="24"/>
        </w:rPr>
        <w:t>explica</w:t>
      </w:r>
      <w:r>
        <w:rPr>
          <w:rFonts w:ascii="Times New Roman" w:hAnsi="Times New Roman" w:cs="Times New Roman"/>
          <w:sz w:val="24"/>
          <w:szCs w:val="24"/>
        </w:rPr>
        <w:t xml:space="preserve"> principalmente por </w:t>
      </w:r>
      <w:r w:rsidR="00920F0A">
        <w:rPr>
          <w:rFonts w:ascii="Times New Roman" w:hAnsi="Times New Roman" w:cs="Times New Roman"/>
          <w:sz w:val="24"/>
          <w:szCs w:val="24"/>
        </w:rPr>
        <w:t xml:space="preserve">el </w:t>
      </w:r>
      <w:r>
        <w:rPr>
          <w:rFonts w:ascii="Times New Roman" w:hAnsi="Times New Roman" w:cs="Times New Roman"/>
          <w:sz w:val="24"/>
          <w:szCs w:val="24"/>
        </w:rPr>
        <w:t>incremento de $</w:t>
      </w:r>
      <w:r w:rsidRPr="00D00318">
        <w:rPr>
          <w:rFonts w:ascii="Times New Roman" w:hAnsi="Times New Roman" w:cs="Times New Roman"/>
          <w:sz w:val="24"/>
          <w:szCs w:val="24"/>
        </w:rPr>
        <w:t>13.372.312.552</w:t>
      </w:r>
      <w:r>
        <w:rPr>
          <w:rFonts w:ascii="Times New Roman" w:hAnsi="Times New Roman" w:cs="Times New Roman"/>
          <w:sz w:val="24"/>
          <w:szCs w:val="24"/>
        </w:rPr>
        <w:t>, en la cuenta de gastos Generales</w:t>
      </w:r>
      <w:r w:rsidR="00920F0A">
        <w:rPr>
          <w:rFonts w:ascii="Times New Roman" w:hAnsi="Times New Roman" w:cs="Times New Roman"/>
          <w:sz w:val="24"/>
          <w:szCs w:val="24"/>
        </w:rPr>
        <w:t>.  Este aumento obedece, principalmente, al crecimiento</w:t>
      </w:r>
      <w:r>
        <w:rPr>
          <w:rFonts w:ascii="Times New Roman" w:hAnsi="Times New Roman" w:cs="Times New Roman"/>
          <w:sz w:val="24"/>
          <w:szCs w:val="24"/>
        </w:rPr>
        <w:t xml:space="preserve"> en las subcuentas Estudios y proyectos, por valor de $</w:t>
      </w:r>
      <w:r w:rsidRPr="00D00318">
        <w:rPr>
          <w:rFonts w:ascii="Times New Roman" w:hAnsi="Times New Roman" w:cs="Times New Roman"/>
          <w:sz w:val="24"/>
          <w:szCs w:val="24"/>
        </w:rPr>
        <w:t>11.967.250.355</w:t>
      </w:r>
      <w:r>
        <w:rPr>
          <w:rFonts w:ascii="Times New Roman" w:hAnsi="Times New Roman" w:cs="Times New Roman"/>
          <w:sz w:val="24"/>
          <w:szCs w:val="24"/>
        </w:rPr>
        <w:t>, y Honorarios por valor de $</w:t>
      </w:r>
      <w:r w:rsidRPr="00D00318">
        <w:rPr>
          <w:rFonts w:ascii="Times New Roman" w:hAnsi="Times New Roman" w:cs="Times New Roman"/>
          <w:sz w:val="24"/>
          <w:szCs w:val="24"/>
        </w:rPr>
        <w:t>4.914.542.126</w:t>
      </w:r>
      <w:r w:rsidR="00920F0A">
        <w:rPr>
          <w:rFonts w:ascii="Times New Roman" w:hAnsi="Times New Roman" w:cs="Times New Roman"/>
          <w:sz w:val="24"/>
          <w:szCs w:val="24"/>
        </w:rPr>
        <w:t>, correspondiente a</w:t>
      </w:r>
      <w:r>
        <w:rPr>
          <w:rFonts w:ascii="Times New Roman" w:hAnsi="Times New Roman" w:cs="Times New Roman"/>
          <w:sz w:val="24"/>
          <w:szCs w:val="24"/>
        </w:rPr>
        <w:t xml:space="preserve"> </w:t>
      </w:r>
      <w:r w:rsidRPr="0065010B">
        <w:rPr>
          <w:rFonts w:ascii="Times New Roman" w:hAnsi="Times New Roman" w:cs="Times New Roman"/>
          <w:lang w:val="es-ES"/>
        </w:rPr>
        <w:t xml:space="preserve">pagos efectuados por </w:t>
      </w:r>
      <w:r>
        <w:rPr>
          <w:rFonts w:ascii="Times New Roman" w:hAnsi="Times New Roman" w:cs="Times New Roman"/>
          <w:lang w:val="es-ES"/>
        </w:rPr>
        <w:t xml:space="preserve">concepto de </w:t>
      </w:r>
      <w:r w:rsidRPr="0065010B">
        <w:rPr>
          <w:rFonts w:ascii="Times New Roman" w:hAnsi="Times New Roman" w:cs="Times New Roman"/>
          <w:lang w:val="es-ES"/>
        </w:rPr>
        <w:t>servicios profesionales y especializados</w:t>
      </w:r>
      <w:r w:rsidR="00920F0A">
        <w:rPr>
          <w:rFonts w:ascii="Times New Roman" w:hAnsi="Times New Roman" w:cs="Times New Roman"/>
          <w:sz w:val="24"/>
          <w:szCs w:val="24"/>
          <w:lang w:val="es-ES"/>
        </w:rPr>
        <w:t>.</w:t>
      </w:r>
    </w:p>
    <w:p w14:paraId="2C27FCCA" w14:textId="7916470E" w:rsidR="00713B81" w:rsidRDefault="00047540" w:rsidP="00EC69D6">
      <w:pPr>
        <w:jc w:val="both"/>
        <w:rPr>
          <w:rFonts w:ascii="Times New Roman" w:hAnsi="Times New Roman" w:cs="Times New Roman"/>
          <w:sz w:val="24"/>
          <w:szCs w:val="24"/>
        </w:rPr>
      </w:pPr>
      <w:r>
        <w:rPr>
          <w:rFonts w:ascii="Times New Roman" w:hAnsi="Times New Roman" w:cs="Times New Roman"/>
          <w:sz w:val="24"/>
          <w:szCs w:val="24"/>
          <w:lang w:val="es-ES"/>
        </w:rPr>
        <w:t>Esta variación fue</w:t>
      </w:r>
      <w:r w:rsidR="00920F0A">
        <w:rPr>
          <w:rFonts w:ascii="Times New Roman" w:hAnsi="Times New Roman" w:cs="Times New Roman"/>
          <w:sz w:val="24"/>
          <w:szCs w:val="24"/>
          <w:lang w:val="es-ES"/>
        </w:rPr>
        <w:t xml:space="preserve"> compensad</w:t>
      </w:r>
      <w:r>
        <w:rPr>
          <w:rFonts w:ascii="Times New Roman" w:hAnsi="Times New Roman" w:cs="Times New Roman"/>
          <w:sz w:val="24"/>
          <w:szCs w:val="24"/>
          <w:lang w:val="es-ES"/>
        </w:rPr>
        <w:t>a</w:t>
      </w:r>
      <w:r w:rsidR="00920F0A">
        <w:rPr>
          <w:rFonts w:ascii="Times New Roman" w:hAnsi="Times New Roman" w:cs="Times New Roman"/>
          <w:sz w:val="24"/>
          <w:szCs w:val="24"/>
          <w:lang w:val="es-ES"/>
        </w:rPr>
        <w:t xml:space="preserve"> </w:t>
      </w:r>
      <w:r w:rsidR="00920F0A">
        <w:rPr>
          <w:rFonts w:ascii="Times New Roman" w:hAnsi="Times New Roman" w:cs="Times New Roman"/>
          <w:sz w:val="24"/>
          <w:szCs w:val="24"/>
        </w:rPr>
        <w:t>parcialmente</w:t>
      </w:r>
      <w:r w:rsidR="00D00318">
        <w:rPr>
          <w:rFonts w:ascii="Times New Roman" w:hAnsi="Times New Roman" w:cs="Times New Roman"/>
          <w:sz w:val="24"/>
          <w:szCs w:val="24"/>
        </w:rPr>
        <w:t xml:space="preserve"> por </w:t>
      </w:r>
      <w:r w:rsidR="00920F0A">
        <w:rPr>
          <w:rFonts w:ascii="Times New Roman" w:hAnsi="Times New Roman" w:cs="Times New Roman"/>
          <w:sz w:val="24"/>
          <w:szCs w:val="24"/>
        </w:rPr>
        <w:t xml:space="preserve">la disminución </w:t>
      </w:r>
      <w:r>
        <w:rPr>
          <w:rFonts w:ascii="Times New Roman" w:hAnsi="Times New Roman" w:cs="Times New Roman"/>
          <w:sz w:val="24"/>
          <w:szCs w:val="24"/>
        </w:rPr>
        <w:t>de $</w:t>
      </w:r>
      <w:r w:rsidRPr="00D00318">
        <w:rPr>
          <w:rFonts w:ascii="Times New Roman" w:hAnsi="Times New Roman" w:cs="Times New Roman"/>
          <w:sz w:val="24"/>
          <w:szCs w:val="24"/>
        </w:rPr>
        <w:t>-5.253.369.401</w:t>
      </w:r>
      <w:r>
        <w:rPr>
          <w:rFonts w:ascii="Times New Roman" w:hAnsi="Times New Roman" w:cs="Times New Roman"/>
          <w:sz w:val="24"/>
          <w:szCs w:val="24"/>
        </w:rPr>
        <w:t xml:space="preserve"> </w:t>
      </w:r>
      <w:r w:rsidR="00920F0A">
        <w:rPr>
          <w:rFonts w:ascii="Times New Roman" w:hAnsi="Times New Roman" w:cs="Times New Roman"/>
          <w:sz w:val="24"/>
          <w:szCs w:val="24"/>
        </w:rPr>
        <w:t xml:space="preserve">en </w:t>
      </w:r>
      <w:r w:rsidR="00D00318">
        <w:rPr>
          <w:rFonts w:ascii="Times New Roman" w:hAnsi="Times New Roman" w:cs="Times New Roman"/>
          <w:sz w:val="24"/>
          <w:szCs w:val="24"/>
        </w:rPr>
        <w:t>la subcuenta Mantenimiento</w:t>
      </w:r>
      <w:r>
        <w:rPr>
          <w:rFonts w:ascii="Times New Roman" w:hAnsi="Times New Roman" w:cs="Times New Roman"/>
          <w:sz w:val="24"/>
          <w:szCs w:val="24"/>
        </w:rPr>
        <w:t xml:space="preserve">, </w:t>
      </w:r>
      <w:r w:rsidR="00920F0A">
        <w:rPr>
          <w:rFonts w:ascii="Times New Roman" w:hAnsi="Times New Roman" w:cs="Times New Roman"/>
          <w:sz w:val="24"/>
          <w:szCs w:val="24"/>
        </w:rPr>
        <w:t xml:space="preserve">la cual </w:t>
      </w:r>
      <w:r w:rsidR="00945AE2">
        <w:rPr>
          <w:rFonts w:ascii="Times New Roman" w:hAnsi="Times New Roman" w:cs="Times New Roman"/>
          <w:sz w:val="24"/>
          <w:szCs w:val="24"/>
        </w:rPr>
        <w:t>registra los</w:t>
      </w:r>
      <w:r w:rsidR="00AE58F4" w:rsidRPr="00AE58F4">
        <w:rPr>
          <w:rFonts w:ascii="Times New Roman" w:hAnsi="Times New Roman" w:cs="Times New Roman"/>
          <w:sz w:val="24"/>
          <w:szCs w:val="24"/>
        </w:rPr>
        <w:t xml:space="preserve"> </w:t>
      </w:r>
      <w:r w:rsidR="002D65E1">
        <w:rPr>
          <w:rFonts w:ascii="Times New Roman" w:hAnsi="Times New Roman" w:cs="Times New Roman"/>
          <w:sz w:val="24"/>
          <w:szCs w:val="24"/>
        </w:rPr>
        <w:t>pagos</w:t>
      </w:r>
      <w:r w:rsidR="00920F0A">
        <w:rPr>
          <w:rFonts w:ascii="Times New Roman" w:hAnsi="Times New Roman" w:cs="Times New Roman"/>
          <w:sz w:val="24"/>
          <w:szCs w:val="24"/>
        </w:rPr>
        <w:t xml:space="preserve"> asociados a</w:t>
      </w:r>
      <w:r w:rsidR="00AE58F4" w:rsidRPr="00AE58F4">
        <w:rPr>
          <w:rFonts w:ascii="Times New Roman" w:hAnsi="Times New Roman" w:cs="Times New Roman"/>
          <w:sz w:val="24"/>
          <w:szCs w:val="24"/>
        </w:rPr>
        <w:t xml:space="preserve"> obras de mantenimiento de </w:t>
      </w:r>
      <w:r w:rsidR="00AE58F4" w:rsidRPr="00AE58F4">
        <w:rPr>
          <w:rFonts w:ascii="Times New Roman" w:hAnsi="Times New Roman" w:cs="Times New Roman"/>
          <w:sz w:val="24"/>
          <w:szCs w:val="24"/>
        </w:rPr>
        <w:lastRenderedPageBreak/>
        <w:t>los corredores férreos</w:t>
      </w:r>
      <w:r w:rsidR="00920F0A">
        <w:rPr>
          <w:rFonts w:ascii="Times New Roman" w:hAnsi="Times New Roman" w:cs="Times New Roman"/>
          <w:sz w:val="24"/>
          <w:szCs w:val="24"/>
        </w:rPr>
        <w:t xml:space="preserve">, así como </w:t>
      </w:r>
      <w:r w:rsidR="00945AE2">
        <w:rPr>
          <w:rFonts w:ascii="Times New Roman" w:hAnsi="Times New Roman" w:cs="Times New Roman"/>
          <w:sz w:val="24"/>
          <w:szCs w:val="24"/>
        </w:rPr>
        <w:t xml:space="preserve">obras </w:t>
      </w:r>
      <w:r w:rsidR="00945AE2" w:rsidRPr="00945AE2">
        <w:rPr>
          <w:rFonts w:ascii="Times New Roman" w:hAnsi="Times New Roman" w:cs="Times New Roman"/>
          <w:sz w:val="24"/>
          <w:szCs w:val="24"/>
        </w:rPr>
        <w:t>de infraestructura vial y de protección/reubicación del poliducto de Ecopetrol–CENIT</w:t>
      </w:r>
      <w:r w:rsidR="00945AE2">
        <w:rPr>
          <w:rFonts w:ascii="Times New Roman" w:hAnsi="Times New Roman" w:cs="Times New Roman"/>
          <w:sz w:val="24"/>
          <w:szCs w:val="24"/>
        </w:rPr>
        <w:t>.</w:t>
      </w:r>
    </w:p>
    <w:p w14:paraId="6C4D76DD" w14:textId="77777777" w:rsidR="00945AE2" w:rsidRPr="00EC69D6" w:rsidRDefault="00945AE2" w:rsidP="00EC69D6">
      <w:pPr>
        <w:jc w:val="both"/>
        <w:rPr>
          <w:rFonts w:ascii="Times New Roman" w:hAnsi="Times New Roman" w:cs="Times New Roman"/>
          <w:b/>
          <w:bCs/>
          <w:sz w:val="24"/>
          <w:szCs w:val="24"/>
        </w:rPr>
      </w:pPr>
    </w:p>
    <w:p w14:paraId="6463631D" w14:textId="1104FB0F" w:rsidR="00EC69D6" w:rsidRPr="006734BC" w:rsidRDefault="00EC69D6" w:rsidP="00EC69D6">
      <w:pPr>
        <w:jc w:val="both"/>
        <w:rPr>
          <w:rFonts w:ascii="Times New Roman" w:hAnsi="Times New Roman" w:cs="Times New Roman"/>
          <w:i/>
          <w:iCs/>
          <w:sz w:val="24"/>
          <w:szCs w:val="24"/>
        </w:rPr>
      </w:pPr>
      <w:r w:rsidRPr="006734BC">
        <w:rPr>
          <w:rFonts w:ascii="Times New Roman" w:hAnsi="Times New Roman" w:cs="Times New Roman"/>
          <w:i/>
          <w:iCs/>
          <w:sz w:val="24"/>
          <w:szCs w:val="24"/>
        </w:rPr>
        <w:t>Otros gastos</w:t>
      </w:r>
    </w:p>
    <w:p w14:paraId="76ED70D4" w14:textId="4E194845" w:rsidR="00EC69D6" w:rsidRDefault="00EC69D6" w:rsidP="00EC69D6">
      <w:pPr>
        <w:jc w:val="both"/>
        <w:rPr>
          <w:rFonts w:ascii="Times New Roman" w:hAnsi="Times New Roman" w:cs="Times New Roman"/>
          <w:sz w:val="24"/>
          <w:szCs w:val="24"/>
        </w:rPr>
      </w:pPr>
      <w:r w:rsidRPr="00EC69D6">
        <w:rPr>
          <w:rFonts w:ascii="Times New Roman" w:hAnsi="Times New Roman" w:cs="Times New Roman"/>
          <w:sz w:val="24"/>
          <w:szCs w:val="24"/>
        </w:rPr>
        <w:t xml:space="preserve">El incremento </w:t>
      </w:r>
      <w:r w:rsidR="00235A94">
        <w:rPr>
          <w:rFonts w:ascii="Times New Roman" w:hAnsi="Times New Roman" w:cs="Times New Roman"/>
          <w:sz w:val="24"/>
          <w:szCs w:val="24"/>
        </w:rPr>
        <w:t>de</w:t>
      </w:r>
      <w:r w:rsidRPr="00EC69D6">
        <w:rPr>
          <w:rFonts w:ascii="Times New Roman" w:hAnsi="Times New Roman" w:cs="Times New Roman"/>
          <w:sz w:val="24"/>
          <w:szCs w:val="24"/>
        </w:rPr>
        <w:t xml:space="preserve"> este grupo a</w:t>
      </w:r>
      <w:r w:rsidR="00235A94">
        <w:rPr>
          <w:rFonts w:ascii="Times New Roman" w:hAnsi="Times New Roman" w:cs="Times New Roman"/>
          <w:sz w:val="24"/>
          <w:szCs w:val="24"/>
        </w:rPr>
        <w:t>l corte de</w:t>
      </w:r>
      <w:r w:rsidRPr="00EC69D6">
        <w:rPr>
          <w:rFonts w:ascii="Times New Roman" w:hAnsi="Times New Roman" w:cs="Times New Roman"/>
          <w:sz w:val="24"/>
          <w:szCs w:val="24"/>
        </w:rPr>
        <w:t xml:space="preserve"> </w:t>
      </w:r>
      <w:r>
        <w:rPr>
          <w:rFonts w:ascii="Times New Roman" w:hAnsi="Times New Roman" w:cs="Times New Roman"/>
          <w:sz w:val="24"/>
          <w:szCs w:val="24"/>
        </w:rPr>
        <w:t>marzo de 2026</w:t>
      </w:r>
      <w:r w:rsidRPr="00EC69D6">
        <w:rPr>
          <w:rFonts w:ascii="Times New Roman" w:hAnsi="Times New Roman" w:cs="Times New Roman"/>
          <w:sz w:val="24"/>
          <w:szCs w:val="24"/>
        </w:rPr>
        <w:t xml:space="preserve">, </w:t>
      </w:r>
      <w:r w:rsidR="00235A94">
        <w:rPr>
          <w:rFonts w:ascii="Times New Roman" w:hAnsi="Times New Roman" w:cs="Times New Roman"/>
          <w:sz w:val="24"/>
          <w:szCs w:val="24"/>
        </w:rPr>
        <w:t>en comparación con marzo de 2025</w:t>
      </w:r>
      <w:r w:rsidRPr="00EC69D6">
        <w:rPr>
          <w:rFonts w:ascii="Times New Roman" w:hAnsi="Times New Roman" w:cs="Times New Roman"/>
          <w:sz w:val="24"/>
          <w:szCs w:val="24"/>
        </w:rPr>
        <w:t xml:space="preserve">, se debe </w:t>
      </w:r>
      <w:r>
        <w:rPr>
          <w:rFonts w:ascii="Times New Roman" w:hAnsi="Times New Roman" w:cs="Times New Roman"/>
          <w:sz w:val="24"/>
          <w:szCs w:val="24"/>
        </w:rPr>
        <w:t>principalmente al</w:t>
      </w:r>
      <w:r w:rsidRPr="00EC69D6">
        <w:rPr>
          <w:rFonts w:ascii="Times New Roman" w:hAnsi="Times New Roman" w:cs="Times New Roman"/>
          <w:sz w:val="24"/>
          <w:szCs w:val="24"/>
        </w:rPr>
        <w:t xml:space="preserve"> </w:t>
      </w:r>
      <w:r w:rsidR="00235A94">
        <w:rPr>
          <w:rFonts w:ascii="Times New Roman" w:hAnsi="Times New Roman" w:cs="Times New Roman"/>
          <w:sz w:val="24"/>
          <w:szCs w:val="24"/>
        </w:rPr>
        <w:t>aumento</w:t>
      </w:r>
      <w:r w:rsidRPr="00EC69D6">
        <w:rPr>
          <w:rFonts w:ascii="Times New Roman" w:hAnsi="Times New Roman" w:cs="Times New Roman"/>
          <w:sz w:val="24"/>
          <w:szCs w:val="24"/>
        </w:rPr>
        <w:t xml:space="preserve"> de la subcuenta Garantías contractuales – concesiones por valor de $7.166.650.811, </w:t>
      </w:r>
      <w:r w:rsidR="00235A94">
        <w:rPr>
          <w:rFonts w:ascii="Times New Roman" w:hAnsi="Times New Roman" w:cs="Times New Roman"/>
          <w:sz w:val="24"/>
          <w:szCs w:val="24"/>
        </w:rPr>
        <w:t xml:space="preserve">originado </w:t>
      </w:r>
      <w:r w:rsidRPr="00EC69D6">
        <w:rPr>
          <w:rFonts w:ascii="Times New Roman" w:hAnsi="Times New Roman" w:cs="Times New Roman"/>
          <w:sz w:val="24"/>
          <w:szCs w:val="24"/>
        </w:rPr>
        <w:t>por registró</w:t>
      </w:r>
      <w:r>
        <w:rPr>
          <w:rFonts w:ascii="Times New Roman" w:hAnsi="Times New Roman" w:cs="Times New Roman"/>
          <w:sz w:val="24"/>
          <w:szCs w:val="24"/>
        </w:rPr>
        <w:t xml:space="preserve"> de</w:t>
      </w:r>
      <w:r w:rsidRPr="00EC69D6">
        <w:rPr>
          <w:rFonts w:ascii="Times New Roman" w:hAnsi="Times New Roman" w:cs="Times New Roman"/>
          <w:sz w:val="24"/>
          <w:szCs w:val="24"/>
        </w:rPr>
        <w:t xml:space="preserve"> la materialización de riesgos reportado</w:t>
      </w:r>
      <w:r>
        <w:rPr>
          <w:rFonts w:ascii="Times New Roman" w:hAnsi="Times New Roman" w:cs="Times New Roman"/>
          <w:sz w:val="24"/>
          <w:szCs w:val="24"/>
        </w:rPr>
        <w:t>s</w:t>
      </w:r>
      <w:r w:rsidRPr="00EC69D6">
        <w:rPr>
          <w:rFonts w:ascii="Times New Roman" w:hAnsi="Times New Roman" w:cs="Times New Roman"/>
          <w:sz w:val="24"/>
          <w:szCs w:val="24"/>
        </w:rPr>
        <w:t xml:space="preserve"> por el GIT de Riesgos </w:t>
      </w:r>
      <w:r>
        <w:rPr>
          <w:rFonts w:ascii="Times New Roman" w:hAnsi="Times New Roman" w:cs="Times New Roman"/>
          <w:sz w:val="24"/>
          <w:szCs w:val="24"/>
        </w:rPr>
        <w:t>para</w:t>
      </w:r>
      <w:r w:rsidRPr="00EC69D6">
        <w:rPr>
          <w:rFonts w:ascii="Times New Roman" w:hAnsi="Times New Roman" w:cs="Times New Roman"/>
          <w:sz w:val="24"/>
          <w:szCs w:val="24"/>
        </w:rPr>
        <w:t xml:space="preserve"> los proyectos del modo de transporte carretero</w:t>
      </w:r>
      <w:r>
        <w:rPr>
          <w:rFonts w:ascii="Times New Roman" w:hAnsi="Times New Roman" w:cs="Times New Roman"/>
          <w:sz w:val="24"/>
          <w:szCs w:val="24"/>
        </w:rPr>
        <w:t>,</w:t>
      </w:r>
      <w:r w:rsidRPr="00EC69D6">
        <w:rPr>
          <w:rFonts w:ascii="Times New Roman" w:hAnsi="Times New Roman" w:cs="Times New Roman"/>
          <w:sz w:val="24"/>
          <w:szCs w:val="24"/>
        </w:rPr>
        <w:t xml:space="preserve"> </w:t>
      </w:r>
      <w:r w:rsidR="00235A94">
        <w:rPr>
          <w:rFonts w:ascii="Times New Roman" w:hAnsi="Times New Roman" w:cs="Times New Roman"/>
          <w:sz w:val="24"/>
          <w:szCs w:val="24"/>
        </w:rPr>
        <w:t>los cuales</w:t>
      </w:r>
      <w:r w:rsidR="009A7370">
        <w:rPr>
          <w:rFonts w:ascii="Times New Roman" w:hAnsi="Times New Roman" w:cs="Times New Roman"/>
          <w:sz w:val="24"/>
          <w:szCs w:val="24"/>
        </w:rPr>
        <w:t xml:space="preserve"> </w:t>
      </w:r>
      <w:r w:rsidRPr="00EC69D6">
        <w:rPr>
          <w:rFonts w:ascii="Times New Roman" w:hAnsi="Times New Roman" w:cs="Times New Roman"/>
          <w:sz w:val="24"/>
          <w:szCs w:val="24"/>
        </w:rPr>
        <w:t>no constituyen un mayor valor del activo</w:t>
      </w:r>
      <w:r>
        <w:rPr>
          <w:rFonts w:ascii="Times New Roman" w:hAnsi="Times New Roman" w:cs="Times New Roman"/>
          <w:sz w:val="24"/>
          <w:szCs w:val="24"/>
        </w:rPr>
        <w:t>.</w:t>
      </w:r>
    </w:p>
    <w:p w14:paraId="79C7B938" w14:textId="01FB19BC" w:rsidR="00AD5A2F" w:rsidRDefault="00EC69D6" w:rsidP="00EC69D6">
      <w:pPr>
        <w:pStyle w:val="NormalWeb"/>
        <w:spacing w:after="240" w:afterAutospacing="0"/>
        <w:jc w:val="both"/>
        <w:rPr>
          <w:rFonts w:eastAsiaTheme="minorHAnsi"/>
          <w:kern w:val="2"/>
          <w:lang w:eastAsia="en-US"/>
          <w14:ligatures w14:val="standardContextual"/>
        </w:rPr>
      </w:pPr>
      <w:r>
        <w:rPr>
          <w:rFonts w:eastAsiaTheme="minorHAnsi"/>
          <w:kern w:val="2"/>
          <w:lang w:eastAsia="en-US"/>
          <w14:ligatures w14:val="standardContextual"/>
        </w:rPr>
        <w:t>E</w:t>
      </w:r>
      <w:r w:rsidRPr="00EC69D6">
        <w:rPr>
          <w:rFonts w:eastAsiaTheme="minorHAnsi"/>
          <w:kern w:val="2"/>
          <w:lang w:eastAsia="en-US"/>
          <w14:ligatures w14:val="standardContextual"/>
        </w:rPr>
        <w:t xml:space="preserve">n el siguiente cuadro se presentan </w:t>
      </w:r>
      <w:r w:rsidR="007E4420">
        <w:rPr>
          <w:rFonts w:eastAsiaTheme="minorHAnsi"/>
          <w:kern w:val="2"/>
          <w:lang w:eastAsia="en-US"/>
          <w14:ligatures w14:val="standardContextual"/>
        </w:rPr>
        <w:t xml:space="preserve">los valores </w:t>
      </w:r>
      <w:r w:rsidR="00772482">
        <w:rPr>
          <w:rFonts w:eastAsiaTheme="minorHAnsi"/>
          <w:kern w:val="2"/>
          <w:lang w:eastAsia="en-US"/>
          <w14:ligatures w14:val="standardContextual"/>
        </w:rPr>
        <w:t>registrados para</w:t>
      </w:r>
      <w:r w:rsidR="007E4420">
        <w:rPr>
          <w:rFonts w:eastAsiaTheme="minorHAnsi"/>
          <w:kern w:val="2"/>
          <w:lang w:eastAsia="en-US"/>
          <w14:ligatures w14:val="standardContextual"/>
        </w:rPr>
        <w:t xml:space="preserve"> </w:t>
      </w:r>
      <w:r w:rsidR="0049351D">
        <w:rPr>
          <w:rFonts w:eastAsiaTheme="minorHAnsi"/>
          <w:kern w:val="2"/>
          <w:lang w:eastAsia="en-US"/>
          <w14:ligatures w14:val="standardContextual"/>
        </w:rPr>
        <w:t xml:space="preserve">los </w:t>
      </w:r>
      <w:r w:rsidR="007E4420">
        <w:rPr>
          <w:rFonts w:eastAsiaTheme="minorHAnsi"/>
          <w:kern w:val="2"/>
          <w:lang w:eastAsia="en-US"/>
          <w14:ligatures w14:val="standardContextual"/>
        </w:rPr>
        <w:t>concesionario</w:t>
      </w:r>
      <w:r w:rsidR="0049351D">
        <w:rPr>
          <w:rFonts w:eastAsiaTheme="minorHAnsi"/>
          <w:kern w:val="2"/>
          <w:lang w:eastAsia="en-US"/>
          <w14:ligatures w14:val="standardContextual"/>
        </w:rPr>
        <w:t>s afectados</w:t>
      </w:r>
      <w:r w:rsidR="00772482">
        <w:rPr>
          <w:rFonts w:eastAsiaTheme="minorHAnsi"/>
          <w:kern w:val="2"/>
          <w:lang w:eastAsia="en-US"/>
          <w14:ligatures w14:val="standardContextual"/>
        </w:rPr>
        <w:t>,</w:t>
      </w:r>
      <w:r w:rsidR="007E4420">
        <w:rPr>
          <w:rFonts w:eastAsiaTheme="minorHAnsi"/>
          <w:kern w:val="2"/>
          <w:lang w:eastAsia="en-US"/>
          <w14:ligatures w14:val="standardContextual"/>
        </w:rPr>
        <w:t xml:space="preserve"> </w:t>
      </w:r>
      <w:r w:rsidR="0049351D">
        <w:rPr>
          <w:rFonts w:eastAsiaTheme="minorHAnsi"/>
          <w:kern w:val="2"/>
          <w:lang w:eastAsia="en-US"/>
          <w14:ligatures w14:val="standardContextual"/>
        </w:rPr>
        <w:t xml:space="preserve">al </w:t>
      </w:r>
      <w:r w:rsidR="00645176">
        <w:rPr>
          <w:rFonts w:eastAsiaTheme="minorHAnsi"/>
          <w:kern w:val="2"/>
          <w:lang w:eastAsia="en-US"/>
          <w14:ligatures w14:val="standardContextual"/>
        </w:rPr>
        <w:t xml:space="preserve">corte </w:t>
      </w:r>
      <w:r w:rsidR="00772482">
        <w:rPr>
          <w:rFonts w:eastAsiaTheme="minorHAnsi"/>
          <w:kern w:val="2"/>
          <w:lang w:eastAsia="en-US"/>
          <w14:ligatures w14:val="standardContextual"/>
        </w:rPr>
        <w:t xml:space="preserve">de </w:t>
      </w:r>
      <w:r w:rsidR="007E4420">
        <w:rPr>
          <w:rFonts w:eastAsiaTheme="minorHAnsi"/>
          <w:kern w:val="2"/>
          <w:lang w:eastAsia="en-US"/>
          <w14:ligatures w14:val="standardContextual"/>
        </w:rPr>
        <w:t>marzo del 2026 y marzo de 202</w:t>
      </w:r>
      <w:r w:rsidR="00645176">
        <w:rPr>
          <w:rFonts w:eastAsiaTheme="minorHAnsi"/>
          <w:kern w:val="2"/>
          <w:lang w:eastAsia="en-US"/>
          <w14:ligatures w14:val="standardContextual"/>
        </w:rPr>
        <w:t>5</w:t>
      </w:r>
      <w:r w:rsidR="007E4420">
        <w:rPr>
          <w:rFonts w:eastAsiaTheme="minorHAnsi"/>
          <w:kern w:val="2"/>
          <w:lang w:eastAsia="en-US"/>
          <w14:ligatures w14:val="standardContextual"/>
        </w:rPr>
        <w:t>.</w:t>
      </w:r>
    </w:p>
    <w:p w14:paraId="61EE004C" w14:textId="77777777" w:rsidR="00645176" w:rsidRDefault="00645176" w:rsidP="00AB1642">
      <w:pPr>
        <w:pStyle w:val="NormalWeb"/>
        <w:spacing w:after="240" w:afterAutospacing="0"/>
        <w:rPr>
          <w:rStyle w:val="Fuerte"/>
          <w:highlight w:val="yellow"/>
        </w:rPr>
      </w:pPr>
    </w:p>
    <w:tbl>
      <w:tblPr>
        <w:tblpPr w:leftFromText="141" w:rightFromText="141" w:vertAnchor="text" w:horzAnchor="margin" w:tblpXSpec="center" w:tblpY="67"/>
        <w:tblW w:w="0" w:type="auto"/>
        <w:tblCellMar>
          <w:left w:w="70" w:type="dxa"/>
          <w:right w:w="70" w:type="dxa"/>
        </w:tblCellMar>
        <w:tblLook w:val="04A0" w:firstRow="1" w:lastRow="0" w:firstColumn="1" w:lastColumn="0" w:noHBand="0" w:noVBand="1"/>
      </w:tblPr>
      <w:tblGrid>
        <w:gridCol w:w="4256"/>
        <w:gridCol w:w="1704"/>
        <w:gridCol w:w="1931"/>
      </w:tblGrid>
      <w:tr w:rsidR="001B372A" w:rsidRPr="001B372A" w14:paraId="1D8E4898" w14:textId="77777777" w:rsidTr="00645176">
        <w:trPr>
          <w:trHeight w:val="295"/>
          <w:tblHeader/>
        </w:trPr>
        <w:tc>
          <w:tcPr>
            <w:tcW w:w="4256" w:type="dxa"/>
            <w:tcBorders>
              <w:top w:val="single" w:sz="4" w:space="0" w:color="auto"/>
              <w:left w:val="single" w:sz="4" w:space="0" w:color="auto"/>
              <w:bottom w:val="single" w:sz="4" w:space="0" w:color="auto"/>
              <w:right w:val="single" w:sz="4" w:space="0" w:color="auto"/>
            </w:tcBorders>
            <w:vAlign w:val="bottom"/>
            <w:hideMark/>
          </w:tcPr>
          <w:p w14:paraId="78E0F08E" w14:textId="77777777" w:rsidR="001B372A" w:rsidRPr="001B372A" w:rsidRDefault="001B372A" w:rsidP="005807C9">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1B372A">
              <w:rPr>
                <w:rFonts w:ascii="Times New Roman" w:eastAsia="Times New Roman" w:hAnsi="Times New Roman" w:cs="Times New Roman"/>
                <w:b/>
                <w:bCs/>
                <w:color w:val="000000"/>
                <w:kern w:val="0"/>
                <w:sz w:val="18"/>
                <w:szCs w:val="18"/>
                <w:lang w:eastAsia="es-CO"/>
                <w14:ligatures w14:val="none"/>
              </w:rPr>
              <w:t>Concesionario</w:t>
            </w:r>
          </w:p>
        </w:tc>
        <w:tc>
          <w:tcPr>
            <w:tcW w:w="1704" w:type="dxa"/>
            <w:tcBorders>
              <w:top w:val="single" w:sz="4" w:space="0" w:color="auto"/>
              <w:left w:val="nil"/>
              <w:bottom w:val="single" w:sz="4" w:space="0" w:color="auto"/>
              <w:right w:val="single" w:sz="4" w:space="0" w:color="auto"/>
            </w:tcBorders>
            <w:noWrap/>
            <w:vAlign w:val="bottom"/>
            <w:hideMark/>
          </w:tcPr>
          <w:p w14:paraId="68796F65" w14:textId="77777777" w:rsidR="001B372A" w:rsidRPr="001B372A" w:rsidRDefault="001B372A" w:rsidP="005807C9">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1B372A">
              <w:rPr>
                <w:rFonts w:ascii="Times New Roman" w:eastAsia="Times New Roman" w:hAnsi="Times New Roman" w:cs="Times New Roman"/>
                <w:b/>
                <w:bCs/>
                <w:color w:val="000000"/>
                <w:kern w:val="0"/>
                <w:sz w:val="18"/>
                <w:szCs w:val="18"/>
                <w:lang w:eastAsia="es-CO"/>
                <w14:ligatures w14:val="none"/>
              </w:rPr>
              <w:t>marzo de 2026</w:t>
            </w:r>
          </w:p>
        </w:tc>
        <w:tc>
          <w:tcPr>
            <w:tcW w:w="1930" w:type="dxa"/>
            <w:tcBorders>
              <w:top w:val="single" w:sz="4" w:space="0" w:color="auto"/>
              <w:left w:val="nil"/>
              <w:bottom w:val="single" w:sz="4" w:space="0" w:color="auto"/>
              <w:right w:val="single" w:sz="4" w:space="0" w:color="auto"/>
            </w:tcBorders>
            <w:noWrap/>
            <w:vAlign w:val="bottom"/>
            <w:hideMark/>
          </w:tcPr>
          <w:p w14:paraId="15B3609E" w14:textId="77777777" w:rsidR="001B372A" w:rsidRPr="001B372A" w:rsidRDefault="001B372A" w:rsidP="005807C9">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1B372A">
              <w:rPr>
                <w:rFonts w:ascii="Times New Roman" w:eastAsia="Times New Roman" w:hAnsi="Times New Roman" w:cs="Times New Roman"/>
                <w:b/>
                <w:bCs/>
                <w:color w:val="000000"/>
                <w:kern w:val="0"/>
                <w:sz w:val="18"/>
                <w:szCs w:val="18"/>
                <w:lang w:eastAsia="es-CO"/>
                <w14:ligatures w14:val="none"/>
              </w:rPr>
              <w:t>marzo de 2025</w:t>
            </w:r>
          </w:p>
        </w:tc>
      </w:tr>
      <w:tr w:rsidR="001B372A" w:rsidRPr="001B372A" w14:paraId="34480C95" w14:textId="77777777" w:rsidTr="00645176">
        <w:trPr>
          <w:trHeight w:val="548"/>
        </w:trPr>
        <w:tc>
          <w:tcPr>
            <w:tcW w:w="4256" w:type="dxa"/>
            <w:tcBorders>
              <w:top w:val="nil"/>
              <w:left w:val="single" w:sz="4" w:space="0" w:color="auto"/>
              <w:bottom w:val="single" w:sz="4" w:space="0" w:color="auto"/>
              <w:right w:val="single" w:sz="4" w:space="0" w:color="auto"/>
            </w:tcBorders>
            <w:vAlign w:val="bottom"/>
            <w:hideMark/>
          </w:tcPr>
          <w:p w14:paraId="7683B5B9"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CONCESION SANTA MARTA PARAGUACHON S.A.</w:t>
            </w:r>
          </w:p>
        </w:tc>
        <w:tc>
          <w:tcPr>
            <w:tcW w:w="1704" w:type="dxa"/>
            <w:tcBorders>
              <w:top w:val="nil"/>
              <w:left w:val="nil"/>
              <w:bottom w:val="single" w:sz="4" w:space="0" w:color="auto"/>
              <w:right w:val="single" w:sz="4" w:space="0" w:color="auto"/>
            </w:tcBorders>
            <w:noWrap/>
            <w:vAlign w:val="bottom"/>
            <w:hideMark/>
          </w:tcPr>
          <w:p w14:paraId="35DF777D"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 </w:t>
            </w:r>
          </w:p>
        </w:tc>
        <w:tc>
          <w:tcPr>
            <w:tcW w:w="1930" w:type="dxa"/>
            <w:tcBorders>
              <w:top w:val="nil"/>
              <w:left w:val="nil"/>
              <w:bottom w:val="single" w:sz="4" w:space="0" w:color="auto"/>
              <w:right w:val="single" w:sz="4" w:space="0" w:color="auto"/>
            </w:tcBorders>
            <w:noWrap/>
            <w:vAlign w:val="bottom"/>
            <w:hideMark/>
          </w:tcPr>
          <w:p w14:paraId="58F7C4DC"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3.452.733.073</w:t>
            </w:r>
          </w:p>
        </w:tc>
      </w:tr>
      <w:tr w:rsidR="001B372A" w:rsidRPr="001B372A" w14:paraId="067F067B" w14:textId="77777777" w:rsidTr="00645176">
        <w:trPr>
          <w:trHeight w:val="396"/>
        </w:trPr>
        <w:tc>
          <w:tcPr>
            <w:tcW w:w="4256" w:type="dxa"/>
            <w:tcBorders>
              <w:top w:val="nil"/>
              <w:left w:val="single" w:sz="4" w:space="0" w:color="auto"/>
              <w:bottom w:val="single" w:sz="4" w:space="0" w:color="auto"/>
              <w:right w:val="single" w:sz="4" w:space="0" w:color="auto"/>
            </w:tcBorders>
            <w:vAlign w:val="bottom"/>
            <w:hideMark/>
          </w:tcPr>
          <w:p w14:paraId="4B176FBE"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CONCESION LA PINTADA S.A.S.</w:t>
            </w:r>
          </w:p>
        </w:tc>
        <w:tc>
          <w:tcPr>
            <w:tcW w:w="1704" w:type="dxa"/>
            <w:tcBorders>
              <w:top w:val="nil"/>
              <w:left w:val="nil"/>
              <w:bottom w:val="single" w:sz="4" w:space="0" w:color="auto"/>
              <w:right w:val="single" w:sz="4" w:space="0" w:color="auto"/>
            </w:tcBorders>
            <w:noWrap/>
            <w:vAlign w:val="bottom"/>
            <w:hideMark/>
          </w:tcPr>
          <w:p w14:paraId="5D26AE07"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23.841.600</w:t>
            </w:r>
          </w:p>
        </w:tc>
        <w:tc>
          <w:tcPr>
            <w:tcW w:w="1930" w:type="dxa"/>
            <w:tcBorders>
              <w:top w:val="nil"/>
              <w:left w:val="nil"/>
              <w:bottom w:val="single" w:sz="4" w:space="0" w:color="auto"/>
              <w:right w:val="single" w:sz="4" w:space="0" w:color="auto"/>
            </w:tcBorders>
            <w:noWrap/>
            <w:vAlign w:val="bottom"/>
            <w:hideMark/>
          </w:tcPr>
          <w:p w14:paraId="2FEF32DD"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3.584.558.000</w:t>
            </w:r>
          </w:p>
        </w:tc>
      </w:tr>
      <w:tr w:rsidR="001B372A" w:rsidRPr="001B372A" w14:paraId="5B039BBD" w14:textId="77777777" w:rsidTr="00645176">
        <w:trPr>
          <w:trHeight w:val="394"/>
        </w:trPr>
        <w:tc>
          <w:tcPr>
            <w:tcW w:w="4256" w:type="dxa"/>
            <w:tcBorders>
              <w:top w:val="nil"/>
              <w:left w:val="single" w:sz="4" w:space="0" w:color="auto"/>
              <w:bottom w:val="single" w:sz="4" w:space="0" w:color="auto"/>
              <w:right w:val="single" w:sz="4" w:space="0" w:color="auto"/>
            </w:tcBorders>
            <w:vAlign w:val="bottom"/>
            <w:hideMark/>
          </w:tcPr>
          <w:p w14:paraId="52284704"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CONCESIONARIA VIAL DEL PACIFICO S A S</w:t>
            </w:r>
          </w:p>
        </w:tc>
        <w:tc>
          <w:tcPr>
            <w:tcW w:w="1704" w:type="dxa"/>
            <w:tcBorders>
              <w:top w:val="nil"/>
              <w:left w:val="nil"/>
              <w:bottom w:val="single" w:sz="4" w:space="0" w:color="auto"/>
              <w:right w:val="single" w:sz="4" w:space="0" w:color="auto"/>
            </w:tcBorders>
            <w:noWrap/>
            <w:vAlign w:val="bottom"/>
            <w:hideMark/>
          </w:tcPr>
          <w:p w14:paraId="6E395657"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4.163.893.500</w:t>
            </w:r>
          </w:p>
        </w:tc>
        <w:tc>
          <w:tcPr>
            <w:tcW w:w="1930" w:type="dxa"/>
            <w:tcBorders>
              <w:top w:val="nil"/>
              <w:left w:val="nil"/>
              <w:bottom w:val="single" w:sz="4" w:space="0" w:color="auto"/>
              <w:right w:val="single" w:sz="4" w:space="0" w:color="auto"/>
            </w:tcBorders>
            <w:noWrap/>
            <w:vAlign w:val="bottom"/>
            <w:hideMark/>
          </w:tcPr>
          <w:p w14:paraId="28B24B68"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8.191.376.207</w:t>
            </w:r>
          </w:p>
        </w:tc>
      </w:tr>
      <w:tr w:rsidR="001B372A" w:rsidRPr="001B372A" w14:paraId="6EA3D684" w14:textId="77777777" w:rsidTr="00645176">
        <w:trPr>
          <w:trHeight w:val="555"/>
        </w:trPr>
        <w:tc>
          <w:tcPr>
            <w:tcW w:w="4256" w:type="dxa"/>
            <w:tcBorders>
              <w:top w:val="nil"/>
              <w:left w:val="single" w:sz="4" w:space="0" w:color="auto"/>
              <w:bottom w:val="single" w:sz="4" w:space="0" w:color="auto"/>
              <w:right w:val="single" w:sz="4" w:space="0" w:color="auto"/>
            </w:tcBorders>
            <w:vAlign w:val="bottom"/>
            <w:hideMark/>
          </w:tcPr>
          <w:p w14:paraId="347A7C06"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CONCESIÓN COSTERA CARTAGENA BARRANQUILLA S.A.S.</w:t>
            </w:r>
          </w:p>
        </w:tc>
        <w:tc>
          <w:tcPr>
            <w:tcW w:w="1704" w:type="dxa"/>
            <w:tcBorders>
              <w:top w:val="nil"/>
              <w:left w:val="nil"/>
              <w:bottom w:val="single" w:sz="4" w:space="0" w:color="auto"/>
              <w:right w:val="single" w:sz="4" w:space="0" w:color="auto"/>
            </w:tcBorders>
            <w:noWrap/>
            <w:vAlign w:val="bottom"/>
            <w:hideMark/>
          </w:tcPr>
          <w:p w14:paraId="59F4CE44"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17.743.752.301</w:t>
            </w:r>
          </w:p>
        </w:tc>
        <w:tc>
          <w:tcPr>
            <w:tcW w:w="1930" w:type="dxa"/>
            <w:tcBorders>
              <w:top w:val="nil"/>
              <w:left w:val="nil"/>
              <w:bottom w:val="single" w:sz="4" w:space="0" w:color="auto"/>
              <w:right w:val="single" w:sz="4" w:space="0" w:color="auto"/>
            </w:tcBorders>
            <w:noWrap/>
            <w:vAlign w:val="bottom"/>
            <w:hideMark/>
          </w:tcPr>
          <w:p w14:paraId="1F99E99C"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15.777.959.500</w:t>
            </w:r>
          </w:p>
        </w:tc>
      </w:tr>
      <w:tr w:rsidR="001B372A" w:rsidRPr="001B372A" w14:paraId="1E135D27" w14:textId="77777777" w:rsidTr="00645176">
        <w:trPr>
          <w:trHeight w:val="404"/>
        </w:trPr>
        <w:tc>
          <w:tcPr>
            <w:tcW w:w="4256" w:type="dxa"/>
            <w:tcBorders>
              <w:top w:val="nil"/>
              <w:left w:val="single" w:sz="4" w:space="0" w:color="auto"/>
              <w:bottom w:val="single" w:sz="4" w:space="0" w:color="auto"/>
              <w:right w:val="single" w:sz="4" w:space="0" w:color="auto"/>
            </w:tcBorders>
            <w:vAlign w:val="bottom"/>
            <w:hideMark/>
          </w:tcPr>
          <w:p w14:paraId="1E6985C8"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CONCESIÓN PACIFICO TRES S.A.S.</w:t>
            </w:r>
          </w:p>
        </w:tc>
        <w:tc>
          <w:tcPr>
            <w:tcW w:w="1704" w:type="dxa"/>
            <w:tcBorders>
              <w:top w:val="nil"/>
              <w:left w:val="nil"/>
              <w:bottom w:val="single" w:sz="4" w:space="0" w:color="auto"/>
              <w:right w:val="single" w:sz="4" w:space="0" w:color="auto"/>
            </w:tcBorders>
            <w:noWrap/>
            <w:vAlign w:val="bottom"/>
            <w:hideMark/>
          </w:tcPr>
          <w:p w14:paraId="513E1F00"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 </w:t>
            </w:r>
          </w:p>
        </w:tc>
        <w:tc>
          <w:tcPr>
            <w:tcW w:w="1930" w:type="dxa"/>
            <w:tcBorders>
              <w:top w:val="nil"/>
              <w:left w:val="nil"/>
              <w:bottom w:val="single" w:sz="4" w:space="0" w:color="auto"/>
              <w:right w:val="single" w:sz="4" w:space="0" w:color="auto"/>
            </w:tcBorders>
            <w:noWrap/>
            <w:vAlign w:val="bottom"/>
            <w:hideMark/>
          </w:tcPr>
          <w:p w14:paraId="57381891"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12.482.838.600</w:t>
            </w:r>
          </w:p>
        </w:tc>
      </w:tr>
      <w:tr w:rsidR="001B372A" w:rsidRPr="001B372A" w14:paraId="63D9A687" w14:textId="77777777" w:rsidTr="00645176">
        <w:trPr>
          <w:trHeight w:val="444"/>
        </w:trPr>
        <w:tc>
          <w:tcPr>
            <w:tcW w:w="4256" w:type="dxa"/>
            <w:tcBorders>
              <w:top w:val="nil"/>
              <w:left w:val="single" w:sz="4" w:space="0" w:color="auto"/>
              <w:bottom w:val="single" w:sz="4" w:space="0" w:color="auto"/>
              <w:right w:val="single" w:sz="4" w:space="0" w:color="auto"/>
            </w:tcBorders>
            <w:vAlign w:val="bottom"/>
            <w:hideMark/>
          </w:tcPr>
          <w:p w14:paraId="67E958EA"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AUTOPISTA RIO MAGDALENA S A S</w:t>
            </w:r>
          </w:p>
        </w:tc>
        <w:tc>
          <w:tcPr>
            <w:tcW w:w="1704" w:type="dxa"/>
            <w:tcBorders>
              <w:top w:val="nil"/>
              <w:left w:val="nil"/>
              <w:bottom w:val="single" w:sz="4" w:space="0" w:color="auto"/>
              <w:right w:val="single" w:sz="4" w:space="0" w:color="auto"/>
            </w:tcBorders>
            <w:noWrap/>
            <w:vAlign w:val="bottom"/>
            <w:hideMark/>
          </w:tcPr>
          <w:p w14:paraId="7E04E83D"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 </w:t>
            </w:r>
          </w:p>
        </w:tc>
        <w:tc>
          <w:tcPr>
            <w:tcW w:w="1930" w:type="dxa"/>
            <w:tcBorders>
              <w:top w:val="nil"/>
              <w:left w:val="nil"/>
              <w:bottom w:val="single" w:sz="4" w:space="0" w:color="auto"/>
              <w:right w:val="single" w:sz="4" w:space="0" w:color="auto"/>
            </w:tcBorders>
            <w:noWrap/>
            <w:vAlign w:val="bottom"/>
            <w:hideMark/>
          </w:tcPr>
          <w:p w14:paraId="1D4E6732"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2.205.034.100</w:t>
            </w:r>
          </w:p>
        </w:tc>
      </w:tr>
      <w:tr w:rsidR="001B372A" w:rsidRPr="001B372A" w14:paraId="6472394B" w14:textId="77777777" w:rsidTr="00645176">
        <w:trPr>
          <w:trHeight w:val="404"/>
        </w:trPr>
        <w:tc>
          <w:tcPr>
            <w:tcW w:w="4256" w:type="dxa"/>
            <w:tcBorders>
              <w:top w:val="nil"/>
              <w:left w:val="single" w:sz="4" w:space="0" w:color="auto"/>
              <w:bottom w:val="single" w:sz="4" w:space="0" w:color="auto"/>
              <w:right w:val="single" w:sz="4" w:space="0" w:color="auto"/>
            </w:tcBorders>
            <w:vAlign w:val="bottom"/>
            <w:hideMark/>
          </w:tcPr>
          <w:p w14:paraId="2FD6802E"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AUTOPISTAS DEL NORDESTE S.A.S.</w:t>
            </w:r>
          </w:p>
        </w:tc>
        <w:tc>
          <w:tcPr>
            <w:tcW w:w="1704" w:type="dxa"/>
            <w:tcBorders>
              <w:top w:val="nil"/>
              <w:left w:val="nil"/>
              <w:bottom w:val="single" w:sz="4" w:space="0" w:color="auto"/>
              <w:right w:val="single" w:sz="4" w:space="0" w:color="auto"/>
            </w:tcBorders>
            <w:noWrap/>
            <w:vAlign w:val="bottom"/>
            <w:hideMark/>
          </w:tcPr>
          <w:p w14:paraId="53003735"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 </w:t>
            </w:r>
          </w:p>
        </w:tc>
        <w:tc>
          <w:tcPr>
            <w:tcW w:w="1930" w:type="dxa"/>
            <w:tcBorders>
              <w:top w:val="nil"/>
              <w:left w:val="nil"/>
              <w:bottom w:val="single" w:sz="4" w:space="0" w:color="auto"/>
              <w:right w:val="single" w:sz="4" w:space="0" w:color="auto"/>
            </w:tcBorders>
            <w:noWrap/>
            <w:vAlign w:val="bottom"/>
            <w:hideMark/>
          </w:tcPr>
          <w:p w14:paraId="4A52C591"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1.525.798.207</w:t>
            </w:r>
          </w:p>
        </w:tc>
      </w:tr>
      <w:tr w:rsidR="001B372A" w:rsidRPr="001B372A" w14:paraId="36FB24E1" w14:textId="77777777" w:rsidTr="00645176">
        <w:trPr>
          <w:trHeight w:val="553"/>
        </w:trPr>
        <w:tc>
          <w:tcPr>
            <w:tcW w:w="4256" w:type="dxa"/>
            <w:tcBorders>
              <w:top w:val="nil"/>
              <w:left w:val="single" w:sz="4" w:space="0" w:color="auto"/>
              <w:bottom w:val="single" w:sz="4" w:space="0" w:color="auto"/>
              <w:right w:val="single" w:sz="4" w:space="0" w:color="auto"/>
            </w:tcBorders>
            <w:vAlign w:val="bottom"/>
            <w:hideMark/>
          </w:tcPr>
          <w:p w14:paraId="0D0CE87D"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SOCIEDAD CONCESIONARIA VIAL MONTES DE MARIA SAS</w:t>
            </w:r>
          </w:p>
        </w:tc>
        <w:tc>
          <w:tcPr>
            <w:tcW w:w="1704" w:type="dxa"/>
            <w:tcBorders>
              <w:top w:val="nil"/>
              <w:left w:val="nil"/>
              <w:bottom w:val="single" w:sz="4" w:space="0" w:color="auto"/>
              <w:right w:val="single" w:sz="4" w:space="0" w:color="auto"/>
            </w:tcBorders>
            <w:noWrap/>
            <w:vAlign w:val="bottom"/>
            <w:hideMark/>
          </w:tcPr>
          <w:p w14:paraId="433FA8A6"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5.832.366.288</w:t>
            </w:r>
          </w:p>
        </w:tc>
        <w:tc>
          <w:tcPr>
            <w:tcW w:w="1930" w:type="dxa"/>
            <w:tcBorders>
              <w:top w:val="nil"/>
              <w:left w:val="nil"/>
              <w:bottom w:val="single" w:sz="4" w:space="0" w:color="auto"/>
              <w:right w:val="single" w:sz="4" w:space="0" w:color="auto"/>
            </w:tcBorders>
            <w:noWrap/>
            <w:vAlign w:val="bottom"/>
            <w:hideMark/>
          </w:tcPr>
          <w:p w14:paraId="7C35CCB5"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0</w:t>
            </w:r>
          </w:p>
        </w:tc>
      </w:tr>
      <w:tr w:rsidR="001B372A" w:rsidRPr="001B372A" w14:paraId="13790746" w14:textId="77777777" w:rsidTr="00645176">
        <w:trPr>
          <w:trHeight w:val="419"/>
        </w:trPr>
        <w:tc>
          <w:tcPr>
            <w:tcW w:w="4256" w:type="dxa"/>
            <w:tcBorders>
              <w:top w:val="nil"/>
              <w:left w:val="single" w:sz="4" w:space="0" w:color="auto"/>
              <w:bottom w:val="single" w:sz="4" w:space="0" w:color="auto"/>
              <w:right w:val="single" w:sz="4" w:space="0" w:color="auto"/>
            </w:tcBorders>
            <w:vAlign w:val="bottom"/>
            <w:hideMark/>
          </w:tcPr>
          <w:p w14:paraId="5BC29F95"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DESARROLLO VIAL AL MAR   S.A.S</w:t>
            </w:r>
          </w:p>
        </w:tc>
        <w:tc>
          <w:tcPr>
            <w:tcW w:w="1704" w:type="dxa"/>
            <w:tcBorders>
              <w:top w:val="nil"/>
              <w:left w:val="nil"/>
              <w:bottom w:val="single" w:sz="4" w:space="0" w:color="auto"/>
              <w:right w:val="single" w:sz="4" w:space="0" w:color="auto"/>
            </w:tcBorders>
            <w:noWrap/>
            <w:vAlign w:val="bottom"/>
            <w:hideMark/>
          </w:tcPr>
          <w:p w14:paraId="5470FAC8"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11.748.945.233</w:t>
            </w:r>
          </w:p>
        </w:tc>
        <w:tc>
          <w:tcPr>
            <w:tcW w:w="1930" w:type="dxa"/>
            <w:tcBorders>
              <w:top w:val="nil"/>
              <w:left w:val="nil"/>
              <w:bottom w:val="single" w:sz="4" w:space="0" w:color="auto"/>
              <w:right w:val="single" w:sz="4" w:space="0" w:color="auto"/>
            </w:tcBorders>
            <w:noWrap/>
            <w:vAlign w:val="bottom"/>
            <w:hideMark/>
          </w:tcPr>
          <w:p w14:paraId="0D51BAD4"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9.024.642.700</w:t>
            </w:r>
          </w:p>
        </w:tc>
      </w:tr>
      <w:tr w:rsidR="001B372A" w:rsidRPr="001B372A" w14:paraId="7B1A64B2" w14:textId="77777777" w:rsidTr="00645176">
        <w:trPr>
          <w:trHeight w:val="414"/>
        </w:trPr>
        <w:tc>
          <w:tcPr>
            <w:tcW w:w="4256" w:type="dxa"/>
            <w:tcBorders>
              <w:top w:val="nil"/>
              <w:left w:val="single" w:sz="4" w:space="0" w:color="auto"/>
              <w:bottom w:val="single" w:sz="4" w:space="0" w:color="auto"/>
              <w:right w:val="single" w:sz="4" w:space="0" w:color="auto"/>
            </w:tcBorders>
            <w:vAlign w:val="bottom"/>
            <w:hideMark/>
          </w:tcPr>
          <w:p w14:paraId="2518BB02"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CONCESIONARIA RUTA DEL CACAO S.A.S.</w:t>
            </w:r>
          </w:p>
        </w:tc>
        <w:tc>
          <w:tcPr>
            <w:tcW w:w="1704" w:type="dxa"/>
            <w:tcBorders>
              <w:top w:val="nil"/>
              <w:left w:val="nil"/>
              <w:bottom w:val="single" w:sz="4" w:space="0" w:color="auto"/>
              <w:right w:val="single" w:sz="4" w:space="0" w:color="auto"/>
            </w:tcBorders>
            <w:noWrap/>
            <w:vAlign w:val="bottom"/>
            <w:hideMark/>
          </w:tcPr>
          <w:p w14:paraId="40CB0681"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20.835.842.988</w:t>
            </w:r>
          </w:p>
        </w:tc>
        <w:tc>
          <w:tcPr>
            <w:tcW w:w="1930" w:type="dxa"/>
            <w:tcBorders>
              <w:top w:val="nil"/>
              <w:left w:val="nil"/>
              <w:bottom w:val="single" w:sz="4" w:space="0" w:color="auto"/>
              <w:right w:val="single" w:sz="4" w:space="0" w:color="auto"/>
            </w:tcBorders>
            <w:noWrap/>
            <w:vAlign w:val="bottom"/>
            <w:hideMark/>
          </w:tcPr>
          <w:p w14:paraId="47C56758"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12.996.019.640</w:t>
            </w:r>
          </w:p>
        </w:tc>
      </w:tr>
      <w:tr w:rsidR="001B372A" w:rsidRPr="001B372A" w14:paraId="0C7E7E41" w14:textId="77777777" w:rsidTr="00645176">
        <w:trPr>
          <w:trHeight w:val="406"/>
        </w:trPr>
        <w:tc>
          <w:tcPr>
            <w:tcW w:w="4256" w:type="dxa"/>
            <w:tcBorders>
              <w:top w:val="nil"/>
              <w:left w:val="single" w:sz="4" w:space="0" w:color="auto"/>
              <w:bottom w:val="single" w:sz="4" w:space="0" w:color="auto"/>
              <w:right w:val="single" w:sz="4" w:space="0" w:color="auto"/>
            </w:tcBorders>
            <w:vAlign w:val="bottom"/>
            <w:hideMark/>
          </w:tcPr>
          <w:p w14:paraId="3E95F6AD"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CONCESIONARIA VIAL UNIÓN DEL SUR S.A.S.</w:t>
            </w:r>
          </w:p>
        </w:tc>
        <w:tc>
          <w:tcPr>
            <w:tcW w:w="1704" w:type="dxa"/>
            <w:tcBorders>
              <w:top w:val="nil"/>
              <w:left w:val="nil"/>
              <w:bottom w:val="single" w:sz="4" w:space="0" w:color="auto"/>
              <w:right w:val="single" w:sz="4" w:space="0" w:color="auto"/>
            </w:tcBorders>
            <w:noWrap/>
            <w:vAlign w:val="bottom"/>
            <w:hideMark/>
          </w:tcPr>
          <w:p w14:paraId="1A2527FC"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92.424.768.098</w:t>
            </w:r>
          </w:p>
        </w:tc>
        <w:tc>
          <w:tcPr>
            <w:tcW w:w="1930" w:type="dxa"/>
            <w:tcBorders>
              <w:top w:val="nil"/>
              <w:left w:val="nil"/>
              <w:bottom w:val="single" w:sz="4" w:space="0" w:color="auto"/>
              <w:right w:val="single" w:sz="4" w:space="0" w:color="auto"/>
            </w:tcBorders>
            <w:noWrap/>
            <w:vAlign w:val="bottom"/>
            <w:hideMark/>
          </w:tcPr>
          <w:p w14:paraId="1E7BBFEC"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21.511.994.020</w:t>
            </w:r>
          </w:p>
        </w:tc>
      </w:tr>
      <w:tr w:rsidR="001B372A" w:rsidRPr="001B372A" w14:paraId="5E46842C" w14:textId="77777777" w:rsidTr="00645176">
        <w:trPr>
          <w:trHeight w:val="412"/>
        </w:trPr>
        <w:tc>
          <w:tcPr>
            <w:tcW w:w="4256" w:type="dxa"/>
            <w:tcBorders>
              <w:top w:val="nil"/>
              <w:left w:val="single" w:sz="4" w:space="0" w:color="auto"/>
              <w:bottom w:val="single" w:sz="4" w:space="0" w:color="auto"/>
              <w:right w:val="single" w:sz="4" w:space="0" w:color="auto"/>
            </w:tcBorders>
            <w:vAlign w:val="bottom"/>
            <w:hideMark/>
          </w:tcPr>
          <w:p w14:paraId="6BBE3BF5"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AUTOPISTAS   URABA   SAS</w:t>
            </w:r>
          </w:p>
        </w:tc>
        <w:tc>
          <w:tcPr>
            <w:tcW w:w="1704" w:type="dxa"/>
            <w:tcBorders>
              <w:top w:val="nil"/>
              <w:left w:val="nil"/>
              <w:bottom w:val="single" w:sz="4" w:space="0" w:color="auto"/>
              <w:right w:val="single" w:sz="4" w:space="0" w:color="auto"/>
            </w:tcBorders>
            <w:noWrap/>
            <w:vAlign w:val="bottom"/>
            <w:hideMark/>
          </w:tcPr>
          <w:p w14:paraId="7C0F169E"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 </w:t>
            </w:r>
          </w:p>
        </w:tc>
        <w:tc>
          <w:tcPr>
            <w:tcW w:w="1930" w:type="dxa"/>
            <w:tcBorders>
              <w:top w:val="nil"/>
              <w:left w:val="nil"/>
              <w:bottom w:val="single" w:sz="4" w:space="0" w:color="auto"/>
              <w:right w:val="single" w:sz="4" w:space="0" w:color="auto"/>
            </w:tcBorders>
            <w:noWrap/>
            <w:vAlign w:val="bottom"/>
            <w:hideMark/>
          </w:tcPr>
          <w:p w14:paraId="69E3ABE6"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17.630.728.720</w:t>
            </w:r>
          </w:p>
        </w:tc>
      </w:tr>
      <w:tr w:rsidR="001B372A" w:rsidRPr="001B372A" w14:paraId="7C0CCD91" w14:textId="77777777" w:rsidTr="00645176">
        <w:trPr>
          <w:trHeight w:val="404"/>
        </w:trPr>
        <w:tc>
          <w:tcPr>
            <w:tcW w:w="4256" w:type="dxa"/>
            <w:tcBorders>
              <w:top w:val="nil"/>
              <w:left w:val="single" w:sz="4" w:space="0" w:color="auto"/>
              <w:bottom w:val="single" w:sz="4" w:space="0" w:color="auto"/>
              <w:right w:val="single" w:sz="4" w:space="0" w:color="auto"/>
            </w:tcBorders>
            <w:vAlign w:val="bottom"/>
            <w:hideMark/>
          </w:tcPr>
          <w:p w14:paraId="52498238"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UNION VIAL RIO PAMPLONITA SAS</w:t>
            </w:r>
          </w:p>
        </w:tc>
        <w:tc>
          <w:tcPr>
            <w:tcW w:w="1704" w:type="dxa"/>
            <w:tcBorders>
              <w:top w:val="nil"/>
              <w:left w:val="nil"/>
              <w:bottom w:val="single" w:sz="4" w:space="0" w:color="auto"/>
              <w:right w:val="single" w:sz="4" w:space="0" w:color="auto"/>
            </w:tcBorders>
            <w:noWrap/>
            <w:vAlign w:val="bottom"/>
            <w:hideMark/>
          </w:tcPr>
          <w:p w14:paraId="6915904F"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 </w:t>
            </w:r>
          </w:p>
        </w:tc>
        <w:tc>
          <w:tcPr>
            <w:tcW w:w="1930" w:type="dxa"/>
            <w:tcBorders>
              <w:top w:val="nil"/>
              <w:left w:val="nil"/>
              <w:bottom w:val="single" w:sz="4" w:space="0" w:color="auto"/>
              <w:right w:val="single" w:sz="4" w:space="0" w:color="auto"/>
            </w:tcBorders>
            <w:noWrap/>
            <w:vAlign w:val="bottom"/>
            <w:hideMark/>
          </w:tcPr>
          <w:p w14:paraId="7B4E0B1A"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12.430.432.620</w:t>
            </w:r>
          </w:p>
        </w:tc>
      </w:tr>
      <w:tr w:rsidR="001B372A" w:rsidRPr="001B372A" w14:paraId="06A960AB" w14:textId="77777777" w:rsidTr="00645176">
        <w:trPr>
          <w:trHeight w:val="410"/>
        </w:trPr>
        <w:tc>
          <w:tcPr>
            <w:tcW w:w="4256" w:type="dxa"/>
            <w:tcBorders>
              <w:top w:val="nil"/>
              <w:left w:val="single" w:sz="4" w:space="0" w:color="auto"/>
              <w:bottom w:val="single" w:sz="4" w:space="0" w:color="auto"/>
              <w:right w:val="single" w:sz="4" w:space="0" w:color="auto"/>
            </w:tcBorders>
            <w:vAlign w:val="bottom"/>
            <w:hideMark/>
          </w:tcPr>
          <w:p w14:paraId="12372DE3"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CONCESION TRANSVERSAL DEL SISGA S.A.S</w:t>
            </w:r>
          </w:p>
        </w:tc>
        <w:tc>
          <w:tcPr>
            <w:tcW w:w="1704" w:type="dxa"/>
            <w:tcBorders>
              <w:top w:val="nil"/>
              <w:left w:val="nil"/>
              <w:bottom w:val="single" w:sz="4" w:space="0" w:color="auto"/>
              <w:right w:val="single" w:sz="4" w:space="0" w:color="auto"/>
            </w:tcBorders>
            <w:noWrap/>
            <w:vAlign w:val="bottom"/>
            <w:hideMark/>
          </w:tcPr>
          <w:p w14:paraId="69E81AD4"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 </w:t>
            </w:r>
          </w:p>
        </w:tc>
        <w:tc>
          <w:tcPr>
            <w:tcW w:w="1930" w:type="dxa"/>
            <w:tcBorders>
              <w:top w:val="nil"/>
              <w:left w:val="nil"/>
              <w:bottom w:val="single" w:sz="4" w:space="0" w:color="auto"/>
              <w:right w:val="single" w:sz="4" w:space="0" w:color="auto"/>
            </w:tcBorders>
            <w:noWrap/>
            <w:vAlign w:val="bottom"/>
            <w:hideMark/>
          </w:tcPr>
          <w:p w14:paraId="085A2E28"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1.664.431.900</w:t>
            </w:r>
          </w:p>
        </w:tc>
      </w:tr>
      <w:tr w:rsidR="001B372A" w:rsidRPr="001B372A" w14:paraId="6128942B" w14:textId="77777777" w:rsidTr="00645176">
        <w:trPr>
          <w:trHeight w:val="415"/>
        </w:trPr>
        <w:tc>
          <w:tcPr>
            <w:tcW w:w="4256" w:type="dxa"/>
            <w:tcBorders>
              <w:top w:val="nil"/>
              <w:left w:val="single" w:sz="4" w:space="0" w:color="auto"/>
              <w:bottom w:val="single" w:sz="4" w:space="0" w:color="auto"/>
              <w:right w:val="single" w:sz="4" w:space="0" w:color="auto"/>
            </w:tcBorders>
            <w:vAlign w:val="bottom"/>
            <w:hideMark/>
          </w:tcPr>
          <w:p w14:paraId="2AEE3313"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CONCESIONARIA RUTA AL SUR S.A.S.</w:t>
            </w:r>
          </w:p>
        </w:tc>
        <w:tc>
          <w:tcPr>
            <w:tcW w:w="1704" w:type="dxa"/>
            <w:tcBorders>
              <w:top w:val="nil"/>
              <w:left w:val="nil"/>
              <w:bottom w:val="single" w:sz="4" w:space="0" w:color="auto"/>
              <w:right w:val="single" w:sz="4" w:space="0" w:color="auto"/>
            </w:tcBorders>
            <w:noWrap/>
            <w:vAlign w:val="bottom"/>
            <w:hideMark/>
          </w:tcPr>
          <w:p w14:paraId="0F2A272A"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612.163.800</w:t>
            </w:r>
          </w:p>
        </w:tc>
        <w:tc>
          <w:tcPr>
            <w:tcW w:w="1930" w:type="dxa"/>
            <w:tcBorders>
              <w:top w:val="nil"/>
              <w:left w:val="nil"/>
              <w:bottom w:val="single" w:sz="4" w:space="0" w:color="auto"/>
              <w:right w:val="single" w:sz="4" w:space="0" w:color="auto"/>
            </w:tcBorders>
            <w:noWrap/>
            <w:vAlign w:val="bottom"/>
            <w:hideMark/>
          </w:tcPr>
          <w:p w14:paraId="5F2D1FC4"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546.784.000</w:t>
            </w:r>
          </w:p>
        </w:tc>
      </w:tr>
      <w:tr w:rsidR="001B372A" w:rsidRPr="001B372A" w14:paraId="217BC571" w14:textId="77777777" w:rsidTr="00645176">
        <w:trPr>
          <w:trHeight w:val="408"/>
        </w:trPr>
        <w:tc>
          <w:tcPr>
            <w:tcW w:w="4256" w:type="dxa"/>
            <w:tcBorders>
              <w:top w:val="nil"/>
              <w:left w:val="single" w:sz="4" w:space="0" w:color="auto"/>
              <w:bottom w:val="single" w:sz="4" w:space="0" w:color="auto"/>
              <w:right w:val="single" w:sz="4" w:space="0" w:color="auto"/>
            </w:tcBorders>
            <w:vAlign w:val="bottom"/>
            <w:hideMark/>
          </w:tcPr>
          <w:p w14:paraId="6CC91A06"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 xml:space="preserve">CONCESIONARIA RUTAS DEL VALLE S.A.S. </w:t>
            </w:r>
          </w:p>
        </w:tc>
        <w:tc>
          <w:tcPr>
            <w:tcW w:w="1704" w:type="dxa"/>
            <w:tcBorders>
              <w:top w:val="nil"/>
              <w:left w:val="nil"/>
              <w:bottom w:val="single" w:sz="4" w:space="0" w:color="auto"/>
              <w:right w:val="single" w:sz="4" w:space="0" w:color="auto"/>
            </w:tcBorders>
            <w:noWrap/>
            <w:vAlign w:val="bottom"/>
            <w:hideMark/>
          </w:tcPr>
          <w:p w14:paraId="79F8414D"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 </w:t>
            </w:r>
          </w:p>
        </w:tc>
        <w:tc>
          <w:tcPr>
            <w:tcW w:w="1930" w:type="dxa"/>
            <w:tcBorders>
              <w:top w:val="nil"/>
              <w:left w:val="nil"/>
              <w:bottom w:val="single" w:sz="4" w:space="0" w:color="auto"/>
              <w:right w:val="single" w:sz="4" w:space="0" w:color="auto"/>
            </w:tcBorders>
            <w:noWrap/>
            <w:vAlign w:val="bottom"/>
            <w:hideMark/>
          </w:tcPr>
          <w:p w14:paraId="43EE212E"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6.082.691.700</w:t>
            </w:r>
          </w:p>
        </w:tc>
      </w:tr>
      <w:tr w:rsidR="001B372A" w:rsidRPr="001B372A" w14:paraId="19DD3485" w14:textId="77777777" w:rsidTr="00645176">
        <w:trPr>
          <w:trHeight w:val="386"/>
        </w:trPr>
        <w:tc>
          <w:tcPr>
            <w:tcW w:w="4256" w:type="dxa"/>
            <w:tcBorders>
              <w:top w:val="nil"/>
              <w:left w:val="single" w:sz="4" w:space="0" w:color="auto"/>
              <w:bottom w:val="single" w:sz="4" w:space="0" w:color="auto"/>
              <w:right w:val="single" w:sz="4" w:space="0" w:color="auto"/>
            </w:tcBorders>
            <w:vAlign w:val="bottom"/>
            <w:hideMark/>
          </w:tcPr>
          <w:p w14:paraId="245250D3"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CONCESIONARIA RUTA BOGOTÁ NORTE S.A.S</w:t>
            </w:r>
          </w:p>
        </w:tc>
        <w:tc>
          <w:tcPr>
            <w:tcW w:w="1704" w:type="dxa"/>
            <w:tcBorders>
              <w:top w:val="nil"/>
              <w:left w:val="nil"/>
              <w:bottom w:val="single" w:sz="4" w:space="0" w:color="auto"/>
              <w:right w:val="single" w:sz="4" w:space="0" w:color="auto"/>
            </w:tcBorders>
            <w:noWrap/>
            <w:vAlign w:val="bottom"/>
            <w:hideMark/>
          </w:tcPr>
          <w:p w14:paraId="04F38127"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 </w:t>
            </w:r>
          </w:p>
        </w:tc>
        <w:tc>
          <w:tcPr>
            <w:tcW w:w="1930" w:type="dxa"/>
            <w:tcBorders>
              <w:top w:val="nil"/>
              <w:left w:val="nil"/>
              <w:bottom w:val="single" w:sz="4" w:space="0" w:color="auto"/>
              <w:right w:val="single" w:sz="4" w:space="0" w:color="auto"/>
            </w:tcBorders>
            <w:noWrap/>
            <w:vAlign w:val="bottom"/>
            <w:hideMark/>
          </w:tcPr>
          <w:p w14:paraId="0CAE681F"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13.067.784.110</w:t>
            </w:r>
          </w:p>
        </w:tc>
      </w:tr>
      <w:tr w:rsidR="001B372A" w:rsidRPr="001B372A" w14:paraId="3A062D6A" w14:textId="77777777" w:rsidTr="00645176">
        <w:trPr>
          <w:trHeight w:val="432"/>
        </w:trPr>
        <w:tc>
          <w:tcPr>
            <w:tcW w:w="4256" w:type="dxa"/>
            <w:tcBorders>
              <w:top w:val="nil"/>
              <w:left w:val="single" w:sz="4" w:space="0" w:color="auto"/>
              <w:bottom w:val="single" w:sz="4" w:space="0" w:color="auto"/>
              <w:right w:val="single" w:sz="4" w:space="0" w:color="auto"/>
            </w:tcBorders>
            <w:vAlign w:val="bottom"/>
            <w:hideMark/>
          </w:tcPr>
          <w:p w14:paraId="5634A230"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lastRenderedPageBreak/>
              <w:t>AUTOPISTA DEL RIO GRANDE S.A.S</w:t>
            </w:r>
          </w:p>
        </w:tc>
        <w:tc>
          <w:tcPr>
            <w:tcW w:w="1704" w:type="dxa"/>
            <w:tcBorders>
              <w:top w:val="nil"/>
              <w:left w:val="nil"/>
              <w:bottom w:val="single" w:sz="4" w:space="0" w:color="auto"/>
              <w:right w:val="single" w:sz="4" w:space="0" w:color="auto"/>
            </w:tcBorders>
            <w:noWrap/>
            <w:vAlign w:val="bottom"/>
            <w:hideMark/>
          </w:tcPr>
          <w:p w14:paraId="3C3EFD67" w14:textId="77777777" w:rsidR="001B372A" w:rsidRPr="001B372A" w:rsidRDefault="001B372A" w:rsidP="005807C9">
            <w:pPr>
              <w:spacing w:after="0" w:line="240" w:lineRule="auto"/>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 </w:t>
            </w:r>
          </w:p>
        </w:tc>
        <w:tc>
          <w:tcPr>
            <w:tcW w:w="1930" w:type="dxa"/>
            <w:tcBorders>
              <w:top w:val="nil"/>
              <w:left w:val="nil"/>
              <w:bottom w:val="single" w:sz="4" w:space="0" w:color="auto"/>
              <w:right w:val="single" w:sz="4" w:space="0" w:color="auto"/>
            </w:tcBorders>
            <w:noWrap/>
            <w:vAlign w:val="bottom"/>
            <w:hideMark/>
          </w:tcPr>
          <w:p w14:paraId="578C3CD2" w14:textId="77777777" w:rsidR="001B372A" w:rsidRPr="001B372A" w:rsidRDefault="001B372A" w:rsidP="005807C9">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372A">
              <w:rPr>
                <w:rFonts w:ascii="Times New Roman" w:eastAsia="Times New Roman" w:hAnsi="Times New Roman" w:cs="Times New Roman"/>
                <w:color w:val="000000"/>
                <w:kern w:val="0"/>
                <w:sz w:val="18"/>
                <w:szCs w:val="18"/>
                <w:lang w:eastAsia="es-CO"/>
                <w14:ligatures w14:val="none"/>
              </w:rPr>
              <w:t>4.043.115.900</w:t>
            </w:r>
          </w:p>
        </w:tc>
      </w:tr>
      <w:tr w:rsidR="001B372A" w:rsidRPr="001B372A" w14:paraId="2A3DCDEA" w14:textId="77777777" w:rsidTr="00DB540B">
        <w:trPr>
          <w:trHeight w:val="346"/>
        </w:trPr>
        <w:tc>
          <w:tcPr>
            <w:tcW w:w="4256" w:type="dxa"/>
            <w:tcBorders>
              <w:top w:val="nil"/>
              <w:left w:val="single" w:sz="4" w:space="0" w:color="auto"/>
              <w:bottom w:val="single" w:sz="4" w:space="0" w:color="auto"/>
              <w:right w:val="single" w:sz="4" w:space="0" w:color="auto"/>
            </w:tcBorders>
            <w:vAlign w:val="bottom"/>
            <w:hideMark/>
          </w:tcPr>
          <w:p w14:paraId="1A090F48" w14:textId="77777777" w:rsidR="001B372A" w:rsidRPr="00645176" w:rsidRDefault="001B372A" w:rsidP="005807C9">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645176">
              <w:rPr>
                <w:rFonts w:ascii="Times New Roman" w:eastAsia="Times New Roman" w:hAnsi="Times New Roman" w:cs="Times New Roman"/>
                <w:b/>
                <w:bCs/>
                <w:color w:val="000000"/>
                <w:kern w:val="0"/>
                <w:sz w:val="18"/>
                <w:szCs w:val="18"/>
                <w:lang w:eastAsia="es-CO"/>
                <w14:ligatures w14:val="none"/>
              </w:rPr>
              <w:t>Total</w:t>
            </w:r>
          </w:p>
        </w:tc>
        <w:tc>
          <w:tcPr>
            <w:tcW w:w="1704" w:type="dxa"/>
            <w:tcBorders>
              <w:top w:val="nil"/>
              <w:left w:val="nil"/>
              <w:bottom w:val="single" w:sz="4" w:space="0" w:color="auto"/>
              <w:right w:val="single" w:sz="4" w:space="0" w:color="auto"/>
            </w:tcBorders>
            <w:noWrap/>
            <w:vAlign w:val="bottom"/>
            <w:hideMark/>
          </w:tcPr>
          <w:p w14:paraId="689BF37A" w14:textId="77777777" w:rsidR="001B372A" w:rsidRPr="00645176" w:rsidRDefault="001B372A" w:rsidP="005807C9">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645176">
              <w:rPr>
                <w:rFonts w:ascii="Times New Roman" w:eastAsia="Times New Roman" w:hAnsi="Times New Roman" w:cs="Times New Roman"/>
                <w:b/>
                <w:bCs/>
                <w:color w:val="000000"/>
                <w:kern w:val="0"/>
                <w:sz w:val="18"/>
                <w:szCs w:val="18"/>
                <w:lang w:eastAsia="es-CO"/>
                <w14:ligatures w14:val="none"/>
              </w:rPr>
              <w:t>153.385.573.808</w:t>
            </w:r>
          </w:p>
        </w:tc>
        <w:tc>
          <w:tcPr>
            <w:tcW w:w="1930" w:type="dxa"/>
            <w:tcBorders>
              <w:top w:val="nil"/>
              <w:left w:val="nil"/>
              <w:bottom w:val="single" w:sz="4" w:space="0" w:color="auto"/>
              <w:right w:val="single" w:sz="4" w:space="0" w:color="auto"/>
            </w:tcBorders>
            <w:noWrap/>
            <w:vAlign w:val="bottom"/>
            <w:hideMark/>
          </w:tcPr>
          <w:p w14:paraId="41D8839C" w14:textId="77777777" w:rsidR="001B372A" w:rsidRPr="00645176" w:rsidRDefault="001B372A" w:rsidP="005807C9">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645176">
              <w:rPr>
                <w:rFonts w:ascii="Times New Roman" w:eastAsia="Times New Roman" w:hAnsi="Times New Roman" w:cs="Times New Roman"/>
                <w:b/>
                <w:bCs/>
                <w:color w:val="000000"/>
                <w:kern w:val="0"/>
                <w:sz w:val="18"/>
                <w:szCs w:val="18"/>
                <w:lang w:eastAsia="es-CO"/>
                <w14:ligatures w14:val="none"/>
              </w:rPr>
              <w:t>146.218.922.997</w:t>
            </w:r>
          </w:p>
        </w:tc>
      </w:tr>
      <w:tr w:rsidR="00645176" w:rsidRPr="001B372A" w14:paraId="77CFADEF" w14:textId="77777777" w:rsidTr="00645176">
        <w:trPr>
          <w:trHeight w:val="222"/>
        </w:trPr>
        <w:tc>
          <w:tcPr>
            <w:tcW w:w="7891" w:type="dxa"/>
            <w:gridSpan w:val="3"/>
            <w:tcBorders>
              <w:top w:val="nil"/>
              <w:left w:val="nil"/>
              <w:bottom w:val="nil"/>
              <w:right w:val="nil"/>
            </w:tcBorders>
            <w:vAlign w:val="bottom"/>
            <w:hideMark/>
          </w:tcPr>
          <w:p w14:paraId="29BAA16D" w14:textId="64880BD5" w:rsidR="00645176" w:rsidRPr="00645176" w:rsidRDefault="00645176" w:rsidP="005807C9">
            <w:pPr>
              <w:spacing w:after="0" w:line="240" w:lineRule="auto"/>
              <w:rPr>
                <w:rFonts w:ascii="Times New Roman" w:eastAsia="Times New Roman" w:hAnsi="Times New Roman" w:cs="Times New Roman"/>
                <w:kern w:val="0"/>
                <w:sz w:val="16"/>
                <w:szCs w:val="16"/>
                <w:lang w:eastAsia="es-CO"/>
                <w14:ligatures w14:val="none"/>
              </w:rPr>
            </w:pPr>
            <w:r w:rsidRPr="00645176">
              <w:rPr>
                <w:rFonts w:ascii="Times New Roman" w:eastAsia="Times New Roman" w:hAnsi="Times New Roman" w:cs="Times New Roman"/>
                <w:color w:val="000000"/>
                <w:kern w:val="0"/>
                <w:sz w:val="16"/>
                <w:szCs w:val="16"/>
                <w:lang w:eastAsia="es-CO"/>
                <w14:ligatures w14:val="none"/>
              </w:rPr>
              <w:t>Cifras expresadas en pesos colombianos</w:t>
            </w:r>
          </w:p>
        </w:tc>
      </w:tr>
      <w:tr w:rsidR="00645176" w:rsidRPr="001B372A" w14:paraId="2661AD2B" w14:textId="77777777" w:rsidTr="00645176">
        <w:trPr>
          <w:trHeight w:val="278"/>
        </w:trPr>
        <w:tc>
          <w:tcPr>
            <w:tcW w:w="7891" w:type="dxa"/>
            <w:gridSpan w:val="3"/>
            <w:tcBorders>
              <w:top w:val="nil"/>
              <w:left w:val="nil"/>
              <w:bottom w:val="nil"/>
              <w:right w:val="nil"/>
            </w:tcBorders>
            <w:vAlign w:val="bottom"/>
            <w:hideMark/>
          </w:tcPr>
          <w:p w14:paraId="0E3F1DAA" w14:textId="3A40AC5C" w:rsidR="00645176" w:rsidRPr="00645176" w:rsidRDefault="00645176" w:rsidP="005807C9">
            <w:pPr>
              <w:spacing w:after="0" w:line="240" w:lineRule="auto"/>
              <w:rPr>
                <w:rFonts w:ascii="Times New Roman" w:eastAsia="Times New Roman" w:hAnsi="Times New Roman" w:cs="Times New Roman"/>
                <w:kern w:val="0"/>
                <w:sz w:val="16"/>
                <w:szCs w:val="16"/>
                <w:lang w:eastAsia="es-CO"/>
                <w14:ligatures w14:val="none"/>
              </w:rPr>
            </w:pPr>
            <w:r w:rsidRPr="00645176">
              <w:rPr>
                <w:rFonts w:ascii="Times New Roman" w:eastAsia="Times New Roman" w:hAnsi="Times New Roman" w:cs="Times New Roman"/>
                <w:color w:val="000000"/>
                <w:kern w:val="0"/>
                <w:sz w:val="16"/>
                <w:szCs w:val="16"/>
                <w:lang w:eastAsia="es-CO"/>
                <w14:ligatures w14:val="none"/>
              </w:rPr>
              <w:t>Elaboración: Área Contable – VGCOR.</w:t>
            </w:r>
          </w:p>
        </w:tc>
      </w:tr>
    </w:tbl>
    <w:p w14:paraId="642B7EF0" w14:textId="77777777" w:rsidR="00AD5A2F" w:rsidRPr="00235A94" w:rsidRDefault="00AD5A2F" w:rsidP="00AB1642">
      <w:pPr>
        <w:pStyle w:val="NormalWeb"/>
        <w:spacing w:after="240" w:afterAutospacing="0"/>
        <w:rPr>
          <w:rStyle w:val="Fuerte"/>
          <w:highlight w:val="yellow"/>
        </w:rPr>
      </w:pPr>
    </w:p>
    <w:p w14:paraId="0A00F2FE" w14:textId="5E1FB482" w:rsidR="0038549B" w:rsidRPr="00235A94" w:rsidRDefault="0038549B" w:rsidP="00B42A01">
      <w:pPr>
        <w:spacing w:after="0" w:line="240" w:lineRule="auto"/>
        <w:jc w:val="both"/>
        <w:rPr>
          <w:rFonts w:ascii="Times New Roman" w:hAnsi="Times New Roman" w:cs="Times New Roman"/>
          <w:sz w:val="24"/>
          <w:szCs w:val="24"/>
        </w:rPr>
      </w:pPr>
    </w:p>
    <w:p w14:paraId="544E7EF4" w14:textId="427ACB1B" w:rsidR="00D43C15" w:rsidRPr="00235A94" w:rsidRDefault="004B01FF" w:rsidP="00BA3F99">
      <w:pPr>
        <w:pStyle w:val="Ttulo3"/>
        <w:rPr>
          <w:rFonts w:ascii="Times New Roman" w:hAnsi="Times New Roman" w:cs="Times New Roman"/>
          <w:b/>
          <w:bCs/>
          <w:sz w:val="24"/>
        </w:rPr>
      </w:pPr>
      <w:bookmarkStart w:id="25" w:name="_Toc230185828"/>
      <w:r w:rsidRPr="00235A94">
        <w:rPr>
          <w:rFonts w:ascii="Times New Roman" w:hAnsi="Times New Roman" w:cs="Times New Roman"/>
          <w:b/>
          <w:bCs/>
          <w:sz w:val="24"/>
        </w:rPr>
        <w:t xml:space="preserve">Nota </w:t>
      </w:r>
      <w:r w:rsidR="00D35E6B" w:rsidRPr="00235A94">
        <w:rPr>
          <w:rFonts w:ascii="Times New Roman" w:hAnsi="Times New Roman" w:cs="Times New Roman"/>
          <w:b/>
          <w:bCs/>
          <w:sz w:val="24"/>
        </w:rPr>
        <w:t xml:space="preserve">6. </w:t>
      </w:r>
      <w:r w:rsidR="00D43C15" w:rsidRPr="00235A94">
        <w:rPr>
          <w:rFonts w:ascii="Times New Roman" w:hAnsi="Times New Roman" w:cs="Times New Roman"/>
          <w:b/>
          <w:bCs/>
          <w:sz w:val="24"/>
        </w:rPr>
        <w:t xml:space="preserve">CUENTAS DE </w:t>
      </w:r>
      <w:r w:rsidR="00BA3F99" w:rsidRPr="00235A94">
        <w:rPr>
          <w:rFonts w:ascii="Times New Roman" w:hAnsi="Times New Roman" w:cs="Times New Roman"/>
          <w:b/>
          <w:bCs/>
          <w:sz w:val="24"/>
        </w:rPr>
        <w:t>ORDEN DEUDORAS</w:t>
      </w:r>
      <w:bookmarkEnd w:id="25"/>
      <w:r w:rsidR="00D43C15" w:rsidRPr="00235A94">
        <w:rPr>
          <w:rFonts w:ascii="Times New Roman" w:hAnsi="Times New Roman" w:cs="Times New Roman"/>
          <w:b/>
          <w:bCs/>
          <w:sz w:val="24"/>
        </w:rPr>
        <w:t xml:space="preserve"> </w:t>
      </w:r>
    </w:p>
    <w:p w14:paraId="51AA13C8" w14:textId="77777777" w:rsidR="00BA3F99" w:rsidRPr="00235A94" w:rsidRDefault="00BA3F99" w:rsidP="00BA3F99">
      <w:pPr>
        <w:rPr>
          <w:rFonts w:ascii="Times New Roman" w:hAnsi="Times New Roman" w:cs="Times New Roman"/>
          <w:sz w:val="24"/>
          <w:szCs w:val="24"/>
        </w:rPr>
      </w:pPr>
    </w:p>
    <w:p w14:paraId="79C3A303" w14:textId="606DAE03" w:rsidR="00035182" w:rsidRPr="00235A94" w:rsidRDefault="00035182" w:rsidP="00BA3F99">
      <w:pPr>
        <w:pStyle w:val="Ttulo3"/>
        <w:rPr>
          <w:rFonts w:ascii="Times New Roman" w:hAnsi="Times New Roman" w:cs="Times New Roman"/>
          <w:b/>
          <w:bCs/>
          <w:sz w:val="24"/>
        </w:rPr>
      </w:pPr>
      <w:bookmarkStart w:id="26" w:name="_Toc230185829"/>
      <w:r w:rsidRPr="00235A94">
        <w:rPr>
          <w:rFonts w:ascii="Times New Roman" w:hAnsi="Times New Roman" w:cs="Times New Roman"/>
          <w:b/>
          <w:bCs/>
          <w:sz w:val="24"/>
        </w:rPr>
        <w:t>D</w:t>
      </w:r>
      <w:r w:rsidR="00BA3F99" w:rsidRPr="00235A94">
        <w:rPr>
          <w:rFonts w:ascii="Times New Roman" w:hAnsi="Times New Roman" w:cs="Times New Roman"/>
          <w:b/>
          <w:bCs/>
          <w:sz w:val="24"/>
        </w:rPr>
        <w:t>eudoras</w:t>
      </w:r>
      <w:bookmarkEnd w:id="26"/>
    </w:p>
    <w:p w14:paraId="7BEB0DD9" w14:textId="77777777" w:rsidR="00FC3357" w:rsidRDefault="00FC3357" w:rsidP="00FC3357"/>
    <w:tbl>
      <w:tblPr>
        <w:tblW w:w="5000" w:type="pct"/>
        <w:tblCellMar>
          <w:left w:w="70" w:type="dxa"/>
          <w:right w:w="70" w:type="dxa"/>
        </w:tblCellMar>
        <w:tblLook w:val="04A0" w:firstRow="1" w:lastRow="0" w:firstColumn="1" w:lastColumn="0" w:noHBand="0" w:noVBand="1"/>
      </w:tblPr>
      <w:tblGrid>
        <w:gridCol w:w="2487"/>
        <w:gridCol w:w="1716"/>
        <w:gridCol w:w="1986"/>
        <w:gridCol w:w="1566"/>
        <w:gridCol w:w="1073"/>
      </w:tblGrid>
      <w:tr w:rsidR="00424D05" w:rsidRPr="00424D05" w14:paraId="23B7C878" w14:textId="77777777" w:rsidTr="00515F2D">
        <w:trPr>
          <w:trHeight w:val="300"/>
          <w:tblHeader/>
        </w:trPr>
        <w:tc>
          <w:tcPr>
            <w:tcW w:w="1408"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796DE361"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Descripción</w:t>
            </w:r>
          </w:p>
        </w:tc>
        <w:tc>
          <w:tcPr>
            <w:tcW w:w="972" w:type="pct"/>
            <w:tcBorders>
              <w:top w:val="single" w:sz="4" w:space="0" w:color="auto"/>
              <w:left w:val="nil"/>
              <w:bottom w:val="single" w:sz="4" w:space="0" w:color="auto"/>
              <w:right w:val="single" w:sz="4" w:space="0" w:color="auto"/>
            </w:tcBorders>
            <w:shd w:val="clear" w:color="000000" w:fill="0070C0"/>
            <w:vAlign w:val="center"/>
            <w:hideMark/>
          </w:tcPr>
          <w:p w14:paraId="07B8FEB9"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Cuentas de orden</w:t>
            </w:r>
          </w:p>
        </w:tc>
        <w:tc>
          <w:tcPr>
            <w:tcW w:w="1125" w:type="pct"/>
            <w:tcBorders>
              <w:top w:val="single" w:sz="4" w:space="0" w:color="auto"/>
              <w:left w:val="nil"/>
              <w:bottom w:val="single" w:sz="4" w:space="0" w:color="auto"/>
              <w:right w:val="single" w:sz="4" w:space="0" w:color="auto"/>
            </w:tcBorders>
            <w:shd w:val="clear" w:color="000000" w:fill="0070C0"/>
            <w:vAlign w:val="center"/>
            <w:hideMark/>
          </w:tcPr>
          <w:p w14:paraId="5F10A3B2"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Cuentas de orden</w:t>
            </w:r>
          </w:p>
        </w:tc>
        <w:tc>
          <w:tcPr>
            <w:tcW w:w="887"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1C64CF1D"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Variaciones</w:t>
            </w:r>
          </w:p>
        </w:tc>
        <w:tc>
          <w:tcPr>
            <w:tcW w:w="608"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626A5124"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Porcentaje</w:t>
            </w:r>
          </w:p>
        </w:tc>
      </w:tr>
      <w:tr w:rsidR="00424D05" w:rsidRPr="00424D05" w14:paraId="15B126F0" w14:textId="77777777" w:rsidTr="00515F2D">
        <w:trPr>
          <w:trHeight w:val="480"/>
          <w:tblHeader/>
        </w:trPr>
        <w:tc>
          <w:tcPr>
            <w:tcW w:w="1408" w:type="pct"/>
            <w:vMerge/>
            <w:tcBorders>
              <w:top w:val="single" w:sz="4" w:space="0" w:color="auto"/>
              <w:left w:val="single" w:sz="4" w:space="0" w:color="auto"/>
              <w:bottom w:val="single" w:sz="4" w:space="0" w:color="auto"/>
              <w:right w:val="single" w:sz="4" w:space="0" w:color="auto"/>
            </w:tcBorders>
            <w:vAlign w:val="center"/>
            <w:hideMark/>
          </w:tcPr>
          <w:p w14:paraId="5C9256C5" w14:textId="77777777" w:rsidR="00424D05" w:rsidRPr="00424D05" w:rsidRDefault="00424D05" w:rsidP="00424D05">
            <w:pPr>
              <w:spacing w:after="0" w:line="240" w:lineRule="auto"/>
              <w:rPr>
                <w:rFonts w:ascii="Times New Roman" w:eastAsia="Times New Roman" w:hAnsi="Times New Roman" w:cs="Times New Roman"/>
                <w:b/>
                <w:bCs/>
                <w:color w:val="FFFFFF"/>
                <w:kern w:val="0"/>
                <w:sz w:val="18"/>
                <w:szCs w:val="18"/>
                <w:lang w:eastAsia="es-CO"/>
                <w14:ligatures w14:val="none"/>
              </w:rPr>
            </w:pPr>
          </w:p>
        </w:tc>
        <w:tc>
          <w:tcPr>
            <w:tcW w:w="972" w:type="pct"/>
            <w:tcBorders>
              <w:top w:val="nil"/>
              <w:left w:val="nil"/>
              <w:bottom w:val="single" w:sz="4" w:space="0" w:color="auto"/>
              <w:right w:val="single" w:sz="4" w:space="0" w:color="auto"/>
            </w:tcBorders>
            <w:shd w:val="clear" w:color="000000" w:fill="0070C0"/>
            <w:vAlign w:val="center"/>
            <w:hideMark/>
          </w:tcPr>
          <w:p w14:paraId="75179FBA"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 xml:space="preserve">marzo de 2026 ($) </w:t>
            </w:r>
          </w:p>
        </w:tc>
        <w:tc>
          <w:tcPr>
            <w:tcW w:w="1125" w:type="pct"/>
            <w:tcBorders>
              <w:top w:val="nil"/>
              <w:left w:val="nil"/>
              <w:bottom w:val="single" w:sz="4" w:space="0" w:color="auto"/>
              <w:right w:val="single" w:sz="4" w:space="0" w:color="auto"/>
            </w:tcBorders>
            <w:shd w:val="clear" w:color="000000" w:fill="0070C0"/>
            <w:vAlign w:val="center"/>
            <w:hideMark/>
          </w:tcPr>
          <w:p w14:paraId="26578C72"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diciembre de 2025 ($)</w:t>
            </w:r>
          </w:p>
        </w:tc>
        <w:tc>
          <w:tcPr>
            <w:tcW w:w="887" w:type="pct"/>
            <w:vMerge/>
            <w:tcBorders>
              <w:top w:val="single" w:sz="4" w:space="0" w:color="auto"/>
              <w:left w:val="single" w:sz="4" w:space="0" w:color="auto"/>
              <w:bottom w:val="single" w:sz="4" w:space="0" w:color="auto"/>
              <w:right w:val="single" w:sz="4" w:space="0" w:color="auto"/>
            </w:tcBorders>
            <w:vAlign w:val="center"/>
            <w:hideMark/>
          </w:tcPr>
          <w:p w14:paraId="07B3BE38" w14:textId="77777777" w:rsidR="00424D05" w:rsidRPr="00424D05" w:rsidRDefault="00424D05" w:rsidP="00424D05">
            <w:pPr>
              <w:spacing w:after="0" w:line="240" w:lineRule="auto"/>
              <w:rPr>
                <w:rFonts w:ascii="Times New Roman" w:eastAsia="Times New Roman" w:hAnsi="Times New Roman" w:cs="Times New Roman"/>
                <w:b/>
                <w:bCs/>
                <w:color w:val="FFFFFF"/>
                <w:kern w:val="0"/>
                <w:sz w:val="18"/>
                <w:szCs w:val="18"/>
                <w:lang w:eastAsia="es-CO"/>
                <w14:ligatures w14:val="none"/>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159524CA" w14:textId="77777777" w:rsidR="00424D05" w:rsidRPr="00424D05" w:rsidRDefault="00424D05" w:rsidP="00424D05">
            <w:pPr>
              <w:spacing w:after="0" w:line="240" w:lineRule="auto"/>
              <w:rPr>
                <w:rFonts w:ascii="Times New Roman" w:eastAsia="Times New Roman" w:hAnsi="Times New Roman" w:cs="Times New Roman"/>
                <w:b/>
                <w:bCs/>
                <w:color w:val="FFFFFF"/>
                <w:kern w:val="0"/>
                <w:sz w:val="18"/>
                <w:szCs w:val="18"/>
                <w:lang w:eastAsia="es-CO"/>
                <w14:ligatures w14:val="none"/>
              </w:rPr>
            </w:pPr>
          </w:p>
        </w:tc>
      </w:tr>
      <w:tr w:rsidR="00424D05" w:rsidRPr="00424D05" w14:paraId="73141F59" w14:textId="77777777" w:rsidTr="00515F2D">
        <w:trPr>
          <w:trHeight w:val="300"/>
        </w:trPr>
        <w:tc>
          <w:tcPr>
            <w:tcW w:w="1408" w:type="pct"/>
            <w:tcBorders>
              <w:top w:val="nil"/>
              <w:left w:val="single" w:sz="4" w:space="0" w:color="auto"/>
              <w:bottom w:val="single" w:sz="4" w:space="0" w:color="auto"/>
              <w:right w:val="single" w:sz="4" w:space="0" w:color="auto"/>
            </w:tcBorders>
            <w:noWrap/>
            <w:vAlign w:val="center"/>
            <w:hideMark/>
          </w:tcPr>
          <w:p w14:paraId="482F7897" w14:textId="77777777" w:rsidR="00424D05" w:rsidRPr="00424D05" w:rsidRDefault="00424D05" w:rsidP="00424D05">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Cuentas de orden deudoras</w:t>
            </w:r>
          </w:p>
        </w:tc>
        <w:tc>
          <w:tcPr>
            <w:tcW w:w="972" w:type="pct"/>
            <w:tcBorders>
              <w:top w:val="nil"/>
              <w:left w:val="nil"/>
              <w:bottom w:val="single" w:sz="4" w:space="0" w:color="auto"/>
              <w:right w:val="single" w:sz="4" w:space="0" w:color="auto"/>
            </w:tcBorders>
            <w:shd w:val="clear" w:color="000000" w:fill="D9D9D9"/>
            <w:noWrap/>
            <w:vAlign w:val="center"/>
            <w:hideMark/>
          </w:tcPr>
          <w:p w14:paraId="6032038F"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0</w:t>
            </w:r>
          </w:p>
        </w:tc>
        <w:tc>
          <w:tcPr>
            <w:tcW w:w="1125" w:type="pct"/>
            <w:tcBorders>
              <w:top w:val="nil"/>
              <w:left w:val="nil"/>
              <w:bottom w:val="single" w:sz="4" w:space="0" w:color="auto"/>
              <w:right w:val="single" w:sz="4" w:space="0" w:color="auto"/>
            </w:tcBorders>
            <w:shd w:val="clear" w:color="000000" w:fill="D9D9D9"/>
            <w:noWrap/>
            <w:vAlign w:val="center"/>
            <w:hideMark/>
          </w:tcPr>
          <w:p w14:paraId="79BF6275"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0</w:t>
            </w:r>
          </w:p>
        </w:tc>
        <w:tc>
          <w:tcPr>
            <w:tcW w:w="887" w:type="pct"/>
            <w:tcBorders>
              <w:top w:val="nil"/>
              <w:left w:val="nil"/>
              <w:bottom w:val="single" w:sz="4" w:space="0" w:color="auto"/>
              <w:right w:val="single" w:sz="4" w:space="0" w:color="auto"/>
            </w:tcBorders>
            <w:shd w:val="clear" w:color="000000" w:fill="D9D9D9"/>
            <w:noWrap/>
            <w:vAlign w:val="center"/>
            <w:hideMark/>
          </w:tcPr>
          <w:p w14:paraId="3E3116B8"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0</w:t>
            </w:r>
          </w:p>
        </w:tc>
        <w:tc>
          <w:tcPr>
            <w:tcW w:w="608" w:type="pct"/>
            <w:tcBorders>
              <w:top w:val="nil"/>
              <w:left w:val="nil"/>
              <w:bottom w:val="single" w:sz="4" w:space="0" w:color="auto"/>
              <w:right w:val="single" w:sz="4" w:space="0" w:color="auto"/>
            </w:tcBorders>
            <w:shd w:val="clear" w:color="000000" w:fill="D0D0D0"/>
            <w:noWrap/>
            <w:vAlign w:val="center"/>
            <w:hideMark/>
          </w:tcPr>
          <w:p w14:paraId="7C416031"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0,00%</w:t>
            </w:r>
          </w:p>
        </w:tc>
      </w:tr>
      <w:tr w:rsidR="00424D05" w:rsidRPr="00424D05" w14:paraId="2494BAB6" w14:textId="77777777" w:rsidTr="00515F2D">
        <w:trPr>
          <w:trHeight w:val="300"/>
        </w:trPr>
        <w:tc>
          <w:tcPr>
            <w:tcW w:w="1408" w:type="pct"/>
            <w:tcBorders>
              <w:top w:val="nil"/>
              <w:left w:val="single" w:sz="4" w:space="0" w:color="auto"/>
              <w:bottom w:val="single" w:sz="4" w:space="0" w:color="auto"/>
              <w:right w:val="single" w:sz="4" w:space="0" w:color="auto"/>
            </w:tcBorders>
            <w:noWrap/>
            <w:vAlign w:val="center"/>
            <w:hideMark/>
          </w:tcPr>
          <w:p w14:paraId="66039ABB"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Activos contingentes</w:t>
            </w:r>
          </w:p>
        </w:tc>
        <w:tc>
          <w:tcPr>
            <w:tcW w:w="972" w:type="pct"/>
            <w:tcBorders>
              <w:top w:val="nil"/>
              <w:left w:val="nil"/>
              <w:bottom w:val="single" w:sz="4" w:space="0" w:color="auto"/>
              <w:right w:val="single" w:sz="4" w:space="0" w:color="auto"/>
            </w:tcBorders>
            <w:noWrap/>
            <w:vAlign w:val="center"/>
            <w:hideMark/>
          </w:tcPr>
          <w:p w14:paraId="3353EC73"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7.410.426.080.280 </w:t>
            </w:r>
          </w:p>
        </w:tc>
        <w:tc>
          <w:tcPr>
            <w:tcW w:w="1125" w:type="pct"/>
            <w:tcBorders>
              <w:top w:val="nil"/>
              <w:left w:val="nil"/>
              <w:bottom w:val="single" w:sz="4" w:space="0" w:color="auto"/>
              <w:right w:val="single" w:sz="4" w:space="0" w:color="auto"/>
            </w:tcBorders>
            <w:noWrap/>
            <w:vAlign w:val="center"/>
            <w:hideMark/>
          </w:tcPr>
          <w:p w14:paraId="35A2BC90"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7.207.667.328.672 </w:t>
            </w:r>
          </w:p>
        </w:tc>
        <w:tc>
          <w:tcPr>
            <w:tcW w:w="887" w:type="pct"/>
            <w:tcBorders>
              <w:top w:val="nil"/>
              <w:left w:val="nil"/>
              <w:bottom w:val="single" w:sz="4" w:space="0" w:color="auto"/>
              <w:right w:val="single" w:sz="4" w:space="0" w:color="auto"/>
            </w:tcBorders>
            <w:noWrap/>
            <w:vAlign w:val="center"/>
            <w:hideMark/>
          </w:tcPr>
          <w:p w14:paraId="3F28B069"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202.758.751.608 </w:t>
            </w:r>
          </w:p>
        </w:tc>
        <w:tc>
          <w:tcPr>
            <w:tcW w:w="608" w:type="pct"/>
            <w:tcBorders>
              <w:top w:val="nil"/>
              <w:left w:val="nil"/>
              <w:bottom w:val="single" w:sz="4" w:space="0" w:color="auto"/>
              <w:right w:val="single" w:sz="4" w:space="0" w:color="auto"/>
            </w:tcBorders>
            <w:noWrap/>
            <w:vAlign w:val="center"/>
            <w:hideMark/>
          </w:tcPr>
          <w:p w14:paraId="17048CA8"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2,81%</w:t>
            </w:r>
          </w:p>
        </w:tc>
      </w:tr>
      <w:tr w:rsidR="00424D05" w:rsidRPr="00424D05" w14:paraId="18675D70" w14:textId="77777777" w:rsidTr="00515F2D">
        <w:trPr>
          <w:trHeight w:val="300"/>
        </w:trPr>
        <w:tc>
          <w:tcPr>
            <w:tcW w:w="1408" w:type="pct"/>
            <w:tcBorders>
              <w:top w:val="single" w:sz="4" w:space="0" w:color="auto"/>
              <w:left w:val="single" w:sz="4" w:space="0" w:color="auto"/>
              <w:bottom w:val="single" w:sz="4" w:space="0" w:color="auto"/>
              <w:right w:val="single" w:sz="4" w:space="0" w:color="auto"/>
            </w:tcBorders>
            <w:noWrap/>
            <w:vAlign w:val="center"/>
            <w:hideMark/>
          </w:tcPr>
          <w:p w14:paraId="78CB9C00"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Deudoras de control</w:t>
            </w:r>
          </w:p>
        </w:tc>
        <w:tc>
          <w:tcPr>
            <w:tcW w:w="972" w:type="pct"/>
            <w:tcBorders>
              <w:top w:val="single" w:sz="4" w:space="0" w:color="auto"/>
              <w:left w:val="nil"/>
              <w:bottom w:val="single" w:sz="4" w:space="0" w:color="auto"/>
              <w:right w:val="single" w:sz="4" w:space="0" w:color="auto"/>
            </w:tcBorders>
            <w:noWrap/>
            <w:vAlign w:val="center"/>
            <w:hideMark/>
          </w:tcPr>
          <w:p w14:paraId="362C9B92"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1.208.910.146.014 </w:t>
            </w:r>
          </w:p>
        </w:tc>
        <w:tc>
          <w:tcPr>
            <w:tcW w:w="1125" w:type="pct"/>
            <w:tcBorders>
              <w:top w:val="single" w:sz="4" w:space="0" w:color="auto"/>
              <w:left w:val="nil"/>
              <w:bottom w:val="single" w:sz="4" w:space="0" w:color="auto"/>
              <w:right w:val="single" w:sz="4" w:space="0" w:color="auto"/>
            </w:tcBorders>
            <w:noWrap/>
            <w:vAlign w:val="center"/>
            <w:hideMark/>
          </w:tcPr>
          <w:p w14:paraId="6858F558"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1.217.399.017.520 </w:t>
            </w:r>
          </w:p>
        </w:tc>
        <w:tc>
          <w:tcPr>
            <w:tcW w:w="887" w:type="pct"/>
            <w:tcBorders>
              <w:top w:val="single" w:sz="4" w:space="0" w:color="auto"/>
              <w:left w:val="nil"/>
              <w:bottom w:val="single" w:sz="4" w:space="0" w:color="auto"/>
              <w:right w:val="single" w:sz="4" w:space="0" w:color="auto"/>
            </w:tcBorders>
            <w:noWrap/>
            <w:vAlign w:val="center"/>
            <w:hideMark/>
          </w:tcPr>
          <w:p w14:paraId="37C931D9"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-8.488.871.506 </w:t>
            </w:r>
          </w:p>
        </w:tc>
        <w:tc>
          <w:tcPr>
            <w:tcW w:w="608" w:type="pct"/>
            <w:tcBorders>
              <w:top w:val="single" w:sz="4" w:space="0" w:color="auto"/>
              <w:left w:val="nil"/>
              <w:bottom w:val="single" w:sz="4" w:space="0" w:color="auto"/>
              <w:right w:val="single" w:sz="4" w:space="0" w:color="auto"/>
            </w:tcBorders>
            <w:noWrap/>
            <w:vAlign w:val="center"/>
            <w:hideMark/>
          </w:tcPr>
          <w:p w14:paraId="3C8A157E"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-0,70%</w:t>
            </w:r>
          </w:p>
        </w:tc>
      </w:tr>
      <w:tr w:rsidR="00424D05" w:rsidRPr="00424D05" w14:paraId="0C9FE548" w14:textId="77777777" w:rsidTr="00515F2D">
        <w:trPr>
          <w:trHeight w:val="300"/>
        </w:trPr>
        <w:tc>
          <w:tcPr>
            <w:tcW w:w="1408" w:type="pct"/>
            <w:tcBorders>
              <w:top w:val="single" w:sz="4" w:space="0" w:color="auto"/>
              <w:left w:val="single" w:sz="4" w:space="0" w:color="auto"/>
              <w:bottom w:val="single" w:sz="4" w:space="0" w:color="auto"/>
              <w:right w:val="single" w:sz="4" w:space="0" w:color="auto"/>
            </w:tcBorders>
            <w:noWrap/>
            <w:vAlign w:val="center"/>
            <w:hideMark/>
          </w:tcPr>
          <w:p w14:paraId="50786349"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Deudoras por contra (Cr)</w:t>
            </w:r>
          </w:p>
        </w:tc>
        <w:tc>
          <w:tcPr>
            <w:tcW w:w="972" w:type="pct"/>
            <w:tcBorders>
              <w:top w:val="single" w:sz="4" w:space="0" w:color="auto"/>
              <w:left w:val="nil"/>
              <w:bottom w:val="single" w:sz="4" w:space="0" w:color="auto"/>
              <w:right w:val="single" w:sz="4" w:space="0" w:color="auto"/>
            </w:tcBorders>
            <w:noWrap/>
            <w:vAlign w:val="center"/>
            <w:hideMark/>
          </w:tcPr>
          <w:p w14:paraId="3585B9F1"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-8.619.336.226.294 </w:t>
            </w:r>
          </w:p>
        </w:tc>
        <w:tc>
          <w:tcPr>
            <w:tcW w:w="1125" w:type="pct"/>
            <w:tcBorders>
              <w:top w:val="single" w:sz="4" w:space="0" w:color="auto"/>
              <w:left w:val="nil"/>
              <w:bottom w:val="single" w:sz="4" w:space="0" w:color="auto"/>
              <w:right w:val="single" w:sz="4" w:space="0" w:color="auto"/>
            </w:tcBorders>
            <w:noWrap/>
            <w:vAlign w:val="center"/>
            <w:hideMark/>
          </w:tcPr>
          <w:p w14:paraId="663B24E5"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-8.425.066.346.192 </w:t>
            </w:r>
          </w:p>
        </w:tc>
        <w:tc>
          <w:tcPr>
            <w:tcW w:w="887" w:type="pct"/>
            <w:tcBorders>
              <w:top w:val="single" w:sz="4" w:space="0" w:color="auto"/>
              <w:left w:val="nil"/>
              <w:bottom w:val="single" w:sz="4" w:space="0" w:color="auto"/>
              <w:right w:val="single" w:sz="4" w:space="0" w:color="auto"/>
            </w:tcBorders>
            <w:noWrap/>
            <w:vAlign w:val="center"/>
            <w:hideMark/>
          </w:tcPr>
          <w:p w14:paraId="060356F0"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-194.269.880.102 </w:t>
            </w:r>
          </w:p>
        </w:tc>
        <w:tc>
          <w:tcPr>
            <w:tcW w:w="608" w:type="pct"/>
            <w:tcBorders>
              <w:top w:val="single" w:sz="4" w:space="0" w:color="auto"/>
              <w:left w:val="nil"/>
              <w:bottom w:val="single" w:sz="4" w:space="0" w:color="auto"/>
              <w:right w:val="single" w:sz="4" w:space="0" w:color="auto"/>
            </w:tcBorders>
            <w:noWrap/>
            <w:vAlign w:val="center"/>
            <w:hideMark/>
          </w:tcPr>
          <w:p w14:paraId="492ADE53"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2,31%</w:t>
            </w:r>
          </w:p>
        </w:tc>
      </w:tr>
    </w:tbl>
    <w:p w14:paraId="7FAC2AF6" w14:textId="77777777" w:rsidR="00035182" w:rsidRDefault="00035182" w:rsidP="00035182">
      <w:pPr>
        <w:pStyle w:val="Textoindependiente"/>
        <w:jc w:val="both"/>
        <w:rPr>
          <w:b/>
          <w:bCs/>
          <w:color w:val="FF0000"/>
        </w:rPr>
      </w:pPr>
    </w:p>
    <w:p w14:paraId="585E2CC7" w14:textId="77777777" w:rsidR="00BD3C37" w:rsidRDefault="00BD3C37" w:rsidP="00035182">
      <w:pPr>
        <w:pStyle w:val="Textoindependiente"/>
        <w:jc w:val="both"/>
        <w:rPr>
          <w:b/>
          <w:bCs/>
          <w:color w:val="FF0000"/>
        </w:rPr>
      </w:pPr>
    </w:p>
    <w:p w14:paraId="60E58C7B" w14:textId="3AE01509" w:rsidR="0064383D" w:rsidRDefault="0064383D" w:rsidP="00035182">
      <w:pPr>
        <w:pStyle w:val="Textoindependiente"/>
        <w:jc w:val="both"/>
      </w:pPr>
      <w:r>
        <w:t>Los Activos contingentes</w:t>
      </w:r>
      <w:r w:rsidRPr="0064383D">
        <w:t xml:space="preserve"> </w:t>
      </w:r>
      <w:r>
        <w:t xml:space="preserve">presentó un incremento a causa de los </w:t>
      </w:r>
      <w:r w:rsidRPr="0064383D">
        <w:t>Acuerdos de concesión</w:t>
      </w:r>
      <w:r>
        <w:t xml:space="preserve"> por valor de $</w:t>
      </w:r>
      <w:r w:rsidRPr="0064383D">
        <w:t xml:space="preserve"> 202.758.751.608</w:t>
      </w:r>
      <w:r w:rsidR="007C5BF4">
        <w:t xml:space="preserve"> correspondiente al reconocimiento de</w:t>
      </w:r>
      <w:r w:rsidR="00FA17C7">
        <w:t xml:space="preserve"> la actualización del déficit en los aportes al Fondo de Contingencias en los meses de enero y febrero informado por el GIT de Riesgos de la </w:t>
      </w:r>
      <w:proofErr w:type="gramStart"/>
      <w:r w:rsidR="00465110">
        <w:t>Vicepresidencia  de</w:t>
      </w:r>
      <w:proofErr w:type="gramEnd"/>
      <w:r w:rsidR="00465110">
        <w:t xml:space="preserve"> Planeación, Riesgos y Entorno - </w:t>
      </w:r>
      <w:r w:rsidR="00FA17C7">
        <w:t>VPRE.</w:t>
      </w:r>
    </w:p>
    <w:p w14:paraId="1DD896EB" w14:textId="77777777" w:rsidR="0064383D" w:rsidRDefault="0064383D" w:rsidP="00035182">
      <w:pPr>
        <w:pStyle w:val="Textoindependiente"/>
        <w:jc w:val="both"/>
      </w:pPr>
    </w:p>
    <w:p w14:paraId="2E87D497" w14:textId="614B390D" w:rsidR="007A7602" w:rsidRPr="00ED7570" w:rsidRDefault="00BD3C37" w:rsidP="00035182">
      <w:pPr>
        <w:pStyle w:val="Textoindependiente"/>
        <w:jc w:val="both"/>
      </w:pPr>
      <w:r w:rsidRPr="00515F2D">
        <w:t xml:space="preserve">En el grupo Deudoras de control, </w:t>
      </w:r>
      <w:r w:rsidR="006734BC" w:rsidRPr="00515F2D">
        <w:t xml:space="preserve">específicamente en la cuenta </w:t>
      </w:r>
      <w:r w:rsidR="006734BC" w:rsidRPr="00421C68">
        <w:rPr>
          <w:i/>
          <w:iCs/>
        </w:rPr>
        <w:t xml:space="preserve">Otras </w:t>
      </w:r>
      <w:r w:rsidR="004B6C7C">
        <w:rPr>
          <w:i/>
          <w:iCs/>
        </w:rPr>
        <w:t xml:space="preserve">cuentas </w:t>
      </w:r>
      <w:r w:rsidR="006734BC" w:rsidRPr="00421C68">
        <w:rPr>
          <w:i/>
          <w:iCs/>
        </w:rPr>
        <w:t>deudoras de control</w:t>
      </w:r>
      <w:r w:rsidR="006734BC" w:rsidRPr="00515F2D">
        <w:t xml:space="preserve"> </w:t>
      </w:r>
      <w:r w:rsidRPr="00515F2D">
        <w:t xml:space="preserve">se presentó una disminución </w:t>
      </w:r>
      <w:r w:rsidR="006734BC" w:rsidRPr="00515F2D">
        <w:t>debido a la reversión de</w:t>
      </w:r>
      <w:r w:rsidRPr="00515F2D">
        <w:t xml:space="preserve"> los valores causados por concepto de contraprestación portuaria</w:t>
      </w:r>
      <w:r w:rsidR="006734BC" w:rsidRPr="00515F2D">
        <w:t>,</w:t>
      </w:r>
      <w:r w:rsidRPr="00515F2D">
        <w:t xml:space="preserve"> de conformidad </w:t>
      </w:r>
      <w:r w:rsidR="006734BC" w:rsidRPr="00515F2D">
        <w:t>con el</w:t>
      </w:r>
      <w:r w:rsidRPr="00515F2D">
        <w:t xml:space="preserve"> Decreto No. 0008 de 2024, </w:t>
      </w:r>
      <w:r w:rsidRPr="00ED7570">
        <w:t>por valor de $8.488.871.506,</w:t>
      </w:r>
      <w:r w:rsidR="006734BC" w:rsidRPr="00ED7570">
        <w:t xml:space="preserve"> </w:t>
      </w:r>
      <w:r w:rsidR="007A7602" w:rsidRPr="00ED7570">
        <w:t xml:space="preserve">correspondiente al </w:t>
      </w:r>
      <w:r w:rsidR="006734BC" w:rsidRPr="00ED7570">
        <w:t>tercero INVIAS</w:t>
      </w:r>
      <w:r w:rsidR="007A7602" w:rsidRPr="00ED7570">
        <w:t>.</w:t>
      </w:r>
    </w:p>
    <w:p w14:paraId="32CCB853" w14:textId="77777777" w:rsidR="007A7602" w:rsidRPr="00ED7570" w:rsidRDefault="007A7602" w:rsidP="00035182">
      <w:pPr>
        <w:pStyle w:val="Textoindependiente"/>
        <w:jc w:val="both"/>
      </w:pPr>
    </w:p>
    <w:p w14:paraId="0CC8E38B" w14:textId="3EB40B53" w:rsidR="00BD3C37" w:rsidRPr="00ED7570" w:rsidRDefault="007A7602" w:rsidP="00035182">
      <w:pPr>
        <w:pStyle w:val="Textoindependiente"/>
        <w:jc w:val="both"/>
      </w:pPr>
      <w:r w:rsidRPr="00ED7570">
        <w:t>L</w:t>
      </w:r>
      <w:r w:rsidR="00BD3C37" w:rsidRPr="00ED7570">
        <w:t xml:space="preserve">o anterior </w:t>
      </w:r>
      <w:r w:rsidRPr="00ED7570">
        <w:t xml:space="preserve">obedece </w:t>
      </w:r>
      <w:r w:rsidR="00BD3C37" w:rsidRPr="00ED7570">
        <w:t xml:space="preserve">a que </w:t>
      </w:r>
      <w:r w:rsidRPr="00ED7570">
        <w:t xml:space="preserve">dichos valores fueron </w:t>
      </w:r>
      <w:r w:rsidR="00BD3C37" w:rsidRPr="00ED7570">
        <w:t>reconoci</w:t>
      </w:r>
      <w:r w:rsidRPr="00ED7570">
        <w:t>dos</w:t>
      </w:r>
      <w:r w:rsidR="00BD3C37" w:rsidRPr="00ED7570">
        <w:t xml:space="preserve"> </w:t>
      </w:r>
      <w:r w:rsidRPr="00ED7570">
        <w:t xml:space="preserve">en </w:t>
      </w:r>
      <w:r w:rsidR="00BD3C37" w:rsidRPr="00ED7570">
        <w:t>al activo</w:t>
      </w:r>
      <w:r w:rsidRPr="00ED7570">
        <w:t>,</w:t>
      </w:r>
      <w:r w:rsidR="00BD3C37" w:rsidRPr="00ED7570">
        <w:t xml:space="preserve"> </w:t>
      </w:r>
      <w:r w:rsidRPr="00ED7570">
        <w:t xml:space="preserve">en razón al pago efectuado por el </w:t>
      </w:r>
      <w:r w:rsidR="00BD3C37" w:rsidRPr="00ED7570">
        <w:t>tercero mencionado.</w:t>
      </w:r>
    </w:p>
    <w:p w14:paraId="267C2AFA" w14:textId="77777777" w:rsidR="00BD3C37" w:rsidRPr="00ED7570" w:rsidRDefault="00BD3C37" w:rsidP="00035182">
      <w:pPr>
        <w:pStyle w:val="Textoindependiente"/>
        <w:jc w:val="both"/>
        <w:rPr>
          <w:b/>
          <w:bCs/>
          <w:color w:val="FF0000"/>
        </w:rPr>
      </w:pPr>
    </w:p>
    <w:p w14:paraId="13792790" w14:textId="77777777" w:rsidR="00035182" w:rsidRDefault="00035182" w:rsidP="00035182">
      <w:pPr>
        <w:pStyle w:val="Textoindependiente"/>
        <w:jc w:val="both"/>
        <w:rPr>
          <w:bCs/>
        </w:rPr>
      </w:pPr>
    </w:p>
    <w:p w14:paraId="5E73D0E5" w14:textId="77777777" w:rsidR="00465110" w:rsidRDefault="00465110" w:rsidP="00035182">
      <w:pPr>
        <w:pStyle w:val="Textoindependiente"/>
        <w:jc w:val="both"/>
        <w:rPr>
          <w:bCs/>
        </w:rPr>
      </w:pPr>
    </w:p>
    <w:p w14:paraId="57FC51F4" w14:textId="77777777" w:rsidR="00465110" w:rsidRDefault="00465110" w:rsidP="00035182">
      <w:pPr>
        <w:pStyle w:val="Textoindependiente"/>
        <w:jc w:val="both"/>
        <w:rPr>
          <w:bCs/>
        </w:rPr>
      </w:pPr>
    </w:p>
    <w:p w14:paraId="74371330" w14:textId="77777777" w:rsidR="00465110" w:rsidRDefault="00465110" w:rsidP="00035182">
      <w:pPr>
        <w:pStyle w:val="Textoindependiente"/>
        <w:jc w:val="both"/>
        <w:rPr>
          <w:bCs/>
        </w:rPr>
      </w:pPr>
    </w:p>
    <w:p w14:paraId="526448C6" w14:textId="77777777" w:rsidR="00465110" w:rsidRDefault="00465110" w:rsidP="00035182">
      <w:pPr>
        <w:pStyle w:val="Textoindependiente"/>
        <w:jc w:val="both"/>
        <w:rPr>
          <w:bCs/>
        </w:rPr>
      </w:pPr>
    </w:p>
    <w:p w14:paraId="27C61596" w14:textId="77777777" w:rsidR="00465110" w:rsidRDefault="00465110" w:rsidP="00035182">
      <w:pPr>
        <w:pStyle w:val="Textoindependiente"/>
        <w:jc w:val="both"/>
        <w:rPr>
          <w:bCs/>
        </w:rPr>
      </w:pPr>
    </w:p>
    <w:p w14:paraId="1097B2F2" w14:textId="77777777" w:rsidR="00465110" w:rsidRDefault="00465110" w:rsidP="00035182">
      <w:pPr>
        <w:pStyle w:val="Textoindependiente"/>
        <w:jc w:val="both"/>
        <w:rPr>
          <w:bCs/>
        </w:rPr>
      </w:pPr>
    </w:p>
    <w:p w14:paraId="362802EA" w14:textId="77777777" w:rsidR="00465110" w:rsidRDefault="00465110" w:rsidP="00035182">
      <w:pPr>
        <w:pStyle w:val="Textoindependiente"/>
        <w:jc w:val="both"/>
        <w:rPr>
          <w:bCs/>
        </w:rPr>
      </w:pPr>
    </w:p>
    <w:p w14:paraId="0AB4BBF4" w14:textId="77777777" w:rsidR="00465110" w:rsidRPr="00ED7570" w:rsidRDefault="00465110" w:rsidP="00035182">
      <w:pPr>
        <w:pStyle w:val="Textoindependiente"/>
        <w:jc w:val="both"/>
        <w:rPr>
          <w:bCs/>
        </w:rPr>
      </w:pPr>
    </w:p>
    <w:p w14:paraId="2041D641" w14:textId="5480AE62" w:rsidR="00D35E6B" w:rsidRPr="00ED7570" w:rsidRDefault="004B01FF" w:rsidP="00D35E6B">
      <w:pPr>
        <w:pStyle w:val="Ttulo3"/>
        <w:rPr>
          <w:rFonts w:ascii="Times New Roman" w:hAnsi="Times New Roman" w:cs="Times New Roman"/>
          <w:b/>
          <w:bCs/>
          <w:sz w:val="24"/>
        </w:rPr>
      </w:pPr>
      <w:bookmarkStart w:id="27" w:name="_Toc230185830"/>
      <w:r w:rsidRPr="00ED7570">
        <w:rPr>
          <w:rFonts w:ascii="Times New Roman" w:hAnsi="Times New Roman" w:cs="Times New Roman"/>
          <w:b/>
          <w:bCs/>
          <w:sz w:val="24"/>
        </w:rPr>
        <w:lastRenderedPageBreak/>
        <w:t>Nota 7.</w:t>
      </w:r>
      <w:r w:rsidR="00D35E6B" w:rsidRPr="00ED7570">
        <w:rPr>
          <w:rFonts w:ascii="Times New Roman" w:hAnsi="Times New Roman" w:cs="Times New Roman"/>
          <w:b/>
          <w:bCs/>
          <w:sz w:val="24"/>
        </w:rPr>
        <w:t xml:space="preserve"> CUENTAS DE ORDEN ACREEDORAS</w:t>
      </w:r>
      <w:bookmarkEnd w:id="27"/>
    </w:p>
    <w:p w14:paraId="3A9360D9" w14:textId="77777777" w:rsidR="00FC3357" w:rsidRPr="00ED7570" w:rsidRDefault="00FC3357" w:rsidP="00995A35">
      <w:pPr>
        <w:rPr>
          <w:rFonts w:ascii="Times New Roman" w:hAnsi="Times New Roman" w:cs="Times New Roman"/>
          <w:sz w:val="24"/>
          <w:szCs w:val="24"/>
        </w:rPr>
      </w:pPr>
    </w:p>
    <w:p w14:paraId="42F745DD" w14:textId="77777777" w:rsidR="00FC3357" w:rsidRPr="00ED7570" w:rsidRDefault="00FC3357" w:rsidP="00FC3357">
      <w:pPr>
        <w:pStyle w:val="Ttulo3"/>
        <w:rPr>
          <w:rFonts w:ascii="Times New Roman" w:hAnsi="Times New Roman" w:cs="Times New Roman"/>
          <w:b/>
          <w:bCs/>
          <w:sz w:val="24"/>
        </w:rPr>
      </w:pPr>
      <w:bookmarkStart w:id="28" w:name="_Toc230185831"/>
      <w:r w:rsidRPr="00ED7570">
        <w:rPr>
          <w:rFonts w:ascii="Times New Roman" w:hAnsi="Times New Roman" w:cs="Times New Roman"/>
          <w:b/>
          <w:bCs/>
          <w:sz w:val="24"/>
        </w:rPr>
        <w:t>Acreedoras</w:t>
      </w:r>
      <w:bookmarkEnd w:id="28"/>
    </w:p>
    <w:p w14:paraId="1E768A10" w14:textId="77777777" w:rsidR="00581F2D" w:rsidRPr="00ED7570" w:rsidRDefault="00581F2D" w:rsidP="00995A35">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3130"/>
        <w:gridCol w:w="1640"/>
        <w:gridCol w:w="1640"/>
        <w:gridCol w:w="1415"/>
        <w:gridCol w:w="1003"/>
      </w:tblGrid>
      <w:tr w:rsidR="00424D05" w:rsidRPr="00424D05" w14:paraId="436435DC" w14:textId="77777777" w:rsidTr="00515F2D">
        <w:trPr>
          <w:trHeight w:val="300"/>
        </w:trPr>
        <w:tc>
          <w:tcPr>
            <w:tcW w:w="1812"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366343E5"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Descripción</w:t>
            </w:r>
          </w:p>
        </w:tc>
        <w:tc>
          <w:tcPr>
            <w:tcW w:w="921" w:type="pct"/>
            <w:tcBorders>
              <w:top w:val="single" w:sz="4" w:space="0" w:color="auto"/>
              <w:left w:val="nil"/>
              <w:bottom w:val="single" w:sz="4" w:space="0" w:color="auto"/>
              <w:right w:val="single" w:sz="4" w:space="0" w:color="auto"/>
            </w:tcBorders>
            <w:shd w:val="clear" w:color="000000" w:fill="0070C0"/>
            <w:vAlign w:val="center"/>
            <w:hideMark/>
          </w:tcPr>
          <w:p w14:paraId="19308508"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Cuentas de orden</w:t>
            </w:r>
          </w:p>
        </w:tc>
        <w:tc>
          <w:tcPr>
            <w:tcW w:w="870" w:type="pct"/>
            <w:tcBorders>
              <w:top w:val="single" w:sz="4" w:space="0" w:color="auto"/>
              <w:left w:val="nil"/>
              <w:bottom w:val="single" w:sz="4" w:space="0" w:color="auto"/>
              <w:right w:val="single" w:sz="4" w:space="0" w:color="auto"/>
            </w:tcBorders>
            <w:shd w:val="clear" w:color="000000" w:fill="0070C0"/>
            <w:vAlign w:val="center"/>
            <w:hideMark/>
          </w:tcPr>
          <w:p w14:paraId="756C3967"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Cuentas de orden</w:t>
            </w:r>
          </w:p>
        </w:tc>
        <w:tc>
          <w:tcPr>
            <w:tcW w:w="789"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53E318C8"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Variaciones</w:t>
            </w:r>
          </w:p>
        </w:tc>
        <w:tc>
          <w:tcPr>
            <w:tcW w:w="607"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4A3A8DF1"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Porcentaje</w:t>
            </w:r>
          </w:p>
        </w:tc>
      </w:tr>
      <w:tr w:rsidR="00424D05" w:rsidRPr="00424D05" w14:paraId="1B6A2D83" w14:textId="77777777" w:rsidTr="00515F2D">
        <w:trPr>
          <w:trHeight w:val="480"/>
        </w:trPr>
        <w:tc>
          <w:tcPr>
            <w:tcW w:w="1812" w:type="pct"/>
            <w:vMerge/>
            <w:tcBorders>
              <w:top w:val="single" w:sz="4" w:space="0" w:color="auto"/>
              <w:left w:val="single" w:sz="4" w:space="0" w:color="auto"/>
              <w:bottom w:val="single" w:sz="4" w:space="0" w:color="auto"/>
              <w:right w:val="single" w:sz="4" w:space="0" w:color="auto"/>
            </w:tcBorders>
            <w:vAlign w:val="center"/>
            <w:hideMark/>
          </w:tcPr>
          <w:p w14:paraId="7673148E" w14:textId="77777777" w:rsidR="00424D05" w:rsidRPr="00424D05" w:rsidRDefault="00424D05" w:rsidP="00424D05">
            <w:pPr>
              <w:spacing w:after="0" w:line="240" w:lineRule="auto"/>
              <w:rPr>
                <w:rFonts w:ascii="Times New Roman" w:eastAsia="Times New Roman" w:hAnsi="Times New Roman" w:cs="Times New Roman"/>
                <w:b/>
                <w:bCs/>
                <w:color w:val="FFFFFF"/>
                <w:kern w:val="0"/>
                <w:sz w:val="18"/>
                <w:szCs w:val="18"/>
                <w:lang w:eastAsia="es-CO"/>
                <w14:ligatures w14:val="none"/>
              </w:rPr>
            </w:pPr>
          </w:p>
        </w:tc>
        <w:tc>
          <w:tcPr>
            <w:tcW w:w="921" w:type="pct"/>
            <w:tcBorders>
              <w:top w:val="nil"/>
              <w:left w:val="nil"/>
              <w:bottom w:val="single" w:sz="4" w:space="0" w:color="auto"/>
              <w:right w:val="single" w:sz="4" w:space="0" w:color="auto"/>
            </w:tcBorders>
            <w:shd w:val="clear" w:color="000000" w:fill="0070C0"/>
            <w:vAlign w:val="center"/>
            <w:hideMark/>
          </w:tcPr>
          <w:p w14:paraId="37E89169"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 xml:space="preserve">marzo de 2026 ($) </w:t>
            </w:r>
          </w:p>
        </w:tc>
        <w:tc>
          <w:tcPr>
            <w:tcW w:w="870" w:type="pct"/>
            <w:tcBorders>
              <w:top w:val="nil"/>
              <w:left w:val="nil"/>
              <w:bottom w:val="single" w:sz="4" w:space="0" w:color="auto"/>
              <w:right w:val="single" w:sz="4" w:space="0" w:color="auto"/>
            </w:tcBorders>
            <w:shd w:val="clear" w:color="000000" w:fill="0070C0"/>
            <w:vAlign w:val="center"/>
            <w:hideMark/>
          </w:tcPr>
          <w:p w14:paraId="701F2C81" w14:textId="77777777" w:rsidR="00424D05" w:rsidRPr="00424D05" w:rsidRDefault="00424D05" w:rsidP="00424D05">
            <w:pPr>
              <w:spacing w:after="0" w:line="240" w:lineRule="auto"/>
              <w:jc w:val="center"/>
              <w:rPr>
                <w:rFonts w:ascii="Times New Roman" w:eastAsia="Times New Roman" w:hAnsi="Times New Roman" w:cs="Times New Roman"/>
                <w:b/>
                <w:bCs/>
                <w:color w:val="FFFFFF"/>
                <w:kern w:val="0"/>
                <w:sz w:val="18"/>
                <w:szCs w:val="18"/>
                <w:lang w:eastAsia="es-CO"/>
                <w14:ligatures w14:val="none"/>
              </w:rPr>
            </w:pPr>
            <w:r w:rsidRPr="00424D05">
              <w:rPr>
                <w:rFonts w:ascii="Times New Roman" w:eastAsia="Times New Roman" w:hAnsi="Times New Roman" w:cs="Times New Roman"/>
                <w:b/>
                <w:bCs/>
                <w:color w:val="FFFFFF"/>
                <w:kern w:val="0"/>
                <w:sz w:val="18"/>
                <w:szCs w:val="18"/>
                <w:lang w:eastAsia="es-CO"/>
                <w14:ligatures w14:val="none"/>
              </w:rPr>
              <w:t>diciembre de 2025 ($)</w:t>
            </w:r>
          </w:p>
        </w:tc>
        <w:tc>
          <w:tcPr>
            <w:tcW w:w="789" w:type="pct"/>
            <w:vMerge/>
            <w:tcBorders>
              <w:top w:val="single" w:sz="4" w:space="0" w:color="auto"/>
              <w:left w:val="single" w:sz="4" w:space="0" w:color="auto"/>
              <w:bottom w:val="single" w:sz="4" w:space="0" w:color="auto"/>
              <w:right w:val="single" w:sz="4" w:space="0" w:color="auto"/>
            </w:tcBorders>
            <w:vAlign w:val="center"/>
            <w:hideMark/>
          </w:tcPr>
          <w:p w14:paraId="76FB3603" w14:textId="77777777" w:rsidR="00424D05" w:rsidRPr="00424D05" w:rsidRDefault="00424D05" w:rsidP="00424D05">
            <w:pPr>
              <w:spacing w:after="0" w:line="240" w:lineRule="auto"/>
              <w:rPr>
                <w:rFonts w:ascii="Times New Roman" w:eastAsia="Times New Roman" w:hAnsi="Times New Roman" w:cs="Times New Roman"/>
                <w:b/>
                <w:bCs/>
                <w:color w:val="FFFFFF"/>
                <w:kern w:val="0"/>
                <w:sz w:val="18"/>
                <w:szCs w:val="18"/>
                <w:lang w:eastAsia="es-CO"/>
                <w14:ligatures w14:val="none"/>
              </w:rPr>
            </w:pPr>
          </w:p>
        </w:tc>
        <w:tc>
          <w:tcPr>
            <w:tcW w:w="607" w:type="pct"/>
            <w:vMerge/>
            <w:tcBorders>
              <w:top w:val="single" w:sz="4" w:space="0" w:color="auto"/>
              <w:left w:val="single" w:sz="4" w:space="0" w:color="auto"/>
              <w:bottom w:val="single" w:sz="4" w:space="0" w:color="auto"/>
              <w:right w:val="single" w:sz="4" w:space="0" w:color="auto"/>
            </w:tcBorders>
            <w:vAlign w:val="center"/>
            <w:hideMark/>
          </w:tcPr>
          <w:p w14:paraId="1E5419B0" w14:textId="77777777" w:rsidR="00424D05" w:rsidRPr="00424D05" w:rsidRDefault="00424D05" w:rsidP="00424D05">
            <w:pPr>
              <w:spacing w:after="0" w:line="240" w:lineRule="auto"/>
              <w:rPr>
                <w:rFonts w:ascii="Times New Roman" w:eastAsia="Times New Roman" w:hAnsi="Times New Roman" w:cs="Times New Roman"/>
                <w:b/>
                <w:bCs/>
                <w:color w:val="FFFFFF"/>
                <w:kern w:val="0"/>
                <w:sz w:val="18"/>
                <w:szCs w:val="18"/>
                <w:lang w:eastAsia="es-CO"/>
                <w14:ligatures w14:val="none"/>
              </w:rPr>
            </w:pPr>
          </w:p>
        </w:tc>
      </w:tr>
      <w:tr w:rsidR="00424D05" w:rsidRPr="00424D05" w14:paraId="429F04F9" w14:textId="77777777" w:rsidTr="00515F2D">
        <w:trPr>
          <w:trHeight w:val="300"/>
        </w:trPr>
        <w:tc>
          <w:tcPr>
            <w:tcW w:w="1812" w:type="pct"/>
            <w:tcBorders>
              <w:top w:val="nil"/>
              <w:left w:val="single" w:sz="4" w:space="0" w:color="auto"/>
              <w:bottom w:val="single" w:sz="4" w:space="0" w:color="auto"/>
              <w:right w:val="single" w:sz="4" w:space="0" w:color="auto"/>
            </w:tcBorders>
            <w:noWrap/>
            <w:vAlign w:val="center"/>
            <w:hideMark/>
          </w:tcPr>
          <w:p w14:paraId="5360B362" w14:textId="716256FA" w:rsidR="00424D05" w:rsidRPr="00424D05" w:rsidRDefault="00424D05" w:rsidP="00424D05">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Cuentas de orden acreedoras</w:t>
            </w:r>
          </w:p>
        </w:tc>
        <w:tc>
          <w:tcPr>
            <w:tcW w:w="921" w:type="pct"/>
            <w:tcBorders>
              <w:top w:val="nil"/>
              <w:left w:val="nil"/>
              <w:bottom w:val="single" w:sz="4" w:space="0" w:color="auto"/>
              <w:right w:val="single" w:sz="4" w:space="0" w:color="auto"/>
            </w:tcBorders>
            <w:shd w:val="clear" w:color="000000" w:fill="D9D9D9"/>
            <w:noWrap/>
            <w:vAlign w:val="center"/>
            <w:hideMark/>
          </w:tcPr>
          <w:p w14:paraId="3FCEAAAA"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0</w:t>
            </w:r>
          </w:p>
        </w:tc>
        <w:tc>
          <w:tcPr>
            <w:tcW w:w="870" w:type="pct"/>
            <w:tcBorders>
              <w:top w:val="nil"/>
              <w:left w:val="nil"/>
              <w:bottom w:val="single" w:sz="4" w:space="0" w:color="auto"/>
              <w:right w:val="single" w:sz="4" w:space="0" w:color="auto"/>
            </w:tcBorders>
            <w:shd w:val="clear" w:color="000000" w:fill="D9D9D9"/>
            <w:noWrap/>
            <w:vAlign w:val="center"/>
            <w:hideMark/>
          </w:tcPr>
          <w:p w14:paraId="76762375"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0</w:t>
            </w:r>
          </w:p>
        </w:tc>
        <w:tc>
          <w:tcPr>
            <w:tcW w:w="789" w:type="pct"/>
            <w:tcBorders>
              <w:top w:val="nil"/>
              <w:left w:val="nil"/>
              <w:bottom w:val="single" w:sz="4" w:space="0" w:color="auto"/>
              <w:right w:val="single" w:sz="4" w:space="0" w:color="auto"/>
            </w:tcBorders>
            <w:shd w:val="clear" w:color="000000" w:fill="D9D9D9"/>
            <w:noWrap/>
            <w:vAlign w:val="center"/>
            <w:hideMark/>
          </w:tcPr>
          <w:p w14:paraId="2D3B2854"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0</w:t>
            </w:r>
          </w:p>
        </w:tc>
        <w:tc>
          <w:tcPr>
            <w:tcW w:w="607" w:type="pct"/>
            <w:tcBorders>
              <w:top w:val="nil"/>
              <w:left w:val="nil"/>
              <w:bottom w:val="single" w:sz="4" w:space="0" w:color="auto"/>
              <w:right w:val="single" w:sz="4" w:space="0" w:color="auto"/>
            </w:tcBorders>
            <w:shd w:val="clear" w:color="000000" w:fill="D0D0D0"/>
            <w:noWrap/>
            <w:vAlign w:val="center"/>
            <w:hideMark/>
          </w:tcPr>
          <w:p w14:paraId="5186FCD9" w14:textId="77777777" w:rsidR="00424D05" w:rsidRPr="00424D05" w:rsidRDefault="00424D05" w:rsidP="00424D05">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424D05">
              <w:rPr>
                <w:rFonts w:ascii="Times New Roman" w:eastAsia="Times New Roman" w:hAnsi="Times New Roman" w:cs="Times New Roman"/>
                <w:b/>
                <w:bCs/>
                <w:color w:val="000000"/>
                <w:kern w:val="0"/>
                <w:sz w:val="18"/>
                <w:szCs w:val="18"/>
                <w:lang w:eastAsia="es-CO"/>
                <w14:ligatures w14:val="none"/>
              </w:rPr>
              <w:t>0,00%</w:t>
            </w:r>
          </w:p>
        </w:tc>
      </w:tr>
      <w:tr w:rsidR="00424D05" w:rsidRPr="00424D05" w14:paraId="08D32943" w14:textId="77777777" w:rsidTr="00515F2D">
        <w:trPr>
          <w:trHeight w:val="300"/>
        </w:trPr>
        <w:tc>
          <w:tcPr>
            <w:tcW w:w="1812" w:type="pct"/>
            <w:tcBorders>
              <w:top w:val="nil"/>
              <w:left w:val="single" w:sz="4" w:space="0" w:color="auto"/>
              <w:bottom w:val="single" w:sz="4" w:space="0" w:color="auto"/>
              <w:right w:val="single" w:sz="4" w:space="0" w:color="auto"/>
            </w:tcBorders>
            <w:noWrap/>
            <w:vAlign w:val="center"/>
            <w:hideMark/>
          </w:tcPr>
          <w:p w14:paraId="698E8CC3"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Pasivos contingentes</w:t>
            </w:r>
          </w:p>
        </w:tc>
        <w:tc>
          <w:tcPr>
            <w:tcW w:w="921" w:type="pct"/>
            <w:tcBorders>
              <w:top w:val="nil"/>
              <w:left w:val="nil"/>
              <w:bottom w:val="single" w:sz="4" w:space="0" w:color="auto"/>
              <w:right w:val="single" w:sz="4" w:space="0" w:color="auto"/>
            </w:tcBorders>
            <w:noWrap/>
            <w:vAlign w:val="center"/>
            <w:hideMark/>
          </w:tcPr>
          <w:p w14:paraId="1CBAF98C"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35.238.897.080.324 </w:t>
            </w:r>
          </w:p>
        </w:tc>
        <w:tc>
          <w:tcPr>
            <w:tcW w:w="870" w:type="pct"/>
            <w:tcBorders>
              <w:top w:val="nil"/>
              <w:left w:val="nil"/>
              <w:bottom w:val="single" w:sz="4" w:space="0" w:color="auto"/>
              <w:right w:val="single" w:sz="4" w:space="0" w:color="auto"/>
            </w:tcBorders>
            <w:noWrap/>
            <w:vAlign w:val="center"/>
            <w:hideMark/>
          </w:tcPr>
          <w:p w14:paraId="4C042821"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35.036.138.328.715 </w:t>
            </w:r>
          </w:p>
        </w:tc>
        <w:tc>
          <w:tcPr>
            <w:tcW w:w="789" w:type="pct"/>
            <w:tcBorders>
              <w:top w:val="nil"/>
              <w:left w:val="nil"/>
              <w:bottom w:val="single" w:sz="4" w:space="0" w:color="auto"/>
              <w:right w:val="single" w:sz="4" w:space="0" w:color="auto"/>
            </w:tcBorders>
            <w:noWrap/>
            <w:vAlign w:val="center"/>
            <w:hideMark/>
          </w:tcPr>
          <w:p w14:paraId="568463A3"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202.758.751.608 </w:t>
            </w:r>
          </w:p>
        </w:tc>
        <w:tc>
          <w:tcPr>
            <w:tcW w:w="607" w:type="pct"/>
            <w:tcBorders>
              <w:top w:val="nil"/>
              <w:left w:val="nil"/>
              <w:bottom w:val="single" w:sz="4" w:space="0" w:color="auto"/>
              <w:right w:val="single" w:sz="4" w:space="0" w:color="auto"/>
            </w:tcBorders>
            <w:noWrap/>
            <w:vAlign w:val="center"/>
            <w:hideMark/>
          </w:tcPr>
          <w:p w14:paraId="2FEF4267"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0,58%</w:t>
            </w:r>
          </w:p>
        </w:tc>
      </w:tr>
      <w:tr w:rsidR="00424D05" w:rsidRPr="00424D05" w14:paraId="6343C418" w14:textId="77777777" w:rsidTr="00515F2D">
        <w:trPr>
          <w:trHeight w:val="300"/>
        </w:trPr>
        <w:tc>
          <w:tcPr>
            <w:tcW w:w="1812" w:type="pct"/>
            <w:tcBorders>
              <w:top w:val="single" w:sz="4" w:space="0" w:color="auto"/>
              <w:left w:val="single" w:sz="4" w:space="0" w:color="auto"/>
              <w:bottom w:val="single" w:sz="4" w:space="0" w:color="auto"/>
              <w:right w:val="single" w:sz="4" w:space="0" w:color="auto"/>
            </w:tcBorders>
            <w:noWrap/>
            <w:vAlign w:val="center"/>
            <w:hideMark/>
          </w:tcPr>
          <w:p w14:paraId="27E29987"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Acreedoras de control</w:t>
            </w:r>
          </w:p>
        </w:tc>
        <w:tc>
          <w:tcPr>
            <w:tcW w:w="921" w:type="pct"/>
            <w:tcBorders>
              <w:top w:val="single" w:sz="4" w:space="0" w:color="auto"/>
              <w:left w:val="nil"/>
              <w:bottom w:val="single" w:sz="4" w:space="0" w:color="auto"/>
              <w:right w:val="single" w:sz="4" w:space="0" w:color="auto"/>
            </w:tcBorders>
            <w:noWrap/>
            <w:vAlign w:val="center"/>
            <w:hideMark/>
          </w:tcPr>
          <w:p w14:paraId="3B288DA2"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4.839.824.292.835 </w:t>
            </w:r>
          </w:p>
        </w:tc>
        <w:tc>
          <w:tcPr>
            <w:tcW w:w="870" w:type="pct"/>
            <w:tcBorders>
              <w:top w:val="single" w:sz="4" w:space="0" w:color="auto"/>
              <w:left w:val="nil"/>
              <w:bottom w:val="single" w:sz="4" w:space="0" w:color="auto"/>
              <w:right w:val="single" w:sz="4" w:space="0" w:color="auto"/>
            </w:tcBorders>
            <w:noWrap/>
            <w:vAlign w:val="center"/>
            <w:hideMark/>
          </w:tcPr>
          <w:p w14:paraId="1DCE6588"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5.360.106.648.014 </w:t>
            </w:r>
          </w:p>
        </w:tc>
        <w:tc>
          <w:tcPr>
            <w:tcW w:w="789" w:type="pct"/>
            <w:tcBorders>
              <w:top w:val="single" w:sz="4" w:space="0" w:color="auto"/>
              <w:left w:val="nil"/>
              <w:bottom w:val="single" w:sz="4" w:space="0" w:color="auto"/>
              <w:right w:val="single" w:sz="4" w:space="0" w:color="auto"/>
            </w:tcBorders>
            <w:noWrap/>
            <w:vAlign w:val="center"/>
            <w:hideMark/>
          </w:tcPr>
          <w:p w14:paraId="1219D88B"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-520.282.355.179 </w:t>
            </w:r>
          </w:p>
        </w:tc>
        <w:tc>
          <w:tcPr>
            <w:tcW w:w="607" w:type="pct"/>
            <w:tcBorders>
              <w:top w:val="single" w:sz="4" w:space="0" w:color="auto"/>
              <w:left w:val="nil"/>
              <w:bottom w:val="single" w:sz="4" w:space="0" w:color="auto"/>
              <w:right w:val="single" w:sz="4" w:space="0" w:color="auto"/>
            </w:tcBorders>
            <w:noWrap/>
            <w:vAlign w:val="center"/>
            <w:hideMark/>
          </w:tcPr>
          <w:p w14:paraId="04950093"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-9,71%</w:t>
            </w:r>
          </w:p>
        </w:tc>
      </w:tr>
      <w:tr w:rsidR="00424D05" w:rsidRPr="00424D05" w14:paraId="6B246B4A" w14:textId="77777777" w:rsidTr="00515F2D">
        <w:trPr>
          <w:trHeight w:val="300"/>
        </w:trPr>
        <w:tc>
          <w:tcPr>
            <w:tcW w:w="1812" w:type="pct"/>
            <w:tcBorders>
              <w:top w:val="single" w:sz="4" w:space="0" w:color="auto"/>
              <w:left w:val="single" w:sz="4" w:space="0" w:color="auto"/>
              <w:bottom w:val="single" w:sz="4" w:space="0" w:color="auto"/>
              <w:right w:val="single" w:sz="4" w:space="0" w:color="auto"/>
            </w:tcBorders>
            <w:noWrap/>
            <w:vAlign w:val="center"/>
            <w:hideMark/>
          </w:tcPr>
          <w:p w14:paraId="39C6AB81" w14:textId="77777777" w:rsidR="00424D05" w:rsidRPr="00424D05" w:rsidRDefault="00424D05" w:rsidP="00424D05">
            <w:pPr>
              <w:spacing w:after="0" w:line="240" w:lineRule="auto"/>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Acreedoras por contra (</w:t>
            </w:r>
            <w:proofErr w:type="spellStart"/>
            <w:r w:rsidRPr="00424D05">
              <w:rPr>
                <w:rFonts w:ascii="Times New Roman" w:eastAsia="Times New Roman" w:hAnsi="Times New Roman" w:cs="Times New Roman"/>
                <w:color w:val="000000"/>
                <w:kern w:val="0"/>
                <w:sz w:val="18"/>
                <w:szCs w:val="18"/>
                <w:lang w:eastAsia="es-CO"/>
                <w14:ligatures w14:val="none"/>
              </w:rPr>
              <w:t>Db</w:t>
            </w:r>
            <w:proofErr w:type="spellEnd"/>
            <w:r w:rsidRPr="00424D05">
              <w:rPr>
                <w:rFonts w:ascii="Times New Roman" w:eastAsia="Times New Roman" w:hAnsi="Times New Roman" w:cs="Times New Roman"/>
                <w:color w:val="000000"/>
                <w:kern w:val="0"/>
                <w:sz w:val="18"/>
                <w:szCs w:val="18"/>
                <w:lang w:eastAsia="es-CO"/>
                <w14:ligatures w14:val="none"/>
              </w:rPr>
              <w:t>)</w:t>
            </w:r>
          </w:p>
        </w:tc>
        <w:tc>
          <w:tcPr>
            <w:tcW w:w="921" w:type="pct"/>
            <w:tcBorders>
              <w:top w:val="single" w:sz="4" w:space="0" w:color="auto"/>
              <w:left w:val="nil"/>
              <w:bottom w:val="single" w:sz="4" w:space="0" w:color="auto"/>
              <w:right w:val="single" w:sz="4" w:space="0" w:color="auto"/>
            </w:tcBorders>
            <w:noWrap/>
            <w:vAlign w:val="center"/>
            <w:hideMark/>
          </w:tcPr>
          <w:p w14:paraId="15AE4517"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-40.078.721.373.159 </w:t>
            </w:r>
          </w:p>
        </w:tc>
        <w:tc>
          <w:tcPr>
            <w:tcW w:w="870" w:type="pct"/>
            <w:tcBorders>
              <w:top w:val="single" w:sz="4" w:space="0" w:color="auto"/>
              <w:left w:val="nil"/>
              <w:bottom w:val="single" w:sz="4" w:space="0" w:color="auto"/>
              <w:right w:val="single" w:sz="4" w:space="0" w:color="auto"/>
            </w:tcBorders>
            <w:noWrap/>
            <w:vAlign w:val="center"/>
            <w:hideMark/>
          </w:tcPr>
          <w:p w14:paraId="599D32EF"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-40.396.244.976.729 </w:t>
            </w:r>
          </w:p>
        </w:tc>
        <w:tc>
          <w:tcPr>
            <w:tcW w:w="789" w:type="pct"/>
            <w:tcBorders>
              <w:top w:val="single" w:sz="4" w:space="0" w:color="auto"/>
              <w:left w:val="nil"/>
              <w:bottom w:val="single" w:sz="4" w:space="0" w:color="auto"/>
              <w:right w:val="single" w:sz="4" w:space="0" w:color="auto"/>
            </w:tcBorders>
            <w:noWrap/>
            <w:vAlign w:val="center"/>
            <w:hideMark/>
          </w:tcPr>
          <w:p w14:paraId="7EB7E1C6"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 xml:space="preserve">317.523.603.571 </w:t>
            </w:r>
          </w:p>
        </w:tc>
        <w:tc>
          <w:tcPr>
            <w:tcW w:w="607" w:type="pct"/>
            <w:tcBorders>
              <w:top w:val="single" w:sz="4" w:space="0" w:color="auto"/>
              <w:left w:val="nil"/>
              <w:bottom w:val="single" w:sz="4" w:space="0" w:color="auto"/>
              <w:right w:val="single" w:sz="4" w:space="0" w:color="auto"/>
            </w:tcBorders>
            <w:noWrap/>
            <w:vAlign w:val="center"/>
            <w:hideMark/>
          </w:tcPr>
          <w:p w14:paraId="6F5D58CC" w14:textId="77777777" w:rsidR="00424D05" w:rsidRPr="00424D05" w:rsidRDefault="00424D05" w:rsidP="00424D05">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424D05">
              <w:rPr>
                <w:rFonts w:ascii="Times New Roman" w:eastAsia="Times New Roman" w:hAnsi="Times New Roman" w:cs="Times New Roman"/>
                <w:color w:val="000000"/>
                <w:kern w:val="0"/>
                <w:sz w:val="18"/>
                <w:szCs w:val="18"/>
                <w:lang w:eastAsia="es-CO"/>
                <w14:ligatures w14:val="none"/>
              </w:rPr>
              <w:t>-0,79%</w:t>
            </w:r>
          </w:p>
        </w:tc>
      </w:tr>
    </w:tbl>
    <w:p w14:paraId="505F4C62" w14:textId="77777777" w:rsidR="005C7E4E" w:rsidRPr="00ED7570" w:rsidRDefault="005C7E4E" w:rsidP="00B42A01">
      <w:pPr>
        <w:pStyle w:val="Textoindependiente"/>
        <w:jc w:val="both"/>
      </w:pPr>
    </w:p>
    <w:p w14:paraId="67D99549" w14:textId="7AD5C7AD" w:rsidR="00FA17C7" w:rsidRDefault="00FA17C7" w:rsidP="00FA17C7">
      <w:pPr>
        <w:pStyle w:val="Textoindependiente"/>
        <w:jc w:val="both"/>
      </w:pPr>
      <w:r>
        <w:t xml:space="preserve">Los </w:t>
      </w:r>
      <w:r w:rsidR="00465110">
        <w:t>Pasi</w:t>
      </w:r>
      <w:r>
        <w:t>vos contingentes</w:t>
      </w:r>
      <w:r w:rsidRPr="0064383D">
        <w:t xml:space="preserve"> </w:t>
      </w:r>
      <w:r>
        <w:t xml:space="preserve">presentó un incremento a causa de los </w:t>
      </w:r>
      <w:r w:rsidRPr="0064383D">
        <w:t>Acuerdos de concesión</w:t>
      </w:r>
      <w:r>
        <w:t xml:space="preserve"> por valor de $</w:t>
      </w:r>
      <w:r w:rsidRPr="0064383D">
        <w:t xml:space="preserve"> 202.758.751.608</w:t>
      </w:r>
      <w:r>
        <w:t xml:space="preserve"> correspondiente al reconocimiento de la actualización del déficit en los aportes al Fondo de Contingencias en los meses de enero y febrero informado por el GIT de Riesgos.</w:t>
      </w:r>
    </w:p>
    <w:p w14:paraId="5E64014F" w14:textId="77777777" w:rsidR="00AA265C" w:rsidRDefault="00AA265C" w:rsidP="00B42A01">
      <w:pPr>
        <w:pStyle w:val="Textoindependiente"/>
        <w:jc w:val="both"/>
      </w:pPr>
    </w:p>
    <w:p w14:paraId="1C1BE270" w14:textId="0C2109D7" w:rsidR="001010AC" w:rsidRDefault="00B217A6" w:rsidP="001010AC">
      <w:pPr>
        <w:pStyle w:val="Textoindependiente"/>
        <w:jc w:val="both"/>
      </w:pPr>
      <w:r>
        <w:t xml:space="preserve">La disminución de los Acreedores de control </w:t>
      </w:r>
      <w:r>
        <w:t>corresponde al traslado de los aportes al Fondo de Contingencias de las Entidades Estatales</w:t>
      </w:r>
      <w:r w:rsidR="00916F17">
        <w:t xml:space="preserve"> </w:t>
      </w:r>
      <w:r w:rsidR="001010AC">
        <w:t xml:space="preserve">por valor de $ </w:t>
      </w:r>
      <w:r w:rsidR="001010AC">
        <w:t xml:space="preserve">520.282.355.179 </w:t>
      </w:r>
      <w:r w:rsidR="00916F17">
        <w:t xml:space="preserve">que afecta la cuenta de Otros activos </w:t>
      </w:r>
      <w:r>
        <w:t xml:space="preserve">Encargo fiduciario - fiducia de administración para pago </w:t>
      </w:r>
      <w:r w:rsidR="001010AC">
        <w:t>de</w:t>
      </w:r>
      <w:r>
        <w:t xml:space="preserve"> diciembre de 2025 que se desembolsaron en el primer trimestre 2026</w:t>
      </w:r>
      <w:r w:rsidR="001010AC">
        <w:t>.</w:t>
      </w:r>
    </w:p>
    <w:p w14:paraId="49EBFA27" w14:textId="77777777" w:rsidR="00FA17C7" w:rsidRDefault="00FA17C7" w:rsidP="00B42A01">
      <w:pPr>
        <w:pStyle w:val="Textoindependiente"/>
        <w:jc w:val="both"/>
      </w:pPr>
    </w:p>
    <w:p w14:paraId="00AF804C" w14:textId="77777777" w:rsidR="00FA17C7" w:rsidRPr="00ED7570" w:rsidRDefault="00FA17C7" w:rsidP="00B42A01">
      <w:pPr>
        <w:pStyle w:val="Textoindependiente"/>
        <w:jc w:val="both"/>
      </w:pPr>
    </w:p>
    <w:p w14:paraId="0149FACE" w14:textId="439DFC48" w:rsidR="0088202F" w:rsidRPr="00ED7570" w:rsidRDefault="0088202F" w:rsidP="00B42A01">
      <w:pPr>
        <w:pStyle w:val="Textoindependiente"/>
        <w:jc w:val="both"/>
      </w:pPr>
      <w:r w:rsidRPr="00ED7570">
        <w:t>Bogotá D.C.,</w:t>
      </w:r>
      <w:r w:rsidR="00E33DE6" w:rsidRPr="00ED7570">
        <w:t xml:space="preserve"> a los</w:t>
      </w:r>
      <w:r w:rsidR="001010AC">
        <w:t xml:space="preserve"> veintiséis (26) </w:t>
      </w:r>
      <w:r w:rsidR="00E33DE6" w:rsidRPr="00ED7570">
        <w:t>días del mes de</w:t>
      </w:r>
      <w:r w:rsidR="0045068D" w:rsidRPr="00ED7570">
        <w:t xml:space="preserve"> mayo </w:t>
      </w:r>
      <w:r w:rsidR="008C7964" w:rsidRPr="00ED7570">
        <w:t>de 20</w:t>
      </w:r>
      <w:r w:rsidR="0045068D" w:rsidRPr="00ED7570">
        <w:t>26</w:t>
      </w:r>
      <w:r w:rsidR="00E33DE6" w:rsidRPr="00ED7570">
        <w:t>.</w:t>
      </w:r>
      <w:r w:rsidRPr="00ED7570">
        <w:t xml:space="preserve"> </w:t>
      </w:r>
    </w:p>
    <w:p w14:paraId="0E27667D" w14:textId="77777777" w:rsidR="0088202F" w:rsidRPr="00A913DB" w:rsidRDefault="0088202F" w:rsidP="00B42A01">
      <w:pPr>
        <w:pStyle w:val="Textoindependiente"/>
        <w:jc w:val="both"/>
      </w:pPr>
    </w:p>
    <w:p w14:paraId="617608C7" w14:textId="77777777" w:rsidR="00B34490" w:rsidRPr="00A913DB" w:rsidRDefault="00B34490" w:rsidP="00B42A01">
      <w:pPr>
        <w:pStyle w:val="Textoindependiente"/>
        <w:jc w:val="both"/>
      </w:pPr>
    </w:p>
    <w:p w14:paraId="75C7B34E" w14:textId="77777777" w:rsidR="00B34490" w:rsidRPr="00A913DB" w:rsidRDefault="00B34490" w:rsidP="00B42A01">
      <w:pPr>
        <w:pStyle w:val="Textoindependiente"/>
        <w:jc w:val="both"/>
      </w:pPr>
    </w:p>
    <w:p w14:paraId="18937EFD" w14:textId="77777777" w:rsidR="0088202F" w:rsidRPr="00A913DB" w:rsidRDefault="0088202F" w:rsidP="0088202F">
      <w:pPr>
        <w:pStyle w:val="Textoindependiente"/>
        <w:jc w:val="both"/>
      </w:pPr>
    </w:p>
    <w:p w14:paraId="50C852C8" w14:textId="77777777" w:rsidR="00AA265C" w:rsidRPr="00A913DB" w:rsidRDefault="00AA265C" w:rsidP="0088202F">
      <w:pPr>
        <w:pStyle w:val="Textoindependiente"/>
        <w:jc w:val="both"/>
      </w:pPr>
    </w:p>
    <w:p w14:paraId="7C56988A" w14:textId="77777777" w:rsidR="00A913DB" w:rsidRDefault="00A913DB" w:rsidP="00A913DB">
      <w:pPr>
        <w:rPr>
          <w:rFonts w:ascii="Times New Roman" w:hAnsi="Times New Roman" w:cs="Times New Roman"/>
          <w:b/>
          <w:bCs/>
        </w:rPr>
      </w:pPr>
    </w:p>
    <w:p w14:paraId="5E0E91D4" w14:textId="68702D6C" w:rsidR="00A913DB" w:rsidRPr="00A913DB" w:rsidRDefault="00A913DB" w:rsidP="00A913DB">
      <w:pPr>
        <w:spacing w:after="0" w:line="240" w:lineRule="auto"/>
        <w:rPr>
          <w:rFonts w:ascii="Times New Roman" w:hAnsi="Times New Roman" w:cs="Times New Roman"/>
          <w:b/>
          <w:bCs/>
        </w:rPr>
      </w:pPr>
      <w:r w:rsidRPr="00A913DB">
        <w:rPr>
          <w:rFonts w:ascii="Times New Roman" w:hAnsi="Times New Roman" w:cs="Times New Roman"/>
          <w:b/>
          <w:bCs/>
        </w:rPr>
        <w:t>OSCAR JAVIER TORRES YARZAGARAY</w:t>
      </w:r>
      <w:r w:rsidRPr="00A913DB">
        <w:rPr>
          <w:rFonts w:ascii="Times New Roman" w:hAnsi="Times New Roman" w:cs="Times New Roman"/>
        </w:rPr>
        <w:t xml:space="preserve"> </w:t>
      </w:r>
      <w:r>
        <w:rPr>
          <w:rFonts w:ascii="Times New Roman" w:hAnsi="Times New Roman" w:cs="Times New Roman"/>
        </w:rPr>
        <w:t xml:space="preserve">          </w:t>
      </w:r>
      <w:r w:rsidRPr="00A913DB">
        <w:rPr>
          <w:rFonts w:ascii="Times New Roman" w:hAnsi="Times New Roman" w:cs="Times New Roman"/>
          <w:b/>
          <w:bCs/>
        </w:rPr>
        <w:t>CARMEN ESTELA HERRERA GUERRA</w:t>
      </w:r>
    </w:p>
    <w:p w14:paraId="6FFD6554" w14:textId="7AC80152" w:rsidR="00A913DB" w:rsidRPr="00A913DB" w:rsidRDefault="00A913DB" w:rsidP="00A913DB">
      <w:pPr>
        <w:spacing w:after="0" w:line="240" w:lineRule="auto"/>
        <w:rPr>
          <w:rFonts w:ascii="Times New Roman" w:hAnsi="Times New Roman" w:cs="Times New Roman"/>
        </w:rPr>
      </w:pPr>
      <w:r w:rsidRPr="00A913DB">
        <w:rPr>
          <w:rFonts w:ascii="Times New Roman" w:hAnsi="Times New Roman" w:cs="Times New Roman"/>
        </w:rPr>
        <w:t xml:space="preserve">Representante Legal           </w:t>
      </w:r>
      <w:r w:rsidRPr="00A913DB">
        <w:rPr>
          <w:rFonts w:ascii="Times New Roman" w:hAnsi="Times New Roman" w:cs="Times New Roman"/>
        </w:rPr>
        <w:tab/>
        <w:t xml:space="preserve">                   </w:t>
      </w:r>
      <w:r w:rsidRPr="00A913DB">
        <w:rPr>
          <w:rFonts w:ascii="Times New Roman" w:hAnsi="Times New Roman" w:cs="Times New Roman"/>
        </w:rPr>
        <w:tab/>
        <w:t xml:space="preserve">          Experto G3 06 con funciones de Contador</w:t>
      </w:r>
      <w:r w:rsidR="0034060B">
        <w:rPr>
          <w:rFonts w:ascii="Times New Roman" w:hAnsi="Times New Roman" w:cs="Times New Roman"/>
        </w:rPr>
        <w:t>a</w:t>
      </w:r>
    </w:p>
    <w:p w14:paraId="67253642" w14:textId="55427F39" w:rsidR="00A913DB" w:rsidRPr="00A913DB" w:rsidRDefault="00A913DB" w:rsidP="00A913DB">
      <w:pPr>
        <w:spacing w:after="0" w:line="240" w:lineRule="auto"/>
        <w:rPr>
          <w:rFonts w:ascii="Times New Roman" w:hAnsi="Times New Roman" w:cs="Times New Roman"/>
        </w:rPr>
      </w:pPr>
      <w:r w:rsidRPr="00A913DB">
        <w:rPr>
          <w:rFonts w:ascii="Times New Roman" w:hAnsi="Times New Roman" w:cs="Times New Roman"/>
        </w:rPr>
        <w:t>C.C. No. 92.522.276</w:t>
      </w:r>
      <w:r w:rsidRPr="00A913DB">
        <w:rPr>
          <w:rFonts w:ascii="Times New Roman" w:hAnsi="Times New Roman" w:cs="Times New Roman"/>
        </w:rPr>
        <w:tab/>
      </w:r>
      <w:r w:rsidRPr="00A913DB">
        <w:rPr>
          <w:rFonts w:ascii="Times New Roman" w:hAnsi="Times New Roman" w:cs="Times New Roman"/>
        </w:rPr>
        <w:tab/>
        <w:t xml:space="preserve">                                   </w:t>
      </w:r>
      <w:r w:rsidR="0034060B">
        <w:rPr>
          <w:rFonts w:ascii="Times New Roman" w:hAnsi="Times New Roman" w:cs="Times New Roman"/>
        </w:rPr>
        <w:t xml:space="preserve"> </w:t>
      </w:r>
      <w:r w:rsidRPr="00A913DB">
        <w:rPr>
          <w:rFonts w:ascii="Times New Roman" w:hAnsi="Times New Roman" w:cs="Times New Roman"/>
        </w:rPr>
        <w:t>C.C. No. 64.696.912</w:t>
      </w:r>
    </w:p>
    <w:p w14:paraId="199F6DCD" w14:textId="3EAFD696" w:rsidR="00A913DB" w:rsidRPr="00A913DB" w:rsidRDefault="00A913DB" w:rsidP="00A913DB">
      <w:pPr>
        <w:spacing w:after="0" w:line="240" w:lineRule="auto"/>
        <w:rPr>
          <w:rFonts w:ascii="Times New Roman" w:hAnsi="Times New Roman" w:cs="Times New Roman"/>
        </w:rPr>
      </w:pPr>
      <w:r w:rsidRPr="00A913DB">
        <w:rPr>
          <w:rFonts w:ascii="Times New Roman" w:hAnsi="Times New Roman" w:cs="Times New Roman"/>
        </w:rPr>
        <w:t xml:space="preserve">                                                                                    </w:t>
      </w:r>
      <w:r w:rsidR="0034060B">
        <w:rPr>
          <w:rFonts w:ascii="Times New Roman" w:hAnsi="Times New Roman" w:cs="Times New Roman"/>
        </w:rPr>
        <w:t xml:space="preserve">    </w:t>
      </w:r>
      <w:r w:rsidRPr="00A913DB">
        <w:rPr>
          <w:rFonts w:ascii="Times New Roman" w:hAnsi="Times New Roman" w:cs="Times New Roman"/>
        </w:rPr>
        <w:t>T.P. No. 104408-T</w:t>
      </w:r>
    </w:p>
    <w:p w14:paraId="1F19A089" w14:textId="1E2D1D24" w:rsidR="00D64467" w:rsidRPr="00A913DB" w:rsidRDefault="00D64467" w:rsidP="00A913DB">
      <w:pPr>
        <w:spacing w:after="0" w:line="240" w:lineRule="auto"/>
        <w:rPr>
          <w:rFonts w:ascii="Times New Roman" w:hAnsi="Times New Roman" w:cs="Times New Roman"/>
          <w:sz w:val="24"/>
          <w:szCs w:val="24"/>
        </w:rPr>
      </w:pPr>
    </w:p>
    <w:sectPr w:rsidR="00D64467" w:rsidRPr="00A913DB" w:rsidSect="002D3E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8AE"/>
    <w:multiLevelType w:val="hybridMultilevel"/>
    <w:tmpl w:val="213A09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006EFA"/>
    <w:multiLevelType w:val="hybridMultilevel"/>
    <w:tmpl w:val="2898DD02"/>
    <w:lvl w:ilvl="0" w:tplc="14CEA8BE">
      <w:start w:val="2"/>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A144074"/>
    <w:multiLevelType w:val="hybridMultilevel"/>
    <w:tmpl w:val="A3382AD6"/>
    <w:lvl w:ilvl="0" w:tplc="2506BDFC">
      <w:start w:val="57"/>
      <w:numFmt w:val="bullet"/>
      <w:lvlText w:val="-"/>
      <w:lvlJc w:val="left"/>
      <w:pPr>
        <w:ind w:left="720" w:hanging="360"/>
      </w:pPr>
      <w:rPr>
        <w:rFonts w:ascii="Times New Roman" w:eastAsia="Times New Roman" w:hAnsi="Times New Roman" w:cs="Times New Roman"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F2721C"/>
    <w:multiLevelType w:val="hybridMultilevel"/>
    <w:tmpl w:val="C8866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9224E2"/>
    <w:multiLevelType w:val="hybridMultilevel"/>
    <w:tmpl w:val="A4FA9E1C"/>
    <w:lvl w:ilvl="0" w:tplc="C416FC4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BF0737"/>
    <w:multiLevelType w:val="hybridMultilevel"/>
    <w:tmpl w:val="74B6F1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5A24F3"/>
    <w:multiLevelType w:val="hybridMultilevel"/>
    <w:tmpl w:val="63E6F5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117B35"/>
    <w:multiLevelType w:val="hybridMultilevel"/>
    <w:tmpl w:val="0A7C9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3403C8"/>
    <w:multiLevelType w:val="hybridMultilevel"/>
    <w:tmpl w:val="43BCDFAA"/>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4DC54DF"/>
    <w:multiLevelType w:val="hybridMultilevel"/>
    <w:tmpl w:val="37A89C00"/>
    <w:lvl w:ilvl="0" w:tplc="1EA02E4A">
      <w:start w:val="2"/>
      <w:numFmt w:val="bullet"/>
      <w:lvlText w:val="-"/>
      <w:lvlJc w:val="left"/>
      <w:pPr>
        <w:ind w:left="720" w:hanging="360"/>
      </w:pPr>
      <w:rPr>
        <w:rFonts w:ascii="Arial Narrow" w:eastAsia="Times New Roman" w:hAnsi="Arial Narrow" w:cs="Times New Roman" w:hint="default"/>
        <w:color w:val="auto"/>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B83902"/>
    <w:multiLevelType w:val="hybridMultilevel"/>
    <w:tmpl w:val="E79617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5D52051"/>
    <w:multiLevelType w:val="hybridMultilevel"/>
    <w:tmpl w:val="D3EECE60"/>
    <w:lvl w:ilvl="0" w:tplc="6540D1D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1537C9"/>
    <w:multiLevelType w:val="hybridMultilevel"/>
    <w:tmpl w:val="BDFE4394"/>
    <w:lvl w:ilvl="0" w:tplc="F3049D66">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43464B7"/>
    <w:multiLevelType w:val="hybridMultilevel"/>
    <w:tmpl w:val="0BC2736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56A6042"/>
    <w:multiLevelType w:val="hybridMultilevel"/>
    <w:tmpl w:val="EF3EE452"/>
    <w:lvl w:ilvl="0" w:tplc="5434BFCE">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705ECC"/>
    <w:multiLevelType w:val="hybridMultilevel"/>
    <w:tmpl w:val="2F66BFF4"/>
    <w:lvl w:ilvl="0" w:tplc="67325242">
      <w:numFmt w:val="bullet"/>
      <w:lvlText w:val="-"/>
      <w:lvlJc w:val="left"/>
      <w:pPr>
        <w:ind w:left="720" w:hanging="360"/>
      </w:pPr>
      <w:rPr>
        <w:rFonts w:ascii="Times New Roman" w:eastAsiaTheme="minorHAnsi" w:hAnsi="Times New Roman" w:cs="Times New Roman"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530F08"/>
    <w:multiLevelType w:val="hybridMultilevel"/>
    <w:tmpl w:val="8D102D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1310ED"/>
    <w:multiLevelType w:val="hybridMultilevel"/>
    <w:tmpl w:val="F134E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B096018"/>
    <w:multiLevelType w:val="hybridMultilevel"/>
    <w:tmpl w:val="6CC8A82E"/>
    <w:lvl w:ilvl="0" w:tplc="5840285A">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D7B1040"/>
    <w:multiLevelType w:val="hybridMultilevel"/>
    <w:tmpl w:val="839C90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1D0C1E"/>
    <w:multiLevelType w:val="hybridMultilevel"/>
    <w:tmpl w:val="0C2092F8"/>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638F2285"/>
    <w:multiLevelType w:val="multilevel"/>
    <w:tmpl w:val="E700A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3F40CC"/>
    <w:multiLevelType w:val="hybridMultilevel"/>
    <w:tmpl w:val="E0E42918"/>
    <w:lvl w:ilvl="0" w:tplc="2506BDFC">
      <w:start w:val="57"/>
      <w:numFmt w:val="bullet"/>
      <w:lvlText w:val="-"/>
      <w:lvlJc w:val="left"/>
      <w:pPr>
        <w:ind w:left="1080" w:hanging="360"/>
      </w:pPr>
      <w:rPr>
        <w:rFonts w:ascii="Times New Roman" w:eastAsia="Times New Roman" w:hAnsi="Times New Roman" w:cs="Times New Roman" w:hint="default"/>
        <w:sz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6B1F6129"/>
    <w:multiLevelType w:val="hybridMultilevel"/>
    <w:tmpl w:val="4FE46B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D0C2C16"/>
    <w:multiLevelType w:val="hybridMultilevel"/>
    <w:tmpl w:val="D4FA0AE8"/>
    <w:lvl w:ilvl="0" w:tplc="F2CAF5AE">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D60429D"/>
    <w:multiLevelType w:val="hybridMultilevel"/>
    <w:tmpl w:val="8D102D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B224EC"/>
    <w:multiLevelType w:val="hybridMultilevel"/>
    <w:tmpl w:val="7206AF92"/>
    <w:lvl w:ilvl="0" w:tplc="020CD644">
      <w:numFmt w:val="bullet"/>
      <w:lvlText w:val="-"/>
      <w:lvlJc w:val="left"/>
      <w:pPr>
        <w:ind w:left="360" w:hanging="360"/>
      </w:pPr>
      <w:rPr>
        <w:rFonts w:ascii="Arial Narrow" w:eastAsia="Times New Roman" w:hAnsi="Arial Narrow"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789C4C08"/>
    <w:multiLevelType w:val="hybridMultilevel"/>
    <w:tmpl w:val="0DA49C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F3B4B27"/>
    <w:multiLevelType w:val="hybridMultilevel"/>
    <w:tmpl w:val="8D102D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37953270">
    <w:abstractNumId w:val="0"/>
  </w:num>
  <w:num w:numId="2" w16cid:durableId="1775324842">
    <w:abstractNumId w:val="21"/>
  </w:num>
  <w:num w:numId="3" w16cid:durableId="1847133263">
    <w:abstractNumId w:val="3"/>
  </w:num>
  <w:num w:numId="4" w16cid:durableId="144592160">
    <w:abstractNumId w:val="5"/>
  </w:num>
  <w:num w:numId="5" w16cid:durableId="839665006">
    <w:abstractNumId w:val="20"/>
  </w:num>
  <w:num w:numId="6" w16cid:durableId="1650287188">
    <w:abstractNumId w:val="27"/>
  </w:num>
  <w:num w:numId="7" w16cid:durableId="1913923847">
    <w:abstractNumId w:val="18"/>
  </w:num>
  <w:num w:numId="8" w16cid:durableId="308171461">
    <w:abstractNumId w:val="10"/>
  </w:num>
  <w:num w:numId="9" w16cid:durableId="299112426">
    <w:abstractNumId w:val="1"/>
  </w:num>
  <w:num w:numId="10" w16cid:durableId="654994049">
    <w:abstractNumId w:val="9"/>
  </w:num>
  <w:num w:numId="11" w16cid:durableId="556863888">
    <w:abstractNumId w:val="26"/>
  </w:num>
  <w:num w:numId="12" w16cid:durableId="125975654">
    <w:abstractNumId w:val="17"/>
  </w:num>
  <w:num w:numId="13" w16cid:durableId="1140658803">
    <w:abstractNumId w:val="13"/>
  </w:num>
  <w:num w:numId="14" w16cid:durableId="397554580">
    <w:abstractNumId w:val="24"/>
  </w:num>
  <w:num w:numId="15" w16cid:durableId="950168551">
    <w:abstractNumId w:val="28"/>
  </w:num>
  <w:num w:numId="16" w16cid:durableId="1243250609">
    <w:abstractNumId w:val="25"/>
  </w:num>
  <w:num w:numId="17" w16cid:durableId="1134252851">
    <w:abstractNumId w:val="8"/>
  </w:num>
  <w:num w:numId="18" w16cid:durableId="632756027">
    <w:abstractNumId w:val="23"/>
  </w:num>
  <w:num w:numId="19" w16cid:durableId="1026369361">
    <w:abstractNumId w:val="22"/>
  </w:num>
  <w:num w:numId="20" w16cid:durableId="1500274743">
    <w:abstractNumId w:val="19"/>
  </w:num>
  <w:num w:numId="21" w16cid:durableId="99884965">
    <w:abstractNumId w:val="15"/>
  </w:num>
  <w:num w:numId="22" w16cid:durableId="1594051622">
    <w:abstractNumId w:val="2"/>
  </w:num>
  <w:num w:numId="23" w16cid:durableId="1773890856">
    <w:abstractNumId w:val="16"/>
  </w:num>
  <w:num w:numId="24" w16cid:durableId="1135681373">
    <w:abstractNumId w:val="12"/>
  </w:num>
  <w:num w:numId="25" w16cid:durableId="354581080">
    <w:abstractNumId w:val="4"/>
  </w:num>
  <w:num w:numId="26" w16cid:durableId="845096279">
    <w:abstractNumId w:val="14"/>
  </w:num>
  <w:num w:numId="27" w16cid:durableId="1701393132">
    <w:abstractNumId w:val="11"/>
  </w:num>
  <w:num w:numId="28" w16cid:durableId="561334827">
    <w:abstractNumId w:val="7"/>
  </w:num>
  <w:num w:numId="29" w16cid:durableId="1372464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E7"/>
    <w:rsid w:val="00000319"/>
    <w:rsid w:val="0000218F"/>
    <w:rsid w:val="00003E40"/>
    <w:rsid w:val="00011CF2"/>
    <w:rsid w:val="000120CF"/>
    <w:rsid w:val="0001221B"/>
    <w:rsid w:val="00017500"/>
    <w:rsid w:val="00022693"/>
    <w:rsid w:val="00023936"/>
    <w:rsid w:val="000269CE"/>
    <w:rsid w:val="00027980"/>
    <w:rsid w:val="00030ADF"/>
    <w:rsid w:val="00035182"/>
    <w:rsid w:val="00036F43"/>
    <w:rsid w:val="00037351"/>
    <w:rsid w:val="000374C9"/>
    <w:rsid w:val="00040FFD"/>
    <w:rsid w:val="00042AAD"/>
    <w:rsid w:val="000433B3"/>
    <w:rsid w:val="00047540"/>
    <w:rsid w:val="00053A64"/>
    <w:rsid w:val="00061B0F"/>
    <w:rsid w:val="00062EED"/>
    <w:rsid w:val="0006433C"/>
    <w:rsid w:val="0006488A"/>
    <w:rsid w:val="00065B77"/>
    <w:rsid w:val="00070731"/>
    <w:rsid w:val="00071400"/>
    <w:rsid w:val="00071A72"/>
    <w:rsid w:val="00072137"/>
    <w:rsid w:val="000746D6"/>
    <w:rsid w:val="000752E6"/>
    <w:rsid w:val="000774DC"/>
    <w:rsid w:val="00081BBA"/>
    <w:rsid w:val="000879A1"/>
    <w:rsid w:val="00090B70"/>
    <w:rsid w:val="00091978"/>
    <w:rsid w:val="00092A41"/>
    <w:rsid w:val="00092B5D"/>
    <w:rsid w:val="0009324D"/>
    <w:rsid w:val="000947D6"/>
    <w:rsid w:val="000A0670"/>
    <w:rsid w:val="000A083E"/>
    <w:rsid w:val="000A3441"/>
    <w:rsid w:val="000A3FF5"/>
    <w:rsid w:val="000A72DA"/>
    <w:rsid w:val="000A73EF"/>
    <w:rsid w:val="000B03EE"/>
    <w:rsid w:val="000B37A1"/>
    <w:rsid w:val="000B565B"/>
    <w:rsid w:val="000B5BD9"/>
    <w:rsid w:val="000C05C8"/>
    <w:rsid w:val="000C2156"/>
    <w:rsid w:val="000D0000"/>
    <w:rsid w:val="000D0334"/>
    <w:rsid w:val="000D2350"/>
    <w:rsid w:val="000D3E46"/>
    <w:rsid w:val="000D5B7A"/>
    <w:rsid w:val="000D6EFB"/>
    <w:rsid w:val="000E0205"/>
    <w:rsid w:val="000E5615"/>
    <w:rsid w:val="000E5C6A"/>
    <w:rsid w:val="000E6B93"/>
    <w:rsid w:val="000E7EE0"/>
    <w:rsid w:val="000F6996"/>
    <w:rsid w:val="000F7410"/>
    <w:rsid w:val="000F7A0F"/>
    <w:rsid w:val="001010AC"/>
    <w:rsid w:val="00101DA8"/>
    <w:rsid w:val="00104F3F"/>
    <w:rsid w:val="00107EFE"/>
    <w:rsid w:val="00110524"/>
    <w:rsid w:val="001120AA"/>
    <w:rsid w:val="00113E83"/>
    <w:rsid w:val="00117F2D"/>
    <w:rsid w:val="00122F94"/>
    <w:rsid w:val="00126227"/>
    <w:rsid w:val="00127356"/>
    <w:rsid w:val="00131EAB"/>
    <w:rsid w:val="00131F14"/>
    <w:rsid w:val="00132863"/>
    <w:rsid w:val="00133FBF"/>
    <w:rsid w:val="00134D50"/>
    <w:rsid w:val="001401E5"/>
    <w:rsid w:val="00141926"/>
    <w:rsid w:val="00143551"/>
    <w:rsid w:val="001436C6"/>
    <w:rsid w:val="00146CF8"/>
    <w:rsid w:val="00146F98"/>
    <w:rsid w:val="00151741"/>
    <w:rsid w:val="00152026"/>
    <w:rsid w:val="0015387B"/>
    <w:rsid w:val="0015503B"/>
    <w:rsid w:val="00155A67"/>
    <w:rsid w:val="001606E8"/>
    <w:rsid w:val="00161CDC"/>
    <w:rsid w:val="00163464"/>
    <w:rsid w:val="00163CC4"/>
    <w:rsid w:val="00164E45"/>
    <w:rsid w:val="00167932"/>
    <w:rsid w:val="00171B13"/>
    <w:rsid w:val="00176114"/>
    <w:rsid w:val="001814E5"/>
    <w:rsid w:val="001825A8"/>
    <w:rsid w:val="00190C61"/>
    <w:rsid w:val="00191221"/>
    <w:rsid w:val="00195E06"/>
    <w:rsid w:val="00196E62"/>
    <w:rsid w:val="00197E5C"/>
    <w:rsid w:val="001A2205"/>
    <w:rsid w:val="001A75C0"/>
    <w:rsid w:val="001B13CE"/>
    <w:rsid w:val="001B372A"/>
    <w:rsid w:val="001C0938"/>
    <w:rsid w:val="001C7AD0"/>
    <w:rsid w:val="001C7E53"/>
    <w:rsid w:val="001D2A3D"/>
    <w:rsid w:val="001D5CE7"/>
    <w:rsid w:val="001E120D"/>
    <w:rsid w:val="001E1344"/>
    <w:rsid w:val="001E6ADF"/>
    <w:rsid w:val="001F1F8D"/>
    <w:rsid w:val="001F429F"/>
    <w:rsid w:val="001F4856"/>
    <w:rsid w:val="001F52E7"/>
    <w:rsid w:val="001F6D5F"/>
    <w:rsid w:val="002014F9"/>
    <w:rsid w:val="00201FB8"/>
    <w:rsid w:val="002057EA"/>
    <w:rsid w:val="00207CF3"/>
    <w:rsid w:val="00210F82"/>
    <w:rsid w:val="0021202D"/>
    <w:rsid w:val="00213242"/>
    <w:rsid w:val="00213697"/>
    <w:rsid w:val="00214911"/>
    <w:rsid w:val="00221AC1"/>
    <w:rsid w:val="002222AF"/>
    <w:rsid w:val="002247E1"/>
    <w:rsid w:val="002250F5"/>
    <w:rsid w:val="00225585"/>
    <w:rsid w:val="00226222"/>
    <w:rsid w:val="00226531"/>
    <w:rsid w:val="002266BC"/>
    <w:rsid w:val="00231510"/>
    <w:rsid w:val="00235A94"/>
    <w:rsid w:val="00240538"/>
    <w:rsid w:val="002434D0"/>
    <w:rsid w:val="002468C8"/>
    <w:rsid w:val="00246F88"/>
    <w:rsid w:val="0024784B"/>
    <w:rsid w:val="00252F5E"/>
    <w:rsid w:val="00260E49"/>
    <w:rsid w:val="00260FB7"/>
    <w:rsid w:val="002623E2"/>
    <w:rsid w:val="0026256D"/>
    <w:rsid w:val="00262CB7"/>
    <w:rsid w:val="0026624A"/>
    <w:rsid w:val="00267D8F"/>
    <w:rsid w:val="00270C3F"/>
    <w:rsid w:val="00271A78"/>
    <w:rsid w:val="00273A0C"/>
    <w:rsid w:val="00273B22"/>
    <w:rsid w:val="0027747A"/>
    <w:rsid w:val="002815CB"/>
    <w:rsid w:val="00283B67"/>
    <w:rsid w:val="00284130"/>
    <w:rsid w:val="00286D7C"/>
    <w:rsid w:val="0029023C"/>
    <w:rsid w:val="00290888"/>
    <w:rsid w:val="00290C50"/>
    <w:rsid w:val="00292C0B"/>
    <w:rsid w:val="0029352E"/>
    <w:rsid w:val="002956DB"/>
    <w:rsid w:val="00295B01"/>
    <w:rsid w:val="00295F23"/>
    <w:rsid w:val="002A0EB1"/>
    <w:rsid w:val="002A123D"/>
    <w:rsid w:val="002A61E0"/>
    <w:rsid w:val="002B08CC"/>
    <w:rsid w:val="002B1736"/>
    <w:rsid w:val="002B1C6B"/>
    <w:rsid w:val="002B1CBB"/>
    <w:rsid w:val="002B4BBD"/>
    <w:rsid w:val="002B67A7"/>
    <w:rsid w:val="002B7908"/>
    <w:rsid w:val="002C2DB8"/>
    <w:rsid w:val="002C3692"/>
    <w:rsid w:val="002C3C5C"/>
    <w:rsid w:val="002C6B03"/>
    <w:rsid w:val="002C7AB3"/>
    <w:rsid w:val="002C7FF7"/>
    <w:rsid w:val="002D0B88"/>
    <w:rsid w:val="002D3E9F"/>
    <w:rsid w:val="002D65E1"/>
    <w:rsid w:val="002E0251"/>
    <w:rsid w:val="002E06A3"/>
    <w:rsid w:val="002E179C"/>
    <w:rsid w:val="002E1BCE"/>
    <w:rsid w:val="002E3BEA"/>
    <w:rsid w:val="002E717D"/>
    <w:rsid w:val="002E7462"/>
    <w:rsid w:val="002F00C8"/>
    <w:rsid w:val="002F04DC"/>
    <w:rsid w:val="002F0896"/>
    <w:rsid w:val="002F2EFC"/>
    <w:rsid w:val="002F2FEA"/>
    <w:rsid w:val="002F3F34"/>
    <w:rsid w:val="002F422E"/>
    <w:rsid w:val="00301A69"/>
    <w:rsid w:val="00303795"/>
    <w:rsid w:val="00306E4A"/>
    <w:rsid w:val="00314A9F"/>
    <w:rsid w:val="00314B1C"/>
    <w:rsid w:val="003155FC"/>
    <w:rsid w:val="00315AC4"/>
    <w:rsid w:val="003171A3"/>
    <w:rsid w:val="0031760C"/>
    <w:rsid w:val="00323583"/>
    <w:rsid w:val="003253AA"/>
    <w:rsid w:val="0032562B"/>
    <w:rsid w:val="0032581D"/>
    <w:rsid w:val="00325D09"/>
    <w:rsid w:val="00327019"/>
    <w:rsid w:val="0033384C"/>
    <w:rsid w:val="00337BCC"/>
    <w:rsid w:val="0034060B"/>
    <w:rsid w:val="00340DFA"/>
    <w:rsid w:val="003413E7"/>
    <w:rsid w:val="00341C6C"/>
    <w:rsid w:val="00345496"/>
    <w:rsid w:val="00346BD1"/>
    <w:rsid w:val="00346D3B"/>
    <w:rsid w:val="0034740F"/>
    <w:rsid w:val="00347AC9"/>
    <w:rsid w:val="00347C1A"/>
    <w:rsid w:val="00350623"/>
    <w:rsid w:val="0035216D"/>
    <w:rsid w:val="003536F1"/>
    <w:rsid w:val="003570CD"/>
    <w:rsid w:val="003575E6"/>
    <w:rsid w:val="003614BE"/>
    <w:rsid w:val="0036197A"/>
    <w:rsid w:val="00363CB0"/>
    <w:rsid w:val="00364792"/>
    <w:rsid w:val="0036558B"/>
    <w:rsid w:val="00366193"/>
    <w:rsid w:val="00370743"/>
    <w:rsid w:val="00370A60"/>
    <w:rsid w:val="00371B25"/>
    <w:rsid w:val="00372F2A"/>
    <w:rsid w:val="0037408C"/>
    <w:rsid w:val="00376EE5"/>
    <w:rsid w:val="003832AC"/>
    <w:rsid w:val="00384D33"/>
    <w:rsid w:val="0038549B"/>
    <w:rsid w:val="0038567D"/>
    <w:rsid w:val="00385B53"/>
    <w:rsid w:val="0038657C"/>
    <w:rsid w:val="00386814"/>
    <w:rsid w:val="00386E17"/>
    <w:rsid w:val="0038706C"/>
    <w:rsid w:val="003900E5"/>
    <w:rsid w:val="0039204C"/>
    <w:rsid w:val="003924EC"/>
    <w:rsid w:val="00394095"/>
    <w:rsid w:val="00394BC5"/>
    <w:rsid w:val="003972CE"/>
    <w:rsid w:val="00397FBE"/>
    <w:rsid w:val="003A04D7"/>
    <w:rsid w:val="003A1641"/>
    <w:rsid w:val="003A5B5D"/>
    <w:rsid w:val="003B111E"/>
    <w:rsid w:val="003C2268"/>
    <w:rsid w:val="003D11B9"/>
    <w:rsid w:val="003D1BAC"/>
    <w:rsid w:val="003D24FE"/>
    <w:rsid w:val="003E066D"/>
    <w:rsid w:val="003E3EA0"/>
    <w:rsid w:val="003E5FAD"/>
    <w:rsid w:val="003F2DE1"/>
    <w:rsid w:val="003F4C2B"/>
    <w:rsid w:val="003F515B"/>
    <w:rsid w:val="003F539A"/>
    <w:rsid w:val="003F5690"/>
    <w:rsid w:val="003F7005"/>
    <w:rsid w:val="0040071D"/>
    <w:rsid w:val="004029BA"/>
    <w:rsid w:val="004038F6"/>
    <w:rsid w:val="004041AC"/>
    <w:rsid w:val="00404AE8"/>
    <w:rsid w:val="004059AB"/>
    <w:rsid w:val="00406B56"/>
    <w:rsid w:val="004070C5"/>
    <w:rsid w:val="00411A0F"/>
    <w:rsid w:val="00411F36"/>
    <w:rsid w:val="00416602"/>
    <w:rsid w:val="00417296"/>
    <w:rsid w:val="00421C68"/>
    <w:rsid w:val="00424D05"/>
    <w:rsid w:val="0042645E"/>
    <w:rsid w:val="004345A8"/>
    <w:rsid w:val="00437BCA"/>
    <w:rsid w:val="0044171B"/>
    <w:rsid w:val="00442FB7"/>
    <w:rsid w:val="004435DA"/>
    <w:rsid w:val="00446817"/>
    <w:rsid w:val="0045068D"/>
    <w:rsid w:val="004510C9"/>
    <w:rsid w:val="00453328"/>
    <w:rsid w:val="00453F1A"/>
    <w:rsid w:val="00454FC1"/>
    <w:rsid w:val="00457DD8"/>
    <w:rsid w:val="004600E0"/>
    <w:rsid w:val="00460819"/>
    <w:rsid w:val="00465110"/>
    <w:rsid w:val="00470ED8"/>
    <w:rsid w:val="0047508B"/>
    <w:rsid w:val="00477BDC"/>
    <w:rsid w:val="0048078A"/>
    <w:rsid w:val="004820AD"/>
    <w:rsid w:val="00483460"/>
    <w:rsid w:val="00483BE4"/>
    <w:rsid w:val="0048448F"/>
    <w:rsid w:val="0048509F"/>
    <w:rsid w:val="00490A73"/>
    <w:rsid w:val="0049351D"/>
    <w:rsid w:val="00494234"/>
    <w:rsid w:val="0049442D"/>
    <w:rsid w:val="00495230"/>
    <w:rsid w:val="00495D25"/>
    <w:rsid w:val="004A13DB"/>
    <w:rsid w:val="004A1B93"/>
    <w:rsid w:val="004A3039"/>
    <w:rsid w:val="004A608B"/>
    <w:rsid w:val="004A7D40"/>
    <w:rsid w:val="004B01FF"/>
    <w:rsid w:val="004B1636"/>
    <w:rsid w:val="004B29F0"/>
    <w:rsid w:val="004B5E23"/>
    <w:rsid w:val="004B6969"/>
    <w:rsid w:val="004B6C7C"/>
    <w:rsid w:val="004C02AD"/>
    <w:rsid w:val="004C2212"/>
    <w:rsid w:val="004C276E"/>
    <w:rsid w:val="004C4BBD"/>
    <w:rsid w:val="004C52E4"/>
    <w:rsid w:val="004C5527"/>
    <w:rsid w:val="004C5F74"/>
    <w:rsid w:val="004C5FE2"/>
    <w:rsid w:val="004C7843"/>
    <w:rsid w:val="004D12DA"/>
    <w:rsid w:val="004D2329"/>
    <w:rsid w:val="004D4E4F"/>
    <w:rsid w:val="004E0732"/>
    <w:rsid w:val="004E26EE"/>
    <w:rsid w:val="004E5828"/>
    <w:rsid w:val="004F696C"/>
    <w:rsid w:val="0050596F"/>
    <w:rsid w:val="005138BE"/>
    <w:rsid w:val="00515F2D"/>
    <w:rsid w:val="00517241"/>
    <w:rsid w:val="00520427"/>
    <w:rsid w:val="005205B6"/>
    <w:rsid w:val="00522577"/>
    <w:rsid w:val="005263A4"/>
    <w:rsid w:val="0052725C"/>
    <w:rsid w:val="0053197F"/>
    <w:rsid w:val="00531A47"/>
    <w:rsid w:val="00533EAE"/>
    <w:rsid w:val="005474BF"/>
    <w:rsid w:val="00547E47"/>
    <w:rsid w:val="005501EF"/>
    <w:rsid w:val="005517A1"/>
    <w:rsid w:val="00555891"/>
    <w:rsid w:val="00555A2B"/>
    <w:rsid w:val="00561F46"/>
    <w:rsid w:val="00563130"/>
    <w:rsid w:val="005645F7"/>
    <w:rsid w:val="0056498A"/>
    <w:rsid w:val="005659CF"/>
    <w:rsid w:val="00566A9B"/>
    <w:rsid w:val="005679BB"/>
    <w:rsid w:val="00567AD6"/>
    <w:rsid w:val="0057214C"/>
    <w:rsid w:val="00573EE3"/>
    <w:rsid w:val="00575EED"/>
    <w:rsid w:val="00577096"/>
    <w:rsid w:val="00581F2D"/>
    <w:rsid w:val="005834E0"/>
    <w:rsid w:val="00584738"/>
    <w:rsid w:val="00585EB2"/>
    <w:rsid w:val="005927F8"/>
    <w:rsid w:val="00593199"/>
    <w:rsid w:val="005945BF"/>
    <w:rsid w:val="005A1089"/>
    <w:rsid w:val="005A42AA"/>
    <w:rsid w:val="005A7C88"/>
    <w:rsid w:val="005A7D0C"/>
    <w:rsid w:val="005B036E"/>
    <w:rsid w:val="005B05F9"/>
    <w:rsid w:val="005B25BF"/>
    <w:rsid w:val="005B2F2C"/>
    <w:rsid w:val="005B31F5"/>
    <w:rsid w:val="005B3AFD"/>
    <w:rsid w:val="005B4151"/>
    <w:rsid w:val="005B5495"/>
    <w:rsid w:val="005B686B"/>
    <w:rsid w:val="005B6A4F"/>
    <w:rsid w:val="005B712D"/>
    <w:rsid w:val="005B7629"/>
    <w:rsid w:val="005C13D7"/>
    <w:rsid w:val="005C1C24"/>
    <w:rsid w:val="005C67B6"/>
    <w:rsid w:val="005C7E4E"/>
    <w:rsid w:val="005D03CC"/>
    <w:rsid w:val="005D1968"/>
    <w:rsid w:val="005D2C4F"/>
    <w:rsid w:val="005D2D45"/>
    <w:rsid w:val="005D7347"/>
    <w:rsid w:val="005E2D99"/>
    <w:rsid w:val="005F04F9"/>
    <w:rsid w:val="005F05CE"/>
    <w:rsid w:val="005F4D67"/>
    <w:rsid w:val="005F768F"/>
    <w:rsid w:val="005F76AC"/>
    <w:rsid w:val="005F7784"/>
    <w:rsid w:val="00602C42"/>
    <w:rsid w:val="00603FE4"/>
    <w:rsid w:val="006048A0"/>
    <w:rsid w:val="00604DF8"/>
    <w:rsid w:val="006119D8"/>
    <w:rsid w:val="00613139"/>
    <w:rsid w:val="00613434"/>
    <w:rsid w:val="00615914"/>
    <w:rsid w:val="0061655E"/>
    <w:rsid w:val="00616BA7"/>
    <w:rsid w:val="006202D6"/>
    <w:rsid w:val="006209FE"/>
    <w:rsid w:val="00622881"/>
    <w:rsid w:val="006232DD"/>
    <w:rsid w:val="00631609"/>
    <w:rsid w:val="0063428C"/>
    <w:rsid w:val="00634E63"/>
    <w:rsid w:val="006376A7"/>
    <w:rsid w:val="0064106D"/>
    <w:rsid w:val="0064321A"/>
    <w:rsid w:val="00643437"/>
    <w:rsid w:val="0064383D"/>
    <w:rsid w:val="00643E42"/>
    <w:rsid w:val="00644230"/>
    <w:rsid w:val="00645176"/>
    <w:rsid w:val="00652308"/>
    <w:rsid w:val="00653331"/>
    <w:rsid w:val="00660CA9"/>
    <w:rsid w:val="00666CA5"/>
    <w:rsid w:val="00666CE5"/>
    <w:rsid w:val="0067114E"/>
    <w:rsid w:val="00671A1B"/>
    <w:rsid w:val="006734BC"/>
    <w:rsid w:val="00677E39"/>
    <w:rsid w:val="00685588"/>
    <w:rsid w:val="0068769D"/>
    <w:rsid w:val="00692EF5"/>
    <w:rsid w:val="006934F7"/>
    <w:rsid w:val="00694EF3"/>
    <w:rsid w:val="00695923"/>
    <w:rsid w:val="00696AE4"/>
    <w:rsid w:val="006A05D0"/>
    <w:rsid w:val="006A15ED"/>
    <w:rsid w:val="006A4462"/>
    <w:rsid w:val="006A487B"/>
    <w:rsid w:val="006A4F5B"/>
    <w:rsid w:val="006A587B"/>
    <w:rsid w:val="006A6379"/>
    <w:rsid w:val="006A66AF"/>
    <w:rsid w:val="006B0C0B"/>
    <w:rsid w:val="006B26AC"/>
    <w:rsid w:val="006B3C88"/>
    <w:rsid w:val="006B5B9F"/>
    <w:rsid w:val="006B7135"/>
    <w:rsid w:val="006B79EB"/>
    <w:rsid w:val="006C2860"/>
    <w:rsid w:val="006C37E2"/>
    <w:rsid w:val="006C7F4D"/>
    <w:rsid w:val="006D2DED"/>
    <w:rsid w:val="006D4635"/>
    <w:rsid w:val="006E2069"/>
    <w:rsid w:val="006E244D"/>
    <w:rsid w:val="006E44DA"/>
    <w:rsid w:val="006E4CC9"/>
    <w:rsid w:val="006E5255"/>
    <w:rsid w:val="006E6B54"/>
    <w:rsid w:val="006F0D91"/>
    <w:rsid w:val="006F25F3"/>
    <w:rsid w:val="006F4481"/>
    <w:rsid w:val="00700BCE"/>
    <w:rsid w:val="00702A23"/>
    <w:rsid w:val="0070450B"/>
    <w:rsid w:val="0071164E"/>
    <w:rsid w:val="00713B81"/>
    <w:rsid w:val="007152DD"/>
    <w:rsid w:val="00715905"/>
    <w:rsid w:val="00720598"/>
    <w:rsid w:val="0072333C"/>
    <w:rsid w:val="00724814"/>
    <w:rsid w:val="00724FD8"/>
    <w:rsid w:val="00727036"/>
    <w:rsid w:val="007300DE"/>
    <w:rsid w:val="00730132"/>
    <w:rsid w:val="00732FF5"/>
    <w:rsid w:val="0073393E"/>
    <w:rsid w:val="00733979"/>
    <w:rsid w:val="0074442A"/>
    <w:rsid w:val="00744678"/>
    <w:rsid w:val="007475B1"/>
    <w:rsid w:val="0075349B"/>
    <w:rsid w:val="00755AA5"/>
    <w:rsid w:val="00766CD3"/>
    <w:rsid w:val="00772049"/>
    <w:rsid w:val="00772482"/>
    <w:rsid w:val="00773807"/>
    <w:rsid w:val="00775140"/>
    <w:rsid w:val="00776549"/>
    <w:rsid w:val="0078060E"/>
    <w:rsid w:val="00781654"/>
    <w:rsid w:val="00781EF3"/>
    <w:rsid w:val="0078534A"/>
    <w:rsid w:val="00785F50"/>
    <w:rsid w:val="007863FD"/>
    <w:rsid w:val="007879BA"/>
    <w:rsid w:val="00795207"/>
    <w:rsid w:val="0079534C"/>
    <w:rsid w:val="00796B4B"/>
    <w:rsid w:val="00797288"/>
    <w:rsid w:val="007A0955"/>
    <w:rsid w:val="007A40F5"/>
    <w:rsid w:val="007A49D9"/>
    <w:rsid w:val="007A4F3A"/>
    <w:rsid w:val="007A530C"/>
    <w:rsid w:val="007A5EF0"/>
    <w:rsid w:val="007A7602"/>
    <w:rsid w:val="007B2A7E"/>
    <w:rsid w:val="007B5811"/>
    <w:rsid w:val="007B5C64"/>
    <w:rsid w:val="007B5FDF"/>
    <w:rsid w:val="007C5A31"/>
    <w:rsid w:val="007C5BF4"/>
    <w:rsid w:val="007C7F6A"/>
    <w:rsid w:val="007D193C"/>
    <w:rsid w:val="007D1CC0"/>
    <w:rsid w:val="007D3DBD"/>
    <w:rsid w:val="007D3DD9"/>
    <w:rsid w:val="007D4E43"/>
    <w:rsid w:val="007D4E8D"/>
    <w:rsid w:val="007D51D3"/>
    <w:rsid w:val="007D53E8"/>
    <w:rsid w:val="007D705F"/>
    <w:rsid w:val="007E26A7"/>
    <w:rsid w:val="007E3D56"/>
    <w:rsid w:val="007E4420"/>
    <w:rsid w:val="007F00AB"/>
    <w:rsid w:val="007F3839"/>
    <w:rsid w:val="0080396B"/>
    <w:rsid w:val="008041F1"/>
    <w:rsid w:val="00804D04"/>
    <w:rsid w:val="00810C4B"/>
    <w:rsid w:val="008128D9"/>
    <w:rsid w:val="008149F7"/>
    <w:rsid w:val="00815B4B"/>
    <w:rsid w:val="00820BEA"/>
    <w:rsid w:val="00826CAB"/>
    <w:rsid w:val="00827347"/>
    <w:rsid w:val="00827B66"/>
    <w:rsid w:val="00833A77"/>
    <w:rsid w:val="00833F93"/>
    <w:rsid w:val="00836081"/>
    <w:rsid w:val="0083636B"/>
    <w:rsid w:val="0083706E"/>
    <w:rsid w:val="008458D1"/>
    <w:rsid w:val="008473FD"/>
    <w:rsid w:val="00847BF4"/>
    <w:rsid w:val="00850A46"/>
    <w:rsid w:val="008525D8"/>
    <w:rsid w:val="00852EA5"/>
    <w:rsid w:val="00862F24"/>
    <w:rsid w:val="0086604D"/>
    <w:rsid w:val="00871625"/>
    <w:rsid w:val="008729EC"/>
    <w:rsid w:val="00873C0F"/>
    <w:rsid w:val="00875878"/>
    <w:rsid w:val="00880E05"/>
    <w:rsid w:val="008818C8"/>
    <w:rsid w:val="0088202F"/>
    <w:rsid w:val="008820F8"/>
    <w:rsid w:val="0088453E"/>
    <w:rsid w:val="008847EE"/>
    <w:rsid w:val="008876E8"/>
    <w:rsid w:val="00887C8A"/>
    <w:rsid w:val="00890F99"/>
    <w:rsid w:val="0089358A"/>
    <w:rsid w:val="00894371"/>
    <w:rsid w:val="00894D5B"/>
    <w:rsid w:val="00897746"/>
    <w:rsid w:val="008A07C9"/>
    <w:rsid w:val="008A5D05"/>
    <w:rsid w:val="008B2D63"/>
    <w:rsid w:val="008B472E"/>
    <w:rsid w:val="008C06E6"/>
    <w:rsid w:val="008C2058"/>
    <w:rsid w:val="008C44A3"/>
    <w:rsid w:val="008C55A7"/>
    <w:rsid w:val="008C588F"/>
    <w:rsid w:val="008C7964"/>
    <w:rsid w:val="008D0505"/>
    <w:rsid w:val="008D473E"/>
    <w:rsid w:val="008E10F5"/>
    <w:rsid w:val="008E532C"/>
    <w:rsid w:val="008E5A4B"/>
    <w:rsid w:val="008E5D56"/>
    <w:rsid w:val="008E5FC0"/>
    <w:rsid w:val="008E693E"/>
    <w:rsid w:val="008F1999"/>
    <w:rsid w:val="008F278F"/>
    <w:rsid w:val="008F5FF0"/>
    <w:rsid w:val="009005C5"/>
    <w:rsid w:val="00900784"/>
    <w:rsid w:val="00901112"/>
    <w:rsid w:val="00903644"/>
    <w:rsid w:val="00906FD2"/>
    <w:rsid w:val="00910834"/>
    <w:rsid w:val="00910AB3"/>
    <w:rsid w:val="00911B4A"/>
    <w:rsid w:val="00911E00"/>
    <w:rsid w:val="00912303"/>
    <w:rsid w:val="0091311A"/>
    <w:rsid w:val="00916F17"/>
    <w:rsid w:val="00920F0A"/>
    <w:rsid w:val="00921244"/>
    <w:rsid w:val="00923CA1"/>
    <w:rsid w:val="009259F0"/>
    <w:rsid w:val="00925FB6"/>
    <w:rsid w:val="009315EE"/>
    <w:rsid w:val="00931ACC"/>
    <w:rsid w:val="00936C81"/>
    <w:rsid w:val="00936FFB"/>
    <w:rsid w:val="0094416F"/>
    <w:rsid w:val="00945AE2"/>
    <w:rsid w:val="00946EE7"/>
    <w:rsid w:val="0095158E"/>
    <w:rsid w:val="009528BA"/>
    <w:rsid w:val="009536D3"/>
    <w:rsid w:val="00954717"/>
    <w:rsid w:val="009551E2"/>
    <w:rsid w:val="00964B85"/>
    <w:rsid w:val="00966349"/>
    <w:rsid w:val="0096672E"/>
    <w:rsid w:val="00966F31"/>
    <w:rsid w:val="00967A6D"/>
    <w:rsid w:val="00970EAD"/>
    <w:rsid w:val="00972EF8"/>
    <w:rsid w:val="00972F60"/>
    <w:rsid w:val="00974593"/>
    <w:rsid w:val="00974E13"/>
    <w:rsid w:val="00975D81"/>
    <w:rsid w:val="0098691F"/>
    <w:rsid w:val="00987581"/>
    <w:rsid w:val="0099059C"/>
    <w:rsid w:val="00995A35"/>
    <w:rsid w:val="009A2CE2"/>
    <w:rsid w:val="009A42A8"/>
    <w:rsid w:val="009A6581"/>
    <w:rsid w:val="009A7370"/>
    <w:rsid w:val="009B118D"/>
    <w:rsid w:val="009B127B"/>
    <w:rsid w:val="009B2050"/>
    <w:rsid w:val="009B3AAC"/>
    <w:rsid w:val="009B4229"/>
    <w:rsid w:val="009B43E5"/>
    <w:rsid w:val="009B4D63"/>
    <w:rsid w:val="009B5124"/>
    <w:rsid w:val="009B7ED2"/>
    <w:rsid w:val="009C13AE"/>
    <w:rsid w:val="009C14B4"/>
    <w:rsid w:val="009C22D1"/>
    <w:rsid w:val="009C28F9"/>
    <w:rsid w:val="009C32B5"/>
    <w:rsid w:val="009C41EE"/>
    <w:rsid w:val="009C479A"/>
    <w:rsid w:val="009C47A9"/>
    <w:rsid w:val="009C686D"/>
    <w:rsid w:val="009D026B"/>
    <w:rsid w:val="009D1A4F"/>
    <w:rsid w:val="009D2E75"/>
    <w:rsid w:val="009D3BE5"/>
    <w:rsid w:val="009D3CD1"/>
    <w:rsid w:val="009D3D38"/>
    <w:rsid w:val="009D4C29"/>
    <w:rsid w:val="009D6B96"/>
    <w:rsid w:val="009E06F9"/>
    <w:rsid w:val="009E3062"/>
    <w:rsid w:val="009E3778"/>
    <w:rsid w:val="009E41E9"/>
    <w:rsid w:val="009E437A"/>
    <w:rsid w:val="009E56DD"/>
    <w:rsid w:val="009E5FFC"/>
    <w:rsid w:val="009E7F3E"/>
    <w:rsid w:val="009F0C17"/>
    <w:rsid w:val="009F46D9"/>
    <w:rsid w:val="009F4E6B"/>
    <w:rsid w:val="009F7773"/>
    <w:rsid w:val="00A016C5"/>
    <w:rsid w:val="00A01F62"/>
    <w:rsid w:val="00A02AE6"/>
    <w:rsid w:val="00A02BEE"/>
    <w:rsid w:val="00A032A1"/>
    <w:rsid w:val="00A04068"/>
    <w:rsid w:val="00A103C4"/>
    <w:rsid w:val="00A10827"/>
    <w:rsid w:val="00A110C4"/>
    <w:rsid w:val="00A1211C"/>
    <w:rsid w:val="00A12C83"/>
    <w:rsid w:val="00A13015"/>
    <w:rsid w:val="00A13F2C"/>
    <w:rsid w:val="00A16853"/>
    <w:rsid w:val="00A16E93"/>
    <w:rsid w:val="00A176F9"/>
    <w:rsid w:val="00A22E39"/>
    <w:rsid w:val="00A23A28"/>
    <w:rsid w:val="00A25D0A"/>
    <w:rsid w:val="00A329F0"/>
    <w:rsid w:val="00A33966"/>
    <w:rsid w:val="00A370A4"/>
    <w:rsid w:val="00A44542"/>
    <w:rsid w:val="00A507A1"/>
    <w:rsid w:val="00A50AA2"/>
    <w:rsid w:val="00A536EF"/>
    <w:rsid w:val="00A54F83"/>
    <w:rsid w:val="00A55E04"/>
    <w:rsid w:val="00A613AA"/>
    <w:rsid w:val="00A619C4"/>
    <w:rsid w:val="00A61E5F"/>
    <w:rsid w:val="00A6228E"/>
    <w:rsid w:val="00A62894"/>
    <w:rsid w:val="00A630AA"/>
    <w:rsid w:val="00A64362"/>
    <w:rsid w:val="00A660D1"/>
    <w:rsid w:val="00A66163"/>
    <w:rsid w:val="00A6798A"/>
    <w:rsid w:val="00A718D1"/>
    <w:rsid w:val="00A71B79"/>
    <w:rsid w:val="00A749D5"/>
    <w:rsid w:val="00A75829"/>
    <w:rsid w:val="00A76DF2"/>
    <w:rsid w:val="00A82E32"/>
    <w:rsid w:val="00A864A6"/>
    <w:rsid w:val="00A913DB"/>
    <w:rsid w:val="00A919CF"/>
    <w:rsid w:val="00A922E6"/>
    <w:rsid w:val="00A95293"/>
    <w:rsid w:val="00AA02F9"/>
    <w:rsid w:val="00AA0D3D"/>
    <w:rsid w:val="00AA265C"/>
    <w:rsid w:val="00AA33E8"/>
    <w:rsid w:val="00AA3558"/>
    <w:rsid w:val="00AA36D9"/>
    <w:rsid w:val="00AA69B4"/>
    <w:rsid w:val="00AA6A1B"/>
    <w:rsid w:val="00AA70BD"/>
    <w:rsid w:val="00AA7D9F"/>
    <w:rsid w:val="00AB0092"/>
    <w:rsid w:val="00AB1642"/>
    <w:rsid w:val="00AB2AE3"/>
    <w:rsid w:val="00AB2FF5"/>
    <w:rsid w:val="00AB3099"/>
    <w:rsid w:val="00AB6A1B"/>
    <w:rsid w:val="00AB7A23"/>
    <w:rsid w:val="00AC43D0"/>
    <w:rsid w:val="00AC45F2"/>
    <w:rsid w:val="00AC4DBA"/>
    <w:rsid w:val="00AC5A04"/>
    <w:rsid w:val="00AC69FD"/>
    <w:rsid w:val="00AC7E30"/>
    <w:rsid w:val="00AD0494"/>
    <w:rsid w:val="00AD192F"/>
    <w:rsid w:val="00AD214F"/>
    <w:rsid w:val="00AD37F6"/>
    <w:rsid w:val="00AD55B4"/>
    <w:rsid w:val="00AD5A2F"/>
    <w:rsid w:val="00AD64BB"/>
    <w:rsid w:val="00AD71C1"/>
    <w:rsid w:val="00AD7656"/>
    <w:rsid w:val="00AD7FCB"/>
    <w:rsid w:val="00AE09AB"/>
    <w:rsid w:val="00AE58F4"/>
    <w:rsid w:val="00AE730D"/>
    <w:rsid w:val="00AF0F03"/>
    <w:rsid w:val="00AF14CB"/>
    <w:rsid w:val="00AF15EF"/>
    <w:rsid w:val="00AF3BA2"/>
    <w:rsid w:val="00AF3CF2"/>
    <w:rsid w:val="00AF3DC2"/>
    <w:rsid w:val="00AF4AF0"/>
    <w:rsid w:val="00B00137"/>
    <w:rsid w:val="00B005D5"/>
    <w:rsid w:val="00B009B7"/>
    <w:rsid w:val="00B01949"/>
    <w:rsid w:val="00B064CC"/>
    <w:rsid w:val="00B06DCD"/>
    <w:rsid w:val="00B12619"/>
    <w:rsid w:val="00B12CEA"/>
    <w:rsid w:val="00B13680"/>
    <w:rsid w:val="00B136E5"/>
    <w:rsid w:val="00B1686E"/>
    <w:rsid w:val="00B16E7A"/>
    <w:rsid w:val="00B217A6"/>
    <w:rsid w:val="00B219C8"/>
    <w:rsid w:val="00B304C8"/>
    <w:rsid w:val="00B325F5"/>
    <w:rsid w:val="00B34490"/>
    <w:rsid w:val="00B35F77"/>
    <w:rsid w:val="00B36453"/>
    <w:rsid w:val="00B367B0"/>
    <w:rsid w:val="00B379D7"/>
    <w:rsid w:val="00B42A01"/>
    <w:rsid w:val="00B42A58"/>
    <w:rsid w:val="00B42E43"/>
    <w:rsid w:val="00B43A93"/>
    <w:rsid w:val="00B45E5C"/>
    <w:rsid w:val="00B46870"/>
    <w:rsid w:val="00B502A6"/>
    <w:rsid w:val="00B50EE1"/>
    <w:rsid w:val="00B52B6B"/>
    <w:rsid w:val="00B530DC"/>
    <w:rsid w:val="00B5573A"/>
    <w:rsid w:val="00B576A6"/>
    <w:rsid w:val="00B60A0F"/>
    <w:rsid w:val="00B6186F"/>
    <w:rsid w:val="00B622BE"/>
    <w:rsid w:val="00B626E9"/>
    <w:rsid w:val="00B63ADF"/>
    <w:rsid w:val="00B70A03"/>
    <w:rsid w:val="00B70C36"/>
    <w:rsid w:val="00B70DD8"/>
    <w:rsid w:val="00B72EE7"/>
    <w:rsid w:val="00B873FD"/>
    <w:rsid w:val="00B87961"/>
    <w:rsid w:val="00B926B7"/>
    <w:rsid w:val="00B9496E"/>
    <w:rsid w:val="00B94B10"/>
    <w:rsid w:val="00B96CB5"/>
    <w:rsid w:val="00BA0FC8"/>
    <w:rsid w:val="00BA1321"/>
    <w:rsid w:val="00BA282D"/>
    <w:rsid w:val="00BA349D"/>
    <w:rsid w:val="00BA3669"/>
    <w:rsid w:val="00BA3F99"/>
    <w:rsid w:val="00BA5BEE"/>
    <w:rsid w:val="00BA6A18"/>
    <w:rsid w:val="00BA7F8C"/>
    <w:rsid w:val="00BB5C18"/>
    <w:rsid w:val="00BB7520"/>
    <w:rsid w:val="00BB7B18"/>
    <w:rsid w:val="00BC1A04"/>
    <w:rsid w:val="00BC221E"/>
    <w:rsid w:val="00BD3337"/>
    <w:rsid w:val="00BD3C37"/>
    <w:rsid w:val="00BD530A"/>
    <w:rsid w:val="00BE0C22"/>
    <w:rsid w:val="00BE247E"/>
    <w:rsid w:val="00BE4088"/>
    <w:rsid w:val="00BE6881"/>
    <w:rsid w:val="00BE7184"/>
    <w:rsid w:val="00BF165D"/>
    <w:rsid w:val="00C025F6"/>
    <w:rsid w:val="00C04E0B"/>
    <w:rsid w:val="00C05105"/>
    <w:rsid w:val="00C05DDD"/>
    <w:rsid w:val="00C0722E"/>
    <w:rsid w:val="00C1049C"/>
    <w:rsid w:val="00C1211A"/>
    <w:rsid w:val="00C128C4"/>
    <w:rsid w:val="00C1451F"/>
    <w:rsid w:val="00C15194"/>
    <w:rsid w:val="00C176EA"/>
    <w:rsid w:val="00C201AA"/>
    <w:rsid w:val="00C20B7E"/>
    <w:rsid w:val="00C22E23"/>
    <w:rsid w:val="00C24BA7"/>
    <w:rsid w:val="00C263E1"/>
    <w:rsid w:val="00C3254F"/>
    <w:rsid w:val="00C33360"/>
    <w:rsid w:val="00C41B09"/>
    <w:rsid w:val="00C42C82"/>
    <w:rsid w:val="00C4512B"/>
    <w:rsid w:val="00C46805"/>
    <w:rsid w:val="00C4685B"/>
    <w:rsid w:val="00C4730D"/>
    <w:rsid w:val="00C47C4E"/>
    <w:rsid w:val="00C500E7"/>
    <w:rsid w:val="00C51D76"/>
    <w:rsid w:val="00C522ED"/>
    <w:rsid w:val="00C52ED9"/>
    <w:rsid w:val="00C61461"/>
    <w:rsid w:val="00C6495D"/>
    <w:rsid w:val="00C66478"/>
    <w:rsid w:val="00C66AF9"/>
    <w:rsid w:val="00C70094"/>
    <w:rsid w:val="00C71023"/>
    <w:rsid w:val="00C74C47"/>
    <w:rsid w:val="00C84974"/>
    <w:rsid w:val="00C85187"/>
    <w:rsid w:val="00C861E3"/>
    <w:rsid w:val="00C878C5"/>
    <w:rsid w:val="00C9079F"/>
    <w:rsid w:val="00C91387"/>
    <w:rsid w:val="00C91AE4"/>
    <w:rsid w:val="00C92F01"/>
    <w:rsid w:val="00C93346"/>
    <w:rsid w:val="00C93D1F"/>
    <w:rsid w:val="00C95395"/>
    <w:rsid w:val="00C969C6"/>
    <w:rsid w:val="00CA060F"/>
    <w:rsid w:val="00CA3F38"/>
    <w:rsid w:val="00CA6471"/>
    <w:rsid w:val="00CA7223"/>
    <w:rsid w:val="00CB147A"/>
    <w:rsid w:val="00CB48F7"/>
    <w:rsid w:val="00CB59B6"/>
    <w:rsid w:val="00CC0A69"/>
    <w:rsid w:val="00CC7A45"/>
    <w:rsid w:val="00CC7E40"/>
    <w:rsid w:val="00CD5576"/>
    <w:rsid w:val="00CD6B44"/>
    <w:rsid w:val="00CE28E2"/>
    <w:rsid w:val="00CE2F78"/>
    <w:rsid w:val="00CE3C6E"/>
    <w:rsid w:val="00CE57B0"/>
    <w:rsid w:val="00CF04BF"/>
    <w:rsid w:val="00CF0954"/>
    <w:rsid w:val="00CF1A98"/>
    <w:rsid w:val="00CF405B"/>
    <w:rsid w:val="00CF4745"/>
    <w:rsid w:val="00CF4890"/>
    <w:rsid w:val="00CF623A"/>
    <w:rsid w:val="00D00318"/>
    <w:rsid w:val="00D06E24"/>
    <w:rsid w:val="00D159A0"/>
    <w:rsid w:val="00D17E3B"/>
    <w:rsid w:val="00D20BE3"/>
    <w:rsid w:val="00D22D7D"/>
    <w:rsid w:val="00D23796"/>
    <w:rsid w:val="00D241F1"/>
    <w:rsid w:val="00D243FD"/>
    <w:rsid w:val="00D25C6B"/>
    <w:rsid w:val="00D30F36"/>
    <w:rsid w:val="00D31D1B"/>
    <w:rsid w:val="00D3362F"/>
    <w:rsid w:val="00D35E6B"/>
    <w:rsid w:val="00D3603F"/>
    <w:rsid w:val="00D36598"/>
    <w:rsid w:val="00D36F8B"/>
    <w:rsid w:val="00D42F8D"/>
    <w:rsid w:val="00D43C15"/>
    <w:rsid w:val="00D43FC0"/>
    <w:rsid w:val="00D4523C"/>
    <w:rsid w:val="00D46F1F"/>
    <w:rsid w:val="00D50804"/>
    <w:rsid w:val="00D50C82"/>
    <w:rsid w:val="00D5631F"/>
    <w:rsid w:val="00D56C64"/>
    <w:rsid w:val="00D627B3"/>
    <w:rsid w:val="00D64467"/>
    <w:rsid w:val="00D747D0"/>
    <w:rsid w:val="00D81185"/>
    <w:rsid w:val="00D811A1"/>
    <w:rsid w:val="00D82006"/>
    <w:rsid w:val="00D82FFF"/>
    <w:rsid w:val="00D83E57"/>
    <w:rsid w:val="00D84B73"/>
    <w:rsid w:val="00D857BD"/>
    <w:rsid w:val="00D86AE0"/>
    <w:rsid w:val="00D87F41"/>
    <w:rsid w:val="00D93090"/>
    <w:rsid w:val="00DA2975"/>
    <w:rsid w:val="00DA2E86"/>
    <w:rsid w:val="00DA326C"/>
    <w:rsid w:val="00DA3C3F"/>
    <w:rsid w:val="00DA5F67"/>
    <w:rsid w:val="00DA79C0"/>
    <w:rsid w:val="00DB0BE5"/>
    <w:rsid w:val="00DB4455"/>
    <w:rsid w:val="00DB540B"/>
    <w:rsid w:val="00DB54E4"/>
    <w:rsid w:val="00DB7135"/>
    <w:rsid w:val="00DB7B14"/>
    <w:rsid w:val="00DC0ED4"/>
    <w:rsid w:val="00DC1D20"/>
    <w:rsid w:val="00DC20A9"/>
    <w:rsid w:val="00DC30EB"/>
    <w:rsid w:val="00DC74B7"/>
    <w:rsid w:val="00DC7CF7"/>
    <w:rsid w:val="00DD2A7A"/>
    <w:rsid w:val="00DD315B"/>
    <w:rsid w:val="00DD4866"/>
    <w:rsid w:val="00DD58BF"/>
    <w:rsid w:val="00DD7BD3"/>
    <w:rsid w:val="00DE2457"/>
    <w:rsid w:val="00DE3B17"/>
    <w:rsid w:val="00DE7416"/>
    <w:rsid w:val="00DF049A"/>
    <w:rsid w:val="00DF0D07"/>
    <w:rsid w:val="00DF1712"/>
    <w:rsid w:val="00DF2B35"/>
    <w:rsid w:val="00DF593D"/>
    <w:rsid w:val="00DF66E6"/>
    <w:rsid w:val="00E00A74"/>
    <w:rsid w:val="00E01924"/>
    <w:rsid w:val="00E044A2"/>
    <w:rsid w:val="00E10CFF"/>
    <w:rsid w:val="00E1494E"/>
    <w:rsid w:val="00E14DD6"/>
    <w:rsid w:val="00E15335"/>
    <w:rsid w:val="00E15487"/>
    <w:rsid w:val="00E1658C"/>
    <w:rsid w:val="00E1719F"/>
    <w:rsid w:val="00E22FC5"/>
    <w:rsid w:val="00E24947"/>
    <w:rsid w:val="00E24DFA"/>
    <w:rsid w:val="00E2630A"/>
    <w:rsid w:val="00E271BE"/>
    <w:rsid w:val="00E275FC"/>
    <w:rsid w:val="00E3056D"/>
    <w:rsid w:val="00E310D9"/>
    <w:rsid w:val="00E33198"/>
    <w:rsid w:val="00E33DE6"/>
    <w:rsid w:val="00E353F5"/>
    <w:rsid w:val="00E36BE1"/>
    <w:rsid w:val="00E406CC"/>
    <w:rsid w:val="00E40A74"/>
    <w:rsid w:val="00E42327"/>
    <w:rsid w:val="00E46D1E"/>
    <w:rsid w:val="00E47E49"/>
    <w:rsid w:val="00E50638"/>
    <w:rsid w:val="00E50996"/>
    <w:rsid w:val="00E513EF"/>
    <w:rsid w:val="00E515E1"/>
    <w:rsid w:val="00E52CAB"/>
    <w:rsid w:val="00E536A1"/>
    <w:rsid w:val="00E541AD"/>
    <w:rsid w:val="00E56AEC"/>
    <w:rsid w:val="00E60259"/>
    <w:rsid w:val="00E77F5E"/>
    <w:rsid w:val="00E8043A"/>
    <w:rsid w:val="00E826F4"/>
    <w:rsid w:val="00E85968"/>
    <w:rsid w:val="00E94C56"/>
    <w:rsid w:val="00E95A66"/>
    <w:rsid w:val="00EA155A"/>
    <w:rsid w:val="00EA3792"/>
    <w:rsid w:val="00EA6309"/>
    <w:rsid w:val="00EA710E"/>
    <w:rsid w:val="00EA7E7C"/>
    <w:rsid w:val="00EB002D"/>
    <w:rsid w:val="00EB5437"/>
    <w:rsid w:val="00EC1AF6"/>
    <w:rsid w:val="00EC1F6A"/>
    <w:rsid w:val="00EC2E62"/>
    <w:rsid w:val="00EC2F08"/>
    <w:rsid w:val="00EC3A37"/>
    <w:rsid w:val="00EC4A4E"/>
    <w:rsid w:val="00EC571F"/>
    <w:rsid w:val="00EC69D6"/>
    <w:rsid w:val="00EC7BE4"/>
    <w:rsid w:val="00ED0881"/>
    <w:rsid w:val="00ED4037"/>
    <w:rsid w:val="00ED7570"/>
    <w:rsid w:val="00EE0013"/>
    <w:rsid w:val="00EE0A72"/>
    <w:rsid w:val="00EE1750"/>
    <w:rsid w:val="00EE5342"/>
    <w:rsid w:val="00EE64FE"/>
    <w:rsid w:val="00EF2508"/>
    <w:rsid w:val="00EF3006"/>
    <w:rsid w:val="00EF4FDD"/>
    <w:rsid w:val="00EF777A"/>
    <w:rsid w:val="00F03171"/>
    <w:rsid w:val="00F0604D"/>
    <w:rsid w:val="00F11D60"/>
    <w:rsid w:val="00F126B5"/>
    <w:rsid w:val="00F15C58"/>
    <w:rsid w:val="00F16BE0"/>
    <w:rsid w:val="00F20F1E"/>
    <w:rsid w:val="00F2265D"/>
    <w:rsid w:val="00F22A82"/>
    <w:rsid w:val="00F22F0D"/>
    <w:rsid w:val="00F23EF4"/>
    <w:rsid w:val="00F2515E"/>
    <w:rsid w:val="00F27B0F"/>
    <w:rsid w:val="00F32E5C"/>
    <w:rsid w:val="00F349C8"/>
    <w:rsid w:val="00F37343"/>
    <w:rsid w:val="00F40323"/>
    <w:rsid w:val="00F412F4"/>
    <w:rsid w:val="00F417E9"/>
    <w:rsid w:val="00F41C77"/>
    <w:rsid w:val="00F428E9"/>
    <w:rsid w:val="00F43433"/>
    <w:rsid w:val="00F44016"/>
    <w:rsid w:val="00F45568"/>
    <w:rsid w:val="00F46B17"/>
    <w:rsid w:val="00F474BB"/>
    <w:rsid w:val="00F52E08"/>
    <w:rsid w:val="00F53CC1"/>
    <w:rsid w:val="00F57238"/>
    <w:rsid w:val="00F57A00"/>
    <w:rsid w:val="00F61112"/>
    <w:rsid w:val="00F62139"/>
    <w:rsid w:val="00F62E04"/>
    <w:rsid w:val="00F64366"/>
    <w:rsid w:val="00F663CD"/>
    <w:rsid w:val="00F72344"/>
    <w:rsid w:val="00F77CDB"/>
    <w:rsid w:val="00F80E6A"/>
    <w:rsid w:val="00F824E5"/>
    <w:rsid w:val="00F827BB"/>
    <w:rsid w:val="00F82EED"/>
    <w:rsid w:val="00F84EAF"/>
    <w:rsid w:val="00F86D96"/>
    <w:rsid w:val="00F91B86"/>
    <w:rsid w:val="00F943AC"/>
    <w:rsid w:val="00FA17C7"/>
    <w:rsid w:val="00FA2C23"/>
    <w:rsid w:val="00FA2CA0"/>
    <w:rsid w:val="00FA79FC"/>
    <w:rsid w:val="00FB10B9"/>
    <w:rsid w:val="00FB25B3"/>
    <w:rsid w:val="00FB3C5E"/>
    <w:rsid w:val="00FB67F4"/>
    <w:rsid w:val="00FC1680"/>
    <w:rsid w:val="00FC3357"/>
    <w:rsid w:val="00FC67EC"/>
    <w:rsid w:val="00FC7A51"/>
    <w:rsid w:val="00FD1FCD"/>
    <w:rsid w:val="00FE0BCC"/>
    <w:rsid w:val="00FE2118"/>
    <w:rsid w:val="00FE5646"/>
    <w:rsid w:val="00FE583D"/>
    <w:rsid w:val="00FE5E13"/>
    <w:rsid w:val="00FE69A1"/>
    <w:rsid w:val="00FE6C34"/>
    <w:rsid w:val="00FE7D4D"/>
    <w:rsid w:val="00FE7E89"/>
    <w:rsid w:val="00FF2EEB"/>
    <w:rsid w:val="00FF53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EDB2"/>
  <w15:chartTrackingRefBased/>
  <w15:docId w15:val="{BE781120-C83F-4EB6-B2F8-D53379D3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BD"/>
  </w:style>
  <w:style w:type="paragraph" w:styleId="Ttulo1">
    <w:name w:val="heading 1"/>
    <w:basedOn w:val="Normal"/>
    <w:next w:val="Normal"/>
    <w:link w:val="Ttulo1Car"/>
    <w:uiPriority w:val="9"/>
    <w:qFormat/>
    <w:rsid w:val="00002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61C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72F60"/>
    <w:pPr>
      <w:keepNext/>
      <w:keepLines/>
      <w:spacing w:before="40" w:after="0"/>
      <w:outlineLvl w:val="2"/>
    </w:pPr>
    <w:rPr>
      <w:rFonts w:ascii="Arial" w:eastAsiaTheme="majorEastAsia" w:hAnsi="Arial" w:cstheme="majorBidi"/>
      <w:color w:val="000000" w:themeColor="text1"/>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Y EPM - Lista,Pбrrafo de lista,titulo 5,Bolita,Guión,Viñeta 2,Párrafo de lista3,BOLA,Párrafo de lista21,Titulo 8,List Paragraph,HOJA,Párrafo de lista31,BOLADEF,Párrafo de lista5,Colorful List - Accent 11,Colorful List Accent 1,parrafo"/>
    <w:basedOn w:val="Normal"/>
    <w:link w:val="PrrafodelistaCar"/>
    <w:uiPriority w:val="34"/>
    <w:qFormat/>
    <w:rsid w:val="00D64467"/>
    <w:pPr>
      <w:spacing w:after="0" w:line="240" w:lineRule="auto"/>
      <w:ind w:left="720"/>
      <w:contextualSpacing/>
    </w:pPr>
    <w:rPr>
      <w:rFonts w:ascii="Times New Roman" w:eastAsia="Times New Roman" w:hAnsi="Times New Roman" w:cs="Times New Roman"/>
      <w:kern w:val="0"/>
      <w:sz w:val="24"/>
      <w:szCs w:val="24"/>
      <w:lang w:val="es-ES" w:eastAsia="es-ES"/>
      <w14:ligatures w14:val="none"/>
    </w:rPr>
  </w:style>
  <w:style w:type="character" w:styleId="nfasis">
    <w:name w:val="Emphasis"/>
    <w:basedOn w:val="Fuentedeprrafopredeter"/>
    <w:uiPriority w:val="20"/>
    <w:qFormat/>
    <w:rsid w:val="005517A1"/>
    <w:rPr>
      <w:i/>
      <w:iCs/>
    </w:rPr>
  </w:style>
  <w:style w:type="character" w:customStyle="1" w:styleId="PrrafodelistaCar">
    <w:name w:val="Párrafo de lista Car"/>
    <w:aliases w:val="EY EPM - Lista Car,Pбrrafo de lista Car,titulo 5 Car,Bolita Car,Guión Car,Viñeta 2 Car,Párrafo de lista3 Car,BOLA Car,Párrafo de lista21 Car,Titulo 8 Car,List Paragraph Car,HOJA Car,Párrafo de lista31 Car,BOLADEF Car,parrafo Car"/>
    <w:link w:val="Prrafodelista"/>
    <w:uiPriority w:val="34"/>
    <w:qFormat/>
    <w:locked/>
    <w:rsid w:val="00DF1712"/>
    <w:rPr>
      <w:rFonts w:ascii="Times New Roman" w:eastAsia="Times New Roman" w:hAnsi="Times New Roman" w:cs="Times New Roman"/>
      <w:kern w:val="0"/>
      <w:sz w:val="24"/>
      <w:szCs w:val="24"/>
      <w:lang w:val="es-ES" w:eastAsia="es-ES"/>
      <w14:ligatures w14:val="none"/>
    </w:rPr>
  </w:style>
  <w:style w:type="paragraph" w:customStyle="1" w:styleId="Default">
    <w:name w:val="Default"/>
    <w:link w:val="DefaultCar"/>
    <w:qFormat/>
    <w:rsid w:val="00DF1712"/>
    <w:pPr>
      <w:autoSpaceDE w:val="0"/>
      <w:autoSpaceDN w:val="0"/>
      <w:adjustRightInd w:val="0"/>
      <w:spacing w:after="0" w:line="240" w:lineRule="auto"/>
    </w:pPr>
    <w:rPr>
      <w:rFonts w:ascii="Verdana" w:eastAsia="Calibri" w:hAnsi="Verdana" w:cs="Verdana"/>
      <w:color w:val="000000"/>
      <w:kern w:val="0"/>
      <w:sz w:val="24"/>
      <w:szCs w:val="24"/>
      <w:lang w:eastAsia="es-CO"/>
      <w14:ligatures w14:val="none"/>
    </w:rPr>
  </w:style>
  <w:style w:type="paragraph" w:styleId="Textoindependiente">
    <w:name w:val="Body Text"/>
    <w:aliases w:val="bt,body text,t,text,BODY TEXT,EDStext,sp,bodytext,bullet title,txt1,T1,Title 1,Text,sbs,block text,1,bt4,body text4,bt5,body text5,bt1,body text1,Teh2xt,Block text,tx,Resume Text,RFP Text,BT,heading_txt,bodytxy2,Justified,pp,P"/>
    <w:basedOn w:val="Normal"/>
    <w:link w:val="TextoindependienteCar"/>
    <w:qFormat/>
    <w:rsid w:val="00B63ADF"/>
    <w:pPr>
      <w:widowControl w:val="0"/>
      <w:autoSpaceDE w:val="0"/>
      <w:autoSpaceDN w:val="0"/>
      <w:spacing w:after="0" w:line="240" w:lineRule="auto"/>
    </w:pPr>
    <w:rPr>
      <w:rFonts w:ascii="Times New Roman" w:eastAsia="Times New Roman" w:hAnsi="Times New Roman" w:cs="Times New Roman"/>
      <w:kern w:val="0"/>
      <w:sz w:val="24"/>
      <w:szCs w:val="24"/>
      <w:lang w:val="es-ES" w:eastAsia="es-ES" w:bidi="es-ES"/>
      <w14:ligatures w14:val="none"/>
    </w:rPr>
  </w:style>
  <w:style w:type="character" w:customStyle="1" w:styleId="TextoindependienteCar">
    <w:name w:val="Texto independiente Car"/>
    <w:aliases w:val="bt Car,body text Car,t Car,text Car,BODY TEXT Car,EDStext Car,sp Car,bodytext Car,bullet title Car,txt1 Car,T1 Car,Title 1 Car,Text Car,sbs Car,block text Car,1 Car,bt4 Car,body text4 Car,bt5 Car,body text5 Car,bt1 Car,Teh2xt Car"/>
    <w:basedOn w:val="Fuentedeprrafopredeter"/>
    <w:link w:val="Textoindependiente"/>
    <w:rsid w:val="00B63ADF"/>
    <w:rPr>
      <w:rFonts w:ascii="Times New Roman" w:eastAsia="Times New Roman" w:hAnsi="Times New Roman" w:cs="Times New Roman"/>
      <w:kern w:val="0"/>
      <w:sz w:val="24"/>
      <w:szCs w:val="24"/>
      <w:lang w:val="es-ES" w:eastAsia="es-ES" w:bidi="es-ES"/>
      <w14:ligatures w14:val="none"/>
    </w:rPr>
  </w:style>
  <w:style w:type="character" w:customStyle="1" w:styleId="xcontentpasted2">
    <w:name w:val="x_contentpasted2"/>
    <w:basedOn w:val="Fuentedeprrafopredeter"/>
    <w:rsid w:val="005B3AFD"/>
  </w:style>
  <w:style w:type="character" w:customStyle="1" w:styleId="xcontentpasted1">
    <w:name w:val="x_contentpasted1"/>
    <w:basedOn w:val="Fuentedeprrafopredeter"/>
    <w:rsid w:val="005B3AFD"/>
  </w:style>
  <w:style w:type="paragraph" w:styleId="NormalWeb">
    <w:name w:val="Normal (Web)"/>
    <w:basedOn w:val="Normal"/>
    <w:uiPriority w:val="99"/>
    <w:unhideWhenUsed/>
    <w:rsid w:val="000879A1"/>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Fuerte">
    <w:name w:val="Strong"/>
    <w:basedOn w:val="Fuentedeprrafopredeter"/>
    <w:uiPriority w:val="22"/>
    <w:qFormat/>
    <w:rsid w:val="00BA0FC8"/>
    <w:rPr>
      <w:b/>
      <w:bCs/>
    </w:rPr>
  </w:style>
  <w:style w:type="character" w:customStyle="1" w:styleId="ui-provider">
    <w:name w:val="ui-provider"/>
    <w:basedOn w:val="Fuentedeprrafopredeter"/>
    <w:rsid w:val="00E36BE1"/>
  </w:style>
  <w:style w:type="character" w:customStyle="1" w:styleId="Ttulo1Car">
    <w:name w:val="Título 1 Car"/>
    <w:basedOn w:val="Fuentedeprrafopredeter"/>
    <w:link w:val="Ttulo1"/>
    <w:uiPriority w:val="9"/>
    <w:rsid w:val="0000218F"/>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00218F"/>
    <w:pPr>
      <w:outlineLvl w:val="9"/>
    </w:pPr>
    <w:rPr>
      <w:kern w:val="0"/>
      <w:lang w:eastAsia="es-CO"/>
      <w14:ligatures w14:val="none"/>
    </w:rPr>
  </w:style>
  <w:style w:type="character" w:styleId="Ttulodellibro">
    <w:name w:val="Book Title"/>
    <w:basedOn w:val="Fuentedeprrafopredeter"/>
    <w:uiPriority w:val="33"/>
    <w:qFormat/>
    <w:rsid w:val="008C55A7"/>
    <w:rPr>
      <w:b/>
      <w:bCs/>
      <w:i/>
      <w:iCs/>
      <w:spacing w:val="5"/>
    </w:rPr>
  </w:style>
  <w:style w:type="character" w:customStyle="1" w:styleId="Ttulo2Car">
    <w:name w:val="Título 2 Car"/>
    <w:basedOn w:val="Fuentedeprrafopredeter"/>
    <w:link w:val="Ttulo2"/>
    <w:uiPriority w:val="9"/>
    <w:rsid w:val="00161CD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972F60"/>
    <w:rPr>
      <w:rFonts w:ascii="Arial" w:eastAsiaTheme="majorEastAsia" w:hAnsi="Arial" w:cstheme="majorBidi"/>
      <w:color w:val="000000" w:themeColor="text1"/>
      <w:sz w:val="20"/>
      <w:szCs w:val="24"/>
    </w:rPr>
  </w:style>
  <w:style w:type="paragraph" w:styleId="TDC3">
    <w:name w:val="toc 3"/>
    <w:basedOn w:val="Normal"/>
    <w:next w:val="Normal"/>
    <w:autoRedefine/>
    <w:uiPriority w:val="39"/>
    <w:unhideWhenUsed/>
    <w:rsid w:val="00A370A4"/>
    <w:pPr>
      <w:spacing w:after="100"/>
      <w:ind w:left="440"/>
    </w:pPr>
  </w:style>
  <w:style w:type="character" w:styleId="Hipervnculo">
    <w:name w:val="Hyperlink"/>
    <w:basedOn w:val="Fuentedeprrafopredeter"/>
    <w:uiPriority w:val="99"/>
    <w:unhideWhenUsed/>
    <w:rsid w:val="00A370A4"/>
    <w:rPr>
      <w:color w:val="0563C1" w:themeColor="hyperlink"/>
      <w:u w:val="single"/>
    </w:rPr>
  </w:style>
  <w:style w:type="character" w:styleId="Refdecomentario">
    <w:name w:val="annotation reference"/>
    <w:basedOn w:val="Fuentedeprrafopredeter"/>
    <w:uiPriority w:val="99"/>
    <w:semiHidden/>
    <w:unhideWhenUsed/>
    <w:rsid w:val="00B622BE"/>
    <w:rPr>
      <w:sz w:val="16"/>
      <w:szCs w:val="16"/>
    </w:rPr>
  </w:style>
  <w:style w:type="paragraph" w:styleId="Textocomentario">
    <w:name w:val="annotation text"/>
    <w:basedOn w:val="Normal"/>
    <w:link w:val="TextocomentarioCar"/>
    <w:uiPriority w:val="99"/>
    <w:unhideWhenUsed/>
    <w:rsid w:val="00B622BE"/>
    <w:pPr>
      <w:spacing w:line="240" w:lineRule="auto"/>
    </w:pPr>
    <w:rPr>
      <w:sz w:val="20"/>
      <w:szCs w:val="20"/>
    </w:rPr>
  </w:style>
  <w:style w:type="character" w:customStyle="1" w:styleId="TextocomentarioCar">
    <w:name w:val="Texto comentario Car"/>
    <w:basedOn w:val="Fuentedeprrafopredeter"/>
    <w:link w:val="Textocomentario"/>
    <w:uiPriority w:val="99"/>
    <w:rsid w:val="00B622BE"/>
    <w:rPr>
      <w:sz w:val="20"/>
      <w:szCs w:val="20"/>
    </w:rPr>
  </w:style>
  <w:style w:type="paragraph" w:styleId="Asuntodelcomentario">
    <w:name w:val="annotation subject"/>
    <w:basedOn w:val="Textocomentario"/>
    <w:next w:val="Textocomentario"/>
    <w:link w:val="AsuntodelcomentarioCar"/>
    <w:uiPriority w:val="99"/>
    <w:semiHidden/>
    <w:unhideWhenUsed/>
    <w:rsid w:val="00B622BE"/>
    <w:rPr>
      <w:b/>
      <w:bCs/>
    </w:rPr>
  </w:style>
  <w:style w:type="character" w:customStyle="1" w:styleId="AsuntodelcomentarioCar">
    <w:name w:val="Asunto del comentario Car"/>
    <w:basedOn w:val="TextocomentarioCar"/>
    <w:link w:val="Asuntodelcomentario"/>
    <w:uiPriority w:val="99"/>
    <w:semiHidden/>
    <w:rsid w:val="00B622BE"/>
    <w:rPr>
      <w:b/>
      <w:bCs/>
      <w:sz w:val="20"/>
      <w:szCs w:val="20"/>
    </w:rPr>
  </w:style>
  <w:style w:type="character" w:styleId="Hipervnculovisitado">
    <w:name w:val="FollowedHyperlink"/>
    <w:basedOn w:val="Fuentedeprrafopredeter"/>
    <w:uiPriority w:val="99"/>
    <w:semiHidden/>
    <w:unhideWhenUsed/>
    <w:rsid w:val="00E01924"/>
    <w:rPr>
      <w:color w:val="954F72" w:themeColor="followedHyperlink"/>
      <w:u w:val="single"/>
    </w:rPr>
  </w:style>
  <w:style w:type="character" w:customStyle="1" w:styleId="DefaultCar">
    <w:name w:val="Default Car"/>
    <w:link w:val="Default"/>
    <w:locked/>
    <w:rsid w:val="00195E06"/>
    <w:rPr>
      <w:rFonts w:ascii="Verdana" w:eastAsia="Calibri" w:hAnsi="Verdana" w:cs="Verdana"/>
      <w:color w:val="000000"/>
      <w:kern w:val="0"/>
      <w:sz w:val="24"/>
      <w:szCs w:val="24"/>
      <w:lang w:eastAsia="es-CO"/>
      <w14:ligatures w14:val="none"/>
    </w:rPr>
  </w:style>
  <w:style w:type="table" w:styleId="Tablaconcuadrcula">
    <w:name w:val="Table Grid"/>
    <w:basedOn w:val="Tablanormal"/>
    <w:uiPriority w:val="39"/>
    <w:rsid w:val="009869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006">
      <w:bodyDiv w:val="1"/>
      <w:marLeft w:val="0"/>
      <w:marRight w:val="0"/>
      <w:marTop w:val="0"/>
      <w:marBottom w:val="0"/>
      <w:divBdr>
        <w:top w:val="none" w:sz="0" w:space="0" w:color="auto"/>
        <w:left w:val="none" w:sz="0" w:space="0" w:color="auto"/>
        <w:bottom w:val="none" w:sz="0" w:space="0" w:color="auto"/>
        <w:right w:val="none" w:sz="0" w:space="0" w:color="auto"/>
      </w:divBdr>
    </w:div>
    <w:div w:id="79912786">
      <w:bodyDiv w:val="1"/>
      <w:marLeft w:val="0"/>
      <w:marRight w:val="0"/>
      <w:marTop w:val="0"/>
      <w:marBottom w:val="0"/>
      <w:divBdr>
        <w:top w:val="none" w:sz="0" w:space="0" w:color="auto"/>
        <w:left w:val="none" w:sz="0" w:space="0" w:color="auto"/>
        <w:bottom w:val="none" w:sz="0" w:space="0" w:color="auto"/>
        <w:right w:val="none" w:sz="0" w:space="0" w:color="auto"/>
      </w:divBdr>
    </w:div>
    <w:div w:id="90325387">
      <w:bodyDiv w:val="1"/>
      <w:marLeft w:val="0"/>
      <w:marRight w:val="0"/>
      <w:marTop w:val="0"/>
      <w:marBottom w:val="0"/>
      <w:divBdr>
        <w:top w:val="none" w:sz="0" w:space="0" w:color="auto"/>
        <w:left w:val="none" w:sz="0" w:space="0" w:color="auto"/>
        <w:bottom w:val="none" w:sz="0" w:space="0" w:color="auto"/>
        <w:right w:val="none" w:sz="0" w:space="0" w:color="auto"/>
      </w:divBdr>
    </w:div>
    <w:div w:id="130371489">
      <w:bodyDiv w:val="1"/>
      <w:marLeft w:val="0"/>
      <w:marRight w:val="0"/>
      <w:marTop w:val="0"/>
      <w:marBottom w:val="0"/>
      <w:divBdr>
        <w:top w:val="none" w:sz="0" w:space="0" w:color="auto"/>
        <w:left w:val="none" w:sz="0" w:space="0" w:color="auto"/>
        <w:bottom w:val="none" w:sz="0" w:space="0" w:color="auto"/>
        <w:right w:val="none" w:sz="0" w:space="0" w:color="auto"/>
      </w:divBdr>
    </w:div>
    <w:div w:id="234242925">
      <w:bodyDiv w:val="1"/>
      <w:marLeft w:val="0"/>
      <w:marRight w:val="0"/>
      <w:marTop w:val="0"/>
      <w:marBottom w:val="0"/>
      <w:divBdr>
        <w:top w:val="none" w:sz="0" w:space="0" w:color="auto"/>
        <w:left w:val="none" w:sz="0" w:space="0" w:color="auto"/>
        <w:bottom w:val="none" w:sz="0" w:space="0" w:color="auto"/>
        <w:right w:val="none" w:sz="0" w:space="0" w:color="auto"/>
      </w:divBdr>
    </w:div>
    <w:div w:id="242187578">
      <w:bodyDiv w:val="1"/>
      <w:marLeft w:val="0"/>
      <w:marRight w:val="0"/>
      <w:marTop w:val="0"/>
      <w:marBottom w:val="0"/>
      <w:divBdr>
        <w:top w:val="none" w:sz="0" w:space="0" w:color="auto"/>
        <w:left w:val="none" w:sz="0" w:space="0" w:color="auto"/>
        <w:bottom w:val="none" w:sz="0" w:space="0" w:color="auto"/>
        <w:right w:val="none" w:sz="0" w:space="0" w:color="auto"/>
      </w:divBdr>
    </w:div>
    <w:div w:id="251740126">
      <w:bodyDiv w:val="1"/>
      <w:marLeft w:val="0"/>
      <w:marRight w:val="0"/>
      <w:marTop w:val="0"/>
      <w:marBottom w:val="0"/>
      <w:divBdr>
        <w:top w:val="none" w:sz="0" w:space="0" w:color="auto"/>
        <w:left w:val="none" w:sz="0" w:space="0" w:color="auto"/>
        <w:bottom w:val="none" w:sz="0" w:space="0" w:color="auto"/>
        <w:right w:val="none" w:sz="0" w:space="0" w:color="auto"/>
      </w:divBdr>
    </w:div>
    <w:div w:id="284654551">
      <w:bodyDiv w:val="1"/>
      <w:marLeft w:val="0"/>
      <w:marRight w:val="0"/>
      <w:marTop w:val="0"/>
      <w:marBottom w:val="0"/>
      <w:divBdr>
        <w:top w:val="none" w:sz="0" w:space="0" w:color="auto"/>
        <w:left w:val="none" w:sz="0" w:space="0" w:color="auto"/>
        <w:bottom w:val="none" w:sz="0" w:space="0" w:color="auto"/>
        <w:right w:val="none" w:sz="0" w:space="0" w:color="auto"/>
      </w:divBdr>
    </w:div>
    <w:div w:id="299575721">
      <w:bodyDiv w:val="1"/>
      <w:marLeft w:val="0"/>
      <w:marRight w:val="0"/>
      <w:marTop w:val="0"/>
      <w:marBottom w:val="0"/>
      <w:divBdr>
        <w:top w:val="none" w:sz="0" w:space="0" w:color="auto"/>
        <w:left w:val="none" w:sz="0" w:space="0" w:color="auto"/>
        <w:bottom w:val="none" w:sz="0" w:space="0" w:color="auto"/>
        <w:right w:val="none" w:sz="0" w:space="0" w:color="auto"/>
      </w:divBdr>
    </w:div>
    <w:div w:id="370492996">
      <w:bodyDiv w:val="1"/>
      <w:marLeft w:val="0"/>
      <w:marRight w:val="0"/>
      <w:marTop w:val="0"/>
      <w:marBottom w:val="0"/>
      <w:divBdr>
        <w:top w:val="none" w:sz="0" w:space="0" w:color="auto"/>
        <w:left w:val="none" w:sz="0" w:space="0" w:color="auto"/>
        <w:bottom w:val="none" w:sz="0" w:space="0" w:color="auto"/>
        <w:right w:val="none" w:sz="0" w:space="0" w:color="auto"/>
      </w:divBdr>
    </w:div>
    <w:div w:id="379787876">
      <w:bodyDiv w:val="1"/>
      <w:marLeft w:val="0"/>
      <w:marRight w:val="0"/>
      <w:marTop w:val="0"/>
      <w:marBottom w:val="0"/>
      <w:divBdr>
        <w:top w:val="none" w:sz="0" w:space="0" w:color="auto"/>
        <w:left w:val="none" w:sz="0" w:space="0" w:color="auto"/>
        <w:bottom w:val="none" w:sz="0" w:space="0" w:color="auto"/>
        <w:right w:val="none" w:sz="0" w:space="0" w:color="auto"/>
      </w:divBdr>
    </w:div>
    <w:div w:id="398865127">
      <w:bodyDiv w:val="1"/>
      <w:marLeft w:val="0"/>
      <w:marRight w:val="0"/>
      <w:marTop w:val="0"/>
      <w:marBottom w:val="0"/>
      <w:divBdr>
        <w:top w:val="none" w:sz="0" w:space="0" w:color="auto"/>
        <w:left w:val="none" w:sz="0" w:space="0" w:color="auto"/>
        <w:bottom w:val="none" w:sz="0" w:space="0" w:color="auto"/>
        <w:right w:val="none" w:sz="0" w:space="0" w:color="auto"/>
      </w:divBdr>
    </w:div>
    <w:div w:id="405420037">
      <w:bodyDiv w:val="1"/>
      <w:marLeft w:val="0"/>
      <w:marRight w:val="0"/>
      <w:marTop w:val="0"/>
      <w:marBottom w:val="0"/>
      <w:divBdr>
        <w:top w:val="none" w:sz="0" w:space="0" w:color="auto"/>
        <w:left w:val="none" w:sz="0" w:space="0" w:color="auto"/>
        <w:bottom w:val="none" w:sz="0" w:space="0" w:color="auto"/>
        <w:right w:val="none" w:sz="0" w:space="0" w:color="auto"/>
      </w:divBdr>
    </w:div>
    <w:div w:id="424693904">
      <w:bodyDiv w:val="1"/>
      <w:marLeft w:val="0"/>
      <w:marRight w:val="0"/>
      <w:marTop w:val="0"/>
      <w:marBottom w:val="0"/>
      <w:divBdr>
        <w:top w:val="none" w:sz="0" w:space="0" w:color="auto"/>
        <w:left w:val="none" w:sz="0" w:space="0" w:color="auto"/>
        <w:bottom w:val="none" w:sz="0" w:space="0" w:color="auto"/>
        <w:right w:val="none" w:sz="0" w:space="0" w:color="auto"/>
      </w:divBdr>
    </w:div>
    <w:div w:id="435028415">
      <w:bodyDiv w:val="1"/>
      <w:marLeft w:val="0"/>
      <w:marRight w:val="0"/>
      <w:marTop w:val="0"/>
      <w:marBottom w:val="0"/>
      <w:divBdr>
        <w:top w:val="none" w:sz="0" w:space="0" w:color="auto"/>
        <w:left w:val="none" w:sz="0" w:space="0" w:color="auto"/>
        <w:bottom w:val="none" w:sz="0" w:space="0" w:color="auto"/>
        <w:right w:val="none" w:sz="0" w:space="0" w:color="auto"/>
      </w:divBdr>
    </w:div>
    <w:div w:id="454104684">
      <w:bodyDiv w:val="1"/>
      <w:marLeft w:val="0"/>
      <w:marRight w:val="0"/>
      <w:marTop w:val="0"/>
      <w:marBottom w:val="0"/>
      <w:divBdr>
        <w:top w:val="none" w:sz="0" w:space="0" w:color="auto"/>
        <w:left w:val="none" w:sz="0" w:space="0" w:color="auto"/>
        <w:bottom w:val="none" w:sz="0" w:space="0" w:color="auto"/>
        <w:right w:val="none" w:sz="0" w:space="0" w:color="auto"/>
      </w:divBdr>
    </w:div>
    <w:div w:id="460811589">
      <w:bodyDiv w:val="1"/>
      <w:marLeft w:val="0"/>
      <w:marRight w:val="0"/>
      <w:marTop w:val="0"/>
      <w:marBottom w:val="0"/>
      <w:divBdr>
        <w:top w:val="none" w:sz="0" w:space="0" w:color="auto"/>
        <w:left w:val="none" w:sz="0" w:space="0" w:color="auto"/>
        <w:bottom w:val="none" w:sz="0" w:space="0" w:color="auto"/>
        <w:right w:val="none" w:sz="0" w:space="0" w:color="auto"/>
      </w:divBdr>
    </w:div>
    <w:div w:id="479153107">
      <w:bodyDiv w:val="1"/>
      <w:marLeft w:val="0"/>
      <w:marRight w:val="0"/>
      <w:marTop w:val="0"/>
      <w:marBottom w:val="0"/>
      <w:divBdr>
        <w:top w:val="none" w:sz="0" w:space="0" w:color="auto"/>
        <w:left w:val="none" w:sz="0" w:space="0" w:color="auto"/>
        <w:bottom w:val="none" w:sz="0" w:space="0" w:color="auto"/>
        <w:right w:val="none" w:sz="0" w:space="0" w:color="auto"/>
      </w:divBdr>
    </w:div>
    <w:div w:id="516309591">
      <w:bodyDiv w:val="1"/>
      <w:marLeft w:val="0"/>
      <w:marRight w:val="0"/>
      <w:marTop w:val="0"/>
      <w:marBottom w:val="0"/>
      <w:divBdr>
        <w:top w:val="none" w:sz="0" w:space="0" w:color="auto"/>
        <w:left w:val="none" w:sz="0" w:space="0" w:color="auto"/>
        <w:bottom w:val="none" w:sz="0" w:space="0" w:color="auto"/>
        <w:right w:val="none" w:sz="0" w:space="0" w:color="auto"/>
      </w:divBdr>
    </w:div>
    <w:div w:id="519779980">
      <w:bodyDiv w:val="1"/>
      <w:marLeft w:val="0"/>
      <w:marRight w:val="0"/>
      <w:marTop w:val="0"/>
      <w:marBottom w:val="0"/>
      <w:divBdr>
        <w:top w:val="none" w:sz="0" w:space="0" w:color="auto"/>
        <w:left w:val="none" w:sz="0" w:space="0" w:color="auto"/>
        <w:bottom w:val="none" w:sz="0" w:space="0" w:color="auto"/>
        <w:right w:val="none" w:sz="0" w:space="0" w:color="auto"/>
      </w:divBdr>
    </w:div>
    <w:div w:id="610821724">
      <w:bodyDiv w:val="1"/>
      <w:marLeft w:val="0"/>
      <w:marRight w:val="0"/>
      <w:marTop w:val="0"/>
      <w:marBottom w:val="0"/>
      <w:divBdr>
        <w:top w:val="none" w:sz="0" w:space="0" w:color="auto"/>
        <w:left w:val="none" w:sz="0" w:space="0" w:color="auto"/>
        <w:bottom w:val="none" w:sz="0" w:space="0" w:color="auto"/>
        <w:right w:val="none" w:sz="0" w:space="0" w:color="auto"/>
      </w:divBdr>
    </w:div>
    <w:div w:id="690452679">
      <w:bodyDiv w:val="1"/>
      <w:marLeft w:val="0"/>
      <w:marRight w:val="0"/>
      <w:marTop w:val="0"/>
      <w:marBottom w:val="0"/>
      <w:divBdr>
        <w:top w:val="none" w:sz="0" w:space="0" w:color="auto"/>
        <w:left w:val="none" w:sz="0" w:space="0" w:color="auto"/>
        <w:bottom w:val="none" w:sz="0" w:space="0" w:color="auto"/>
        <w:right w:val="none" w:sz="0" w:space="0" w:color="auto"/>
      </w:divBdr>
    </w:div>
    <w:div w:id="743836448">
      <w:bodyDiv w:val="1"/>
      <w:marLeft w:val="0"/>
      <w:marRight w:val="0"/>
      <w:marTop w:val="0"/>
      <w:marBottom w:val="0"/>
      <w:divBdr>
        <w:top w:val="none" w:sz="0" w:space="0" w:color="auto"/>
        <w:left w:val="none" w:sz="0" w:space="0" w:color="auto"/>
        <w:bottom w:val="none" w:sz="0" w:space="0" w:color="auto"/>
        <w:right w:val="none" w:sz="0" w:space="0" w:color="auto"/>
      </w:divBdr>
    </w:div>
    <w:div w:id="745415476">
      <w:bodyDiv w:val="1"/>
      <w:marLeft w:val="0"/>
      <w:marRight w:val="0"/>
      <w:marTop w:val="0"/>
      <w:marBottom w:val="0"/>
      <w:divBdr>
        <w:top w:val="none" w:sz="0" w:space="0" w:color="auto"/>
        <w:left w:val="none" w:sz="0" w:space="0" w:color="auto"/>
        <w:bottom w:val="none" w:sz="0" w:space="0" w:color="auto"/>
        <w:right w:val="none" w:sz="0" w:space="0" w:color="auto"/>
      </w:divBdr>
      <w:divsChild>
        <w:div w:id="360664367">
          <w:marLeft w:val="0"/>
          <w:marRight w:val="0"/>
          <w:marTop w:val="0"/>
          <w:marBottom w:val="0"/>
          <w:divBdr>
            <w:top w:val="none" w:sz="0" w:space="0" w:color="auto"/>
            <w:left w:val="none" w:sz="0" w:space="0" w:color="auto"/>
            <w:bottom w:val="none" w:sz="0" w:space="0" w:color="auto"/>
            <w:right w:val="none" w:sz="0" w:space="0" w:color="auto"/>
          </w:divBdr>
        </w:div>
      </w:divsChild>
    </w:div>
    <w:div w:id="789515692">
      <w:bodyDiv w:val="1"/>
      <w:marLeft w:val="0"/>
      <w:marRight w:val="0"/>
      <w:marTop w:val="0"/>
      <w:marBottom w:val="0"/>
      <w:divBdr>
        <w:top w:val="none" w:sz="0" w:space="0" w:color="auto"/>
        <w:left w:val="none" w:sz="0" w:space="0" w:color="auto"/>
        <w:bottom w:val="none" w:sz="0" w:space="0" w:color="auto"/>
        <w:right w:val="none" w:sz="0" w:space="0" w:color="auto"/>
      </w:divBdr>
    </w:div>
    <w:div w:id="844397364">
      <w:bodyDiv w:val="1"/>
      <w:marLeft w:val="0"/>
      <w:marRight w:val="0"/>
      <w:marTop w:val="0"/>
      <w:marBottom w:val="0"/>
      <w:divBdr>
        <w:top w:val="none" w:sz="0" w:space="0" w:color="auto"/>
        <w:left w:val="none" w:sz="0" w:space="0" w:color="auto"/>
        <w:bottom w:val="none" w:sz="0" w:space="0" w:color="auto"/>
        <w:right w:val="none" w:sz="0" w:space="0" w:color="auto"/>
      </w:divBdr>
    </w:div>
    <w:div w:id="877008861">
      <w:bodyDiv w:val="1"/>
      <w:marLeft w:val="0"/>
      <w:marRight w:val="0"/>
      <w:marTop w:val="0"/>
      <w:marBottom w:val="0"/>
      <w:divBdr>
        <w:top w:val="none" w:sz="0" w:space="0" w:color="auto"/>
        <w:left w:val="none" w:sz="0" w:space="0" w:color="auto"/>
        <w:bottom w:val="none" w:sz="0" w:space="0" w:color="auto"/>
        <w:right w:val="none" w:sz="0" w:space="0" w:color="auto"/>
      </w:divBdr>
    </w:div>
    <w:div w:id="882058302">
      <w:bodyDiv w:val="1"/>
      <w:marLeft w:val="0"/>
      <w:marRight w:val="0"/>
      <w:marTop w:val="0"/>
      <w:marBottom w:val="0"/>
      <w:divBdr>
        <w:top w:val="none" w:sz="0" w:space="0" w:color="auto"/>
        <w:left w:val="none" w:sz="0" w:space="0" w:color="auto"/>
        <w:bottom w:val="none" w:sz="0" w:space="0" w:color="auto"/>
        <w:right w:val="none" w:sz="0" w:space="0" w:color="auto"/>
      </w:divBdr>
    </w:div>
    <w:div w:id="883835227">
      <w:bodyDiv w:val="1"/>
      <w:marLeft w:val="0"/>
      <w:marRight w:val="0"/>
      <w:marTop w:val="0"/>
      <w:marBottom w:val="0"/>
      <w:divBdr>
        <w:top w:val="none" w:sz="0" w:space="0" w:color="auto"/>
        <w:left w:val="none" w:sz="0" w:space="0" w:color="auto"/>
        <w:bottom w:val="none" w:sz="0" w:space="0" w:color="auto"/>
        <w:right w:val="none" w:sz="0" w:space="0" w:color="auto"/>
      </w:divBdr>
    </w:div>
    <w:div w:id="913590805">
      <w:bodyDiv w:val="1"/>
      <w:marLeft w:val="0"/>
      <w:marRight w:val="0"/>
      <w:marTop w:val="0"/>
      <w:marBottom w:val="0"/>
      <w:divBdr>
        <w:top w:val="none" w:sz="0" w:space="0" w:color="auto"/>
        <w:left w:val="none" w:sz="0" w:space="0" w:color="auto"/>
        <w:bottom w:val="none" w:sz="0" w:space="0" w:color="auto"/>
        <w:right w:val="none" w:sz="0" w:space="0" w:color="auto"/>
      </w:divBdr>
    </w:div>
    <w:div w:id="930815450">
      <w:bodyDiv w:val="1"/>
      <w:marLeft w:val="0"/>
      <w:marRight w:val="0"/>
      <w:marTop w:val="0"/>
      <w:marBottom w:val="0"/>
      <w:divBdr>
        <w:top w:val="none" w:sz="0" w:space="0" w:color="auto"/>
        <w:left w:val="none" w:sz="0" w:space="0" w:color="auto"/>
        <w:bottom w:val="none" w:sz="0" w:space="0" w:color="auto"/>
        <w:right w:val="none" w:sz="0" w:space="0" w:color="auto"/>
      </w:divBdr>
    </w:div>
    <w:div w:id="948899289">
      <w:bodyDiv w:val="1"/>
      <w:marLeft w:val="0"/>
      <w:marRight w:val="0"/>
      <w:marTop w:val="0"/>
      <w:marBottom w:val="0"/>
      <w:divBdr>
        <w:top w:val="none" w:sz="0" w:space="0" w:color="auto"/>
        <w:left w:val="none" w:sz="0" w:space="0" w:color="auto"/>
        <w:bottom w:val="none" w:sz="0" w:space="0" w:color="auto"/>
        <w:right w:val="none" w:sz="0" w:space="0" w:color="auto"/>
      </w:divBdr>
    </w:div>
    <w:div w:id="959342758">
      <w:bodyDiv w:val="1"/>
      <w:marLeft w:val="0"/>
      <w:marRight w:val="0"/>
      <w:marTop w:val="0"/>
      <w:marBottom w:val="0"/>
      <w:divBdr>
        <w:top w:val="none" w:sz="0" w:space="0" w:color="auto"/>
        <w:left w:val="none" w:sz="0" w:space="0" w:color="auto"/>
        <w:bottom w:val="none" w:sz="0" w:space="0" w:color="auto"/>
        <w:right w:val="none" w:sz="0" w:space="0" w:color="auto"/>
      </w:divBdr>
    </w:div>
    <w:div w:id="1003969115">
      <w:bodyDiv w:val="1"/>
      <w:marLeft w:val="0"/>
      <w:marRight w:val="0"/>
      <w:marTop w:val="0"/>
      <w:marBottom w:val="0"/>
      <w:divBdr>
        <w:top w:val="none" w:sz="0" w:space="0" w:color="auto"/>
        <w:left w:val="none" w:sz="0" w:space="0" w:color="auto"/>
        <w:bottom w:val="none" w:sz="0" w:space="0" w:color="auto"/>
        <w:right w:val="none" w:sz="0" w:space="0" w:color="auto"/>
      </w:divBdr>
    </w:div>
    <w:div w:id="1024479995">
      <w:bodyDiv w:val="1"/>
      <w:marLeft w:val="0"/>
      <w:marRight w:val="0"/>
      <w:marTop w:val="0"/>
      <w:marBottom w:val="0"/>
      <w:divBdr>
        <w:top w:val="none" w:sz="0" w:space="0" w:color="auto"/>
        <w:left w:val="none" w:sz="0" w:space="0" w:color="auto"/>
        <w:bottom w:val="none" w:sz="0" w:space="0" w:color="auto"/>
        <w:right w:val="none" w:sz="0" w:space="0" w:color="auto"/>
      </w:divBdr>
    </w:div>
    <w:div w:id="1027680523">
      <w:bodyDiv w:val="1"/>
      <w:marLeft w:val="0"/>
      <w:marRight w:val="0"/>
      <w:marTop w:val="0"/>
      <w:marBottom w:val="0"/>
      <w:divBdr>
        <w:top w:val="none" w:sz="0" w:space="0" w:color="auto"/>
        <w:left w:val="none" w:sz="0" w:space="0" w:color="auto"/>
        <w:bottom w:val="none" w:sz="0" w:space="0" w:color="auto"/>
        <w:right w:val="none" w:sz="0" w:space="0" w:color="auto"/>
      </w:divBdr>
    </w:div>
    <w:div w:id="1031564554">
      <w:bodyDiv w:val="1"/>
      <w:marLeft w:val="0"/>
      <w:marRight w:val="0"/>
      <w:marTop w:val="0"/>
      <w:marBottom w:val="0"/>
      <w:divBdr>
        <w:top w:val="none" w:sz="0" w:space="0" w:color="auto"/>
        <w:left w:val="none" w:sz="0" w:space="0" w:color="auto"/>
        <w:bottom w:val="none" w:sz="0" w:space="0" w:color="auto"/>
        <w:right w:val="none" w:sz="0" w:space="0" w:color="auto"/>
      </w:divBdr>
    </w:div>
    <w:div w:id="1102334333">
      <w:bodyDiv w:val="1"/>
      <w:marLeft w:val="0"/>
      <w:marRight w:val="0"/>
      <w:marTop w:val="0"/>
      <w:marBottom w:val="0"/>
      <w:divBdr>
        <w:top w:val="none" w:sz="0" w:space="0" w:color="auto"/>
        <w:left w:val="none" w:sz="0" w:space="0" w:color="auto"/>
        <w:bottom w:val="none" w:sz="0" w:space="0" w:color="auto"/>
        <w:right w:val="none" w:sz="0" w:space="0" w:color="auto"/>
      </w:divBdr>
    </w:div>
    <w:div w:id="1131942886">
      <w:bodyDiv w:val="1"/>
      <w:marLeft w:val="0"/>
      <w:marRight w:val="0"/>
      <w:marTop w:val="0"/>
      <w:marBottom w:val="0"/>
      <w:divBdr>
        <w:top w:val="none" w:sz="0" w:space="0" w:color="auto"/>
        <w:left w:val="none" w:sz="0" w:space="0" w:color="auto"/>
        <w:bottom w:val="none" w:sz="0" w:space="0" w:color="auto"/>
        <w:right w:val="none" w:sz="0" w:space="0" w:color="auto"/>
      </w:divBdr>
    </w:div>
    <w:div w:id="1143691130">
      <w:bodyDiv w:val="1"/>
      <w:marLeft w:val="0"/>
      <w:marRight w:val="0"/>
      <w:marTop w:val="0"/>
      <w:marBottom w:val="0"/>
      <w:divBdr>
        <w:top w:val="none" w:sz="0" w:space="0" w:color="auto"/>
        <w:left w:val="none" w:sz="0" w:space="0" w:color="auto"/>
        <w:bottom w:val="none" w:sz="0" w:space="0" w:color="auto"/>
        <w:right w:val="none" w:sz="0" w:space="0" w:color="auto"/>
      </w:divBdr>
    </w:div>
    <w:div w:id="1169979455">
      <w:bodyDiv w:val="1"/>
      <w:marLeft w:val="0"/>
      <w:marRight w:val="0"/>
      <w:marTop w:val="0"/>
      <w:marBottom w:val="0"/>
      <w:divBdr>
        <w:top w:val="none" w:sz="0" w:space="0" w:color="auto"/>
        <w:left w:val="none" w:sz="0" w:space="0" w:color="auto"/>
        <w:bottom w:val="none" w:sz="0" w:space="0" w:color="auto"/>
        <w:right w:val="none" w:sz="0" w:space="0" w:color="auto"/>
      </w:divBdr>
    </w:div>
    <w:div w:id="1205287223">
      <w:bodyDiv w:val="1"/>
      <w:marLeft w:val="0"/>
      <w:marRight w:val="0"/>
      <w:marTop w:val="0"/>
      <w:marBottom w:val="0"/>
      <w:divBdr>
        <w:top w:val="none" w:sz="0" w:space="0" w:color="auto"/>
        <w:left w:val="none" w:sz="0" w:space="0" w:color="auto"/>
        <w:bottom w:val="none" w:sz="0" w:space="0" w:color="auto"/>
        <w:right w:val="none" w:sz="0" w:space="0" w:color="auto"/>
      </w:divBdr>
    </w:div>
    <w:div w:id="1210721671">
      <w:bodyDiv w:val="1"/>
      <w:marLeft w:val="0"/>
      <w:marRight w:val="0"/>
      <w:marTop w:val="0"/>
      <w:marBottom w:val="0"/>
      <w:divBdr>
        <w:top w:val="none" w:sz="0" w:space="0" w:color="auto"/>
        <w:left w:val="none" w:sz="0" w:space="0" w:color="auto"/>
        <w:bottom w:val="none" w:sz="0" w:space="0" w:color="auto"/>
        <w:right w:val="none" w:sz="0" w:space="0" w:color="auto"/>
      </w:divBdr>
    </w:div>
    <w:div w:id="1249192825">
      <w:bodyDiv w:val="1"/>
      <w:marLeft w:val="0"/>
      <w:marRight w:val="0"/>
      <w:marTop w:val="0"/>
      <w:marBottom w:val="0"/>
      <w:divBdr>
        <w:top w:val="none" w:sz="0" w:space="0" w:color="auto"/>
        <w:left w:val="none" w:sz="0" w:space="0" w:color="auto"/>
        <w:bottom w:val="none" w:sz="0" w:space="0" w:color="auto"/>
        <w:right w:val="none" w:sz="0" w:space="0" w:color="auto"/>
      </w:divBdr>
    </w:div>
    <w:div w:id="1319960881">
      <w:bodyDiv w:val="1"/>
      <w:marLeft w:val="0"/>
      <w:marRight w:val="0"/>
      <w:marTop w:val="0"/>
      <w:marBottom w:val="0"/>
      <w:divBdr>
        <w:top w:val="none" w:sz="0" w:space="0" w:color="auto"/>
        <w:left w:val="none" w:sz="0" w:space="0" w:color="auto"/>
        <w:bottom w:val="none" w:sz="0" w:space="0" w:color="auto"/>
        <w:right w:val="none" w:sz="0" w:space="0" w:color="auto"/>
      </w:divBdr>
    </w:div>
    <w:div w:id="1329864025">
      <w:bodyDiv w:val="1"/>
      <w:marLeft w:val="0"/>
      <w:marRight w:val="0"/>
      <w:marTop w:val="0"/>
      <w:marBottom w:val="0"/>
      <w:divBdr>
        <w:top w:val="none" w:sz="0" w:space="0" w:color="auto"/>
        <w:left w:val="none" w:sz="0" w:space="0" w:color="auto"/>
        <w:bottom w:val="none" w:sz="0" w:space="0" w:color="auto"/>
        <w:right w:val="none" w:sz="0" w:space="0" w:color="auto"/>
      </w:divBdr>
    </w:div>
    <w:div w:id="1347294786">
      <w:bodyDiv w:val="1"/>
      <w:marLeft w:val="0"/>
      <w:marRight w:val="0"/>
      <w:marTop w:val="0"/>
      <w:marBottom w:val="0"/>
      <w:divBdr>
        <w:top w:val="none" w:sz="0" w:space="0" w:color="auto"/>
        <w:left w:val="none" w:sz="0" w:space="0" w:color="auto"/>
        <w:bottom w:val="none" w:sz="0" w:space="0" w:color="auto"/>
        <w:right w:val="none" w:sz="0" w:space="0" w:color="auto"/>
      </w:divBdr>
    </w:div>
    <w:div w:id="1393043579">
      <w:bodyDiv w:val="1"/>
      <w:marLeft w:val="0"/>
      <w:marRight w:val="0"/>
      <w:marTop w:val="0"/>
      <w:marBottom w:val="0"/>
      <w:divBdr>
        <w:top w:val="none" w:sz="0" w:space="0" w:color="auto"/>
        <w:left w:val="none" w:sz="0" w:space="0" w:color="auto"/>
        <w:bottom w:val="none" w:sz="0" w:space="0" w:color="auto"/>
        <w:right w:val="none" w:sz="0" w:space="0" w:color="auto"/>
      </w:divBdr>
    </w:div>
    <w:div w:id="1403024414">
      <w:bodyDiv w:val="1"/>
      <w:marLeft w:val="0"/>
      <w:marRight w:val="0"/>
      <w:marTop w:val="0"/>
      <w:marBottom w:val="0"/>
      <w:divBdr>
        <w:top w:val="none" w:sz="0" w:space="0" w:color="auto"/>
        <w:left w:val="none" w:sz="0" w:space="0" w:color="auto"/>
        <w:bottom w:val="none" w:sz="0" w:space="0" w:color="auto"/>
        <w:right w:val="none" w:sz="0" w:space="0" w:color="auto"/>
      </w:divBdr>
    </w:div>
    <w:div w:id="1405494840">
      <w:bodyDiv w:val="1"/>
      <w:marLeft w:val="0"/>
      <w:marRight w:val="0"/>
      <w:marTop w:val="0"/>
      <w:marBottom w:val="0"/>
      <w:divBdr>
        <w:top w:val="none" w:sz="0" w:space="0" w:color="auto"/>
        <w:left w:val="none" w:sz="0" w:space="0" w:color="auto"/>
        <w:bottom w:val="none" w:sz="0" w:space="0" w:color="auto"/>
        <w:right w:val="none" w:sz="0" w:space="0" w:color="auto"/>
      </w:divBdr>
    </w:div>
    <w:div w:id="1523476046">
      <w:bodyDiv w:val="1"/>
      <w:marLeft w:val="0"/>
      <w:marRight w:val="0"/>
      <w:marTop w:val="0"/>
      <w:marBottom w:val="0"/>
      <w:divBdr>
        <w:top w:val="none" w:sz="0" w:space="0" w:color="auto"/>
        <w:left w:val="none" w:sz="0" w:space="0" w:color="auto"/>
        <w:bottom w:val="none" w:sz="0" w:space="0" w:color="auto"/>
        <w:right w:val="none" w:sz="0" w:space="0" w:color="auto"/>
      </w:divBdr>
    </w:div>
    <w:div w:id="1557354489">
      <w:bodyDiv w:val="1"/>
      <w:marLeft w:val="0"/>
      <w:marRight w:val="0"/>
      <w:marTop w:val="0"/>
      <w:marBottom w:val="0"/>
      <w:divBdr>
        <w:top w:val="none" w:sz="0" w:space="0" w:color="auto"/>
        <w:left w:val="none" w:sz="0" w:space="0" w:color="auto"/>
        <w:bottom w:val="none" w:sz="0" w:space="0" w:color="auto"/>
        <w:right w:val="none" w:sz="0" w:space="0" w:color="auto"/>
      </w:divBdr>
    </w:div>
    <w:div w:id="1559129899">
      <w:bodyDiv w:val="1"/>
      <w:marLeft w:val="0"/>
      <w:marRight w:val="0"/>
      <w:marTop w:val="0"/>
      <w:marBottom w:val="0"/>
      <w:divBdr>
        <w:top w:val="none" w:sz="0" w:space="0" w:color="auto"/>
        <w:left w:val="none" w:sz="0" w:space="0" w:color="auto"/>
        <w:bottom w:val="none" w:sz="0" w:space="0" w:color="auto"/>
        <w:right w:val="none" w:sz="0" w:space="0" w:color="auto"/>
      </w:divBdr>
    </w:div>
    <w:div w:id="1562206670">
      <w:bodyDiv w:val="1"/>
      <w:marLeft w:val="0"/>
      <w:marRight w:val="0"/>
      <w:marTop w:val="0"/>
      <w:marBottom w:val="0"/>
      <w:divBdr>
        <w:top w:val="none" w:sz="0" w:space="0" w:color="auto"/>
        <w:left w:val="none" w:sz="0" w:space="0" w:color="auto"/>
        <w:bottom w:val="none" w:sz="0" w:space="0" w:color="auto"/>
        <w:right w:val="none" w:sz="0" w:space="0" w:color="auto"/>
      </w:divBdr>
    </w:div>
    <w:div w:id="1606419890">
      <w:bodyDiv w:val="1"/>
      <w:marLeft w:val="0"/>
      <w:marRight w:val="0"/>
      <w:marTop w:val="0"/>
      <w:marBottom w:val="0"/>
      <w:divBdr>
        <w:top w:val="none" w:sz="0" w:space="0" w:color="auto"/>
        <w:left w:val="none" w:sz="0" w:space="0" w:color="auto"/>
        <w:bottom w:val="none" w:sz="0" w:space="0" w:color="auto"/>
        <w:right w:val="none" w:sz="0" w:space="0" w:color="auto"/>
      </w:divBdr>
    </w:div>
    <w:div w:id="1665740798">
      <w:bodyDiv w:val="1"/>
      <w:marLeft w:val="0"/>
      <w:marRight w:val="0"/>
      <w:marTop w:val="0"/>
      <w:marBottom w:val="0"/>
      <w:divBdr>
        <w:top w:val="none" w:sz="0" w:space="0" w:color="auto"/>
        <w:left w:val="none" w:sz="0" w:space="0" w:color="auto"/>
        <w:bottom w:val="none" w:sz="0" w:space="0" w:color="auto"/>
        <w:right w:val="none" w:sz="0" w:space="0" w:color="auto"/>
      </w:divBdr>
    </w:div>
    <w:div w:id="1674528412">
      <w:bodyDiv w:val="1"/>
      <w:marLeft w:val="0"/>
      <w:marRight w:val="0"/>
      <w:marTop w:val="0"/>
      <w:marBottom w:val="0"/>
      <w:divBdr>
        <w:top w:val="none" w:sz="0" w:space="0" w:color="auto"/>
        <w:left w:val="none" w:sz="0" w:space="0" w:color="auto"/>
        <w:bottom w:val="none" w:sz="0" w:space="0" w:color="auto"/>
        <w:right w:val="none" w:sz="0" w:space="0" w:color="auto"/>
      </w:divBdr>
    </w:div>
    <w:div w:id="1701927342">
      <w:bodyDiv w:val="1"/>
      <w:marLeft w:val="0"/>
      <w:marRight w:val="0"/>
      <w:marTop w:val="0"/>
      <w:marBottom w:val="0"/>
      <w:divBdr>
        <w:top w:val="none" w:sz="0" w:space="0" w:color="auto"/>
        <w:left w:val="none" w:sz="0" w:space="0" w:color="auto"/>
        <w:bottom w:val="none" w:sz="0" w:space="0" w:color="auto"/>
        <w:right w:val="none" w:sz="0" w:space="0" w:color="auto"/>
      </w:divBdr>
    </w:div>
    <w:div w:id="1704020375">
      <w:bodyDiv w:val="1"/>
      <w:marLeft w:val="0"/>
      <w:marRight w:val="0"/>
      <w:marTop w:val="0"/>
      <w:marBottom w:val="0"/>
      <w:divBdr>
        <w:top w:val="none" w:sz="0" w:space="0" w:color="auto"/>
        <w:left w:val="none" w:sz="0" w:space="0" w:color="auto"/>
        <w:bottom w:val="none" w:sz="0" w:space="0" w:color="auto"/>
        <w:right w:val="none" w:sz="0" w:space="0" w:color="auto"/>
      </w:divBdr>
    </w:div>
    <w:div w:id="1711803812">
      <w:bodyDiv w:val="1"/>
      <w:marLeft w:val="0"/>
      <w:marRight w:val="0"/>
      <w:marTop w:val="0"/>
      <w:marBottom w:val="0"/>
      <w:divBdr>
        <w:top w:val="none" w:sz="0" w:space="0" w:color="auto"/>
        <w:left w:val="none" w:sz="0" w:space="0" w:color="auto"/>
        <w:bottom w:val="none" w:sz="0" w:space="0" w:color="auto"/>
        <w:right w:val="none" w:sz="0" w:space="0" w:color="auto"/>
      </w:divBdr>
    </w:div>
    <w:div w:id="1756434230">
      <w:bodyDiv w:val="1"/>
      <w:marLeft w:val="0"/>
      <w:marRight w:val="0"/>
      <w:marTop w:val="0"/>
      <w:marBottom w:val="0"/>
      <w:divBdr>
        <w:top w:val="none" w:sz="0" w:space="0" w:color="auto"/>
        <w:left w:val="none" w:sz="0" w:space="0" w:color="auto"/>
        <w:bottom w:val="none" w:sz="0" w:space="0" w:color="auto"/>
        <w:right w:val="none" w:sz="0" w:space="0" w:color="auto"/>
      </w:divBdr>
    </w:div>
    <w:div w:id="1805997475">
      <w:bodyDiv w:val="1"/>
      <w:marLeft w:val="0"/>
      <w:marRight w:val="0"/>
      <w:marTop w:val="0"/>
      <w:marBottom w:val="0"/>
      <w:divBdr>
        <w:top w:val="none" w:sz="0" w:space="0" w:color="auto"/>
        <w:left w:val="none" w:sz="0" w:space="0" w:color="auto"/>
        <w:bottom w:val="none" w:sz="0" w:space="0" w:color="auto"/>
        <w:right w:val="none" w:sz="0" w:space="0" w:color="auto"/>
      </w:divBdr>
    </w:div>
    <w:div w:id="1924801044">
      <w:bodyDiv w:val="1"/>
      <w:marLeft w:val="0"/>
      <w:marRight w:val="0"/>
      <w:marTop w:val="0"/>
      <w:marBottom w:val="0"/>
      <w:divBdr>
        <w:top w:val="none" w:sz="0" w:space="0" w:color="auto"/>
        <w:left w:val="none" w:sz="0" w:space="0" w:color="auto"/>
        <w:bottom w:val="none" w:sz="0" w:space="0" w:color="auto"/>
        <w:right w:val="none" w:sz="0" w:space="0" w:color="auto"/>
      </w:divBdr>
    </w:div>
    <w:div w:id="1983188554">
      <w:bodyDiv w:val="1"/>
      <w:marLeft w:val="0"/>
      <w:marRight w:val="0"/>
      <w:marTop w:val="0"/>
      <w:marBottom w:val="0"/>
      <w:divBdr>
        <w:top w:val="none" w:sz="0" w:space="0" w:color="auto"/>
        <w:left w:val="none" w:sz="0" w:space="0" w:color="auto"/>
        <w:bottom w:val="none" w:sz="0" w:space="0" w:color="auto"/>
        <w:right w:val="none" w:sz="0" w:space="0" w:color="auto"/>
      </w:divBdr>
    </w:div>
    <w:div w:id="2025083086">
      <w:bodyDiv w:val="1"/>
      <w:marLeft w:val="0"/>
      <w:marRight w:val="0"/>
      <w:marTop w:val="0"/>
      <w:marBottom w:val="0"/>
      <w:divBdr>
        <w:top w:val="none" w:sz="0" w:space="0" w:color="auto"/>
        <w:left w:val="none" w:sz="0" w:space="0" w:color="auto"/>
        <w:bottom w:val="none" w:sz="0" w:space="0" w:color="auto"/>
        <w:right w:val="none" w:sz="0" w:space="0" w:color="auto"/>
      </w:divBdr>
    </w:div>
    <w:div w:id="2077360470">
      <w:bodyDiv w:val="1"/>
      <w:marLeft w:val="0"/>
      <w:marRight w:val="0"/>
      <w:marTop w:val="0"/>
      <w:marBottom w:val="0"/>
      <w:divBdr>
        <w:top w:val="none" w:sz="0" w:space="0" w:color="auto"/>
        <w:left w:val="none" w:sz="0" w:space="0" w:color="auto"/>
        <w:bottom w:val="none" w:sz="0" w:space="0" w:color="auto"/>
        <w:right w:val="none" w:sz="0" w:space="0" w:color="auto"/>
      </w:divBdr>
    </w:div>
    <w:div w:id="2078747787">
      <w:bodyDiv w:val="1"/>
      <w:marLeft w:val="0"/>
      <w:marRight w:val="0"/>
      <w:marTop w:val="0"/>
      <w:marBottom w:val="0"/>
      <w:divBdr>
        <w:top w:val="none" w:sz="0" w:space="0" w:color="auto"/>
        <w:left w:val="none" w:sz="0" w:space="0" w:color="auto"/>
        <w:bottom w:val="none" w:sz="0" w:space="0" w:color="auto"/>
        <w:right w:val="none" w:sz="0" w:space="0" w:color="auto"/>
      </w:divBdr>
    </w:div>
    <w:div w:id="2086415172">
      <w:bodyDiv w:val="1"/>
      <w:marLeft w:val="0"/>
      <w:marRight w:val="0"/>
      <w:marTop w:val="0"/>
      <w:marBottom w:val="0"/>
      <w:divBdr>
        <w:top w:val="none" w:sz="0" w:space="0" w:color="auto"/>
        <w:left w:val="none" w:sz="0" w:space="0" w:color="auto"/>
        <w:bottom w:val="none" w:sz="0" w:space="0" w:color="auto"/>
        <w:right w:val="none" w:sz="0" w:space="0" w:color="auto"/>
      </w:divBdr>
    </w:div>
    <w:div w:id="210950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anionline-my.sharepoint.com/personal/omorales_ani_gov_co/Documents/2.%20Red%20F&#233;rrea%20del%20Atl&#225;ntico/1.%20Fenoco/03.%20Hist&#243;rico%20de%20carga/CARGA/GRAFICAS/2026/3.%20Marzo%20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LUIS%20ROA\CONSORCIO%20CORREDORES%20FERREOS\AVANCE%20FINANCIERO\Informe%20Avance%20financiero%20y%20fisico%20-%20Marzo%2030%20de%20202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CO" sz="1200" b="1" i="0" baseline="0">
                <a:effectLst/>
              </a:rPr>
              <a:t>Movilización de carbón 2020 - 2026 </a:t>
            </a:r>
          </a:p>
          <a:p>
            <a:pPr>
              <a:defRPr sz="1200"/>
            </a:pPr>
            <a:r>
              <a:rPr lang="es-CO" sz="1200" b="1" i="0" baseline="0">
                <a:effectLst/>
              </a:rPr>
              <a:t>Chiriguaná - Santa Marta</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1"/>
          <c:order val="0"/>
          <c:tx>
            <c:strRef>
              <c:f>Ingresos!$F$1</c:f>
              <c:strCache>
                <c:ptCount val="1"/>
                <c:pt idx="0">
                  <c:v>2020</c:v>
                </c:pt>
              </c:strCache>
            </c:strRef>
          </c:tx>
          <c:spPr>
            <a:solidFill>
              <a:schemeClr val="accent5"/>
            </a:solidFill>
            <a:ln>
              <a:noFill/>
            </a:ln>
            <a:effectLst/>
          </c:spPr>
          <c:invertIfNegative val="0"/>
          <c:cat>
            <c:strRef>
              <c:f>'https://anionline-my.sharepoint.com/personal/omorales_ani_gov_co/Documents/2. Red Férrea del Atlántico/1. Fenoco/04. Histórico de carga/[Movilización e ingresos FENOCO.xlsx]TOTAL'!$A$3:$A$14</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Ingresos!$F$3:$F$14</c:f>
              <c:numCache>
                <c:formatCode>#,##0.00</c:formatCode>
                <c:ptCount val="12"/>
                <c:pt idx="0">
                  <c:v>4270091.47</c:v>
                </c:pt>
                <c:pt idx="1">
                  <c:v>4485664.7</c:v>
                </c:pt>
                <c:pt idx="2">
                  <c:v>4405756.5599999996</c:v>
                </c:pt>
                <c:pt idx="3">
                  <c:v>2848771.66</c:v>
                </c:pt>
                <c:pt idx="4">
                  <c:v>2637420.41</c:v>
                </c:pt>
                <c:pt idx="5">
                  <c:v>1951964.67</c:v>
                </c:pt>
                <c:pt idx="6">
                  <c:v>2776320.52</c:v>
                </c:pt>
                <c:pt idx="7">
                  <c:v>2479120.44</c:v>
                </c:pt>
                <c:pt idx="8">
                  <c:v>2065871.58</c:v>
                </c:pt>
                <c:pt idx="9">
                  <c:v>2359243.36</c:v>
                </c:pt>
                <c:pt idx="10">
                  <c:v>2610029.0299999998</c:v>
                </c:pt>
                <c:pt idx="11">
                  <c:v>2691569.02</c:v>
                </c:pt>
              </c:numCache>
            </c:numRef>
          </c:val>
          <c:extLst>
            <c:ext xmlns:c16="http://schemas.microsoft.com/office/drawing/2014/chart" uri="{C3380CC4-5D6E-409C-BE32-E72D297353CC}">
              <c16:uniqueId val="{00000000-DA5A-4ED8-AA02-15531D628746}"/>
            </c:ext>
          </c:extLst>
        </c:ser>
        <c:ser>
          <c:idx val="2"/>
          <c:order val="1"/>
          <c:tx>
            <c:strRef>
              <c:f>Ingresos!$H$1</c:f>
              <c:strCache>
                <c:ptCount val="1"/>
                <c:pt idx="0">
                  <c:v>2021</c:v>
                </c:pt>
              </c:strCache>
            </c:strRef>
          </c:tx>
          <c:spPr>
            <a:solidFill>
              <a:schemeClr val="accent4"/>
            </a:solidFill>
            <a:ln>
              <a:noFill/>
            </a:ln>
            <a:effectLst/>
          </c:spPr>
          <c:invertIfNegative val="0"/>
          <c:cat>
            <c:strRef>
              <c:f>'https://anionline-my.sharepoint.com/personal/omorales_ani_gov_co/Documents/2. Red Férrea del Atlántico/1. Fenoco/04. Histórico de carga/[Movilización e ingresos FENOCO.xlsx]TOTAL'!$A$3:$A$14</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Ingresos!$H$3:$H$14</c:f>
              <c:numCache>
                <c:formatCode>#,##0.00</c:formatCode>
                <c:ptCount val="12"/>
                <c:pt idx="0">
                  <c:v>3070789.5700000012</c:v>
                </c:pt>
                <c:pt idx="1">
                  <c:v>2595322.4300000006</c:v>
                </c:pt>
                <c:pt idx="2">
                  <c:v>3006560.28</c:v>
                </c:pt>
                <c:pt idx="3">
                  <c:v>2841219.2100000004</c:v>
                </c:pt>
                <c:pt idx="4">
                  <c:v>2737050.19</c:v>
                </c:pt>
                <c:pt idx="5">
                  <c:v>2828513.7399999993</c:v>
                </c:pt>
                <c:pt idx="6">
                  <c:v>2377301.7500000009</c:v>
                </c:pt>
                <c:pt idx="7">
                  <c:v>2326311.37</c:v>
                </c:pt>
                <c:pt idx="8">
                  <c:v>2238947.9</c:v>
                </c:pt>
                <c:pt idx="9">
                  <c:v>2565983.15</c:v>
                </c:pt>
                <c:pt idx="10">
                  <c:v>2529554.6800000002</c:v>
                </c:pt>
                <c:pt idx="11">
                  <c:v>2699475.7399999998</c:v>
                </c:pt>
              </c:numCache>
            </c:numRef>
          </c:val>
          <c:extLst>
            <c:ext xmlns:c16="http://schemas.microsoft.com/office/drawing/2014/chart" uri="{C3380CC4-5D6E-409C-BE32-E72D297353CC}">
              <c16:uniqueId val="{00000001-DA5A-4ED8-AA02-15531D628746}"/>
            </c:ext>
          </c:extLst>
        </c:ser>
        <c:ser>
          <c:idx val="3"/>
          <c:order val="2"/>
          <c:tx>
            <c:strRef>
              <c:f>Ingresos!$K$1</c:f>
              <c:strCache>
                <c:ptCount val="1"/>
                <c:pt idx="0">
                  <c:v>2022</c:v>
                </c:pt>
              </c:strCache>
            </c:strRef>
          </c:tx>
          <c:spPr>
            <a:solidFill>
              <a:schemeClr val="accent6">
                <a:lumMod val="60000"/>
              </a:schemeClr>
            </a:solidFill>
            <a:ln>
              <a:noFill/>
            </a:ln>
            <a:effectLst/>
          </c:spPr>
          <c:invertIfNegative val="0"/>
          <c:val>
            <c:numRef>
              <c:f>Ingresos!$K$3:$K$14</c:f>
              <c:numCache>
                <c:formatCode>#,##0.00</c:formatCode>
                <c:ptCount val="12"/>
                <c:pt idx="0">
                  <c:v>2379332.8199999998</c:v>
                </c:pt>
                <c:pt idx="1">
                  <c:v>2395365.27</c:v>
                </c:pt>
                <c:pt idx="2">
                  <c:v>2334789.3199999994</c:v>
                </c:pt>
                <c:pt idx="3">
                  <c:v>2227171.5400000005</c:v>
                </c:pt>
                <c:pt idx="4">
                  <c:v>2436455.42</c:v>
                </c:pt>
                <c:pt idx="5">
                  <c:v>2502313.4100000006</c:v>
                </c:pt>
                <c:pt idx="6">
                  <c:v>2838623.9499999997</c:v>
                </c:pt>
                <c:pt idx="7">
                  <c:v>2754319.9899999998</c:v>
                </c:pt>
                <c:pt idx="8">
                  <c:v>2966828.3800000004</c:v>
                </c:pt>
                <c:pt idx="9">
                  <c:v>2338881.6300000004</c:v>
                </c:pt>
                <c:pt idx="10">
                  <c:v>2708408.5900000008</c:v>
                </c:pt>
                <c:pt idx="11">
                  <c:v>2772511.79</c:v>
                </c:pt>
              </c:numCache>
            </c:numRef>
          </c:val>
          <c:extLst>
            <c:ext xmlns:c16="http://schemas.microsoft.com/office/drawing/2014/chart" uri="{C3380CC4-5D6E-409C-BE32-E72D297353CC}">
              <c16:uniqueId val="{00000002-DA5A-4ED8-AA02-15531D628746}"/>
            </c:ext>
          </c:extLst>
        </c:ser>
        <c:ser>
          <c:idx val="4"/>
          <c:order val="3"/>
          <c:tx>
            <c:strRef>
              <c:f>Ingresos!$N$1</c:f>
              <c:strCache>
                <c:ptCount val="1"/>
                <c:pt idx="0">
                  <c:v>2023</c:v>
                </c:pt>
              </c:strCache>
            </c:strRef>
          </c:tx>
          <c:spPr>
            <a:solidFill>
              <a:schemeClr val="accent5">
                <a:lumMod val="60000"/>
              </a:schemeClr>
            </a:solidFill>
            <a:ln>
              <a:noFill/>
            </a:ln>
            <a:effectLst/>
          </c:spPr>
          <c:invertIfNegative val="0"/>
          <c:val>
            <c:numRef>
              <c:f>Ingresos!$N$3:$N$14</c:f>
              <c:numCache>
                <c:formatCode>#,##0.00</c:formatCode>
                <c:ptCount val="12"/>
                <c:pt idx="0">
                  <c:v>2648845.4600000004</c:v>
                </c:pt>
                <c:pt idx="1">
                  <c:v>2496452.58</c:v>
                </c:pt>
                <c:pt idx="2">
                  <c:v>2749883.07</c:v>
                </c:pt>
                <c:pt idx="3">
                  <c:v>1816010.72</c:v>
                </c:pt>
                <c:pt idx="4">
                  <c:v>2643409.5099999998</c:v>
                </c:pt>
                <c:pt idx="5">
                  <c:v>2988564.98</c:v>
                </c:pt>
                <c:pt idx="6">
                  <c:v>3143246.61</c:v>
                </c:pt>
                <c:pt idx="7">
                  <c:v>2009803.1</c:v>
                </c:pt>
                <c:pt idx="8">
                  <c:v>2202201.6299999994</c:v>
                </c:pt>
                <c:pt idx="9">
                  <c:v>3110089.94</c:v>
                </c:pt>
                <c:pt idx="10">
                  <c:v>2295231.8199999998</c:v>
                </c:pt>
                <c:pt idx="11">
                  <c:v>2824611.1799999997</c:v>
                </c:pt>
              </c:numCache>
            </c:numRef>
          </c:val>
          <c:extLst>
            <c:ext xmlns:c16="http://schemas.microsoft.com/office/drawing/2014/chart" uri="{C3380CC4-5D6E-409C-BE32-E72D297353CC}">
              <c16:uniqueId val="{00000003-DA5A-4ED8-AA02-15531D628746}"/>
            </c:ext>
          </c:extLst>
        </c:ser>
        <c:ser>
          <c:idx val="0"/>
          <c:order val="4"/>
          <c:tx>
            <c:v>2024</c:v>
          </c:tx>
          <c:spPr>
            <a:solidFill>
              <a:schemeClr val="accent6"/>
            </a:solidFill>
            <a:ln>
              <a:noFill/>
            </a:ln>
            <a:effectLst/>
          </c:spPr>
          <c:invertIfNegative val="0"/>
          <c:val>
            <c:numRef>
              <c:f>Ingresos!$Q$3:$Q$14</c:f>
              <c:numCache>
                <c:formatCode>#,##0.00</c:formatCode>
                <c:ptCount val="12"/>
                <c:pt idx="0">
                  <c:v>2970488.93</c:v>
                </c:pt>
                <c:pt idx="1">
                  <c:v>2416208.9699999997</c:v>
                </c:pt>
                <c:pt idx="2">
                  <c:v>3042441</c:v>
                </c:pt>
                <c:pt idx="3">
                  <c:v>2932186.9199999995</c:v>
                </c:pt>
                <c:pt idx="4">
                  <c:v>2610702.38</c:v>
                </c:pt>
                <c:pt idx="5">
                  <c:v>2889474.88</c:v>
                </c:pt>
                <c:pt idx="6">
                  <c:v>2745807.92</c:v>
                </c:pt>
                <c:pt idx="7">
                  <c:v>2511261.7600000002</c:v>
                </c:pt>
                <c:pt idx="8">
                  <c:v>2254493.8499999996</c:v>
                </c:pt>
                <c:pt idx="9">
                  <c:v>2207678.08</c:v>
                </c:pt>
                <c:pt idx="10">
                  <c:v>2570449.4300000002</c:v>
                </c:pt>
                <c:pt idx="11">
                  <c:v>2993993.9099999997</c:v>
                </c:pt>
              </c:numCache>
            </c:numRef>
          </c:val>
          <c:extLst>
            <c:ext xmlns:c16="http://schemas.microsoft.com/office/drawing/2014/chart" uri="{C3380CC4-5D6E-409C-BE32-E72D297353CC}">
              <c16:uniqueId val="{00000004-DA5A-4ED8-AA02-15531D628746}"/>
            </c:ext>
          </c:extLst>
        </c:ser>
        <c:ser>
          <c:idx val="5"/>
          <c:order val="5"/>
          <c:tx>
            <c:v>2025</c:v>
          </c:tx>
          <c:spPr>
            <a:solidFill>
              <a:schemeClr val="accent4">
                <a:lumMod val="60000"/>
              </a:schemeClr>
            </a:solidFill>
            <a:ln>
              <a:noFill/>
            </a:ln>
            <a:effectLst/>
          </c:spPr>
          <c:invertIfNegative val="0"/>
          <c:val>
            <c:numRef>
              <c:f>Ingresos!$T$3:$T$14</c:f>
              <c:numCache>
                <c:formatCode>#,##0.00</c:formatCode>
                <c:ptCount val="12"/>
                <c:pt idx="0">
                  <c:v>1893096.56</c:v>
                </c:pt>
                <c:pt idx="1">
                  <c:v>2859442.8699999996</c:v>
                </c:pt>
                <c:pt idx="2">
                  <c:v>2100958.2000000002</c:v>
                </c:pt>
                <c:pt idx="3">
                  <c:v>1320722.4000000001</c:v>
                </c:pt>
                <c:pt idx="4">
                  <c:v>1614318.33</c:v>
                </c:pt>
                <c:pt idx="5">
                  <c:v>2357404.9299999997</c:v>
                </c:pt>
                <c:pt idx="6">
                  <c:v>1812595.64</c:v>
                </c:pt>
                <c:pt idx="7">
                  <c:v>2308372.7699999996</c:v>
                </c:pt>
                <c:pt idx="8">
                  <c:v>3061444.5000000009</c:v>
                </c:pt>
                <c:pt idx="9">
                  <c:v>2996541.7699999996</c:v>
                </c:pt>
                <c:pt idx="10">
                  <c:v>2990565.93</c:v>
                </c:pt>
                <c:pt idx="11">
                  <c:v>2526315.0099999998</c:v>
                </c:pt>
              </c:numCache>
            </c:numRef>
          </c:val>
          <c:extLst>
            <c:ext xmlns:c16="http://schemas.microsoft.com/office/drawing/2014/chart" uri="{C3380CC4-5D6E-409C-BE32-E72D297353CC}">
              <c16:uniqueId val="{00000005-DA5A-4ED8-AA02-15531D628746}"/>
            </c:ext>
          </c:extLst>
        </c:ser>
        <c:ser>
          <c:idx val="6"/>
          <c:order val="6"/>
          <c:tx>
            <c:strRef>
              <c:f>Ingresos!$W$1</c:f>
              <c:strCache>
                <c:ptCount val="1"/>
                <c:pt idx="0">
                  <c:v>2026</c:v>
                </c:pt>
              </c:strCache>
            </c:strRef>
          </c:tx>
          <c:spPr>
            <a:solidFill>
              <a:schemeClr val="accent6">
                <a:lumMod val="80000"/>
                <a:lumOff val="20000"/>
              </a:schemeClr>
            </a:solidFill>
            <a:ln>
              <a:noFill/>
            </a:ln>
            <a:effectLst/>
          </c:spPr>
          <c:invertIfNegative val="0"/>
          <c:val>
            <c:numRef>
              <c:f>Ingresos!$W$3:$W$14</c:f>
              <c:numCache>
                <c:formatCode>#,##0.00</c:formatCode>
                <c:ptCount val="12"/>
                <c:pt idx="0">
                  <c:v>2290551.81</c:v>
                </c:pt>
                <c:pt idx="1">
                  <c:v>2870848.2600000007</c:v>
                </c:pt>
                <c:pt idx="2">
                  <c:v>2760702.6299999994</c:v>
                </c:pt>
              </c:numCache>
            </c:numRef>
          </c:val>
          <c:extLst>
            <c:ext xmlns:c16="http://schemas.microsoft.com/office/drawing/2014/chart" uri="{C3380CC4-5D6E-409C-BE32-E72D297353CC}">
              <c16:uniqueId val="{00000006-DA5A-4ED8-AA02-15531D628746}"/>
            </c:ext>
          </c:extLst>
        </c:ser>
        <c:dLbls>
          <c:showLegendKey val="0"/>
          <c:showVal val="0"/>
          <c:showCatName val="0"/>
          <c:showSerName val="0"/>
          <c:showPercent val="0"/>
          <c:showBubbleSize val="0"/>
        </c:dLbls>
        <c:gapWidth val="219"/>
        <c:overlap val="-27"/>
        <c:axId val="434766623"/>
        <c:axId val="434765791"/>
      </c:barChart>
      <c:catAx>
        <c:axId val="434766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34765791"/>
        <c:crossesAt val="50"/>
        <c:auto val="1"/>
        <c:lblAlgn val="ctr"/>
        <c:lblOffset val="100"/>
        <c:noMultiLvlLbl val="0"/>
      </c:catAx>
      <c:valAx>
        <c:axId val="434765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Toneladas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crossAx val="434766623"/>
        <c:crosses val="autoZero"/>
        <c:crossBetween val="between"/>
      </c:valAx>
      <c:dTable>
        <c:showHorzBorder val="0"/>
        <c:showVertBorder val="1"/>
        <c:showOutline val="0"/>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1" i="0" baseline="0">
                <a:effectLst/>
              </a:rPr>
              <a:t>Histórico de carga Bogotá - Belencito</a:t>
            </a:r>
            <a:endParaRPr lang="es-C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'Bogotá - Belencito'!$Y$30:$AG$30</c:f>
              <c:strCache>
                <c:ptCount val="9"/>
                <c:pt idx="0">
                  <c:v>Año 2018</c:v>
                </c:pt>
                <c:pt idx="1">
                  <c:v>Año 2019</c:v>
                </c:pt>
                <c:pt idx="2">
                  <c:v>Año 2020</c:v>
                </c:pt>
                <c:pt idx="3">
                  <c:v>Año 2021</c:v>
                </c:pt>
                <c:pt idx="4">
                  <c:v>Año 2022</c:v>
                </c:pt>
                <c:pt idx="5">
                  <c:v>Año 2023</c:v>
                </c:pt>
                <c:pt idx="6">
                  <c:v>Año 2024</c:v>
                </c:pt>
                <c:pt idx="7">
                  <c:v>Año 2025</c:v>
                </c:pt>
                <c:pt idx="8">
                  <c:v>Año 2026</c:v>
                </c:pt>
              </c:strCache>
            </c:strRef>
          </c:tx>
          <c:spPr>
            <a:solidFill>
              <a:schemeClr val="accent2"/>
            </a:solidFill>
            <a:ln>
              <a:noFill/>
            </a:ln>
            <a:effectLst/>
            <a:sp3d/>
          </c:spPr>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0339-494E-A5D9-7D3AB7EE3C9F}"/>
              </c:ext>
            </c:extLst>
          </c:dPt>
          <c:dPt>
            <c:idx val="2"/>
            <c:invertIfNegative val="0"/>
            <c:bubble3D val="0"/>
            <c:spPr>
              <a:solidFill>
                <a:srgbClr val="92D050"/>
              </a:solidFill>
              <a:ln>
                <a:noFill/>
              </a:ln>
              <a:effectLst/>
              <a:sp3d/>
            </c:spPr>
            <c:extLst>
              <c:ext xmlns:c16="http://schemas.microsoft.com/office/drawing/2014/chart" uri="{C3380CC4-5D6E-409C-BE32-E72D297353CC}">
                <c16:uniqueId val="{00000003-0339-494E-A5D9-7D3AB7EE3C9F}"/>
              </c:ext>
            </c:extLst>
          </c:dPt>
          <c:dPt>
            <c:idx val="3"/>
            <c:invertIfNegative val="0"/>
            <c:bubble3D val="0"/>
            <c:spPr>
              <a:solidFill>
                <a:srgbClr val="FFFF00"/>
              </a:solidFill>
              <a:ln>
                <a:noFill/>
              </a:ln>
              <a:effectLst/>
              <a:sp3d/>
            </c:spPr>
            <c:extLst>
              <c:ext xmlns:c16="http://schemas.microsoft.com/office/drawing/2014/chart" uri="{C3380CC4-5D6E-409C-BE32-E72D297353CC}">
                <c16:uniqueId val="{00000005-0339-494E-A5D9-7D3AB7EE3C9F}"/>
              </c:ext>
            </c:extLst>
          </c:dPt>
          <c:dPt>
            <c:idx val="4"/>
            <c:invertIfNegative val="0"/>
            <c:bubble3D val="0"/>
            <c:spPr>
              <a:solidFill>
                <a:srgbClr val="00B0F0"/>
              </a:solidFill>
              <a:ln>
                <a:noFill/>
              </a:ln>
              <a:effectLst/>
              <a:sp3d/>
            </c:spPr>
            <c:extLst>
              <c:ext xmlns:c16="http://schemas.microsoft.com/office/drawing/2014/chart" uri="{C3380CC4-5D6E-409C-BE32-E72D297353CC}">
                <c16:uniqueId val="{00000007-0339-494E-A5D9-7D3AB7EE3C9F}"/>
              </c:ext>
            </c:extLst>
          </c:dPt>
          <c:dPt>
            <c:idx val="6"/>
            <c:invertIfNegative val="0"/>
            <c:bubble3D val="0"/>
            <c:spPr>
              <a:solidFill>
                <a:srgbClr val="92D050"/>
              </a:solidFill>
              <a:ln>
                <a:noFill/>
              </a:ln>
              <a:effectLst/>
              <a:sp3d/>
            </c:spPr>
            <c:extLst>
              <c:ext xmlns:c16="http://schemas.microsoft.com/office/drawing/2014/chart" uri="{C3380CC4-5D6E-409C-BE32-E72D297353CC}">
                <c16:uniqueId val="{00000009-0339-494E-A5D9-7D3AB7EE3C9F}"/>
              </c:ext>
            </c:extLst>
          </c:dPt>
          <c:dPt>
            <c:idx val="7"/>
            <c:invertIfNegative val="0"/>
            <c:bubble3D val="0"/>
            <c:spPr>
              <a:solidFill>
                <a:srgbClr val="FFFF00"/>
              </a:solidFill>
              <a:ln>
                <a:noFill/>
              </a:ln>
              <a:effectLst/>
              <a:sp3d/>
            </c:spPr>
            <c:extLst>
              <c:ext xmlns:c16="http://schemas.microsoft.com/office/drawing/2014/chart" uri="{C3380CC4-5D6E-409C-BE32-E72D297353CC}">
                <c16:uniqueId val="{0000000B-0339-494E-A5D9-7D3AB7EE3C9F}"/>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39-494E-A5D9-7D3AB7EE3C9F}"/>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339-494E-A5D9-7D3AB7EE3C9F}"/>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39-494E-A5D9-7D3AB7EE3C9F}"/>
                </c:ext>
              </c:extLst>
            </c:dLbl>
            <c:dLbl>
              <c:idx val="3"/>
              <c:tx>
                <c:rich>
                  <a:bodyPr/>
                  <a:lstStyle/>
                  <a:p>
                    <a:r>
                      <a:rPr lang="en-US" baseline="0"/>
                      <a:t>29.597</a:t>
                    </a:r>
                    <a:endParaRPr lang="en-US"/>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339-494E-A5D9-7D3AB7EE3C9F}"/>
                </c:ext>
              </c:extLst>
            </c:dLbl>
            <c:dLbl>
              <c:idx val="4"/>
              <c:tx>
                <c:rich>
                  <a:bodyPr/>
                  <a:lstStyle/>
                  <a:p>
                    <a:r>
                      <a:rPr lang="en-US" baseline="0"/>
                      <a:t> 32.048</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339-494E-A5D9-7D3AB7EE3C9F}"/>
                </c:ext>
              </c:extLst>
            </c:dLbl>
            <c:dLbl>
              <c:idx val="5"/>
              <c:tx>
                <c:rich>
                  <a:bodyPr/>
                  <a:lstStyle/>
                  <a:p>
                    <a:fld id="{ED15D289-8289-45CD-9A49-0E6DD368C638}" type="VALUE">
                      <a:rPr lang="en-US" baseline="0"/>
                      <a:pPr/>
                      <a:t>[VALOR]</a:t>
                    </a:fld>
                    <a:endParaRPr lang="es-CO"/>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0339-494E-A5D9-7D3AB7EE3C9F}"/>
                </c:ext>
              </c:extLst>
            </c:dLbl>
            <c:dLbl>
              <c:idx val="6"/>
              <c:tx>
                <c:rich>
                  <a:bodyPr/>
                  <a:lstStyle/>
                  <a:p>
                    <a:r>
                      <a:rPr lang="en-US" baseline="0"/>
                      <a:t> </a:t>
                    </a:r>
                    <a:fld id="{D6AA59E9-E494-4255-B874-A0F08FE930E7}" type="VALUE">
                      <a:rPr lang="en-US" baseline="0"/>
                      <a:pPr/>
                      <a:t>[VALOR]</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339-494E-A5D9-7D3AB7EE3C9F}"/>
                </c:ext>
              </c:extLst>
            </c:dLbl>
            <c:dLbl>
              <c:idx val="7"/>
              <c:tx>
                <c:rich>
                  <a:bodyPr/>
                  <a:lstStyle/>
                  <a:p>
                    <a:fld id="{D07D3F13-47BE-4A3E-8A7A-4E30883527CB}" type="VALUE">
                      <a:rPr lang="en-US" baseline="0"/>
                      <a:pPr/>
                      <a:t>[VALOR]</a:t>
                    </a:fld>
                    <a:endParaRPr lang="es-CO"/>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0339-494E-A5D9-7D3AB7EE3C9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'Bogotá - Belencito'!$Y$30:$AG$30</c:f>
              <c:strCache>
                <c:ptCount val="9"/>
                <c:pt idx="0">
                  <c:v>Año 2018</c:v>
                </c:pt>
                <c:pt idx="1">
                  <c:v>Año 2019</c:v>
                </c:pt>
                <c:pt idx="2">
                  <c:v>Año 2020</c:v>
                </c:pt>
                <c:pt idx="3">
                  <c:v>Año 2021</c:v>
                </c:pt>
                <c:pt idx="4">
                  <c:v>Año 2022</c:v>
                </c:pt>
                <c:pt idx="5">
                  <c:v>Año 2023</c:v>
                </c:pt>
                <c:pt idx="6">
                  <c:v>Año 2024</c:v>
                </c:pt>
                <c:pt idx="7">
                  <c:v>Año 2025</c:v>
                </c:pt>
                <c:pt idx="8">
                  <c:v>Año 2026</c:v>
                </c:pt>
              </c:strCache>
            </c:strRef>
          </c:cat>
          <c:val>
            <c:numRef>
              <c:f>'Bogotá - Belencito'!$Y$36:$AG$36</c:f>
              <c:numCache>
                <c:formatCode>#,##0</c:formatCode>
                <c:ptCount val="9"/>
                <c:pt idx="0">
                  <c:v>20255.759999999998</c:v>
                </c:pt>
                <c:pt idx="1">
                  <c:v>44736.036999999997</c:v>
                </c:pt>
                <c:pt idx="2">
                  <c:v>50887.94</c:v>
                </c:pt>
                <c:pt idx="3">
                  <c:v>29597</c:v>
                </c:pt>
                <c:pt idx="4">
                  <c:v>32048</c:v>
                </c:pt>
                <c:pt idx="5">
                  <c:v>23258.41</c:v>
                </c:pt>
                <c:pt idx="6">
                  <c:v>57834.293999999994</c:v>
                </c:pt>
                <c:pt idx="7">
                  <c:v>61924.92</c:v>
                </c:pt>
                <c:pt idx="8">
                  <c:v>18825.45</c:v>
                </c:pt>
              </c:numCache>
            </c:numRef>
          </c:val>
          <c:extLst>
            <c:ext xmlns:c16="http://schemas.microsoft.com/office/drawing/2014/chart" uri="{C3380CC4-5D6E-409C-BE32-E72D297353CC}">
              <c16:uniqueId val="{0000000E-0339-494E-A5D9-7D3AB7EE3C9F}"/>
            </c:ext>
          </c:extLst>
        </c:ser>
        <c:dLbls>
          <c:showLegendKey val="0"/>
          <c:showVal val="0"/>
          <c:showCatName val="0"/>
          <c:showSerName val="0"/>
          <c:showPercent val="0"/>
          <c:showBubbleSize val="0"/>
        </c:dLbls>
        <c:gapWidth val="0"/>
        <c:gapDepth val="0"/>
        <c:shape val="box"/>
        <c:axId val="209036848"/>
        <c:axId val="209038024"/>
        <c:axId val="0"/>
      </c:bar3DChart>
      <c:catAx>
        <c:axId val="209036848"/>
        <c:scaling>
          <c:orientation val="minMax"/>
        </c:scaling>
        <c:delete val="1"/>
        <c:axPos val="b"/>
        <c:numFmt formatCode="General" sourceLinked="1"/>
        <c:majorTickMark val="none"/>
        <c:minorTickMark val="none"/>
        <c:tickLblPos val="nextTo"/>
        <c:crossAx val="209038024"/>
        <c:crosses val="autoZero"/>
        <c:auto val="1"/>
        <c:lblAlgn val="ctr"/>
        <c:lblOffset val="100"/>
        <c:noMultiLvlLbl val="0"/>
      </c:catAx>
      <c:valAx>
        <c:axId val="209038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Toneladas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9036848"/>
        <c:crosses val="autoZero"/>
        <c:crossBetween val="between"/>
        <c:majorUnit val="10000"/>
      </c:valAx>
      <c:spPr>
        <a:noFill/>
        <a:ln>
          <a:noFill/>
        </a:ln>
        <a:effectLst/>
      </c:spPr>
    </c:plotArea>
    <c:legend>
      <c:legendPos val="r"/>
      <c:layout>
        <c:manualLayout>
          <c:xMode val="edge"/>
          <c:yMode val="edge"/>
          <c:x val="0.86563354733407816"/>
          <c:y val="0.2360757395671732"/>
          <c:w val="0.1232462540960384"/>
          <c:h val="0.524264836073630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9D21-0D96-4F07-A2BD-62C2F266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2050</TotalTime>
  <Pages>35</Pages>
  <Words>10931</Words>
  <Characters>60125</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 Marjorie Rodriguez Suarez</dc:creator>
  <cp:keywords/>
  <dc:description/>
  <cp:lastModifiedBy>Carmen Estela Herrera Guerra</cp:lastModifiedBy>
  <cp:revision>258</cp:revision>
  <cp:lastPrinted>2026-05-20T21:10:00Z</cp:lastPrinted>
  <dcterms:created xsi:type="dcterms:W3CDTF">2026-05-11T22:54:00Z</dcterms:created>
  <dcterms:modified xsi:type="dcterms:W3CDTF">2026-05-20T21:10:00Z</dcterms:modified>
</cp:coreProperties>
</file>