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8C" w:rsidRPr="00AA4A41" w:rsidRDefault="006B5E98">
      <w:pPr>
        <w:pStyle w:val="Ttulo2"/>
        <w:tabs>
          <w:tab w:val="left" w:pos="4253"/>
        </w:tabs>
        <w:rPr>
          <w:sz w:val="20"/>
        </w:rPr>
      </w:pPr>
      <w:bookmarkStart w:id="0" w:name="_GoBack"/>
      <w:bookmarkEnd w:id="0"/>
      <w:proofErr w:type="gramStart"/>
      <w:r w:rsidRPr="00AA4A41">
        <w:rPr>
          <w:rFonts w:ascii="Work Sans" w:hAnsi="Work Sans" w:cs="Futura Bk BT"/>
          <w:sz w:val="20"/>
        </w:rPr>
        <w:t>ESOLUCIÓN  NÚMERO</w:t>
      </w:r>
      <w:proofErr w:type="gramEnd"/>
      <w:r w:rsidRPr="00AA4A41">
        <w:rPr>
          <w:rFonts w:ascii="Work Sans" w:hAnsi="Work Sans" w:cs="Futura Bk BT"/>
          <w:sz w:val="20"/>
        </w:rPr>
        <w:t xml:space="preserve">                                          DE 2019</w:t>
      </w:r>
    </w:p>
    <w:p w:rsidR="000A508C" w:rsidRPr="00AA4A41" w:rsidRDefault="000A508C">
      <w:pPr>
        <w:pStyle w:val="toa"/>
        <w:tabs>
          <w:tab w:val="clear" w:pos="9000"/>
          <w:tab w:val="clear" w:pos="9360"/>
        </w:tabs>
        <w:jc w:val="center"/>
        <w:rPr>
          <w:rFonts w:ascii="Work Sans" w:hAnsi="Work Sans" w:cs="Futura Bk BT"/>
          <w:sz w:val="20"/>
          <w:lang w:val="es-ES"/>
        </w:rPr>
      </w:pPr>
    </w:p>
    <w:p w:rsidR="000A508C" w:rsidRPr="00AA4A41" w:rsidRDefault="000A508C">
      <w:pPr>
        <w:pStyle w:val="toa"/>
        <w:tabs>
          <w:tab w:val="clear" w:pos="9000"/>
          <w:tab w:val="clear" w:pos="9360"/>
        </w:tabs>
        <w:jc w:val="center"/>
        <w:rPr>
          <w:rFonts w:ascii="Work Sans" w:hAnsi="Work Sans" w:cs="Futura Bk BT"/>
          <w:sz w:val="20"/>
          <w:lang w:val="es-ES"/>
        </w:rPr>
      </w:pPr>
    </w:p>
    <w:p w:rsidR="000A508C" w:rsidRPr="00AA4A41" w:rsidRDefault="006B5E98">
      <w:pPr>
        <w:pStyle w:val="toa"/>
        <w:tabs>
          <w:tab w:val="clear" w:pos="9000"/>
          <w:tab w:val="clear" w:pos="9360"/>
        </w:tabs>
        <w:jc w:val="center"/>
        <w:rPr>
          <w:sz w:val="20"/>
          <w:lang w:val="es-CO"/>
        </w:rPr>
      </w:pPr>
      <w:r w:rsidRPr="00AA4A41">
        <w:rPr>
          <w:rFonts w:ascii="Work Sans" w:hAnsi="Work Sans" w:cs="Futura Bk BT"/>
          <w:b/>
          <w:sz w:val="20"/>
          <w:lang w:val="es-ES"/>
        </w:rPr>
        <w:t>(                                             )</w:t>
      </w:r>
    </w:p>
    <w:p w:rsidR="000A508C" w:rsidRPr="00AA4A41" w:rsidRDefault="000A508C">
      <w:pPr>
        <w:pStyle w:val="Standard"/>
        <w:rPr>
          <w:rFonts w:ascii="Work Sans" w:hAnsi="Work Sans" w:cs="Futura Bk BT"/>
          <w:sz w:val="20"/>
        </w:rPr>
      </w:pPr>
    </w:p>
    <w:p w:rsidR="000A508C" w:rsidRPr="00AA4A41" w:rsidRDefault="000A508C">
      <w:pPr>
        <w:pStyle w:val="Standard"/>
        <w:rPr>
          <w:rFonts w:ascii="Work Sans" w:hAnsi="Work Sans" w:cs="Futura Bk BT"/>
          <w:sz w:val="20"/>
        </w:rPr>
      </w:pPr>
    </w:p>
    <w:p w:rsidR="00BA2679" w:rsidRPr="00BA2679" w:rsidRDefault="006B5E98" w:rsidP="00BA2679">
      <w:pPr>
        <w:tabs>
          <w:tab w:val="center" w:pos="4680"/>
        </w:tabs>
        <w:ind w:left="142" w:right="-14"/>
        <w:jc w:val="center"/>
        <w:rPr>
          <w:rFonts w:ascii="Work Sans" w:hAnsi="Work Sans" w:cs="Arial"/>
          <w:sz w:val="20"/>
          <w:szCs w:val="22"/>
          <w:lang w:val="es-CO"/>
        </w:rPr>
      </w:pPr>
      <w:r w:rsidRPr="00BA2679">
        <w:rPr>
          <w:rFonts w:ascii="Work Sans" w:hAnsi="Work Sans" w:cs="Arial"/>
          <w:sz w:val="20"/>
          <w:szCs w:val="20"/>
          <w:lang w:val="es-CO"/>
        </w:rPr>
        <w:t>“</w:t>
      </w:r>
      <w:r w:rsidR="00BA2679" w:rsidRPr="00BA2679">
        <w:rPr>
          <w:rFonts w:ascii="Work Sans" w:hAnsi="Work Sans" w:cs="Arial"/>
          <w:sz w:val="20"/>
          <w:szCs w:val="22"/>
          <w:lang w:val="es-CO"/>
        </w:rPr>
        <w:t xml:space="preserve">Por la cual se deja sin efectos </w:t>
      </w:r>
      <w:r w:rsidR="00BA2679" w:rsidRPr="00BA2679">
        <w:rPr>
          <w:rFonts w:ascii="Work Sans" w:hAnsi="Work Sans" w:cs="Times New Roman"/>
          <w:sz w:val="20"/>
          <w:szCs w:val="20"/>
          <w:lang w:eastAsia="es-ES"/>
        </w:rPr>
        <w:t>la reubicación de la estación de peaje den</w:t>
      </w:r>
      <w:r w:rsidR="00B8613B">
        <w:rPr>
          <w:rFonts w:ascii="Work Sans" w:hAnsi="Work Sans" w:cs="Times New Roman"/>
          <w:sz w:val="20"/>
          <w:szCs w:val="20"/>
          <w:lang w:eastAsia="es-ES"/>
        </w:rPr>
        <w:t>ominada El Patá, de que trata</w:t>
      </w:r>
      <w:r w:rsidR="00BA2679" w:rsidRPr="00BA2679">
        <w:rPr>
          <w:rFonts w:ascii="Work Sans" w:hAnsi="Work Sans" w:cs="Times New Roman"/>
          <w:sz w:val="20"/>
          <w:szCs w:val="20"/>
          <w:lang w:eastAsia="es-ES"/>
        </w:rPr>
        <w:t xml:space="preserve"> el artículo 1° de la </w:t>
      </w:r>
      <w:proofErr w:type="gramStart"/>
      <w:r w:rsidR="00BA2679" w:rsidRPr="00BA2679">
        <w:rPr>
          <w:rFonts w:ascii="Work Sans" w:hAnsi="Work Sans" w:cs="Times New Roman"/>
          <w:sz w:val="20"/>
          <w:szCs w:val="20"/>
          <w:lang w:eastAsia="es-ES"/>
        </w:rPr>
        <w:t>Resolución  2109</w:t>
      </w:r>
      <w:proofErr w:type="gramEnd"/>
      <w:r w:rsidR="00BA2679" w:rsidRPr="00BA2679">
        <w:rPr>
          <w:rFonts w:ascii="Work Sans" w:hAnsi="Work Sans" w:cs="Times New Roman"/>
          <w:sz w:val="20"/>
          <w:szCs w:val="20"/>
          <w:lang w:eastAsia="es-ES"/>
        </w:rPr>
        <w:t xml:space="preserve"> de 2015 modificada por la Resolución 1789 de 2017 del Ministerio de Transporte</w:t>
      </w:r>
      <w:r w:rsidR="00BA2679" w:rsidRPr="00BA2679">
        <w:rPr>
          <w:rFonts w:ascii="Work Sans" w:hAnsi="Work Sans" w:cs="Arial"/>
          <w:sz w:val="20"/>
          <w:szCs w:val="22"/>
          <w:lang w:val="es-CO"/>
        </w:rPr>
        <w:t>”</w:t>
      </w:r>
    </w:p>
    <w:p w:rsidR="000A508C" w:rsidRPr="00AA4A41" w:rsidRDefault="000A508C">
      <w:pPr>
        <w:tabs>
          <w:tab w:val="center" w:pos="4680"/>
        </w:tabs>
        <w:ind w:left="142" w:right="-14"/>
        <w:jc w:val="center"/>
        <w:rPr>
          <w:rFonts w:ascii="Work Sans" w:hAnsi="Work Sans" w:cs="Arial"/>
          <w:i/>
          <w:sz w:val="20"/>
          <w:szCs w:val="20"/>
          <w:lang w:val="es-CO"/>
        </w:rPr>
      </w:pPr>
    </w:p>
    <w:p w:rsidR="000A508C" w:rsidRPr="00AA4A41" w:rsidRDefault="006B5E98">
      <w:pPr>
        <w:pStyle w:val="Standard"/>
        <w:autoSpaceDE w:val="0"/>
        <w:jc w:val="center"/>
        <w:rPr>
          <w:sz w:val="20"/>
        </w:rPr>
      </w:pPr>
      <w:r w:rsidRPr="00AA4A41">
        <w:rPr>
          <w:rFonts w:ascii="Work Sans" w:hAnsi="Work Sans" w:cs="Arial"/>
          <w:b/>
          <w:bCs/>
          <w:sz w:val="20"/>
        </w:rPr>
        <w:t xml:space="preserve">LA </w:t>
      </w:r>
      <w:r w:rsidRPr="00AA4A41">
        <w:rPr>
          <w:rFonts w:ascii="Work Sans" w:hAnsi="Work Sans"/>
          <w:b/>
          <w:bCs/>
          <w:sz w:val="20"/>
        </w:rPr>
        <w:t>MINISTRA</w:t>
      </w:r>
      <w:r w:rsidRPr="00AA4A41">
        <w:rPr>
          <w:rFonts w:ascii="Work Sans" w:hAnsi="Work Sans" w:cs="Futura Bk BT"/>
          <w:b/>
          <w:bCs/>
          <w:sz w:val="20"/>
        </w:rPr>
        <w:t xml:space="preserve"> </w:t>
      </w:r>
      <w:r w:rsidRPr="00AA4A41">
        <w:rPr>
          <w:rFonts w:ascii="Work Sans" w:hAnsi="Work Sans"/>
          <w:b/>
          <w:bCs/>
          <w:sz w:val="20"/>
        </w:rPr>
        <w:t>DE</w:t>
      </w:r>
      <w:r w:rsidRPr="00AA4A41">
        <w:rPr>
          <w:rFonts w:ascii="Work Sans" w:hAnsi="Work Sans" w:cs="Futura Bk BT"/>
          <w:b/>
          <w:bCs/>
          <w:sz w:val="20"/>
        </w:rPr>
        <w:t xml:space="preserve"> </w:t>
      </w:r>
      <w:r w:rsidRPr="00AA4A41">
        <w:rPr>
          <w:rFonts w:ascii="Work Sans" w:hAnsi="Work Sans"/>
          <w:b/>
          <w:bCs/>
          <w:sz w:val="20"/>
        </w:rPr>
        <w:t>TRANSPORTE</w:t>
      </w:r>
    </w:p>
    <w:p w:rsidR="000A508C" w:rsidRPr="00AA4A41" w:rsidRDefault="000A508C">
      <w:pPr>
        <w:pStyle w:val="Standard"/>
        <w:autoSpaceDE w:val="0"/>
        <w:jc w:val="center"/>
        <w:rPr>
          <w:rFonts w:ascii="Work Sans" w:hAnsi="Work Sans" w:cs="Arial"/>
          <w:b/>
          <w:bCs/>
          <w:sz w:val="20"/>
        </w:rPr>
      </w:pPr>
    </w:p>
    <w:p w:rsidR="000A508C" w:rsidRPr="00AA4A41" w:rsidRDefault="006B5E98">
      <w:pPr>
        <w:tabs>
          <w:tab w:val="center" w:pos="4680"/>
        </w:tabs>
        <w:ind w:left="142" w:right="-14"/>
        <w:jc w:val="center"/>
        <w:rPr>
          <w:rFonts w:ascii="Work Sans" w:hAnsi="Work Sans" w:cs="Arial"/>
          <w:sz w:val="20"/>
          <w:szCs w:val="20"/>
          <w:lang w:val="es-CO"/>
        </w:rPr>
      </w:pPr>
      <w:r w:rsidRPr="00AA4A41">
        <w:rPr>
          <w:rFonts w:ascii="Work Sans" w:hAnsi="Work Sans" w:cs="Arial"/>
          <w:sz w:val="20"/>
          <w:szCs w:val="20"/>
          <w:lang w:val="es-CO"/>
        </w:rPr>
        <w:t>En ejercicio de sus facultades legales, en especial las conferidas en el artículo 91 del Código de Procedimiento Administrativo y de lo Contencioso Administrativo, y</w:t>
      </w:r>
    </w:p>
    <w:p w:rsidR="000A508C" w:rsidRPr="00AA4A41" w:rsidRDefault="000A508C">
      <w:pPr>
        <w:jc w:val="center"/>
        <w:rPr>
          <w:rFonts w:ascii="Work Sans" w:hAnsi="Work Sans" w:cs="Times New Roman"/>
          <w:b/>
          <w:sz w:val="20"/>
          <w:szCs w:val="20"/>
          <w:lang w:eastAsia="es-ES"/>
        </w:rPr>
      </w:pPr>
    </w:p>
    <w:p w:rsidR="000A508C" w:rsidRPr="00AA4A41" w:rsidRDefault="006B5E98">
      <w:pPr>
        <w:jc w:val="center"/>
        <w:rPr>
          <w:rFonts w:ascii="Work Sans" w:hAnsi="Work Sans" w:cs="Times New Roman"/>
          <w:b/>
          <w:sz w:val="20"/>
          <w:szCs w:val="20"/>
          <w:lang w:eastAsia="es-ES"/>
        </w:rPr>
      </w:pPr>
      <w:r w:rsidRPr="00AA4A41">
        <w:rPr>
          <w:rFonts w:ascii="Work Sans" w:hAnsi="Work Sans" w:cs="Times New Roman"/>
          <w:b/>
          <w:sz w:val="20"/>
          <w:szCs w:val="20"/>
          <w:lang w:eastAsia="es-ES"/>
        </w:rPr>
        <w:t>CONSIDERANDO</w:t>
      </w:r>
    </w:p>
    <w:p w:rsidR="000A508C" w:rsidRPr="00AA4A41" w:rsidRDefault="000A508C">
      <w:pPr>
        <w:jc w:val="center"/>
        <w:rPr>
          <w:rFonts w:ascii="Work Sans" w:hAnsi="Work Sans" w:cs="Times New Roman"/>
          <w:b/>
          <w:sz w:val="20"/>
          <w:szCs w:val="20"/>
          <w:lang w:eastAsia="es-ES"/>
        </w:rPr>
      </w:pPr>
    </w:p>
    <w:p w:rsidR="000A508C" w:rsidRPr="00AA4A41" w:rsidRDefault="006B5E98">
      <w:pPr>
        <w:widowControl/>
        <w:jc w:val="both"/>
        <w:textAlignment w:val="auto"/>
        <w:rPr>
          <w:sz w:val="20"/>
          <w:szCs w:val="20"/>
        </w:rPr>
      </w:pPr>
      <w:r w:rsidRPr="00AA4A41">
        <w:rPr>
          <w:rFonts w:ascii="Work Sans" w:hAnsi="Work Sans" w:cs="Times New Roman"/>
          <w:kern w:val="0"/>
          <w:sz w:val="20"/>
          <w:szCs w:val="20"/>
          <w:lang w:val="es" w:eastAsia="es-ES" w:bidi="ar-SA"/>
        </w:rPr>
        <w:t>Que los numerales 1 y 5 del artículo 4 del Decreto 4165 de 2011, establecieron que le corresponde a la Agencia Nacional de Infraestructura, identificar, evaluar la viabilidad, y proponer iniciativas de concesión u otras formas de Asociación Público Privada para el desarrollo de la infraestructura de transporte y de los servicios conexos y relacionados,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rsidR="000A508C" w:rsidRPr="00AA4A41" w:rsidRDefault="000A508C">
      <w:pPr>
        <w:widowControl/>
        <w:jc w:val="both"/>
        <w:textAlignment w:val="auto"/>
        <w:rPr>
          <w:rFonts w:ascii="Work Sans" w:hAnsi="Work Sans" w:cs="Times New Roman"/>
          <w:kern w:val="0"/>
          <w:sz w:val="20"/>
          <w:szCs w:val="20"/>
          <w:lang w:val="es" w:eastAsia="es-ES" w:bidi="ar-SA"/>
        </w:rPr>
      </w:pPr>
    </w:p>
    <w:p w:rsidR="000A508C" w:rsidRPr="00AA4A41" w:rsidRDefault="006B5E98">
      <w:pPr>
        <w:jc w:val="both"/>
        <w:rPr>
          <w:sz w:val="20"/>
          <w:szCs w:val="20"/>
        </w:rPr>
      </w:pPr>
      <w:r w:rsidRPr="00AA4A41">
        <w:rPr>
          <w:rFonts w:ascii="Work Sans" w:hAnsi="Work Sans" w:cs="Times New Roman"/>
          <w:sz w:val="20"/>
          <w:szCs w:val="20"/>
          <w:lang w:eastAsia="es-ES"/>
        </w:rPr>
        <w:t xml:space="preserve">Que mediante Resolución No. 007786 del 13 de septiembre de 1985 </w:t>
      </w:r>
      <w:r w:rsidRPr="00AA4A41">
        <w:rPr>
          <w:rFonts w:ascii="Work Sans" w:hAnsi="Work Sans" w:cs="Times New Roman"/>
          <w:i/>
          <w:sz w:val="20"/>
          <w:szCs w:val="20"/>
          <w:lang w:eastAsia="es-ES"/>
        </w:rPr>
        <w:t>“Por medio de la cual se establecen unas tarifas de peaje”</w:t>
      </w:r>
      <w:r w:rsidRPr="00AA4A41">
        <w:rPr>
          <w:rFonts w:ascii="Work Sans" w:hAnsi="Work Sans" w:cs="Times New Roman"/>
          <w:sz w:val="20"/>
          <w:szCs w:val="20"/>
          <w:lang w:eastAsia="es-ES"/>
        </w:rPr>
        <w:t xml:space="preserve"> del Ministerio de Obras Públicas y Transporte, establece el cobro de peaje en la caseta ubicada en </w:t>
      </w:r>
      <w:proofErr w:type="gramStart"/>
      <w:r w:rsidRPr="00AA4A41">
        <w:rPr>
          <w:rFonts w:ascii="Work Sans" w:hAnsi="Work Sans" w:cs="Times New Roman"/>
          <w:sz w:val="20"/>
          <w:szCs w:val="20"/>
          <w:lang w:eastAsia="es-ES"/>
        </w:rPr>
        <w:t>el  sector</w:t>
      </w:r>
      <w:proofErr w:type="gramEnd"/>
      <w:r w:rsidRPr="00AA4A41">
        <w:rPr>
          <w:rFonts w:ascii="Work Sans" w:hAnsi="Work Sans" w:cs="Times New Roman"/>
          <w:sz w:val="20"/>
          <w:szCs w:val="20"/>
          <w:lang w:eastAsia="es-ES"/>
        </w:rPr>
        <w:t xml:space="preserve"> Neiva - Natagaima del tramo 4506 Neiva- Castilla de la carretera  Neiva - Castilla- Espinal. </w:t>
      </w:r>
    </w:p>
    <w:p w:rsidR="000A508C" w:rsidRPr="00AA4A41" w:rsidRDefault="000A508C">
      <w:pPr>
        <w:widowControl/>
        <w:jc w:val="both"/>
        <w:textAlignment w:val="auto"/>
        <w:rPr>
          <w:rFonts w:ascii="Work Sans" w:hAnsi="Work Sans" w:cs="Times New Roman"/>
          <w:kern w:val="0"/>
          <w:sz w:val="20"/>
          <w:szCs w:val="20"/>
          <w:lang w:val="es" w:eastAsia="es-ES" w:bidi="ar-SA"/>
        </w:rPr>
      </w:pPr>
    </w:p>
    <w:p w:rsidR="000A508C" w:rsidRPr="00AA4A41" w:rsidRDefault="006B5E98">
      <w:pPr>
        <w:widowControl/>
        <w:jc w:val="both"/>
        <w:textAlignment w:val="auto"/>
        <w:rPr>
          <w:rFonts w:ascii="Work Sans" w:hAnsi="Work Sans" w:cs="Times New Roman"/>
          <w:i/>
          <w:kern w:val="0"/>
          <w:sz w:val="20"/>
          <w:szCs w:val="20"/>
          <w:lang w:val="es" w:eastAsia="es-ES" w:bidi="ar-SA"/>
        </w:rPr>
      </w:pPr>
      <w:r w:rsidRPr="00AA4A41">
        <w:rPr>
          <w:rFonts w:ascii="Work Sans" w:hAnsi="Work Sans" w:cs="Times New Roman"/>
          <w:kern w:val="0"/>
          <w:sz w:val="20"/>
          <w:szCs w:val="20"/>
          <w:lang w:val="es" w:eastAsia="es-ES" w:bidi="ar-SA"/>
        </w:rPr>
        <w:t>Que la Resolución No. 002334 del 2 de agosto de 1994 “</w:t>
      </w:r>
      <w:r w:rsidRPr="00AA4A41">
        <w:rPr>
          <w:rFonts w:ascii="Work Sans" w:hAnsi="Work Sans" w:cs="Times New Roman"/>
          <w:i/>
          <w:kern w:val="0"/>
          <w:sz w:val="20"/>
          <w:szCs w:val="20"/>
          <w:lang w:val="es" w:eastAsia="es-ES" w:bidi="ar-SA"/>
        </w:rPr>
        <w:t>Por la cual se fijan tarifas de peaje y procedimientos de ajuste para la concesión del proyecto vial Neiva – Espinal, en los departamentos del Tolima</w:t>
      </w:r>
      <w:r w:rsidRPr="00AA4A41">
        <w:rPr>
          <w:rFonts w:ascii="Work Sans" w:hAnsi="Work Sans" w:cs="Times New Roman"/>
          <w:kern w:val="0"/>
          <w:sz w:val="20"/>
          <w:szCs w:val="20"/>
          <w:lang w:val="es" w:eastAsia="es-ES" w:bidi="ar-SA"/>
        </w:rPr>
        <w:t xml:space="preserve">” del Ministerio de Obras Públicas y Transporte, se establece entre otras, las tarifas durante la etapa de construcción, operación y reajuste en el trayecto Aipe - Natagaima, en la Caseta </w:t>
      </w:r>
      <w:r w:rsidRPr="00AA4A41">
        <w:rPr>
          <w:rFonts w:ascii="Work Sans" w:hAnsi="Work Sans" w:cs="Times New Roman"/>
          <w:i/>
          <w:kern w:val="0"/>
          <w:sz w:val="20"/>
          <w:szCs w:val="20"/>
          <w:lang w:val="es" w:eastAsia="es-ES" w:bidi="ar-SA"/>
        </w:rPr>
        <w:t>“El Pata”.</w:t>
      </w:r>
    </w:p>
    <w:p w:rsidR="00DB0E08" w:rsidRPr="00AA4A41" w:rsidRDefault="00DB0E08">
      <w:pPr>
        <w:widowControl/>
        <w:jc w:val="both"/>
        <w:textAlignment w:val="auto"/>
        <w:rPr>
          <w:rFonts w:ascii="Work Sans" w:hAnsi="Work Sans" w:cs="Times New Roman"/>
          <w:i/>
          <w:kern w:val="0"/>
          <w:sz w:val="20"/>
          <w:szCs w:val="20"/>
          <w:lang w:val="es" w:eastAsia="es-ES" w:bidi="ar-SA"/>
        </w:rPr>
      </w:pPr>
    </w:p>
    <w:p w:rsidR="000A508C" w:rsidRPr="00AA4A41" w:rsidRDefault="006B5E98">
      <w:pPr>
        <w:jc w:val="both"/>
        <w:rPr>
          <w:rFonts w:ascii="Work Sans" w:hAnsi="Work Sans" w:cs="Times New Roman"/>
          <w:sz w:val="20"/>
          <w:szCs w:val="20"/>
        </w:rPr>
      </w:pPr>
      <w:r w:rsidRPr="00AA4A41">
        <w:rPr>
          <w:rFonts w:ascii="Work Sans" w:hAnsi="Work Sans" w:cs="Times New Roman"/>
          <w:sz w:val="20"/>
          <w:szCs w:val="20"/>
        </w:rPr>
        <w:t xml:space="preserve">Que el Ministerio de Transporte </w:t>
      </w:r>
      <w:r w:rsidR="0048027D" w:rsidRPr="00AA4A41">
        <w:rPr>
          <w:rFonts w:ascii="Work Sans" w:hAnsi="Work Sans" w:cs="Times New Roman"/>
          <w:sz w:val="20"/>
          <w:szCs w:val="20"/>
        </w:rPr>
        <w:t>mediante la Resolución No. 0</w:t>
      </w:r>
      <w:r w:rsidR="0048027D" w:rsidRPr="00AA4A41">
        <w:rPr>
          <w:rFonts w:ascii="Work Sans" w:hAnsi="Work Sans" w:cs="Arial"/>
          <w:sz w:val="20"/>
          <w:szCs w:val="20"/>
        </w:rPr>
        <w:t xml:space="preserve">002109 </w:t>
      </w:r>
      <w:r w:rsidR="0048027D" w:rsidRPr="00AA4A41">
        <w:rPr>
          <w:rFonts w:ascii="Work Sans" w:hAnsi="Work Sans" w:cs="Times New Roman"/>
          <w:sz w:val="20"/>
          <w:szCs w:val="20"/>
        </w:rPr>
        <w:t>de 2015</w:t>
      </w:r>
      <w:r w:rsidRPr="00AA4A41">
        <w:rPr>
          <w:rFonts w:ascii="Work Sans" w:hAnsi="Work Sans" w:cs="Times New Roman"/>
          <w:sz w:val="20"/>
          <w:szCs w:val="20"/>
        </w:rPr>
        <w:t xml:space="preserve">, </w:t>
      </w:r>
      <w:r w:rsidR="0048027D" w:rsidRPr="00AA4A41">
        <w:rPr>
          <w:rFonts w:ascii="Work Sans" w:hAnsi="Work Sans" w:cs="Times New Roman"/>
          <w:sz w:val="20"/>
          <w:szCs w:val="20"/>
        </w:rPr>
        <w:t xml:space="preserve">reubicó la estación de peaje denominada el Pata, así: </w:t>
      </w:r>
    </w:p>
    <w:p w:rsidR="0048027D" w:rsidRPr="00AA4A41" w:rsidRDefault="0048027D">
      <w:pPr>
        <w:jc w:val="both"/>
        <w:rPr>
          <w:rFonts w:ascii="Work Sans" w:hAnsi="Work Sans" w:cs="Times New Roman"/>
          <w:sz w:val="20"/>
          <w:szCs w:val="20"/>
        </w:rPr>
      </w:pPr>
    </w:p>
    <w:p w:rsidR="000A508C" w:rsidRPr="00AA4A41" w:rsidRDefault="006B5E98">
      <w:pPr>
        <w:ind w:left="567" w:right="566"/>
        <w:jc w:val="both"/>
        <w:rPr>
          <w:sz w:val="20"/>
          <w:szCs w:val="20"/>
        </w:rPr>
      </w:pPr>
      <w:r w:rsidRPr="00AA4A41">
        <w:rPr>
          <w:rFonts w:ascii="Work Sans" w:hAnsi="Work Sans" w:cs="Times New Roman"/>
          <w:i/>
          <w:sz w:val="20"/>
          <w:szCs w:val="20"/>
        </w:rPr>
        <w:t>“Artículo 1°. Reubicar la estación de peaje denominada el Patá del PR53+400 al PR58+000, de conformidad con las condiciones establecidas en el contrato parte general especial del contrato que se derive del proceso de la iniciativa privada.”</w:t>
      </w:r>
    </w:p>
    <w:p w:rsidR="000A508C" w:rsidRPr="00AA4A41" w:rsidRDefault="000A508C">
      <w:pPr>
        <w:widowControl/>
        <w:jc w:val="both"/>
        <w:textAlignment w:val="auto"/>
        <w:rPr>
          <w:rFonts w:ascii="Work Sans" w:hAnsi="Work Sans" w:cs="Times New Roman"/>
          <w:kern w:val="0"/>
          <w:sz w:val="20"/>
          <w:szCs w:val="20"/>
          <w:lang w:val="es" w:eastAsia="es-ES" w:bidi="ar-SA"/>
        </w:rPr>
      </w:pPr>
    </w:p>
    <w:p w:rsidR="000A508C" w:rsidRPr="00AA4A41" w:rsidRDefault="006B5E98">
      <w:pPr>
        <w:widowControl/>
        <w:jc w:val="both"/>
        <w:textAlignment w:val="auto"/>
        <w:rPr>
          <w:rFonts w:ascii="Work Sans" w:hAnsi="Work Sans" w:cs="Times New Roman"/>
          <w:kern w:val="0"/>
          <w:sz w:val="20"/>
          <w:szCs w:val="20"/>
          <w:lang w:val="es" w:eastAsia="es-ES" w:bidi="ar-SA"/>
        </w:rPr>
      </w:pPr>
      <w:r w:rsidRPr="00AA4A41">
        <w:rPr>
          <w:rFonts w:ascii="Work Sans" w:hAnsi="Work Sans" w:cs="Times New Roman"/>
          <w:kern w:val="0"/>
          <w:sz w:val="20"/>
          <w:szCs w:val="20"/>
          <w:lang w:val="es" w:eastAsia="es-ES" w:bidi="ar-SA"/>
        </w:rPr>
        <w:t xml:space="preserve">Que la referida reubicación se basó en el estudio de estructuración realizado por el originador del proyecto propuesta de sociedad futura AUTOVÍA NEIVA – GIRARDOT hoy SOCIEDAD CONCESIONARIA AUTOVIA NEIVA GIRARDOT S.A.S, quien informó a la Agencia Nacional de Infraestructura en los numerales 4.3 y 5.8 frente al peaje el Patá </w:t>
      </w:r>
      <w:r w:rsidRPr="00AA4A41">
        <w:rPr>
          <w:rFonts w:ascii="Work Sans" w:hAnsi="Work Sans" w:cs="Times New Roman"/>
          <w:kern w:val="0"/>
          <w:sz w:val="20"/>
          <w:szCs w:val="20"/>
          <w:lang w:val="es" w:eastAsia="es-ES" w:bidi="ar-SA"/>
        </w:rPr>
        <w:lastRenderedPageBreak/>
        <w:t>(Aipe – Natagaima) que el peaje a trasladar se ubicará el municipio de Natagaima, el cual se localizará sobre la ruta 4506 en el PR58+000 aproximadamente.</w:t>
      </w:r>
    </w:p>
    <w:p w:rsidR="000A508C" w:rsidRPr="00AA4A41" w:rsidRDefault="000A508C">
      <w:pPr>
        <w:widowControl/>
        <w:jc w:val="both"/>
        <w:textAlignment w:val="auto"/>
        <w:rPr>
          <w:rFonts w:ascii="Work Sans" w:hAnsi="Work Sans" w:cs="Times New Roman"/>
          <w:kern w:val="0"/>
          <w:sz w:val="20"/>
          <w:szCs w:val="20"/>
          <w:lang w:val="es" w:eastAsia="es-ES" w:bidi="ar-SA"/>
        </w:rPr>
      </w:pPr>
    </w:p>
    <w:p w:rsidR="000A508C" w:rsidRPr="00AA4A41" w:rsidRDefault="006B5E98">
      <w:pPr>
        <w:spacing w:after="280"/>
        <w:jc w:val="both"/>
        <w:rPr>
          <w:rFonts w:ascii="Work Sans" w:hAnsi="Work Sans"/>
          <w:sz w:val="20"/>
          <w:szCs w:val="20"/>
        </w:rPr>
      </w:pPr>
      <w:r w:rsidRPr="00AA4A41">
        <w:rPr>
          <w:rFonts w:ascii="Work Sans" w:hAnsi="Work Sans"/>
          <w:sz w:val="20"/>
          <w:szCs w:val="20"/>
        </w:rPr>
        <w:t xml:space="preserve">Que mediante oficios radicados en </w:t>
      </w:r>
      <w:proofErr w:type="gramStart"/>
      <w:r w:rsidRPr="00AA4A41">
        <w:rPr>
          <w:rFonts w:ascii="Work Sans" w:hAnsi="Work Sans"/>
          <w:sz w:val="20"/>
          <w:szCs w:val="20"/>
        </w:rPr>
        <w:t>el  Ministerio</w:t>
      </w:r>
      <w:proofErr w:type="gramEnd"/>
      <w:r w:rsidRPr="00AA4A41">
        <w:rPr>
          <w:rFonts w:ascii="Work Sans" w:hAnsi="Work Sans"/>
          <w:sz w:val="20"/>
          <w:szCs w:val="20"/>
        </w:rPr>
        <w:t xml:space="preserve"> de Transporte bajo los números 201832100538232 del 04 de septiembre de 2018 y 20193210083012 del 08 de febrero de 2019, la Agencia Nacional de Infraestructura solicitó la modificación de la Resolución No. 0002109 de 2015 del Ministerio de Transporte, con fundamento en: </w:t>
      </w:r>
    </w:p>
    <w:p w:rsidR="000A508C" w:rsidRPr="00AA4A41" w:rsidRDefault="006B5E98">
      <w:pPr>
        <w:spacing w:after="280"/>
        <w:ind w:left="567" w:right="566"/>
        <w:jc w:val="both"/>
        <w:rPr>
          <w:rFonts w:ascii="Work Sans" w:hAnsi="Work Sans"/>
          <w:i/>
          <w:sz w:val="20"/>
          <w:szCs w:val="20"/>
        </w:rPr>
      </w:pPr>
      <w:r w:rsidRPr="00AA4A41">
        <w:rPr>
          <w:rFonts w:ascii="Work Sans" w:hAnsi="Work Sans"/>
          <w:i/>
          <w:sz w:val="20"/>
          <w:szCs w:val="20"/>
        </w:rPr>
        <w:t>“(…) Sobre el particular, resulta sumamente importante destacar que la reubicación del peaje en mención ordenada mediante la Resolución 2109 de 2015 no se ha materializado. Lo anterior, no solo por los argumentos expuestos en la comunicación No. 2018-134-017-550-3 y que versen sobre la conveniencia de no mover la estación de su ubicación actual sino también porque la entrega de las obras de la Unidad funcional No. 3 donde actualmente se encuentra ubicado el peaje y donde quedaría, se encuentran previstas en el contrato, para ser entregadas 37 meses después del inicio de la fase de construcción de la etapa pre operativa, y considerando que esta inició el 20 de septiembre de 20126 dicho plazo se encuentra vigente.</w:t>
      </w:r>
    </w:p>
    <w:p w:rsidR="000A508C" w:rsidRPr="00AA4A41" w:rsidRDefault="006B5E98">
      <w:pPr>
        <w:spacing w:after="280"/>
        <w:ind w:left="567" w:right="566"/>
        <w:jc w:val="both"/>
        <w:rPr>
          <w:rFonts w:ascii="Work Sans" w:hAnsi="Work Sans"/>
          <w:i/>
          <w:sz w:val="20"/>
          <w:szCs w:val="20"/>
        </w:rPr>
      </w:pPr>
      <w:r w:rsidRPr="00AA4A41">
        <w:rPr>
          <w:rFonts w:ascii="Work Sans" w:hAnsi="Work Sans"/>
          <w:i/>
          <w:sz w:val="20"/>
          <w:szCs w:val="20"/>
        </w:rPr>
        <w:t>Que al no haber sido traslado el peaje el Patá su ubicación continúa en el PR 53+400.</w:t>
      </w:r>
    </w:p>
    <w:p w:rsidR="000A508C" w:rsidRPr="00AA4A41" w:rsidRDefault="006B5E98">
      <w:pPr>
        <w:spacing w:after="280"/>
        <w:ind w:left="567" w:right="566"/>
        <w:jc w:val="both"/>
        <w:rPr>
          <w:rFonts w:ascii="Work Sans" w:hAnsi="Work Sans"/>
          <w:i/>
          <w:sz w:val="20"/>
          <w:szCs w:val="20"/>
        </w:rPr>
      </w:pPr>
      <w:r w:rsidRPr="00AA4A41">
        <w:rPr>
          <w:rFonts w:ascii="Work Sans" w:hAnsi="Work Sans"/>
          <w:i/>
          <w:sz w:val="20"/>
          <w:szCs w:val="20"/>
        </w:rPr>
        <w:t>(…)</w:t>
      </w:r>
    </w:p>
    <w:p w:rsidR="000A508C" w:rsidRPr="00AA4A41" w:rsidRDefault="006B5E98">
      <w:pPr>
        <w:spacing w:after="280"/>
        <w:ind w:left="567" w:right="566"/>
        <w:jc w:val="both"/>
        <w:rPr>
          <w:sz w:val="20"/>
          <w:szCs w:val="20"/>
        </w:rPr>
      </w:pPr>
      <w:r w:rsidRPr="00AA4A41">
        <w:rPr>
          <w:rFonts w:ascii="Work Sans" w:hAnsi="Work Sans"/>
          <w:i/>
          <w:sz w:val="20"/>
          <w:szCs w:val="20"/>
        </w:rPr>
        <w:t>2. Por los argumentos expuestos en nuestra comunicación la cual fue radicada ante el Ministerio de Transporte bajo el No. 2018-134-017-550-3 y especialmente, en atención al riesgo de sobrecostos por la ejecución de consultas previas no previstas, que eventualmente podría activarse en caso de la reubicación del peaje en los términos establecidos en la Resolución 2109 del 2015, la Agencia reitera su solicitud de  mantenerlo en su ubicación actual, esto es en el PR53+400 como lo indica la Resolución 2109 de 2015.”</w:t>
      </w:r>
      <w:r w:rsidRPr="00AA4A41">
        <w:rPr>
          <w:rFonts w:ascii="Work Sans" w:hAnsi="Work Sans"/>
          <w:sz w:val="20"/>
          <w:szCs w:val="20"/>
        </w:rPr>
        <w:t xml:space="preserve"> </w:t>
      </w:r>
    </w:p>
    <w:p w:rsidR="000A508C" w:rsidRPr="00AA4A41" w:rsidRDefault="006B5E98">
      <w:pPr>
        <w:widowControl/>
        <w:ind w:right="40"/>
        <w:jc w:val="both"/>
        <w:textAlignment w:val="auto"/>
        <w:rPr>
          <w:rFonts w:ascii="Work Sans" w:hAnsi="Work Sans"/>
          <w:sz w:val="20"/>
          <w:szCs w:val="20"/>
        </w:rPr>
      </w:pPr>
      <w:r w:rsidRPr="00AA4A41">
        <w:rPr>
          <w:rFonts w:ascii="Work Sans" w:hAnsi="Work Sans"/>
          <w:sz w:val="20"/>
          <w:szCs w:val="20"/>
        </w:rPr>
        <w:t>Adicionalmente, mediante certificación de fecha 27 de marzo de 2019, la Agencia Nacional de Infraestructura manifiesta lo siguiente:</w:t>
      </w:r>
    </w:p>
    <w:p w:rsidR="000A508C" w:rsidRPr="00AA4A41" w:rsidRDefault="000A508C">
      <w:pPr>
        <w:widowControl/>
        <w:ind w:right="40"/>
        <w:jc w:val="both"/>
        <w:textAlignment w:val="auto"/>
        <w:rPr>
          <w:rFonts w:ascii="Work Sans" w:hAnsi="Work Sans" w:cs="Times New Roman"/>
          <w:kern w:val="0"/>
          <w:sz w:val="20"/>
          <w:szCs w:val="20"/>
          <w:shd w:val="clear" w:color="auto" w:fill="FFFF00"/>
          <w:lang w:eastAsia="es-ES" w:bidi="ar-SA"/>
        </w:rPr>
      </w:pPr>
    </w:p>
    <w:p w:rsidR="000A508C" w:rsidRPr="00AA4A41" w:rsidRDefault="006B5E98" w:rsidP="00DB0E08">
      <w:pPr>
        <w:ind w:left="567" w:right="566"/>
        <w:jc w:val="both"/>
        <w:rPr>
          <w:rFonts w:ascii="Work Sans" w:hAnsi="Work Sans"/>
          <w:i/>
          <w:sz w:val="20"/>
          <w:szCs w:val="20"/>
        </w:rPr>
      </w:pPr>
      <w:r w:rsidRPr="00AA4A41">
        <w:rPr>
          <w:rFonts w:ascii="Work Sans" w:hAnsi="Work Sans"/>
          <w:i/>
          <w:sz w:val="20"/>
          <w:szCs w:val="20"/>
        </w:rPr>
        <w:t>“(…) Que el contrato de concesión bajo el esquema de AP</w:t>
      </w:r>
      <w:r w:rsidR="00DB0E08" w:rsidRPr="00AA4A41">
        <w:rPr>
          <w:rFonts w:ascii="Work Sans" w:hAnsi="Work Sans"/>
          <w:i/>
          <w:sz w:val="20"/>
          <w:szCs w:val="20"/>
        </w:rPr>
        <w:t xml:space="preserve">P No 17 de 2015 estableció que </w:t>
      </w:r>
      <w:r w:rsidRPr="00AA4A41">
        <w:rPr>
          <w:rFonts w:ascii="Work Sans" w:hAnsi="Work Sans"/>
          <w:i/>
          <w:sz w:val="20"/>
          <w:szCs w:val="20"/>
        </w:rPr>
        <w:t>e</w:t>
      </w:r>
      <w:r w:rsidR="00DB0E08" w:rsidRPr="00AA4A41">
        <w:rPr>
          <w:rFonts w:ascii="Work Sans" w:hAnsi="Work Sans"/>
          <w:i/>
          <w:sz w:val="20"/>
          <w:szCs w:val="20"/>
        </w:rPr>
        <w:t>l</w:t>
      </w:r>
      <w:r w:rsidRPr="00AA4A41">
        <w:rPr>
          <w:rFonts w:ascii="Work Sans" w:hAnsi="Work Sans"/>
          <w:i/>
          <w:sz w:val="20"/>
          <w:szCs w:val="20"/>
        </w:rPr>
        <w:t xml:space="preserve"> peaje El Patá ubicado en el PR 53 + 400 ruta 4506 debía ser reubicado entre los PR 60 +00- PR 63 + 000 Ruta 4506, durante la fase de construcción, conforme con lo establecido en la Sección 3.6 del Apéndice Técnico No.1. Las abscisas mencionadas con diferentes a las establecidas en la Resolución 2109 de 2015, ya que en la estructuración del proyecto se tuvo en cuenta para ordenar la reubicación del peaje, las condiciones geométricas de la zona y los requerimientos de visibilidad.  </w:t>
      </w:r>
    </w:p>
    <w:p w:rsidR="00DB0E08" w:rsidRPr="00AA4A41" w:rsidRDefault="00DB0E08" w:rsidP="00DB0E08">
      <w:pPr>
        <w:ind w:left="567" w:right="566"/>
        <w:jc w:val="both"/>
        <w:rPr>
          <w:rFonts w:ascii="Work Sans" w:hAnsi="Work Sans"/>
          <w:i/>
          <w:sz w:val="20"/>
          <w:szCs w:val="20"/>
        </w:rPr>
      </w:pPr>
    </w:p>
    <w:p w:rsidR="000A508C" w:rsidRPr="00AA4A41" w:rsidRDefault="006B5E98" w:rsidP="00DB0E08">
      <w:pPr>
        <w:ind w:left="567" w:right="566"/>
        <w:jc w:val="both"/>
        <w:rPr>
          <w:rFonts w:ascii="Work Sans" w:hAnsi="Work Sans"/>
          <w:i/>
          <w:sz w:val="20"/>
          <w:szCs w:val="20"/>
        </w:rPr>
      </w:pPr>
      <w:r w:rsidRPr="00AA4A41">
        <w:rPr>
          <w:rFonts w:ascii="Work Sans" w:hAnsi="Work Sans"/>
          <w:i/>
          <w:sz w:val="20"/>
          <w:szCs w:val="20"/>
        </w:rPr>
        <w:t xml:space="preserve">Sinembargo, prevalece lo establecido en la Resolución expedida por el Ministerio de Transporte </w:t>
      </w:r>
    </w:p>
    <w:p w:rsidR="000A508C" w:rsidRPr="00AA4A41" w:rsidRDefault="000A508C">
      <w:pPr>
        <w:jc w:val="both"/>
        <w:rPr>
          <w:rFonts w:ascii="Work Sans" w:hAnsi="Work Sans"/>
          <w:i/>
          <w:sz w:val="20"/>
          <w:szCs w:val="20"/>
        </w:rPr>
      </w:pPr>
    </w:p>
    <w:p w:rsidR="000A508C" w:rsidRPr="00AA4A41" w:rsidRDefault="006B5E98">
      <w:pPr>
        <w:ind w:left="567" w:right="566"/>
        <w:jc w:val="both"/>
        <w:rPr>
          <w:rFonts w:ascii="Work Sans" w:hAnsi="Work Sans"/>
          <w:i/>
          <w:sz w:val="20"/>
          <w:szCs w:val="20"/>
        </w:rPr>
      </w:pPr>
      <w:r w:rsidRPr="00AA4A41">
        <w:rPr>
          <w:rFonts w:ascii="Work Sans" w:hAnsi="Work Sans"/>
          <w:i/>
          <w:sz w:val="20"/>
          <w:szCs w:val="20"/>
        </w:rPr>
        <w:t xml:space="preserve">Que mediante oficio radicado ANI 2017-409-0034957-2 del 31 de marzo de 2017, el concesionario comunicó que, en desarrollo de la etapa pre </w:t>
      </w:r>
      <w:r w:rsidRPr="00AA4A41">
        <w:rPr>
          <w:rFonts w:ascii="Work Sans" w:hAnsi="Work Sans"/>
          <w:i/>
          <w:sz w:val="20"/>
          <w:szCs w:val="20"/>
        </w:rPr>
        <w:lastRenderedPageBreak/>
        <w:t>operativa y en el marco de sus responsabilidades contractuales realizó acercamientos con las autoridades locales y regionales y con las comunidades del área de influencia del corredor concesionado, en las que entre otros aspectos, anunció de manera clara y precisa su obligación de trasladar la estación de peaje el Patá, y como resultado de tales actuaciones se identificaron en el área directa de la unidad funcional 3 específicamente en el sector donde se proyectó trasladar el peaje, 28 resguardos indígenas en un área de influencia de 6 km a los costados de la vía concesionada, debidamente delimitados y georreferenciados y parcialidades indígenas en un número indeterminado. Así mismo, informó el concesionario que las comunidades indígenas del sector en el que se ordenó la reubicación del peaje el Patá y las autoridades locales hicieron requerimientos en torno a las necesidades de consultarles de manera previa el traslado del peaje el Patá.</w:t>
      </w:r>
    </w:p>
    <w:p w:rsidR="000A508C" w:rsidRPr="00AA4A41" w:rsidRDefault="000A508C">
      <w:pPr>
        <w:ind w:left="567" w:right="566"/>
        <w:jc w:val="both"/>
        <w:rPr>
          <w:rFonts w:ascii="Work Sans" w:hAnsi="Work Sans"/>
          <w:i/>
          <w:sz w:val="20"/>
          <w:szCs w:val="20"/>
        </w:rPr>
      </w:pPr>
    </w:p>
    <w:p w:rsidR="000A508C" w:rsidRPr="00AA4A41" w:rsidRDefault="006B5E98">
      <w:pPr>
        <w:ind w:left="567" w:right="566"/>
        <w:jc w:val="both"/>
        <w:rPr>
          <w:rFonts w:ascii="Work Sans" w:hAnsi="Work Sans"/>
          <w:i/>
          <w:sz w:val="20"/>
          <w:szCs w:val="20"/>
        </w:rPr>
      </w:pPr>
      <w:r w:rsidRPr="00AA4A41">
        <w:rPr>
          <w:rFonts w:ascii="Work Sans" w:hAnsi="Work Sans"/>
          <w:i/>
          <w:sz w:val="20"/>
          <w:szCs w:val="20"/>
        </w:rPr>
        <w:t>Que la Corte Suprema de Justicia mediante sentencias STC496-2017 y STC482-2017 del 25 de enero de 2017, señaló que para el emplazamiento de peajes se debe consultar con las comunidades, sin importar que el tipo de intervención del corredor sea de rehabilitación; razón por la cual, el Concesionario solicitó que se realizara una evaluación del riesgo de reubicación teniendo en cuenta la nueva realidad jurídica creada por la jurisprudencia en mención.</w:t>
      </w:r>
    </w:p>
    <w:p w:rsidR="000A508C" w:rsidRPr="00AA4A41" w:rsidRDefault="000A508C">
      <w:pPr>
        <w:ind w:left="567" w:right="566"/>
        <w:jc w:val="both"/>
        <w:rPr>
          <w:rFonts w:ascii="Work Sans" w:hAnsi="Work Sans"/>
          <w:i/>
          <w:sz w:val="20"/>
          <w:szCs w:val="20"/>
        </w:rPr>
      </w:pPr>
    </w:p>
    <w:p w:rsidR="000A508C" w:rsidRPr="00AA4A41" w:rsidRDefault="006B5E98">
      <w:pPr>
        <w:ind w:left="567" w:right="566"/>
        <w:jc w:val="both"/>
        <w:rPr>
          <w:rFonts w:ascii="Work Sans" w:hAnsi="Work Sans"/>
          <w:i/>
          <w:sz w:val="20"/>
          <w:szCs w:val="20"/>
        </w:rPr>
      </w:pPr>
      <w:r w:rsidRPr="00AA4A41">
        <w:rPr>
          <w:rFonts w:ascii="Work Sans" w:hAnsi="Work Sans"/>
          <w:i/>
          <w:sz w:val="20"/>
          <w:szCs w:val="20"/>
        </w:rPr>
        <w:t>Que el Concesionario con base en los antecedentes antes señalados, solicitó además la suscripción de un otrosí al Contrato de Concesión, con el fin de acordar la no reubicación de la estación de peaje El Patá, en las condiciones establecidas en la Resolución No. 0002109 de 2015 y en el Contrato de Concesión. Dicha solicitud fue formalizada mediante oficio S1-3144 de fecha 1 de junio de 2017 con radicado ANI No. 2017-409-058966-2 del 5 de junio 2017.</w:t>
      </w:r>
    </w:p>
    <w:p w:rsidR="000A508C" w:rsidRPr="00AA4A41" w:rsidRDefault="000A508C">
      <w:pPr>
        <w:jc w:val="both"/>
        <w:rPr>
          <w:rFonts w:ascii="Work Sans" w:hAnsi="Work Sans"/>
          <w:i/>
          <w:sz w:val="20"/>
          <w:szCs w:val="20"/>
        </w:rPr>
      </w:pPr>
    </w:p>
    <w:p w:rsidR="000A508C" w:rsidRPr="00AA4A41" w:rsidRDefault="006B5E98">
      <w:pPr>
        <w:ind w:left="567" w:right="566"/>
        <w:jc w:val="both"/>
        <w:rPr>
          <w:sz w:val="20"/>
          <w:szCs w:val="20"/>
        </w:rPr>
      </w:pPr>
      <w:r w:rsidRPr="00AA4A41">
        <w:rPr>
          <w:rFonts w:ascii="Work Sans" w:hAnsi="Work Sans"/>
          <w:i/>
          <w:sz w:val="20"/>
          <w:szCs w:val="20"/>
        </w:rPr>
        <w:t xml:space="preserve"> Que teniendo en cuenta lo anterior a la fecha no se ha materializado el traslado de la estación del peaje El Patá del PR 53+ 400 de la ruta 4506 (ubicación actual) al PR 58+ 000, establecido en la Resolución 2109 de 2015, (toda vez que las actividades de traslado se dan según el contrato  con las intervenciones correspondientes al Unidad Funcional 3, las cuales actualmente se realizan y tiene plazo de ejecución hasta el 20 de octubre de 2019), por lo que mantiene su ubicación inicial en el PR 53 + 400 de la ruta 4506”</w:t>
      </w:r>
    </w:p>
    <w:p w:rsidR="000A508C" w:rsidRPr="00AA4A41" w:rsidRDefault="000A508C">
      <w:pPr>
        <w:jc w:val="both"/>
        <w:rPr>
          <w:rFonts w:ascii="Work Sans" w:hAnsi="Work Sans" w:cs="Times New Roman"/>
          <w:sz w:val="20"/>
          <w:szCs w:val="20"/>
        </w:rPr>
      </w:pPr>
    </w:p>
    <w:p w:rsidR="000A508C" w:rsidRPr="00AA4A41" w:rsidRDefault="006B5E98">
      <w:pPr>
        <w:jc w:val="both"/>
        <w:rPr>
          <w:rFonts w:ascii="Work Sans" w:hAnsi="Work Sans" w:cs="Times New Roman"/>
          <w:sz w:val="20"/>
          <w:szCs w:val="20"/>
        </w:rPr>
      </w:pPr>
      <w:r w:rsidRPr="00AA4A41">
        <w:rPr>
          <w:rFonts w:ascii="Work Sans" w:hAnsi="Work Sans" w:cs="Times New Roman"/>
          <w:sz w:val="20"/>
          <w:szCs w:val="20"/>
        </w:rPr>
        <w:t xml:space="preserve">Que conforme con los antecedentes señalados, la Agencia Nacional de Infraestructura y la Interventoría del proyecto SOCIEDAD HMV CONSULTORÍA, realizaron los análisis pertinentes y emitieron </w:t>
      </w:r>
      <w:proofErr w:type="gramStart"/>
      <w:r w:rsidRPr="00AA4A41">
        <w:rPr>
          <w:rFonts w:ascii="Work Sans" w:hAnsi="Work Sans" w:cs="Times New Roman"/>
          <w:sz w:val="20"/>
          <w:szCs w:val="20"/>
        </w:rPr>
        <w:t xml:space="preserve">los siguientes </w:t>
      </w:r>
      <w:r w:rsidR="00085EAF" w:rsidRPr="00AA4A41">
        <w:rPr>
          <w:rFonts w:ascii="Work Sans" w:hAnsi="Work Sans" w:cs="Times New Roman"/>
          <w:sz w:val="20"/>
          <w:szCs w:val="20"/>
        </w:rPr>
        <w:t>viabilidades</w:t>
      </w:r>
      <w:proofErr w:type="gramEnd"/>
      <w:r w:rsidRPr="00AA4A41">
        <w:rPr>
          <w:rFonts w:ascii="Work Sans" w:hAnsi="Work Sans" w:cs="Times New Roman"/>
          <w:sz w:val="20"/>
          <w:szCs w:val="20"/>
        </w:rPr>
        <w:t xml:space="preserve">, así: </w:t>
      </w:r>
    </w:p>
    <w:p w:rsidR="000A508C" w:rsidRPr="00AA4A41" w:rsidRDefault="000A508C">
      <w:pPr>
        <w:jc w:val="both"/>
        <w:rPr>
          <w:rFonts w:ascii="Work Sans" w:hAnsi="Work Sans" w:cs="Times New Roman"/>
          <w:sz w:val="20"/>
          <w:szCs w:val="20"/>
        </w:rPr>
      </w:pPr>
    </w:p>
    <w:p w:rsidR="000A508C" w:rsidRPr="00AA4A41" w:rsidRDefault="006B5E98">
      <w:pPr>
        <w:pStyle w:val="Prrafodelista"/>
        <w:numPr>
          <w:ilvl w:val="0"/>
          <w:numId w:val="20"/>
        </w:numPr>
        <w:jc w:val="both"/>
        <w:rPr>
          <w:rFonts w:ascii="Work Sans" w:hAnsi="Work Sans" w:cs="Times New Roman"/>
          <w:sz w:val="20"/>
        </w:rPr>
      </w:pPr>
      <w:r w:rsidRPr="00AA4A41">
        <w:rPr>
          <w:rFonts w:ascii="Work Sans" w:hAnsi="Work Sans" w:cs="Times New Roman"/>
          <w:sz w:val="20"/>
        </w:rPr>
        <w:t>Mediante oficios con radicados ANI No. 2017-409045068-2 del 2 de mayo de 2017 y 2018-310-004424-3 del 8 de marzo de 2018, la sociedad HMV Consultoría conceptuó favorablemente sobre la solicitud del Concesionario, presentando la evaluación operativa, social, predial, ambiental y jurídica en que se encuentra soportado dicho concepto.</w:t>
      </w:r>
    </w:p>
    <w:p w:rsidR="000A508C" w:rsidRPr="00AA4A41" w:rsidRDefault="000A508C">
      <w:pPr>
        <w:pStyle w:val="Prrafodelista"/>
        <w:ind w:left="720"/>
        <w:jc w:val="both"/>
        <w:rPr>
          <w:rFonts w:ascii="Work Sans" w:hAnsi="Work Sans" w:cs="Times New Roman"/>
          <w:sz w:val="20"/>
        </w:rPr>
      </w:pPr>
    </w:p>
    <w:p w:rsidR="000A508C" w:rsidRPr="00AA4A41" w:rsidRDefault="006B5E98">
      <w:pPr>
        <w:pStyle w:val="Prrafodelista"/>
        <w:numPr>
          <w:ilvl w:val="0"/>
          <w:numId w:val="20"/>
        </w:numPr>
        <w:jc w:val="both"/>
        <w:rPr>
          <w:rFonts w:ascii="Work Sans" w:hAnsi="Work Sans" w:cs="Times New Roman"/>
          <w:sz w:val="20"/>
        </w:rPr>
      </w:pPr>
      <w:r w:rsidRPr="00AA4A41">
        <w:rPr>
          <w:rFonts w:ascii="Work Sans" w:hAnsi="Work Sans" w:cs="Times New Roman"/>
          <w:sz w:val="20"/>
        </w:rPr>
        <w:lastRenderedPageBreak/>
        <w:t>Mediante memorando radicado ANI No. 2017-605-017205-3 del 4 de diciembre de 2017 el GIT Social y Ambiental de la Vicepresidencia de Planeación, Riesgos y Entorno, emitió concepto de viabilidad sobre la solicitud de eliminación de la obligación de traslado del Peaje El Patá.</w:t>
      </w:r>
    </w:p>
    <w:p w:rsidR="000A508C" w:rsidRPr="00AA4A41" w:rsidRDefault="000A508C">
      <w:pPr>
        <w:jc w:val="both"/>
        <w:rPr>
          <w:rFonts w:ascii="Work Sans" w:hAnsi="Work Sans" w:cs="Times New Roman"/>
          <w:sz w:val="20"/>
          <w:szCs w:val="20"/>
        </w:rPr>
      </w:pPr>
    </w:p>
    <w:p w:rsidR="000A508C" w:rsidRPr="00AA4A41" w:rsidRDefault="006B5E98">
      <w:pPr>
        <w:pStyle w:val="Prrafodelista"/>
        <w:numPr>
          <w:ilvl w:val="0"/>
          <w:numId w:val="20"/>
        </w:numPr>
        <w:jc w:val="both"/>
        <w:rPr>
          <w:rFonts w:ascii="Work Sans" w:hAnsi="Work Sans" w:cs="Times New Roman"/>
          <w:sz w:val="20"/>
        </w:rPr>
      </w:pPr>
      <w:r w:rsidRPr="00AA4A41">
        <w:rPr>
          <w:rFonts w:ascii="Work Sans" w:hAnsi="Work Sans" w:cs="Times New Roman"/>
          <w:sz w:val="20"/>
        </w:rPr>
        <w:t>Mediante memorando radicado ANI No. 2018-602-003836-3 del 26 de febrero de 2018, el GIT de Riesgos de la Vicepresidencia de Planeación, Riesgos y Entorno, emitió concepto de viabilidad sobre la solicitud de eliminación de la obligación de traslado del Peaje El Patá.</w:t>
      </w:r>
    </w:p>
    <w:p w:rsidR="000A508C" w:rsidRPr="00AA4A41" w:rsidRDefault="000A508C">
      <w:pPr>
        <w:pStyle w:val="Prrafodelista"/>
        <w:rPr>
          <w:rFonts w:ascii="Work Sans" w:hAnsi="Work Sans" w:cs="Times New Roman"/>
          <w:sz w:val="20"/>
        </w:rPr>
      </w:pPr>
    </w:p>
    <w:p w:rsidR="000A508C" w:rsidRPr="00AA4A41" w:rsidRDefault="006B5E98">
      <w:pPr>
        <w:pStyle w:val="Prrafodelista"/>
        <w:numPr>
          <w:ilvl w:val="0"/>
          <w:numId w:val="20"/>
        </w:numPr>
        <w:jc w:val="both"/>
        <w:rPr>
          <w:rFonts w:ascii="Work Sans" w:hAnsi="Work Sans" w:cs="Times New Roman"/>
          <w:sz w:val="20"/>
        </w:rPr>
      </w:pPr>
      <w:r w:rsidRPr="00AA4A41">
        <w:rPr>
          <w:rFonts w:ascii="Work Sans" w:hAnsi="Work Sans" w:cs="Times New Roman"/>
          <w:sz w:val="20"/>
        </w:rPr>
        <w:t>Mediante memorando radicado ANI No. 2018-310-004424-3 del 8 de marzo de 2018, el GIT Financiero de la Vicepresidencia de Gestión Contractual, emitió concepto de viabilidad sobre la solicitud de eliminación de la obligación de traslado del Peaje El Patá.</w:t>
      </w:r>
    </w:p>
    <w:p w:rsidR="000A508C" w:rsidRPr="00AA4A41" w:rsidRDefault="000A508C">
      <w:pPr>
        <w:jc w:val="both"/>
        <w:rPr>
          <w:rFonts w:ascii="Work Sans" w:hAnsi="Work Sans" w:cs="Times New Roman"/>
          <w:sz w:val="20"/>
          <w:szCs w:val="20"/>
        </w:rPr>
      </w:pPr>
    </w:p>
    <w:p w:rsidR="000A508C" w:rsidRPr="00AA4A41" w:rsidRDefault="006B5E98">
      <w:pPr>
        <w:pStyle w:val="Prrafodelista"/>
        <w:numPr>
          <w:ilvl w:val="0"/>
          <w:numId w:val="20"/>
        </w:numPr>
        <w:jc w:val="both"/>
        <w:rPr>
          <w:rFonts w:ascii="Work Sans" w:hAnsi="Work Sans" w:cs="Times New Roman"/>
          <w:sz w:val="20"/>
        </w:rPr>
      </w:pPr>
      <w:r w:rsidRPr="00AA4A41">
        <w:rPr>
          <w:rFonts w:ascii="Work Sans" w:hAnsi="Work Sans" w:cs="Times New Roman"/>
          <w:sz w:val="20"/>
        </w:rPr>
        <w:t>Mediante memorando radicado ANI No. 2018-101-007117-3 del 8 de mayo de 2018 la Gerencia de Asesoría Legal y Contractual de la Vicepresidencia Jurídica, emitió concepto de viabilidad sobre la solicitud de eliminación de la obligación de traslado del Peaje El Patá.</w:t>
      </w:r>
    </w:p>
    <w:p w:rsidR="000A508C" w:rsidRPr="00AA4A41" w:rsidRDefault="000A508C">
      <w:pPr>
        <w:jc w:val="both"/>
        <w:rPr>
          <w:rFonts w:ascii="Work Sans" w:hAnsi="Work Sans" w:cs="Times New Roman"/>
          <w:sz w:val="20"/>
          <w:szCs w:val="20"/>
        </w:rPr>
      </w:pPr>
    </w:p>
    <w:p w:rsidR="00AA4A41" w:rsidRPr="00AA4A41" w:rsidRDefault="00AA4A41" w:rsidP="00AA4A41">
      <w:pPr>
        <w:widowControl/>
        <w:jc w:val="both"/>
        <w:textAlignment w:val="auto"/>
        <w:rPr>
          <w:rFonts w:ascii="Work Sans" w:hAnsi="Work Sans" w:cs="Times New Roman"/>
          <w:kern w:val="0"/>
          <w:sz w:val="20"/>
          <w:szCs w:val="20"/>
          <w:lang w:val="es" w:eastAsia="es-ES" w:bidi="ar-SA"/>
        </w:rPr>
      </w:pPr>
      <w:r w:rsidRPr="00AA4A41">
        <w:rPr>
          <w:rFonts w:ascii="Work Sans" w:hAnsi="Work Sans" w:cs="Times New Roman"/>
          <w:kern w:val="0"/>
          <w:sz w:val="20"/>
          <w:szCs w:val="20"/>
          <w:lang w:val="es" w:eastAsia="es-ES" w:bidi="ar-SA"/>
        </w:rPr>
        <w:t>Que conforme a certificación de fecha 27 de marzo de 2019, el Vicepresidente de Gestión Contractual de la Agencia Nacional de Infraestructura certifica que la estación del peaje El Patá de la ruta 4506 está ubicada actualmente en el PR 53+ 400.</w:t>
      </w:r>
    </w:p>
    <w:p w:rsidR="000A508C" w:rsidRPr="00AA4A41" w:rsidRDefault="006B5E98">
      <w:pPr>
        <w:jc w:val="both"/>
        <w:rPr>
          <w:rFonts w:ascii="Work Sans" w:hAnsi="Work Sans" w:cs="Times New Roman"/>
          <w:sz w:val="20"/>
          <w:szCs w:val="20"/>
        </w:rPr>
      </w:pPr>
      <w:r w:rsidRPr="00AA4A41">
        <w:rPr>
          <w:rFonts w:ascii="Work Sans" w:hAnsi="Work Sans" w:cs="Times New Roman"/>
          <w:sz w:val="20"/>
          <w:szCs w:val="20"/>
        </w:rPr>
        <w:t>Que teniendo en cuenta que la reubicación de la estación del peaje denominada El Patá ordenada mediante Resolución 2109 de 2015 al PR 58+000, no se materializó y que debido a los trámites administrativos y económicos que implica esta reubicación, es necesario dejar sin efecto el artículo 1° de la citada Resolución 2109 de 2015.</w:t>
      </w:r>
    </w:p>
    <w:p w:rsidR="000A508C" w:rsidRPr="00AA4A41" w:rsidRDefault="000A508C">
      <w:pPr>
        <w:jc w:val="both"/>
        <w:rPr>
          <w:rFonts w:ascii="Work Sans" w:hAnsi="Work Sans" w:cs="Times New Roman"/>
          <w:sz w:val="20"/>
          <w:szCs w:val="20"/>
        </w:rPr>
      </w:pPr>
    </w:p>
    <w:p w:rsidR="000A508C" w:rsidRPr="00AA4A41" w:rsidRDefault="006B5E98">
      <w:pPr>
        <w:spacing w:after="280"/>
        <w:jc w:val="both"/>
        <w:rPr>
          <w:sz w:val="20"/>
          <w:szCs w:val="20"/>
        </w:rPr>
      </w:pPr>
      <w:r w:rsidRPr="00AA4A41">
        <w:rPr>
          <w:rFonts w:ascii="Work Sans" w:hAnsi="Work Sans" w:cs="Arial"/>
          <w:sz w:val="20"/>
          <w:szCs w:val="20"/>
        </w:rPr>
        <w:t xml:space="preserve">Que el Jefe de la Oficina de Regulación Económica del Ministerio de Transporte, mediante memorandos 20181410143293 del 18 de septiembre de 2018 </w:t>
      </w:r>
      <w:proofErr w:type="gramStart"/>
      <w:r w:rsidRPr="00AA4A41">
        <w:rPr>
          <w:rFonts w:ascii="Work Sans" w:hAnsi="Work Sans" w:cs="Arial"/>
          <w:sz w:val="20"/>
          <w:szCs w:val="20"/>
        </w:rPr>
        <w:t>y  alcance</w:t>
      </w:r>
      <w:proofErr w:type="gramEnd"/>
      <w:r w:rsidRPr="00AA4A41">
        <w:rPr>
          <w:rFonts w:ascii="Work Sans" w:hAnsi="Work Sans" w:cs="Arial"/>
          <w:sz w:val="20"/>
          <w:szCs w:val="20"/>
        </w:rPr>
        <w:t xml:space="preserve"> 20191410017103 del 14 de febrero de 2019, da viabilidad para mantener la ubicación de la estación de peaje denominada el Patá en el PR53+400 y solicitó la expedición del presente acto administrativo. </w:t>
      </w:r>
    </w:p>
    <w:p w:rsidR="000A508C" w:rsidRPr="00AA4A41" w:rsidRDefault="006B5E98">
      <w:pPr>
        <w:pStyle w:val="Standard"/>
        <w:autoSpaceDE w:val="0"/>
        <w:jc w:val="both"/>
        <w:rPr>
          <w:rFonts w:ascii="Work Sans" w:hAnsi="Work Sans" w:cs="Futura Std"/>
          <w:sz w:val="20"/>
        </w:rPr>
      </w:pPr>
      <w:r w:rsidRPr="00AA4A41">
        <w:rPr>
          <w:rFonts w:ascii="Work Sans" w:hAnsi="Work Sans" w:cs="Futura Std"/>
          <w:sz w:val="20"/>
        </w:rPr>
        <w:t xml:space="preserve">Que el contenido de la presente Resolución fue publicado en lo página web de la Agencia Nacional de Infraestructura y del Ministerio de Transporte, en cumplimiento a lo determinado en el numeral 8, del artículo 8° de la Ley 1347 de 2011, el 31 de julio de 2018 con el objeto de recibir opiniones, sugerencias y propuestas. </w:t>
      </w:r>
    </w:p>
    <w:p w:rsidR="000A508C" w:rsidRPr="00AA4A41" w:rsidRDefault="000A508C">
      <w:pPr>
        <w:pStyle w:val="Standard"/>
        <w:autoSpaceDE w:val="0"/>
        <w:jc w:val="both"/>
        <w:rPr>
          <w:rFonts w:ascii="Work Sans" w:hAnsi="Work Sans" w:cs="Arial"/>
          <w:sz w:val="20"/>
        </w:rPr>
      </w:pPr>
    </w:p>
    <w:p w:rsidR="000A508C" w:rsidRPr="00AA4A41" w:rsidRDefault="006B5E98">
      <w:pPr>
        <w:tabs>
          <w:tab w:val="left" w:pos="0"/>
        </w:tabs>
        <w:jc w:val="both"/>
        <w:rPr>
          <w:sz w:val="20"/>
          <w:szCs w:val="20"/>
        </w:rPr>
      </w:pPr>
      <w:r w:rsidRPr="00AA4A41">
        <w:rPr>
          <w:rFonts w:ascii="Work Sans" w:hAnsi="Work Sans" w:cs="Arial"/>
          <w:sz w:val="20"/>
          <w:szCs w:val="20"/>
          <w:lang w:bidi="ar-SA"/>
        </w:rPr>
        <w:t xml:space="preserve">Que mediante oficio </w:t>
      </w:r>
      <w:r w:rsidR="00BC4CA9" w:rsidRPr="00AA4A41">
        <w:rPr>
          <w:rFonts w:ascii="Work Sans" w:hAnsi="Work Sans" w:cs="Arial"/>
          <w:sz w:val="20"/>
          <w:szCs w:val="20"/>
          <w:lang w:bidi="ar-SA"/>
        </w:rPr>
        <w:t xml:space="preserve">XXXX </w:t>
      </w:r>
      <w:r w:rsidRPr="00AA4A41">
        <w:rPr>
          <w:rFonts w:ascii="Work Sans" w:hAnsi="Work Sans" w:cs="Arial"/>
          <w:sz w:val="20"/>
          <w:szCs w:val="20"/>
          <w:lang w:bidi="ar-SA"/>
        </w:rPr>
        <w:t xml:space="preserve">de 2019 y radicado MT </w:t>
      </w:r>
      <w:r w:rsidR="00BC4CA9" w:rsidRPr="00AA4A41">
        <w:rPr>
          <w:rFonts w:ascii="Work Sans" w:hAnsi="Work Sans" w:cs="Arial"/>
          <w:sz w:val="20"/>
          <w:szCs w:val="20"/>
          <w:lang w:bidi="ar-SA"/>
        </w:rPr>
        <w:t>XXXXX de 2019</w:t>
      </w:r>
      <w:r w:rsidRPr="00AA4A41">
        <w:rPr>
          <w:rFonts w:ascii="Work Sans" w:hAnsi="Work Sans" w:cs="Arial"/>
          <w:sz w:val="20"/>
          <w:szCs w:val="20"/>
          <w:lang w:bidi="ar-SA"/>
        </w:rPr>
        <w:t xml:space="preserve">, el presidente de la Agencia Nacional de Infraestructura </w:t>
      </w:r>
      <w:r w:rsidR="00BC4CA9" w:rsidRPr="00AA4A41">
        <w:rPr>
          <w:rFonts w:ascii="Work Sans" w:hAnsi="Work Sans" w:cs="Arial"/>
          <w:sz w:val="20"/>
          <w:szCs w:val="20"/>
          <w:lang w:bidi="ar-SA"/>
        </w:rPr>
        <w:t xml:space="preserve">y la Oficina Asesora de Jurídica </w:t>
      </w:r>
      <w:r w:rsidRPr="00AA4A41">
        <w:rPr>
          <w:rFonts w:ascii="Work Sans" w:hAnsi="Work Sans" w:cs="Arial"/>
          <w:sz w:val="20"/>
          <w:szCs w:val="20"/>
          <w:lang w:bidi="ar-SA"/>
        </w:rPr>
        <w:t>manifiesta</w:t>
      </w:r>
      <w:r w:rsidR="00BC4CA9" w:rsidRPr="00AA4A41">
        <w:rPr>
          <w:rFonts w:ascii="Work Sans" w:hAnsi="Work Sans" w:cs="Arial"/>
          <w:sz w:val="20"/>
          <w:szCs w:val="20"/>
          <w:lang w:bidi="ar-SA"/>
        </w:rPr>
        <w:t>n</w:t>
      </w:r>
      <w:r w:rsidRPr="00AA4A41">
        <w:rPr>
          <w:rFonts w:ascii="Work Sans" w:hAnsi="Work Sans" w:cs="Arial"/>
          <w:sz w:val="20"/>
          <w:szCs w:val="20"/>
          <w:lang w:bidi="ar-SA"/>
        </w:rPr>
        <w:t xml:space="preserve"> que </w:t>
      </w:r>
      <w:r w:rsidR="00BC4CA9" w:rsidRPr="00AA4A41">
        <w:rPr>
          <w:rFonts w:ascii="Work Sans" w:hAnsi="Work Sans" w:cs="Arial"/>
          <w:sz w:val="20"/>
          <w:szCs w:val="20"/>
          <w:lang w:bidi="ar-SA"/>
        </w:rPr>
        <w:t>XXXXXX</w:t>
      </w:r>
    </w:p>
    <w:p w:rsidR="000A508C" w:rsidRPr="00AA4A41" w:rsidRDefault="000A508C">
      <w:pPr>
        <w:tabs>
          <w:tab w:val="left" w:pos="0"/>
        </w:tabs>
        <w:jc w:val="both"/>
        <w:rPr>
          <w:rFonts w:ascii="Work Sans" w:hAnsi="Work Sans" w:cs="Arial"/>
          <w:sz w:val="20"/>
          <w:szCs w:val="20"/>
        </w:rPr>
      </w:pPr>
    </w:p>
    <w:p w:rsidR="000A508C" w:rsidRPr="00AA4A41" w:rsidRDefault="006B5E98">
      <w:pPr>
        <w:pStyle w:val="Standard"/>
        <w:autoSpaceDE w:val="0"/>
        <w:jc w:val="both"/>
        <w:rPr>
          <w:sz w:val="20"/>
        </w:rPr>
      </w:pPr>
      <w:r w:rsidRPr="00AA4A41">
        <w:rPr>
          <w:rFonts w:ascii="Work Sans" w:hAnsi="Work Sans" w:cs="Arial"/>
          <w:sz w:val="20"/>
        </w:rPr>
        <w:t>Que la Oficina Asesora de Jurídica conservará los documentos asociados al proceso de divulgación y participación ciudadana, incluidos los cronogramas, actas, comentarios, grabaciones e informes que evidencien la publicidad del proyecto y la participación de los ciudadanos y grupos de interés, así como las observaciones presentadas frente al presente acto administrativo y las respuestas dadas. Todo ello en concordancia con las políticas de gestión documental y de archivo de la entidad.</w:t>
      </w:r>
    </w:p>
    <w:p w:rsidR="000A508C" w:rsidRPr="00AA4A41" w:rsidRDefault="000A508C">
      <w:pPr>
        <w:jc w:val="both"/>
        <w:rPr>
          <w:rFonts w:ascii="Work Sans" w:hAnsi="Work Sans" w:cs="Times New Roman"/>
          <w:sz w:val="20"/>
          <w:szCs w:val="20"/>
        </w:rPr>
      </w:pPr>
    </w:p>
    <w:p w:rsidR="000A508C" w:rsidRPr="00AA4A41" w:rsidRDefault="006B5E98">
      <w:pPr>
        <w:jc w:val="both"/>
        <w:rPr>
          <w:rFonts w:ascii="Work Sans" w:hAnsi="Work Sans" w:cs="Times New Roman"/>
          <w:sz w:val="20"/>
          <w:szCs w:val="20"/>
          <w:lang w:val="es-CO" w:eastAsia="es-ES"/>
        </w:rPr>
      </w:pPr>
      <w:r w:rsidRPr="00AA4A41">
        <w:rPr>
          <w:rFonts w:ascii="Work Sans" w:hAnsi="Work Sans" w:cs="Times New Roman"/>
          <w:sz w:val="20"/>
          <w:szCs w:val="20"/>
          <w:lang w:val="es-CO" w:eastAsia="es-ES"/>
        </w:rPr>
        <w:t xml:space="preserve">En mérito de lo expuesto, </w:t>
      </w:r>
    </w:p>
    <w:p w:rsidR="000A508C" w:rsidRPr="00AA4A41" w:rsidRDefault="000A508C">
      <w:pPr>
        <w:jc w:val="both"/>
        <w:rPr>
          <w:rFonts w:ascii="Work Sans" w:hAnsi="Work Sans" w:cs="Times New Roman"/>
          <w:sz w:val="20"/>
          <w:szCs w:val="20"/>
          <w:lang w:val="es-CO" w:eastAsia="es-ES"/>
        </w:rPr>
      </w:pPr>
    </w:p>
    <w:p w:rsidR="000A508C" w:rsidRPr="00AA4A41" w:rsidRDefault="006B5E98">
      <w:pPr>
        <w:jc w:val="center"/>
        <w:rPr>
          <w:rFonts w:ascii="Work Sans" w:hAnsi="Work Sans" w:cs="Times New Roman"/>
          <w:b/>
          <w:sz w:val="20"/>
          <w:szCs w:val="20"/>
          <w:lang w:eastAsia="es-ES"/>
        </w:rPr>
      </w:pPr>
      <w:r w:rsidRPr="00AA4A41">
        <w:rPr>
          <w:rFonts w:ascii="Work Sans" w:hAnsi="Work Sans" w:cs="Times New Roman"/>
          <w:b/>
          <w:sz w:val="20"/>
          <w:szCs w:val="20"/>
          <w:lang w:eastAsia="es-ES"/>
        </w:rPr>
        <w:t>RESUELVE:</w:t>
      </w:r>
    </w:p>
    <w:p w:rsidR="000A508C" w:rsidRPr="00AA4A41" w:rsidRDefault="000A508C">
      <w:pPr>
        <w:jc w:val="both"/>
        <w:rPr>
          <w:rFonts w:ascii="Work Sans" w:hAnsi="Work Sans" w:cs="Times New Roman"/>
          <w:sz w:val="20"/>
          <w:szCs w:val="20"/>
          <w:lang w:eastAsia="es-ES"/>
        </w:rPr>
      </w:pPr>
    </w:p>
    <w:p w:rsidR="000A508C" w:rsidRPr="00AA4A41" w:rsidRDefault="006B5E98">
      <w:pPr>
        <w:tabs>
          <w:tab w:val="left" w:pos="0"/>
        </w:tabs>
        <w:jc w:val="both"/>
        <w:rPr>
          <w:sz w:val="20"/>
          <w:szCs w:val="20"/>
        </w:rPr>
      </w:pPr>
      <w:r w:rsidRPr="00AA4A41">
        <w:rPr>
          <w:rFonts w:ascii="Work Sans" w:hAnsi="Work Sans" w:cs="Times New Roman"/>
          <w:b/>
          <w:bCs/>
          <w:sz w:val="20"/>
          <w:szCs w:val="20"/>
          <w:lang w:eastAsia="es-ES"/>
        </w:rPr>
        <w:t>ARTÍCULO PRIMERO:</w:t>
      </w:r>
      <w:r w:rsidRPr="00AA4A41">
        <w:rPr>
          <w:rFonts w:ascii="Work Sans" w:hAnsi="Work Sans" w:cs="Times New Roman"/>
          <w:sz w:val="20"/>
          <w:szCs w:val="20"/>
          <w:lang w:eastAsia="es-ES"/>
        </w:rPr>
        <w:t xml:space="preserve"> Dejar si</w:t>
      </w:r>
      <w:r w:rsidR="0097726D">
        <w:rPr>
          <w:rFonts w:ascii="Work Sans" w:hAnsi="Work Sans" w:cs="Times New Roman"/>
          <w:sz w:val="20"/>
          <w:szCs w:val="20"/>
          <w:lang w:eastAsia="es-ES"/>
        </w:rPr>
        <w:t>n</w:t>
      </w:r>
      <w:r w:rsidRPr="00AA4A41">
        <w:rPr>
          <w:rFonts w:ascii="Work Sans" w:hAnsi="Work Sans" w:cs="Times New Roman"/>
          <w:sz w:val="20"/>
          <w:szCs w:val="20"/>
          <w:lang w:eastAsia="es-ES"/>
        </w:rPr>
        <w:t xml:space="preserve"> efecto</w:t>
      </w:r>
      <w:r w:rsidR="00F83373">
        <w:rPr>
          <w:rFonts w:ascii="Work Sans" w:hAnsi="Work Sans" w:cs="Times New Roman"/>
          <w:sz w:val="20"/>
          <w:szCs w:val="20"/>
          <w:lang w:eastAsia="es-ES"/>
        </w:rPr>
        <w:t>s</w:t>
      </w:r>
      <w:r w:rsidRPr="00AA4A41">
        <w:rPr>
          <w:rFonts w:ascii="Work Sans" w:hAnsi="Work Sans" w:cs="Times New Roman"/>
          <w:sz w:val="20"/>
          <w:szCs w:val="20"/>
          <w:lang w:eastAsia="es-ES"/>
        </w:rPr>
        <w:t xml:space="preserve"> </w:t>
      </w:r>
      <w:r w:rsidR="0097726D">
        <w:rPr>
          <w:rFonts w:ascii="Work Sans" w:hAnsi="Work Sans" w:cs="Times New Roman"/>
          <w:sz w:val="20"/>
          <w:szCs w:val="20"/>
          <w:lang w:eastAsia="es-ES"/>
        </w:rPr>
        <w:t>la reubicación de la estación de peaje denominada El Patá del PR 53+4</w:t>
      </w:r>
      <w:r w:rsidR="00BA2679">
        <w:rPr>
          <w:rFonts w:ascii="Work Sans" w:hAnsi="Work Sans" w:cs="Times New Roman"/>
          <w:sz w:val="20"/>
          <w:szCs w:val="20"/>
          <w:lang w:eastAsia="es-ES"/>
        </w:rPr>
        <w:t>00 al PR 58+000, de que trata</w:t>
      </w:r>
      <w:r w:rsidR="0097726D">
        <w:rPr>
          <w:rFonts w:ascii="Work Sans" w:hAnsi="Work Sans" w:cs="Times New Roman"/>
          <w:sz w:val="20"/>
          <w:szCs w:val="20"/>
          <w:lang w:eastAsia="es-ES"/>
        </w:rPr>
        <w:t xml:space="preserve"> el artículo </w:t>
      </w:r>
      <w:r w:rsidR="00BA2679">
        <w:rPr>
          <w:rFonts w:ascii="Work Sans" w:hAnsi="Work Sans" w:cs="Times New Roman"/>
          <w:sz w:val="20"/>
          <w:szCs w:val="20"/>
          <w:lang w:eastAsia="es-ES"/>
        </w:rPr>
        <w:t>1°</w:t>
      </w:r>
      <w:r w:rsidR="0097726D">
        <w:rPr>
          <w:rFonts w:ascii="Work Sans" w:hAnsi="Work Sans" w:cs="Times New Roman"/>
          <w:sz w:val="20"/>
          <w:szCs w:val="20"/>
          <w:lang w:eastAsia="es-ES"/>
        </w:rPr>
        <w:t xml:space="preserve"> de la Resoluci</w:t>
      </w:r>
      <w:r w:rsidR="00027E5A">
        <w:rPr>
          <w:rFonts w:ascii="Work Sans" w:hAnsi="Work Sans" w:cs="Times New Roman"/>
          <w:sz w:val="20"/>
          <w:szCs w:val="20"/>
          <w:lang w:eastAsia="es-ES"/>
        </w:rPr>
        <w:t>ón</w:t>
      </w:r>
      <w:r w:rsidR="0097726D">
        <w:rPr>
          <w:rFonts w:ascii="Work Sans" w:hAnsi="Work Sans" w:cs="Times New Roman"/>
          <w:sz w:val="20"/>
          <w:szCs w:val="20"/>
          <w:lang w:eastAsia="es-ES"/>
        </w:rPr>
        <w:t xml:space="preserve"> 2109 de 2015 </w:t>
      </w:r>
      <w:r w:rsidRPr="00AA4A41">
        <w:rPr>
          <w:rFonts w:ascii="Work Sans" w:hAnsi="Work Sans" w:cs="Times New Roman"/>
          <w:sz w:val="20"/>
          <w:szCs w:val="20"/>
          <w:lang w:eastAsia="es-ES"/>
        </w:rPr>
        <w:t>del Ministerio de Transporte, por lo</w:t>
      </w:r>
      <w:r w:rsidR="004364AB">
        <w:rPr>
          <w:rFonts w:ascii="Work Sans" w:hAnsi="Work Sans" w:cs="Times New Roman"/>
          <w:sz w:val="20"/>
          <w:szCs w:val="20"/>
          <w:lang w:eastAsia="es-ES"/>
        </w:rPr>
        <w:t xml:space="preserve"> expuesto en la parte motiva, </w:t>
      </w:r>
      <w:r w:rsidRPr="00AA4A41">
        <w:rPr>
          <w:rFonts w:ascii="Work Sans" w:hAnsi="Work Sans" w:cs="Times New Roman"/>
          <w:sz w:val="20"/>
          <w:szCs w:val="20"/>
          <w:lang w:eastAsia="es-ES"/>
        </w:rPr>
        <w:t xml:space="preserve">en </w:t>
      </w:r>
      <w:proofErr w:type="gramStart"/>
      <w:r w:rsidRPr="00AA4A41">
        <w:rPr>
          <w:rFonts w:ascii="Work Sans" w:hAnsi="Work Sans" w:cs="Times New Roman"/>
          <w:sz w:val="20"/>
          <w:szCs w:val="20"/>
          <w:lang w:eastAsia="es-ES"/>
        </w:rPr>
        <w:t>consecuencia</w:t>
      </w:r>
      <w:proofErr w:type="gramEnd"/>
      <w:r w:rsidRPr="00AA4A41">
        <w:rPr>
          <w:rFonts w:ascii="Work Sans" w:hAnsi="Work Sans" w:cs="Times New Roman"/>
          <w:sz w:val="20"/>
          <w:szCs w:val="20"/>
          <w:lang w:eastAsia="es-ES"/>
        </w:rPr>
        <w:t xml:space="preserve"> se </w:t>
      </w:r>
      <w:r w:rsidR="0097726D">
        <w:rPr>
          <w:rFonts w:ascii="Work Sans" w:hAnsi="Work Sans" w:cs="Times New Roman"/>
          <w:sz w:val="20"/>
          <w:szCs w:val="20"/>
          <w:lang w:eastAsia="es-ES"/>
        </w:rPr>
        <w:t xml:space="preserve">mantiene la ubicación de la estación de peaje </w:t>
      </w:r>
      <w:r w:rsidRPr="00AA4A41">
        <w:rPr>
          <w:rFonts w:ascii="Work Sans" w:hAnsi="Work Sans" w:cs="Times New Roman"/>
          <w:sz w:val="20"/>
          <w:szCs w:val="20"/>
          <w:lang w:eastAsia="es-ES"/>
        </w:rPr>
        <w:t>en el PR</w:t>
      </w:r>
      <w:r w:rsidR="00027E5A">
        <w:rPr>
          <w:rFonts w:ascii="Work Sans" w:hAnsi="Work Sans" w:cs="Times New Roman"/>
          <w:sz w:val="20"/>
          <w:szCs w:val="20"/>
          <w:lang w:eastAsia="es-ES"/>
        </w:rPr>
        <w:t xml:space="preserve"> </w:t>
      </w:r>
      <w:r w:rsidRPr="00AA4A41">
        <w:rPr>
          <w:rFonts w:ascii="Work Sans" w:hAnsi="Work Sans" w:cs="Times New Roman"/>
          <w:sz w:val="20"/>
          <w:szCs w:val="20"/>
          <w:lang w:eastAsia="es-ES"/>
        </w:rPr>
        <w:t>53+400.</w:t>
      </w:r>
    </w:p>
    <w:p w:rsidR="000A508C" w:rsidRPr="00AA4A41" w:rsidRDefault="000A508C">
      <w:pPr>
        <w:tabs>
          <w:tab w:val="left" w:pos="0"/>
        </w:tabs>
        <w:ind w:left="708"/>
        <w:jc w:val="both"/>
        <w:rPr>
          <w:rFonts w:ascii="Work Sans" w:hAnsi="Work Sans" w:cs="Times New Roman"/>
          <w:i/>
          <w:sz w:val="20"/>
          <w:szCs w:val="20"/>
          <w:lang w:eastAsia="es-ES"/>
        </w:rPr>
      </w:pPr>
    </w:p>
    <w:p w:rsidR="000A508C" w:rsidRPr="00AA4A41" w:rsidRDefault="006B5E98">
      <w:pPr>
        <w:jc w:val="both"/>
        <w:rPr>
          <w:sz w:val="20"/>
          <w:szCs w:val="20"/>
        </w:rPr>
      </w:pPr>
      <w:r w:rsidRPr="00AA4A41">
        <w:rPr>
          <w:rFonts w:ascii="Work Sans" w:hAnsi="Work Sans" w:cs="Times New Roman"/>
          <w:b/>
          <w:sz w:val="20"/>
          <w:szCs w:val="20"/>
          <w:lang w:eastAsia="es-ES"/>
        </w:rPr>
        <w:t xml:space="preserve">ARTÍCULO SEGUNDO: </w:t>
      </w:r>
      <w:r w:rsidRPr="00AA4A41">
        <w:rPr>
          <w:rFonts w:ascii="Work Sans" w:hAnsi="Work Sans" w:cs="Times New Roman"/>
          <w:sz w:val="20"/>
          <w:szCs w:val="20"/>
          <w:lang w:eastAsia="es-ES"/>
        </w:rPr>
        <w:t xml:space="preserve">Los demás términos de la Resolución No. 0002109 de 2015 modificada por la Resolución 1789 de 2017 del Ministerio de Transporte, continúan vigentes.  </w:t>
      </w:r>
    </w:p>
    <w:p w:rsidR="000A508C" w:rsidRPr="00AA4A41" w:rsidRDefault="000A508C">
      <w:pPr>
        <w:jc w:val="both"/>
        <w:rPr>
          <w:rFonts w:ascii="Work Sans" w:hAnsi="Work Sans" w:cs="Times New Roman"/>
          <w:sz w:val="20"/>
          <w:szCs w:val="20"/>
          <w:lang w:eastAsia="es-ES"/>
        </w:rPr>
      </w:pPr>
    </w:p>
    <w:p w:rsidR="000A508C" w:rsidRPr="00AA4A41" w:rsidRDefault="006B5E98">
      <w:pPr>
        <w:jc w:val="both"/>
        <w:rPr>
          <w:sz w:val="20"/>
          <w:szCs w:val="20"/>
        </w:rPr>
      </w:pPr>
      <w:r w:rsidRPr="00AA4A41">
        <w:rPr>
          <w:rFonts w:ascii="Work Sans" w:hAnsi="Work Sans" w:cs="Times New Roman"/>
          <w:b/>
          <w:bCs/>
          <w:sz w:val="20"/>
          <w:szCs w:val="20"/>
          <w:lang w:eastAsia="es-ES"/>
        </w:rPr>
        <w:t xml:space="preserve">ARTÍCULO TERCERO: </w:t>
      </w:r>
      <w:r w:rsidRPr="00AA4A41">
        <w:rPr>
          <w:rFonts w:ascii="Work Sans" w:hAnsi="Work Sans" w:cs="Times New Roman"/>
          <w:sz w:val="20"/>
          <w:szCs w:val="20"/>
          <w:lang w:eastAsia="es-ES"/>
        </w:rPr>
        <w:t xml:space="preserve">La Agencia Nacional de Infraestructura deberá tener en sus archivos todos los documentos que sirvieron de sustento para la expedición del presente acto administrativo y ponerlos a disposición de las autoridades que los requieran.  </w:t>
      </w:r>
    </w:p>
    <w:p w:rsidR="000A508C" w:rsidRPr="00AA4A41" w:rsidRDefault="000A508C">
      <w:pPr>
        <w:jc w:val="both"/>
        <w:rPr>
          <w:rFonts w:ascii="Work Sans" w:hAnsi="Work Sans" w:cs="Times New Roman"/>
          <w:b/>
          <w:sz w:val="20"/>
          <w:szCs w:val="20"/>
          <w:lang w:eastAsia="es-ES"/>
        </w:rPr>
      </w:pPr>
    </w:p>
    <w:p w:rsidR="000A508C" w:rsidRPr="00AA4A41" w:rsidRDefault="006B5E98">
      <w:pPr>
        <w:jc w:val="both"/>
        <w:rPr>
          <w:sz w:val="20"/>
          <w:szCs w:val="20"/>
        </w:rPr>
      </w:pPr>
      <w:r w:rsidRPr="00AA4A41">
        <w:rPr>
          <w:rFonts w:ascii="Work Sans" w:hAnsi="Work Sans" w:cs="Times New Roman"/>
          <w:b/>
          <w:sz w:val="20"/>
          <w:szCs w:val="20"/>
          <w:lang w:eastAsia="es-ES"/>
        </w:rPr>
        <w:t xml:space="preserve">ARTÍCULO CUARTO: </w:t>
      </w:r>
      <w:r w:rsidRPr="00AA4A41">
        <w:rPr>
          <w:rFonts w:ascii="Work Sans" w:hAnsi="Work Sans" w:cs="Times New Roman"/>
          <w:sz w:val="20"/>
          <w:szCs w:val="20"/>
          <w:lang w:eastAsia="es-ES"/>
        </w:rPr>
        <w:t>La presente Resolución rige a partir de su publicación.</w:t>
      </w:r>
    </w:p>
    <w:p w:rsidR="000A508C" w:rsidRPr="00AA4A41" w:rsidRDefault="000A508C">
      <w:pPr>
        <w:tabs>
          <w:tab w:val="left" w:pos="0"/>
        </w:tabs>
        <w:jc w:val="both"/>
        <w:rPr>
          <w:rFonts w:ascii="Work Sans" w:hAnsi="Work Sans" w:cs="Times New Roman"/>
          <w:sz w:val="20"/>
          <w:szCs w:val="20"/>
          <w:lang w:eastAsia="es-ES"/>
        </w:rPr>
      </w:pPr>
    </w:p>
    <w:p w:rsidR="00AA4A41" w:rsidRDefault="00AA4A41">
      <w:pPr>
        <w:pStyle w:val="Standard"/>
        <w:autoSpaceDE w:val="0"/>
        <w:jc w:val="center"/>
        <w:rPr>
          <w:rFonts w:ascii="Work Sans" w:hAnsi="Work Sans" w:cs="Times New Roman"/>
          <w:b/>
          <w:bCs/>
          <w:sz w:val="20"/>
        </w:rPr>
      </w:pPr>
    </w:p>
    <w:p w:rsidR="000A508C" w:rsidRPr="00AA4A41" w:rsidRDefault="006B5E98">
      <w:pPr>
        <w:pStyle w:val="Standard"/>
        <w:autoSpaceDE w:val="0"/>
        <w:jc w:val="center"/>
        <w:rPr>
          <w:sz w:val="20"/>
        </w:rPr>
      </w:pPr>
      <w:r w:rsidRPr="00AA4A41">
        <w:rPr>
          <w:rFonts w:ascii="Work Sans" w:hAnsi="Work Sans" w:cs="Times New Roman"/>
          <w:b/>
          <w:bCs/>
          <w:sz w:val="20"/>
        </w:rPr>
        <w:t>PUBLÍQUESE Y CÚMPLASE</w:t>
      </w:r>
    </w:p>
    <w:p w:rsidR="000A508C" w:rsidRPr="00AA4A41" w:rsidRDefault="000A508C">
      <w:pPr>
        <w:pStyle w:val="Standard"/>
        <w:autoSpaceDE w:val="0"/>
        <w:jc w:val="center"/>
        <w:rPr>
          <w:sz w:val="20"/>
        </w:rPr>
      </w:pPr>
    </w:p>
    <w:p w:rsidR="000A508C" w:rsidRPr="00AA4A41" w:rsidRDefault="000A508C">
      <w:pPr>
        <w:pStyle w:val="Standard"/>
        <w:autoSpaceDE w:val="0"/>
        <w:rPr>
          <w:rFonts w:ascii="Work Sans" w:hAnsi="Work Sans" w:cs="Times New Roman"/>
          <w:i/>
          <w:sz w:val="20"/>
        </w:rPr>
      </w:pPr>
    </w:p>
    <w:p w:rsidR="000A508C" w:rsidRPr="00AA4A41" w:rsidRDefault="006B5E98">
      <w:pPr>
        <w:tabs>
          <w:tab w:val="left" w:pos="0"/>
        </w:tabs>
        <w:rPr>
          <w:rFonts w:ascii="Work Sans" w:hAnsi="Work Sans" w:cs="Times New Roman"/>
          <w:sz w:val="20"/>
          <w:szCs w:val="20"/>
          <w:lang w:eastAsia="es-ES"/>
        </w:rPr>
      </w:pPr>
      <w:r w:rsidRPr="00AA4A41">
        <w:rPr>
          <w:rFonts w:ascii="Work Sans" w:hAnsi="Work Sans" w:cs="Times New Roman"/>
          <w:sz w:val="20"/>
          <w:szCs w:val="20"/>
          <w:lang w:eastAsia="es-ES"/>
        </w:rPr>
        <w:t xml:space="preserve">Dada en Bogotá D.C., a los </w:t>
      </w:r>
    </w:p>
    <w:p w:rsidR="000A508C" w:rsidRPr="00AA4A41" w:rsidRDefault="000A508C">
      <w:pPr>
        <w:tabs>
          <w:tab w:val="left" w:pos="0"/>
        </w:tabs>
        <w:jc w:val="both"/>
        <w:rPr>
          <w:rFonts w:ascii="Work Sans" w:hAnsi="Work Sans" w:cs="Times New Roman"/>
          <w:sz w:val="20"/>
          <w:szCs w:val="20"/>
          <w:lang w:eastAsia="es-ES"/>
        </w:rPr>
      </w:pPr>
    </w:p>
    <w:p w:rsidR="000A508C" w:rsidRPr="00AA4A41" w:rsidRDefault="000A508C">
      <w:pPr>
        <w:tabs>
          <w:tab w:val="left" w:pos="0"/>
        </w:tabs>
        <w:jc w:val="both"/>
        <w:rPr>
          <w:rFonts w:ascii="Work Sans" w:hAnsi="Work Sans" w:cs="Times New Roman"/>
          <w:sz w:val="20"/>
          <w:szCs w:val="20"/>
          <w:lang w:eastAsia="es-ES"/>
        </w:rPr>
      </w:pPr>
    </w:p>
    <w:p w:rsidR="000A508C" w:rsidRPr="00AA4A41" w:rsidRDefault="000A508C">
      <w:pPr>
        <w:tabs>
          <w:tab w:val="left" w:pos="0"/>
        </w:tabs>
        <w:jc w:val="both"/>
        <w:rPr>
          <w:rFonts w:ascii="Work Sans" w:hAnsi="Work Sans" w:cs="Times New Roman"/>
          <w:sz w:val="20"/>
          <w:szCs w:val="20"/>
          <w:lang w:eastAsia="es-ES"/>
        </w:rPr>
      </w:pPr>
    </w:p>
    <w:p w:rsidR="000A508C" w:rsidRPr="00AA4A41" w:rsidRDefault="000A508C">
      <w:pPr>
        <w:tabs>
          <w:tab w:val="left" w:pos="0"/>
        </w:tabs>
        <w:jc w:val="both"/>
        <w:rPr>
          <w:rFonts w:ascii="Work Sans" w:hAnsi="Work Sans" w:cs="Times New Roman"/>
          <w:sz w:val="20"/>
          <w:szCs w:val="20"/>
          <w:lang w:eastAsia="es-ES"/>
        </w:rPr>
      </w:pPr>
    </w:p>
    <w:p w:rsidR="000A508C" w:rsidRPr="00AA4A41" w:rsidRDefault="000A508C">
      <w:pPr>
        <w:tabs>
          <w:tab w:val="left" w:pos="0"/>
        </w:tabs>
        <w:jc w:val="both"/>
        <w:rPr>
          <w:rFonts w:ascii="Work Sans" w:hAnsi="Work Sans" w:cs="Times New Roman"/>
          <w:sz w:val="20"/>
          <w:szCs w:val="20"/>
          <w:lang w:eastAsia="es-ES"/>
        </w:rPr>
      </w:pPr>
    </w:p>
    <w:p w:rsidR="000A508C" w:rsidRPr="00AA4A41" w:rsidRDefault="000A508C">
      <w:pPr>
        <w:tabs>
          <w:tab w:val="left" w:pos="0"/>
        </w:tabs>
        <w:jc w:val="both"/>
        <w:rPr>
          <w:rFonts w:ascii="Work Sans" w:hAnsi="Work Sans" w:cs="Times New Roman"/>
          <w:sz w:val="20"/>
          <w:szCs w:val="20"/>
          <w:lang w:eastAsia="es-ES"/>
        </w:rPr>
      </w:pPr>
    </w:p>
    <w:p w:rsidR="000A508C" w:rsidRPr="00AA4A41" w:rsidRDefault="000A508C">
      <w:pPr>
        <w:tabs>
          <w:tab w:val="left" w:pos="0"/>
        </w:tabs>
        <w:jc w:val="both"/>
        <w:rPr>
          <w:rFonts w:ascii="Work Sans" w:hAnsi="Work Sans" w:cs="Times New Roman"/>
          <w:sz w:val="20"/>
          <w:szCs w:val="20"/>
          <w:lang w:eastAsia="es-ES"/>
        </w:rPr>
      </w:pPr>
    </w:p>
    <w:p w:rsidR="000A508C" w:rsidRPr="00AA4A41" w:rsidRDefault="000A508C">
      <w:pPr>
        <w:tabs>
          <w:tab w:val="left" w:pos="0"/>
        </w:tabs>
        <w:jc w:val="both"/>
        <w:rPr>
          <w:rFonts w:ascii="Work Sans" w:hAnsi="Work Sans" w:cs="Times New Roman"/>
          <w:sz w:val="20"/>
          <w:szCs w:val="20"/>
          <w:lang w:eastAsia="es-ES"/>
        </w:rPr>
      </w:pPr>
    </w:p>
    <w:p w:rsidR="000A508C" w:rsidRPr="00AA4A41" w:rsidRDefault="006B5E98">
      <w:pPr>
        <w:jc w:val="center"/>
        <w:rPr>
          <w:sz w:val="20"/>
          <w:szCs w:val="20"/>
        </w:rPr>
      </w:pPr>
      <w:r w:rsidRPr="00AA4A41">
        <w:rPr>
          <w:rFonts w:ascii="Work Sans" w:hAnsi="Work Sans" w:cs="Times New Roman"/>
          <w:b/>
          <w:bCs/>
          <w:sz w:val="20"/>
          <w:szCs w:val="20"/>
        </w:rPr>
        <w:t>ÁNGELA MARÍA OROZCO GÓMEZ</w:t>
      </w:r>
    </w:p>
    <w:p w:rsidR="000A508C" w:rsidRPr="00AA4A41" w:rsidRDefault="000A508C">
      <w:pPr>
        <w:tabs>
          <w:tab w:val="left" w:pos="0"/>
        </w:tabs>
        <w:jc w:val="center"/>
        <w:rPr>
          <w:rFonts w:ascii="Work Sans" w:hAnsi="Work Sans" w:cs="Times New Roman"/>
          <w:sz w:val="20"/>
          <w:szCs w:val="20"/>
        </w:rPr>
      </w:pPr>
    </w:p>
    <w:p w:rsidR="000A508C" w:rsidRPr="00AA4A41" w:rsidRDefault="000A508C">
      <w:pPr>
        <w:rPr>
          <w:rFonts w:ascii="Work Sans" w:hAnsi="Work Sans" w:cs="Times New Roman"/>
          <w:sz w:val="20"/>
          <w:szCs w:val="20"/>
        </w:rPr>
      </w:pPr>
    </w:p>
    <w:p w:rsidR="000A508C" w:rsidRPr="00AA4A41" w:rsidRDefault="000A508C">
      <w:pPr>
        <w:rPr>
          <w:rFonts w:ascii="Work Sans" w:hAnsi="Work Sans" w:cs="Times New Roman"/>
          <w:sz w:val="20"/>
          <w:szCs w:val="20"/>
        </w:rPr>
      </w:pPr>
    </w:p>
    <w:p w:rsidR="000A508C" w:rsidRPr="00AA4A41" w:rsidRDefault="000A508C">
      <w:pPr>
        <w:rPr>
          <w:rFonts w:ascii="Work Sans" w:hAnsi="Work Sans" w:cs="Times New Roman"/>
          <w:sz w:val="20"/>
          <w:szCs w:val="20"/>
        </w:rPr>
      </w:pPr>
    </w:p>
    <w:p w:rsidR="000A508C" w:rsidRPr="00AA4A41" w:rsidRDefault="000A508C">
      <w:pPr>
        <w:rPr>
          <w:rFonts w:ascii="Work Sans" w:hAnsi="Work Sans" w:cs="Times New Roman"/>
          <w:sz w:val="16"/>
          <w:szCs w:val="16"/>
        </w:rPr>
      </w:pPr>
    </w:p>
    <w:p w:rsidR="000A508C" w:rsidRPr="00AA4A41" w:rsidRDefault="006B5E98">
      <w:pPr>
        <w:widowControl/>
        <w:rPr>
          <w:rFonts w:ascii="Work Sans" w:hAnsi="Work Sans" w:cs="Arial"/>
          <w:sz w:val="16"/>
          <w:szCs w:val="16"/>
          <w:lang w:val="es-CO" w:bidi="ar-SA"/>
        </w:rPr>
      </w:pPr>
      <w:r w:rsidRPr="00AA4A41">
        <w:rPr>
          <w:rFonts w:ascii="Work Sans" w:hAnsi="Work Sans" w:cs="Arial"/>
          <w:sz w:val="16"/>
          <w:szCs w:val="16"/>
          <w:lang w:val="es-CO" w:bidi="ar-SA"/>
        </w:rPr>
        <w:t>Revisó:   Louis Francois Kleyn Lopez – Presidente Agencia Nacional de Infraestructura</w:t>
      </w:r>
    </w:p>
    <w:p w:rsidR="000A508C" w:rsidRPr="00AA4A41" w:rsidRDefault="006B5E98">
      <w:pPr>
        <w:widowControl/>
        <w:rPr>
          <w:rFonts w:ascii="Work Sans" w:hAnsi="Work Sans" w:cs="Arial"/>
          <w:sz w:val="16"/>
          <w:szCs w:val="16"/>
          <w:lang w:val="es-CO" w:bidi="ar-SA"/>
        </w:rPr>
      </w:pPr>
      <w:r w:rsidRPr="00AA4A41">
        <w:rPr>
          <w:rFonts w:ascii="Work Sans" w:hAnsi="Work Sans" w:cs="Arial"/>
          <w:sz w:val="16"/>
          <w:szCs w:val="16"/>
          <w:lang w:val="es-CO" w:bidi="ar-SA"/>
        </w:rPr>
        <w:tab/>
        <w:t>Manuel Felipe Gutierrez Torres – Viceministro de Infraestructura del MT</w:t>
      </w:r>
    </w:p>
    <w:p w:rsidR="000A508C" w:rsidRPr="00AA4A41" w:rsidRDefault="006B5E98">
      <w:pPr>
        <w:ind w:firstLine="720"/>
        <w:rPr>
          <w:sz w:val="16"/>
          <w:szCs w:val="16"/>
        </w:rPr>
      </w:pPr>
      <w:r w:rsidRPr="00AA4A41">
        <w:rPr>
          <w:rFonts w:ascii="Work Sans" w:hAnsi="Work Sans" w:cs="Times New Roman"/>
          <w:spacing w:val="-3"/>
          <w:sz w:val="16"/>
          <w:szCs w:val="16"/>
          <w:lang w:eastAsia="es-ES"/>
        </w:rPr>
        <w:t>Mario Franco Morales – Jefe Oficina Regulación Económica (E) del MT</w:t>
      </w:r>
    </w:p>
    <w:p w:rsidR="000A508C" w:rsidRPr="00AA4A41" w:rsidRDefault="006B5E98">
      <w:pPr>
        <w:tabs>
          <w:tab w:val="left" w:pos="-720"/>
        </w:tabs>
        <w:jc w:val="both"/>
        <w:rPr>
          <w:rFonts w:ascii="Work Sans" w:hAnsi="Work Sans" w:cs="Times New Roman"/>
          <w:spacing w:val="-3"/>
          <w:sz w:val="16"/>
          <w:szCs w:val="16"/>
          <w:lang w:eastAsia="es-ES"/>
        </w:rPr>
      </w:pPr>
      <w:r w:rsidRPr="00AA4A41">
        <w:rPr>
          <w:rFonts w:ascii="Work Sans" w:hAnsi="Work Sans" w:cs="Times New Roman"/>
          <w:spacing w:val="-3"/>
          <w:sz w:val="16"/>
          <w:szCs w:val="16"/>
          <w:lang w:eastAsia="es-ES"/>
        </w:rPr>
        <w:tab/>
        <w:t xml:space="preserve">Sol Angel cala Acosta- Jefe Oficina Asesora de Jurídica del MT       </w:t>
      </w:r>
    </w:p>
    <w:p w:rsidR="000A508C" w:rsidRPr="00AA4A41" w:rsidRDefault="006B5E98">
      <w:pPr>
        <w:tabs>
          <w:tab w:val="left" w:pos="-720"/>
        </w:tabs>
        <w:jc w:val="both"/>
        <w:rPr>
          <w:rFonts w:ascii="Work Sans" w:hAnsi="Work Sans" w:cs="Times New Roman"/>
          <w:spacing w:val="-3"/>
          <w:sz w:val="16"/>
          <w:szCs w:val="16"/>
          <w:lang w:eastAsia="es-ES"/>
        </w:rPr>
      </w:pPr>
      <w:r w:rsidRPr="00AA4A41">
        <w:rPr>
          <w:rFonts w:ascii="Work Sans" w:hAnsi="Work Sans" w:cs="Times New Roman"/>
          <w:spacing w:val="-3"/>
          <w:sz w:val="16"/>
          <w:szCs w:val="16"/>
          <w:lang w:eastAsia="es-ES"/>
        </w:rPr>
        <w:tab/>
        <w:t>Claudia Patricia Roa Orjuela - Coordinadora Grupo Conceptos y Apoyo Legal del MT</w:t>
      </w:r>
    </w:p>
    <w:p w:rsidR="000A508C" w:rsidRPr="00AA4A41" w:rsidRDefault="006B5E98">
      <w:pPr>
        <w:rPr>
          <w:sz w:val="16"/>
          <w:szCs w:val="16"/>
        </w:rPr>
      </w:pPr>
      <w:r w:rsidRPr="00AA4A41">
        <w:rPr>
          <w:rFonts w:ascii="Work Sans" w:hAnsi="Work Sans" w:cs="Times New Roman"/>
          <w:sz w:val="16"/>
          <w:szCs w:val="16"/>
        </w:rPr>
        <w:tab/>
        <w:t xml:space="preserve">Amparo Ramirez Cruz - </w:t>
      </w:r>
      <w:r w:rsidRPr="00AA4A41">
        <w:rPr>
          <w:rFonts w:ascii="Work Sans" w:hAnsi="Work Sans" w:cs="Times New Roman"/>
          <w:spacing w:val="-3"/>
          <w:sz w:val="16"/>
          <w:szCs w:val="16"/>
          <w:lang w:eastAsia="es-ES"/>
        </w:rPr>
        <w:t>Grupo Conceptos y Apoyo Legal del MT</w:t>
      </w:r>
    </w:p>
    <w:p w:rsidR="000A508C" w:rsidRPr="00AA4A41" w:rsidRDefault="006B5E98">
      <w:pPr>
        <w:ind w:firstLine="720"/>
        <w:rPr>
          <w:rFonts w:ascii="Work Sans" w:hAnsi="Work Sans" w:cs="Times New Roman"/>
          <w:sz w:val="16"/>
          <w:szCs w:val="16"/>
        </w:rPr>
      </w:pPr>
      <w:r w:rsidRPr="00AA4A41">
        <w:rPr>
          <w:rFonts w:ascii="Work Sans" w:hAnsi="Work Sans" w:cs="Times New Roman"/>
          <w:sz w:val="16"/>
          <w:szCs w:val="16"/>
        </w:rPr>
        <w:t>Fernando Ramírez Laguado- Vicepresidente Jurídico - ANI</w:t>
      </w:r>
    </w:p>
    <w:p w:rsidR="000A508C" w:rsidRPr="00AA4A41" w:rsidRDefault="006B5E98">
      <w:pPr>
        <w:ind w:firstLine="720"/>
        <w:rPr>
          <w:rFonts w:ascii="Work Sans" w:hAnsi="Work Sans" w:cs="Times New Roman"/>
          <w:sz w:val="16"/>
          <w:szCs w:val="16"/>
        </w:rPr>
      </w:pPr>
      <w:r w:rsidRPr="00AA4A41">
        <w:rPr>
          <w:rFonts w:ascii="Work Sans" w:hAnsi="Work Sans" w:cs="Times New Roman"/>
          <w:sz w:val="16"/>
          <w:szCs w:val="16"/>
        </w:rPr>
        <w:t>Luis Eduardo Gutiérrez Díaz – Vicepresidente de Gestión Contractual - ANI</w:t>
      </w:r>
    </w:p>
    <w:p w:rsidR="000A508C" w:rsidRPr="00AA4A41" w:rsidRDefault="006B5E98">
      <w:pPr>
        <w:ind w:firstLine="720"/>
        <w:rPr>
          <w:rFonts w:ascii="Work Sans" w:hAnsi="Work Sans" w:cs="Times New Roman"/>
          <w:sz w:val="16"/>
          <w:szCs w:val="16"/>
        </w:rPr>
      </w:pPr>
      <w:r w:rsidRPr="00AA4A41">
        <w:rPr>
          <w:rFonts w:ascii="Work Sans" w:hAnsi="Work Sans" w:cs="Times New Roman"/>
          <w:sz w:val="16"/>
          <w:szCs w:val="16"/>
        </w:rPr>
        <w:t>Gabriel Vélez Calderón – Gerente de Proyecto G2 09 Vicepresidencia Jurídica – ANI</w:t>
      </w:r>
    </w:p>
    <w:p w:rsidR="000A508C" w:rsidRPr="00AA4A41" w:rsidRDefault="006B5E98">
      <w:pPr>
        <w:ind w:firstLine="720"/>
        <w:rPr>
          <w:rFonts w:ascii="Work Sans" w:hAnsi="Work Sans" w:cs="Times New Roman"/>
          <w:sz w:val="16"/>
          <w:szCs w:val="16"/>
        </w:rPr>
      </w:pPr>
      <w:r w:rsidRPr="00AA4A41">
        <w:rPr>
          <w:rFonts w:ascii="Work Sans" w:hAnsi="Work Sans" w:cs="Times New Roman"/>
          <w:sz w:val="16"/>
          <w:szCs w:val="16"/>
        </w:rPr>
        <w:t>Manuel Isidro Raigozo Rubio – Gerente de Proyectos Carreteros1 - ANI</w:t>
      </w:r>
    </w:p>
    <w:p w:rsidR="000A508C" w:rsidRPr="00AA4A41" w:rsidRDefault="006B5E98">
      <w:pPr>
        <w:ind w:firstLine="720"/>
        <w:rPr>
          <w:rFonts w:ascii="Work Sans" w:hAnsi="Work Sans" w:cs="Times New Roman"/>
          <w:sz w:val="16"/>
          <w:szCs w:val="16"/>
        </w:rPr>
      </w:pPr>
      <w:r w:rsidRPr="00AA4A41">
        <w:rPr>
          <w:rFonts w:ascii="Work Sans" w:hAnsi="Work Sans" w:cs="Times New Roman"/>
          <w:sz w:val="16"/>
          <w:szCs w:val="16"/>
        </w:rPr>
        <w:t>Olga Nathalia Vargas Ramírez – Líder equipo de apoyo a la Supervisión - ANI</w:t>
      </w:r>
    </w:p>
    <w:p w:rsidR="000A508C" w:rsidRPr="00AA4A41" w:rsidRDefault="006B5E98" w:rsidP="00BA2679">
      <w:pPr>
        <w:ind w:firstLine="720"/>
        <w:rPr>
          <w:rFonts w:ascii="Work Sans" w:hAnsi="Work Sans"/>
          <w:sz w:val="16"/>
          <w:szCs w:val="16"/>
        </w:rPr>
      </w:pPr>
      <w:r w:rsidRPr="00AA4A41">
        <w:rPr>
          <w:rFonts w:ascii="Work Sans" w:hAnsi="Work Sans" w:cs="Times New Roman"/>
          <w:sz w:val="16"/>
          <w:szCs w:val="16"/>
        </w:rPr>
        <w:t>Lilian Correa Solano – Contratista Vicepresidencia Jurídica – ANI</w:t>
      </w:r>
    </w:p>
    <w:sectPr w:rsidR="000A508C" w:rsidRPr="00AA4A41">
      <w:headerReference w:type="default" r:id="rId7"/>
      <w:headerReference w:type="first" r:id="rId8"/>
      <w:pgSz w:w="11906" w:h="18720"/>
      <w:pgMar w:top="1417" w:right="1701" w:bottom="1417" w:left="1701" w:header="850" w:footer="567" w:gutter="0"/>
      <w:pgBorders>
        <w:top w:val="single" w:sz="4" w:space="15" w:color="000000"/>
        <w:left w:val="single" w:sz="4" w:space="15" w:color="000000"/>
        <w:bottom w:val="single" w:sz="4" w:space="15" w:color="000000"/>
        <w:right w:val="single" w:sz="4" w:space="15" w:color="000000"/>
      </w:pgBorders>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0AD" w:rsidRDefault="008420AD">
      <w:r>
        <w:separator/>
      </w:r>
    </w:p>
  </w:endnote>
  <w:endnote w:type="continuationSeparator" w:id="0">
    <w:p w:rsidR="008420AD" w:rsidRDefault="0084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w:altName w:val="Segoe UI"/>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1"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Work Sans">
    <w:panose1 w:val="00000500000000000000"/>
    <w:charset w:val="00"/>
    <w:family w:val="modern"/>
    <w:notTrueType/>
    <w:pitch w:val="variable"/>
    <w:sig w:usb0="20000007" w:usb1="00000001" w:usb2="00000000" w:usb3="00000000" w:csb0="00000193"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0AD" w:rsidRDefault="008420AD">
      <w:r>
        <w:rPr>
          <w:color w:val="000000"/>
        </w:rPr>
        <w:separator/>
      </w:r>
    </w:p>
  </w:footnote>
  <w:footnote w:type="continuationSeparator" w:id="0">
    <w:p w:rsidR="008420AD" w:rsidRDefault="008420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66" w:rsidRDefault="006B5E98">
    <w:pPr>
      <w:pStyle w:val="Standard"/>
      <w:tabs>
        <w:tab w:val="left" w:pos="-720"/>
      </w:tabs>
      <w:jc w:val="both"/>
    </w:pPr>
    <w:r>
      <w:rPr>
        <w:rFonts w:ascii="Work Sans" w:hAnsi="Work Sans" w:cs="Garamond"/>
        <w:b/>
        <w:spacing w:val="-3"/>
        <w:sz w:val="22"/>
        <w:szCs w:val="22"/>
      </w:rPr>
      <w:t xml:space="preserve">RESOLUCIÓN NÚMERO                                                                   HOJA No. </w:t>
    </w:r>
    <w:r>
      <w:rPr>
        <w:rStyle w:val="Nmerodepgina"/>
        <w:rFonts w:ascii="Work Sans" w:hAnsi="Work Sans" w:cs="Garamond"/>
        <w:b/>
        <w:sz w:val="22"/>
        <w:szCs w:val="22"/>
      </w:rPr>
      <w:fldChar w:fldCharType="begin"/>
    </w:r>
    <w:r>
      <w:rPr>
        <w:rStyle w:val="Nmerodepgina"/>
        <w:rFonts w:ascii="Work Sans" w:hAnsi="Work Sans" w:cs="Garamond"/>
        <w:b/>
        <w:sz w:val="22"/>
        <w:szCs w:val="22"/>
      </w:rPr>
      <w:instrText xml:space="preserve"> PAGE </w:instrText>
    </w:r>
    <w:r>
      <w:rPr>
        <w:rStyle w:val="Nmerodepgina"/>
        <w:rFonts w:ascii="Work Sans" w:hAnsi="Work Sans" w:cs="Garamond"/>
        <w:b/>
        <w:sz w:val="22"/>
        <w:szCs w:val="22"/>
      </w:rPr>
      <w:fldChar w:fldCharType="separate"/>
    </w:r>
    <w:r w:rsidR="00A455E0">
      <w:rPr>
        <w:rStyle w:val="Nmerodepgina"/>
        <w:rFonts w:ascii="Work Sans" w:hAnsi="Work Sans" w:cs="Garamond"/>
        <w:b/>
        <w:noProof/>
        <w:sz w:val="22"/>
        <w:szCs w:val="22"/>
      </w:rPr>
      <w:t>5</w:t>
    </w:r>
    <w:r>
      <w:rPr>
        <w:rStyle w:val="Nmerodepgina"/>
        <w:rFonts w:ascii="Work Sans" w:hAnsi="Work Sans" w:cs="Garamond"/>
        <w:b/>
        <w:sz w:val="22"/>
        <w:szCs w:val="22"/>
      </w:rPr>
      <w:fldChar w:fldCharType="end"/>
    </w:r>
  </w:p>
  <w:p w:rsidR="000F3066" w:rsidRDefault="000F3066">
    <w:pPr>
      <w:pStyle w:val="Standard"/>
      <w:ind w:right="360"/>
      <w:jc w:val="both"/>
      <w:rPr>
        <w:rFonts w:ascii="Garamond" w:hAnsi="Garamond" w:cs="Garamond"/>
        <w:i/>
        <w:spacing w:val="-3"/>
        <w:sz w:val="22"/>
        <w:szCs w:val="22"/>
      </w:rPr>
    </w:pPr>
  </w:p>
  <w:p w:rsidR="000F3066" w:rsidRPr="00F83373" w:rsidRDefault="006B5E98">
    <w:pPr>
      <w:tabs>
        <w:tab w:val="center" w:pos="4680"/>
      </w:tabs>
      <w:ind w:left="142" w:right="-14"/>
      <w:jc w:val="center"/>
      <w:rPr>
        <w:rFonts w:ascii="Work Sans" w:hAnsi="Work Sans" w:cs="Arial"/>
        <w:i/>
        <w:sz w:val="20"/>
        <w:szCs w:val="22"/>
        <w:lang w:val="es-CO"/>
      </w:rPr>
    </w:pPr>
    <w:r>
      <w:rPr>
        <w:rFonts w:ascii="Work Sans" w:hAnsi="Work Sans" w:cs="Arial"/>
        <w:i/>
        <w:sz w:val="20"/>
        <w:szCs w:val="22"/>
        <w:lang w:val="es-CO"/>
      </w:rPr>
      <w:t>“</w:t>
    </w:r>
    <w:r w:rsidRPr="00F83373">
      <w:rPr>
        <w:rFonts w:ascii="Work Sans" w:hAnsi="Work Sans" w:cs="Arial"/>
        <w:i/>
        <w:sz w:val="20"/>
        <w:szCs w:val="22"/>
        <w:lang w:val="es-CO"/>
      </w:rPr>
      <w:t>Por la cual se deja sin efecto</w:t>
    </w:r>
    <w:r w:rsidR="00F83373">
      <w:rPr>
        <w:rFonts w:ascii="Work Sans" w:hAnsi="Work Sans" w:cs="Arial"/>
        <w:i/>
        <w:sz w:val="20"/>
        <w:szCs w:val="22"/>
        <w:lang w:val="es-CO"/>
      </w:rPr>
      <w:t>s</w:t>
    </w:r>
    <w:r w:rsidR="00F83373" w:rsidRPr="00F83373">
      <w:rPr>
        <w:rFonts w:ascii="Work Sans" w:hAnsi="Work Sans" w:cs="Arial"/>
        <w:i/>
        <w:sz w:val="20"/>
        <w:szCs w:val="22"/>
        <w:lang w:val="es-CO"/>
      </w:rPr>
      <w:t xml:space="preserve"> </w:t>
    </w:r>
    <w:r w:rsidR="00F83373" w:rsidRPr="00F83373">
      <w:rPr>
        <w:rFonts w:ascii="Work Sans" w:hAnsi="Work Sans" w:cs="Times New Roman"/>
        <w:i/>
        <w:sz w:val="20"/>
        <w:szCs w:val="20"/>
        <w:lang w:eastAsia="es-ES"/>
      </w:rPr>
      <w:t xml:space="preserve">la reubicación de la estación de peaje denominada El Patá, de que trata la el artículo </w:t>
    </w:r>
    <w:r w:rsidR="00BA2679">
      <w:rPr>
        <w:rFonts w:ascii="Work Sans" w:hAnsi="Work Sans" w:cs="Times New Roman"/>
        <w:i/>
        <w:sz w:val="20"/>
        <w:szCs w:val="20"/>
        <w:lang w:eastAsia="es-ES"/>
      </w:rPr>
      <w:t>1°</w:t>
    </w:r>
    <w:r w:rsidR="00F83373" w:rsidRPr="00F83373">
      <w:rPr>
        <w:rFonts w:ascii="Work Sans" w:hAnsi="Work Sans" w:cs="Times New Roman"/>
        <w:i/>
        <w:sz w:val="20"/>
        <w:szCs w:val="20"/>
        <w:lang w:eastAsia="es-ES"/>
      </w:rPr>
      <w:t xml:space="preserve"> de la </w:t>
    </w:r>
    <w:proofErr w:type="gramStart"/>
    <w:r w:rsidR="00F83373" w:rsidRPr="00F83373">
      <w:rPr>
        <w:rFonts w:ascii="Work Sans" w:hAnsi="Work Sans" w:cs="Times New Roman"/>
        <w:i/>
        <w:sz w:val="20"/>
        <w:szCs w:val="20"/>
        <w:lang w:eastAsia="es-ES"/>
      </w:rPr>
      <w:t>Resoluc</w:t>
    </w:r>
    <w:r w:rsidR="00F83373" w:rsidRPr="00BA2679">
      <w:rPr>
        <w:rFonts w:ascii="Work Sans" w:hAnsi="Work Sans" w:cs="Times New Roman"/>
        <w:i/>
        <w:sz w:val="20"/>
        <w:szCs w:val="20"/>
        <w:lang w:eastAsia="es-ES"/>
      </w:rPr>
      <w:t>ión  2109</w:t>
    </w:r>
    <w:proofErr w:type="gramEnd"/>
    <w:r w:rsidR="00F83373" w:rsidRPr="00BA2679">
      <w:rPr>
        <w:rFonts w:ascii="Work Sans" w:hAnsi="Work Sans" w:cs="Times New Roman"/>
        <w:i/>
        <w:sz w:val="20"/>
        <w:szCs w:val="20"/>
        <w:lang w:eastAsia="es-ES"/>
      </w:rPr>
      <w:t xml:space="preserve"> de 2015 </w:t>
    </w:r>
    <w:r w:rsidR="00BA2679" w:rsidRPr="00BA2679">
      <w:rPr>
        <w:rFonts w:ascii="Work Sans" w:hAnsi="Work Sans" w:cs="Times New Roman"/>
        <w:i/>
        <w:sz w:val="20"/>
        <w:szCs w:val="20"/>
        <w:lang w:eastAsia="es-ES"/>
      </w:rPr>
      <w:t xml:space="preserve">modificada por la Resolución 1789 de 2017 </w:t>
    </w:r>
    <w:r w:rsidR="00F83373" w:rsidRPr="00BA2679">
      <w:rPr>
        <w:rFonts w:ascii="Work Sans" w:hAnsi="Work Sans" w:cs="Times New Roman"/>
        <w:i/>
        <w:sz w:val="20"/>
        <w:szCs w:val="20"/>
        <w:lang w:eastAsia="es-ES"/>
      </w:rPr>
      <w:t xml:space="preserve">del Ministerio </w:t>
    </w:r>
    <w:r w:rsidR="00F83373" w:rsidRPr="00F83373">
      <w:rPr>
        <w:rFonts w:ascii="Work Sans" w:hAnsi="Work Sans" w:cs="Times New Roman"/>
        <w:i/>
        <w:sz w:val="20"/>
        <w:szCs w:val="20"/>
        <w:lang w:eastAsia="es-ES"/>
      </w:rPr>
      <w:t>de Transporte</w:t>
    </w:r>
    <w:r w:rsidRPr="00F83373">
      <w:rPr>
        <w:rFonts w:ascii="Work Sans" w:hAnsi="Work Sans" w:cs="Arial"/>
        <w:i/>
        <w:sz w:val="20"/>
        <w:szCs w:val="22"/>
        <w:lang w:val="es-CO"/>
      </w:rPr>
      <w:t>”</w:t>
    </w:r>
  </w:p>
  <w:p w:rsidR="000F3066" w:rsidRPr="00F83373" w:rsidRDefault="006B5E98">
    <w:pPr>
      <w:pStyle w:val="Standard"/>
      <w:rPr>
        <w:i/>
      </w:rPr>
    </w:pPr>
    <w:r w:rsidRPr="00F83373">
      <w:rPr>
        <w:rFonts w:ascii="Work Sans" w:hAnsi="Work Sans" w:cs="Arial"/>
        <w:i/>
        <w:sz w:val="22"/>
        <w:szCs w:val="22"/>
        <w:lang w:val="es-CO"/>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66" w:rsidRDefault="00DE2651">
    <w:r w:rsidRPr="00DE2651">
      <w:rPr>
        <w:noProof/>
        <w:lang w:val="en-US" w:eastAsia="en-US" w:bidi="ar-SA"/>
      </w:rPr>
      <w:drawing>
        <wp:inline distT="0" distB="0" distL="0" distR="0">
          <wp:extent cx="5353050" cy="819150"/>
          <wp:effectExtent l="0" t="0" r="0" b="0"/>
          <wp:docPr id="2" name="Imagen 2" descr="C:\Users\soporteorfeo\Desktop\libre office plantillas ORFEO\Nuevas 2\Logo Orfe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soporteorfeo\Desktop\libre office plantillas ORFEO\Nuevas 2\Logo Orfeo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819150"/>
                  </a:xfrm>
                  <a:prstGeom prst="rect">
                    <a:avLst/>
                  </a:prstGeom>
                  <a:noFill/>
                  <a:ln>
                    <a:noFill/>
                  </a:ln>
                </pic:spPr>
              </pic:pic>
            </a:graphicData>
          </a:graphic>
        </wp:inline>
      </w:drawing>
    </w:r>
  </w:p>
  <w:p w:rsidR="000F3066" w:rsidRDefault="000F306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527A4"/>
    <w:multiLevelType w:val="multilevel"/>
    <w:tmpl w:val="EE10A2BA"/>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1BCE764A"/>
    <w:multiLevelType w:val="multilevel"/>
    <w:tmpl w:val="83E6ADAC"/>
    <w:styleLink w:val="WW8Num1"/>
    <w:lvl w:ilvl="0">
      <w:start w:val="1"/>
      <w:numFmt w:val="decimal"/>
      <w:lvlText w:val="%1."/>
      <w:lvlJc w:val="left"/>
      <w:rPr>
        <w:rFonts w:ascii="Arial" w:hAnsi="Arial" w:cs="Arial"/>
        <w:spacing w:val="6"/>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1DFF07D1"/>
    <w:multiLevelType w:val="multilevel"/>
    <w:tmpl w:val="FE2EAD0E"/>
    <w:styleLink w:val="WW8Num1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1E4D2437"/>
    <w:multiLevelType w:val="multilevel"/>
    <w:tmpl w:val="02E21162"/>
    <w:styleLink w:val="WW8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239D082A"/>
    <w:multiLevelType w:val="multilevel"/>
    <w:tmpl w:val="D95C3850"/>
    <w:styleLink w:val="WW8Num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 w15:restartNumberingAfterBreak="0">
    <w:nsid w:val="2476066E"/>
    <w:multiLevelType w:val="multilevel"/>
    <w:tmpl w:val="D83E5336"/>
    <w:styleLink w:val="WW8Num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2B4070AA"/>
    <w:multiLevelType w:val="multilevel"/>
    <w:tmpl w:val="12E2B20A"/>
    <w:styleLink w:val="WW8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30B54CB1"/>
    <w:multiLevelType w:val="multilevel"/>
    <w:tmpl w:val="B2BA21EA"/>
    <w:styleLink w:val="WW8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30B71DD8"/>
    <w:multiLevelType w:val="multilevel"/>
    <w:tmpl w:val="2900373E"/>
    <w:styleLink w:val="WW8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3EAE4AA5"/>
    <w:multiLevelType w:val="multilevel"/>
    <w:tmpl w:val="ABBA7962"/>
    <w:styleLink w:val="WW8Num1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15:restartNumberingAfterBreak="0">
    <w:nsid w:val="4C5D4B03"/>
    <w:multiLevelType w:val="multilevel"/>
    <w:tmpl w:val="0BD0ACB4"/>
    <w:styleLink w:val="WW8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4EB37AAE"/>
    <w:multiLevelType w:val="multilevel"/>
    <w:tmpl w:val="4D402070"/>
    <w:styleLink w:val="WW8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4FF81088"/>
    <w:multiLevelType w:val="multilevel"/>
    <w:tmpl w:val="EC7CD17C"/>
    <w:styleLink w:val="WW8Num14"/>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53AC2C55"/>
    <w:multiLevelType w:val="multilevel"/>
    <w:tmpl w:val="F89AF3D4"/>
    <w:styleLink w:val="WW8Num6"/>
    <w:lvl w:ilvl="0">
      <w:start w:val="1"/>
      <w:numFmt w:val="decimal"/>
      <w:pStyle w:val="titulotres"/>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15:restartNumberingAfterBreak="0">
    <w:nsid w:val="57982228"/>
    <w:multiLevelType w:val="multilevel"/>
    <w:tmpl w:val="00B4797C"/>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599C6E94"/>
    <w:multiLevelType w:val="multilevel"/>
    <w:tmpl w:val="D9BE0B08"/>
    <w:lvl w:ilvl="0">
      <w:numFmt w:val="bullet"/>
      <w:lvlText w:val="-"/>
      <w:lvlJc w:val="left"/>
      <w:pPr>
        <w:ind w:left="720" w:hanging="360"/>
      </w:pPr>
      <w:rPr>
        <w:rFonts w:ascii="Futura Std" w:eastAsia="Times New Roman" w:hAnsi="Futura St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1165865"/>
    <w:multiLevelType w:val="multilevel"/>
    <w:tmpl w:val="ACAA80CE"/>
    <w:styleLink w:val="WW8Num11"/>
    <w:lvl w:ilvl="0">
      <w:start w:val="12"/>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70E71052"/>
    <w:multiLevelType w:val="multilevel"/>
    <w:tmpl w:val="9434F366"/>
    <w:styleLink w:val="WW8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74954B9A"/>
    <w:multiLevelType w:val="multilevel"/>
    <w:tmpl w:val="3B6AA960"/>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7E8D3F43"/>
    <w:multiLevelType w:val="multilevel"/>
    <w:tmpl w:val="3DA2D6FE"/>
    <w:styleLink w:val="WW8Num8"/>
    <w:lvl w:ilvl="0">
      <w:start w:val="1"/>
      <w:numFmt w:val="decimal"/>
      <w:lvlText w:val="%1."/>
      <w:lvlJc w:val="left"/>
      <w:rPr>
        <w:rFonts w:ascii="Arial" w:hAnsi="Arial" w:cs="Arial"/>
        <w:b w:val="0"/>
        <w:i w:val="0"/>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
  </w:num>
  <w:num w:numId="2">
    <w:abstractNumId w:val="4"/>
  </w:num>
  <w:num w:numId="3">
    <w:abstractNumId w:val="17"/>
  </w:num>
  <w:num w:numId="4">
    <w:abstractNumId w:val="0"/>
  </w:num>
  <w:num w:numId="5">
    <w:abstractNumId w:val="5"/>
  </w:num>
  <w:num w:numId="6">
    <w:abstractNumId w:val="13"/>
  </w:num>
  <w:num w:numId="7">
    <w:abstractNumId w:val="14"/>
  </w:num>
  <w:num w:numId="8">
    <w:abstractNumId w:val="19"/>
  </w:num>
  <w:num w:numId="9">
    <w:abstractNumId w:val="6"/>
  </w:num>
  <w:num w:numId="10">
    <w:abstractNumId w:val="11"/>
  </w:num>
  <w:num w:numId="11">
    <w:abstractNumId w:val="16"/>
  </w:num>
  <w:num w:numId="12">
    <w:abstractNumId w:val="18"/>
  </w:num>
  <w:num w:numId="13">
    <w:abstractNumId w:val="8"/>
  </w:num>
  <w:num w:numId="14">
    <w:abstractNumId w:val="12"/>
  </w:num>
  <w:num w:numId="15">
    <w:abstractNumId w:val="2"/>
  </w:num>
  <w:num w:numId="16">
    <w:abstractNumId w:val="9"/>
  </w:num>
  <w:num w:numId="17">
    <w:abstractNumId w:val="3"/>
  </w:num>
  <w:num w:numId="18">
    <w:abstractNumId w:val="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8C"/>
    <w:rsid w:val="00022AB9"/>
    <w:rsid w:val="00027E5A"/>
    <w:rsid w:val="00085646"/>
    <w:rsid w:val="00085EAF"/>
    <w:rsid w:val="000A508C"/>
    <w:rsid w:val="000F3066"/>
    <w:rsid w:val="00107241"/>
    <w:rsid w:val="001804DA"/>
    <w:rsid w:val="001812BD"/>
    <w:rsid w:val="00277CB0"/>
    <w:rsid w:val="002F1E40"/>
    <w:rsid w:val="00330177"/>
    <w:rsid w:val="003B719A"/>
    <w:rsid w:val="004364AB"/>
    <w:rsid w:val="0048027D"/>
    <w:rsid w:val="0051528A"/>
    <w:rsid w:val="00555EC2"/>
    <w:rsid w:val="005750B0"/>
    <w:rsid w:val="00654C60"/>
    <w:rsid w:val="006B5E98"/>
    <w:rsid w:val="007056D8"/>
    <w:rsid w:val="007E1100"/>
    <w:rsid w:val="008420AD"/>
    <w:rsid w:val="00901D8F"/>
    <w:rsid w:val="0097726D"/>
    <w:rsid w:val="00A455E0"/>
    <w:rsid w:val="00AA4A41"/>
    <w:rsid w:val="00B7639C"/>
    <w:rsid w:val="00B8613B"/>
    <w:rsid w:val="00BA2679"/>
    <w:rsid w:val="00BC4CA9"/>
    <w:rsid w:val="00CE1CBB"/>
    <w:rsid w:val="00DB0E08"/>
    <w:rsid w:val="00DE2651"/>
    <w:rsid w:val="00ED1CA1"/>
    <w:rsid w:val="00F833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DCA452-9501-4088-9BBD-EF8B8254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imes New Roman" w:hAnsi="Liberation Serif" w:cs="Liberation Serif"/>
        <w:kern w:val="3"/>
        <w:sz w:val="24"/>
        <w:szCs w:val="24"/>
        <w:lang w:val="es-ES" w:eastAsia="zh-CN" w:bidi="ar-SA"/>
      </w:rPr>
    </w:rPrDefault>
    <w:pPrDefault>
      <w:pPr>
        <w:widowControl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pPr>
    <w:rPr>
      <w:rFonts w:cs="Lohit Devanagari"/>
      <w:lang w:bidi="hi-IN"/>
    </w:rPr>
  </w:style>
  <w:style w:type="paragraph" w:styleId="Ttulo1">
    <w:name w:val="heading 1"/>
    <w:basedOn w:val="Standard"/>
    <w:next w:val="Standard"/>
    <w:link w:val="Ttulo1Car"/>
    <w:uiPriority w:val="9"/>
    <w:pPr>
      <w:keepNext/>
      <w:tabs>
        <w:tab w:val="left" w:pos="-720"/>
        <w:tab w:val="left" w:pos="4395"/>
      </w:tabs>
      <w:jc w:val="center"/>
      <w:outlineLvl w:val="0"/>
    </w:pPr>
    <w:rPr>
      <w:rFonts w:ascii="Arial" w:hAnsi="Arial" w:cs="Arial"/>
      <w:b/>
      <w:spacing w:val="-3"/>
      <w:sz w:val="28"/>
    </w:rPr>
  </w:style>
  <w:style w:type="paragraph" w:styleId="Ttulo2">
    <w:name w:val="heading 2"/>
    <w:basedOn w:val="Standard"/>
    <w:next w:val="Standard"/>
    <w:link w:val="Ttulo2Car"/>
    <w:uiPriority w:val="9"/>
    <w:pPr>
      <w:keepNext/>
      <w:widowControl w:val="0"/>
      <w:jc w:val="center"/>
      <w:outlineLvl w:val="1"/>
    </w:pPr>
    <w:rPr>
      <w:rFonts w:ascii="Arial" w:hAnsi="Arial" w:cs="Arial"/>
      <w:b/>
    </w:rPr>
  </w:style>
  <w:style w:type="paragraph" w:styleId="Ttulo3">
    <w:name w:val="heading 3"/>
    <w:basedOn w:val="Standard"/>
    <w:next w:val="Standard"/>
    <w:link w:val="Ttulo3Car"/>
    <w:uiPriority w:val="9"/>
    <w:pPr>
      <w:keepNext/>
      <w:tabs>
        <w:tab w:val="left" w:pos="-720"/>
        <w:tab w:val="right" w:pos="8080"/>
      </w:tabs>
      <w:jc w:val="both"/>
      <w:outlineLvl w:val="2"/>
    </w:pPr>
    <w:rPr>
      <w:rFonts w:ascii="Arial" w:hAnsi="Arial" w:cs="Arial"/>
      <w:spacing w:val="-3"/>
      <w:sz w:val="28"/>
    </w:rPr>
  </w:style>
  <w:style w:type="paragraph" w:styleId="Ttulo4">
    <w:name w:val="heading 4"/>
    <w:basedOn w:val="Standard"/>
    <w:next w:val="Standard"/>
    <w:link w:val="Ttulo4Car"/>
    <w:uiPriority w:val="9"/>
    <w:pPr>
      <w:keepNext/>
      <w:tabs>
        <w:tab w:val="left" w:pos="-720"/>
      </w:tabs>
      <w:ind w:right="851"/>
      <w:jc w:val="both"/>
      <w:outlineLvl w:val="3"/>
    </w:pPr>
    <w:rPr>
      <w:rFonts w:ascii="Arial" w:hAnsi="Arial" w:cs="Arial"/>
      <w:b/>
      <w:bCs/>
      <w:spacing w:val="-3"/>
      <w:sz w:val="28"/>
    </w:rPr>
  </w:style>
  <w:style w:type="paragraph" w:styleId="Ttulo5">
    <w:name w:val="heading 5"/>
    <w:basedOn w:val="Standard"/>
    <w:next w:val="Standard"/>
    <w:link w:val="Ttulo5Car"/>
    <w:uiPriority w:val="9"/>
    <w:pPr>
      <w:keepNext/>
      <w:outlineLvl w:val="4"/>
    </w:pPr>
    <w:rPr>
      <w:rFonts w:ascii="Arial" w:hAnsi="Arial" w:cs="Arial"/>
      <w:b/>
      <w:bCs/>
      <w:sz w:val="28"/>
    </w:rPr>
  </w:style>
  <w:style w:type="paragraph" w:styleId="Ttulo6">
    <w:name w:val="heading 6"/>
    <w:basedOn w:val="Standard"/>
    <w:next w:val="Standard"/>
    <w:link w:val="Ttulo6Car"/>
    <w:uiPriority w:val="9"/>
    <w:pPr>
      <w:keepNext/>
      <w:tabs>
        <w:tab w:val="left" w:pos="-720"/>
      </w:tabs>
      <w:jc w:val="both"/>
      <w:outlineLvl w:val="5"/>
    </w:pPr>
    <w:rPr>
      <w:rFonts w:ascii="Arial" w:hAnsi="Arial" w:cs="Arial"/>
      <w:spacing w:val="-3"/>
      <w:sz w:val="28"/>
    </w:rPr>
  </w:style>
  <w:style w:type="paragraph" w:styleId="Ttulo7">
    <w:name w:val="heading 7"/>
    <w:basedOn w:val="Standard"/>
    <w:next w:val="Standard"/>
    <w:link w:val="Ttulo7Car"/>
    <w:uiPriority w:val="9"/>
    <w:pPr>
      <w:keepNext/>
      <w:outlineLvl w:val="6"/>
    </w:pPr>
    <w:rPr>
      <w:rFonts w:ascii="Arial" w:hAnsi="Arial" w:cs="Arial"/>
    </w:rPr>
  </w:style>
  <w:style w:type="paragraph" w:styleId="Ttulo8">
    <w:name w:val="heading 8"/>
    <w:basedOn w:val="Standard"/>
    <w:next w:val="Standard"/>
    <w:link w:val="Ttulo8Car"/>
    <w:uiPriority w:val="9"/>
    <w:pPr>
      <w:keepNext/>
      <w:tabs>
        <w:tab w:val="left" w:pos="-720"/>
      </w:tabs>
      <w:jc w:val="center"/>
      <w:outlineLvl w:val="7"/>
    </w:pPr>
    <w:rPr>
      <w:sz w:val="28"/>
    </w:rPr>
  </w:style>
  <w:style w:type="paragraph" w:styleId="Ttulo9">
    <w:name w:val="heading 9"/>
    <w:basedOn w:val="Standard"/>
    <w:next w:val="Standard"/>
    <w:link w:val="Ttulo9Car"/>
    <w:uiPriority w:val="9"/>
    <w:pPr>
      <w:keepNext/>
      <w:tabs>
        <w:tab w:val="left" w:pos="-720"/>
        <w:tab w:val="left" w:pos="4395"/>
      </w:tabs>
      <w:jc w:val="both"/>
      <w:outlineLvl w:val="8"/>
    </w:pPr>
    <w:rPr>
      <w:rFonts w:ascii="Arial" w:hAnsi="Arial" w:cs="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Mangal"/>
      <w:b/>
      <w:bCs/>
      <w:kern w:val="32"/>
      <w:sz w:val="29"/>
      <w:szCs w:val="29"/>
      <w:lang w:bidi="hi-IN"/>
    </w:rPr>
  </w:style>
  <w:style w:type="character" w:customStyle="1" w:styleId="Ttulo2Car">
    <w:name w:val="Título 2 Car"/>
    <w:basedOn w:val="Fuentedeprrafopredeter"/>
    <w:link w:val="Ttulo2"/>
    <w:uiPriority w:val="9"/>
    <w:semiHidden/>
    <w:locked/>
    <w:rPr>
      <w:rFonts w:asciiTheme="majorHAnsi" w:eastAsiaTheme="majorEastAsia" w:hAnsiTheme="majorHAnsi" w:cs="Mangal"/>
      <w:b/>
      <w:bCs/>
      <w:i/>
      <w:iCs/>
      <w:sz w:val="25"/>
      <w:szCs w:val="25"/>
      <w:lang w:bidi="hi-IN"/>
    </w:rPr>
  </w:style>
  <w:style w:type="character" w:customStyle="1" w:styleId="Ttulo3Car">
    <w:name w:val="Título 3 Car"/>
    <w:basedOn w:val="Fuentedeprrafopredeter"/>
    <w:link w:val="Ttulo3"/>
    <w:uiPriority w:val="9"/>
    <w:semiHidden/>
    <w:locked/>
    <w:rPr>
      <w:rFonts w:asciiTheme="majorHAnsi" w:eastAsiaTheme="majorEastAsia" w:hAnsiTheme="majorHAnsi" w:cs="Mangal"/>
      <w:b/>
      <w:bCs/>
      <w:sz w:val="23"/>
      <w:szCs w:val="23"/>
      <w:lang w:bidi="hi-IN"/>
    </w:rPr>
  </w:style>
  <w:style w:type="character" w:customStyle="1" w:styleId="Ttulo4Car">
    <w:name w:val="Título 4 Car"/>
    <w:basedOn w:val="Fuentedeprrafopredeter"/>
    <w:link w:val="Ttulo4"/>
    <w:uiPriority w:val="9"/>
    <w:semiHidden/>
    <w:locked/>
    <w:rPr>
      <w:rFonts w:asciiTheme="minorHAnsi" w:eastAsiaTheme="minorEastAsia" w:hAnsiTheme="minorHAnsi" w:cs="Mangal"/>
      <w:b/>
      <w:bCs/>
      <w:sz w:val="25"/>
      <w:szCs w:val="25"/>
      <w:lang w:bidi="hi-IN"/>
    </w:rPr>
  </w:style>
  <w:style w:type="character" w:customStyle="1" w:styleId="Ttulo5Car">
    <w:name w:val="Título 5 Car"/>
    <w:basedOn w:val="Fuentedeprrafopredeter"/>
    <w:link w:val="Ttulo5"/>
    <w:uiPriority w:val="9"/>
    <w:semiHidden/>
    <w:locked/>
    <w:rPr>
      <w:rFonts w:asciiTheme="minorHAnsi" w:eastAsiaTheme="minorEastAsia" w:hAnsiTheme="minorHAnsi" w:cs="Mangal"/>
      <w:b/>
      <w:bCs/>
      <w:i/>
      <w:iCs/>
      <w:sz w:val="23"/>
      <w:szCs w:val="23"/>
      <w:lang w:bidi="hi-IN"/>
    </w:rPr>
  </w:style>
  <w:style w:type="character" w:customStyle="1" w:styleId="Ttulo6Car">
    <w:name w:val="Título 6 Car"/>
    <w:basedOn w:val="Fuentedeprrafopredeter"/>
    <w:link w:val="Ttulo6"/>
    <w:uiPriority w:val="9"/>
    <w:semiHidden/>
    <w:locked/>
    <w:rPr>
      <w:rFonts w:asciiTheme="minorHAnsi" w:eastAsiaTheme="minorEastAsia" w:hAnsiTheme="minorHAnsi" w:cs="Mangal"/>
      <w:b/>
      <w:bCs/>
      <w:sz w:val="20"/>
      <w:szCs w:val="20"/>
      <w:lang w:bidi="hi-IN"/>
    </w:rPr>
  </w:style>
  <w:style w:type="character" w:customStyle="1" w:styleId="Ttulo7Car">
    <w:name w:val="Título 7 Car"/>
    <w:basedOn w:val="Fuentedeprrafopredeter"/>
    <w:link w:val="Ttulo7"/>
    <w:uiPriority w:val="9"/>
    <w:semiHidden/>
    <w:locked/>
    <w:rPr>
      <w:rFonts w:asciiTheme="minorHAnsi" w:eastAsiaTheme="minorEastAsia" w:hAnsiTheme="minorHAnsi" w:cs="Mangal"/>
      <w:sz w:val="21"/>
      <w:szCs w:val="21"/>
      <w:lang w:bidi="hi-IN"/>
    </w:rPr>
  </w:style>
  <w:style w:type="character" w:customStyle="1" w:styleId="Ttulo8Car">
    <w:name w:val="Título 8 Car"/>
    <w:basedOn w:val="Fuentedeprrafopredeter"/>
    <w:link w:val="Ttulo8"/>
    <w:uiPriority w:val="9"/>
    <w:semiHidden/>
    <w:locked/>
    <w:rPr>
      <w:rFonts w:asciiTheme="minorHAnsi" w:eastAsiaTheme="minorEastAsia" w:hAnsiTheme="minorHAnsi" w:cs="Mangal"/>
      <w:i/>
      <w:iCs/>
      <w:sz w:val="21"/>
      <w:szCs w:val="21"/>
      <w:lang w:bidi="hi-IN"/>
    </w:rPr>
  </w:style>
  <w:style w:type="character" w:customStyle="1" w:styleId="Ttulo9Car">
    <w:name w:val="Título 9 Car"/>
    <w:basedOn w:val="Fuentedeprrafopredeter"/>
    <w:link w:val="Ttulo9"/>
    <w:uiPriority w:val="9"/>
    <w:semiHidden/>
    <w:locked/>
    <w:rPr>
      <w:rFonts w:asciiTheme="majorHAnsi" w:eastAsiaTheme="majorEastAsia" w:hAnsiTheme="majorHAnsi" w:cs="Mangal"/>
      <w:sz w:val="20"/>
      <w:szCs w:val="20"/>
      <w:lang w:bidi="hi-IN"/>
    </w:rPr>
  </w:style>
  <w:style w:type="paragraph" w:customStyle="1" w:styleId="TITULOUNO">
    <w:name w:val="TITULO UNO"/>
    <w:basedOn w:val="Ttulo1"/>
    <w:pPr>
      <w:tabs>
        <w:tab w:val="clear" w:pos="4395"/>
      </w:tabs>
      <w:jc w:val="both"/>
    </w:pPr>
    <w:rPr>
      <w:bCs/>
      <w:spacing w:val="0"/>
      <w:sz w:val="24"/>
      <w:szCs w:val="24"/>
    </w:rPr>
  </w:style>
  <w:style w:type="paragraph" w:customStyle="1" w:styleId="Standard">
    <w:name w:val="Standard"/>
    <w:pPr>
      <w:widowControl/>
      <w:suppressAutoHyphens/>
      <w:autoSpaceDN w:val="0"/>
    </w:pPr>
    <w:rPr>
      <w:rFonts w:ascii="Courier New" w:hAnsi="Courier New" w:cs="Courier New"/>
      <w:szCs w:val="20"/>
    </w:rPr>
  </w:style>
  <w:style w:type="paragraph" w:customStyle="1" w:styleId="Heading">
    <w:name w:val="Heading"/>
    <w:basedOn w:val="Standard"/>
    <w:next w:val="Textbody"/>
    <w:pPr>
      <w:spacing w:before="240" w:after="60"/>
      <w:jc w:val="center"/>
    </w:pPr>
    <w:rPr>
      <w:rFonts w:ascii="Arial" w:hAnsi="Arial" w:cs="Arial"/>
      <w:b/>
      <w:sz w:val="32"/>
    </w:rPr>
  </w:style>
  <w:style w:type="paragraph" w:customStyle="1" w:styleId="Textbody">
    <w:name w:val="Text body"/>
    <w:basedOn w:val="Standard"/>
    <w:pPr>
      <w:tabs>
        <w:tab w:val="left" w:pos="-720"/>
      </w:tabs>
      <w:jc w:val="both"/>
    </w:pPr>
    <w:rPr>
      <w:rFonts w:ascii="Arial" w:hAnsi="Arial" w:cs="Arial"/>
      <w:spacing w:val="-3"/>
      <w:sz w:val="28"/>
    </w:rPr>
  </w:style>
  <w:style w:type="paragraph" w:styleId="Lista">
    <w:name w:val="List"/>
    <w:basedOn w:val="Standard"/>
    <w:uiPriority w:val="99"/>
    <w:pPr>
      <w:ind w:left="283" w:hanging="283"/>
    </w:pPr>
    <w:rPr>
      <w:rFonts w:ascii="Times New Roman" w:hAnsi="Times New Roman" w:cs="Times New Roman"/>
      <w:lang w:val="es-CO"/>
    </w:rPr>
  </w:style>
  <w:style w:type="paragraph" w:styleId="Descripcin">
    <w:name w:val="caption"/>
    <w:basedOn w:val="Standard"/>
    <w:uiPriority w:val="35"/>
    <w:pPr>
      <w:suppressLineNumbers/>
      <w:spacing w:before="120" w:after="120"/>
    </w:pPr>
    <w:rPr>
      <w:rFonts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
    <w:name w:val="epígrafe"/>
    <w:basedOn w:val="Standard"/>
  </w:style>
  <w:style w:type="paragraph" w:styleId="ndice10">
    <w:name w:val="index 1"/>
    <w:basedOn w:val="Standard"/>
    <w:next w:val="Standard"/>
    <w:uiPriority w:val="99"/>
    <w:pPr>
      <w:tabs>
        <w:tab w:val="right" w:pos="4867"/>
      </w:tabs>
      <w:ind w:left="240" w:hanging="240"/>
    </w:pPr>
    <w:rPr>
      <w:rFonts w:ascii="Times New Roman" w:hAnsi="Times New Roman" w:cs="Times New Roman"/>
      <w:sz w:val="18"/>
    </w:rPr>
  </w:style>
  <w:style w:type="paragraph" w:styleId="ndice20">
    <w:name w:val="index 2"/>
    <w:basedOn w:val="Standard"/>
    <w:next w:val="Standard"/>
    <w:uiPriority w:val="99"/>
    <w:pPr>
      <w:tabs>
        <w:tab w:val="right" w:pos="5107"/>
      </w:tabs>
      <w:ind w:left="480" w:hanging="240"/>
    </w:pPr>
    <w:rPr>
      <w:rFonts w:ascii="Times New Roman" w:hAnsi="Times New Roman" w:cs="Times New Roman"/>
      <w:sz w:val="18"/>
    </w:rPr>
  </w:style>
  <w:style w:type="paragraph" w:styleId="ndice3">
    <w:name w:val="index 3"/>
    <w:basedOn w:val="Standard"/>
    <w:next w:val="Standard"/>
    <w:uiPriority w:val="99"/>
    <w:pPr>
      <w:tabs>
        <w:tab w:val="right" w:pos="5347"/>
      </w:tabs>
      <w:ind w:left="720" w:hanging="240"/>
    </w:pPr>
    <w:rPr>
      <w:rFonts w:ascii="Times New Roman" w:hAnsi="Times New Roman" w:cs="Times New Roman"/>
      <w:sz w:val="18"/>
    </w:rPr>
  </w:style>
  <w:style w:type="paragraph" w:styleId="ndice4">
    <w:name w:val="index 4"/>
    <w:basedOn w:val="Standard"/>
    <w:next w:val="Standard"/>
    <w:uiPriority w:val="99"/>
    <w:pPr>
      <w:tabs>
        <w:tab w:val="right" w:pos="5587"/>
      </w:tabs>
      <w:ind w:left="960" w:hanging="240"/>
    </w:pPr>
    <w:rPr>
      <w:rFonts w:ascii="Times New Roman" w:hAnsi="Times New Roman" w:cs="Times New Roman"/>
      <w:sz w:val="18"/>
    </w:rPr>
  </w:style>
  <w:style w:type="paragraph" w:styleId="ndice5">
    <w:name w:val="index 5"/>
    <w:basedOn w:val="Standard"/>
    <w:next w:val="Standard"/>
    <w:uiPriority w:val="99"/>
    <w:pPr>
      <w:tabs>
        <w:tab w:val="right" w:pos="5827"/>
      </w:tabs>
      <w:ind w:left="1200" w:hanging="240"/>
    </w:pPr>
    <w:rPr>
      <w:rFonts w:ascii="Times New Roman" w:hAnsi="Times New Roman" w:cs="Times New Roman"/>
      <w:sz w:val="18"/>
    </w:rPr>
  </w:style>
  <w:style w:type="paragraph" w:styleId="ndice6">
    <w:name w:val="index 6"/>
    <w:basedOn w:val="Standard"/>
    <w:next w:val="Standard"/>
    <w:uiPriority w:val="99"/>
    <w:pPr>
      <w:tabs>
        <w:tab w:val="right" w:pos="6067"/>
      </w:tabs>
      <w:ind w:left="1440" w:hanging="240"/>
    </w:pPr>
    <w:rPr>
      <w:rFonts w:ascii="Times New Roman" w:hAnsi="Times New Roman" w:cs="Times New Roman"/>
      <w:sz w:val="18"/>
    </w:rPr>
  </w:style>
  <w:style w:type="paragraph" w:styleId="ndice7">
    <w:name w:val="index 7"/>
    <w:basedOn w:val="Standard"/>
    <w:next w:val="Standard"/>
    <w:uiPriority w:val="99"/>
    <w:pPr>
      <w:tabs>
        <w:tab w:val="right" w:pos="6307"/>
      </w:tabs>
      <w:ind w:left="1680" w:hanging="240"/>
    </w:pPr>
    <w:rPr>
      <w:rFonts w:ascii="Times New Roman" w:hAnsi="Times New Roman" w:cs="Times New Roman"/>
      <w:sz w:val="18"/>
    </w:rPr>
  </w:style>
  <w:style w:type="paragraph" w:styleId="ndice8">
    <w:name w:val="index 8"/>
    <w:basedOn w:val="Standard"/>
    <w:next w:val="Standard"/>
    <w:uiPriority w:val="99"/>
    <w:pPr>
      <w:tabs>
        <w:tab w:val="right" w:pos="6547"/>
      </w:tabs>
      <w:ind w:left="1920" w:hanging="240"/>
    </w:pPr>
    <w:rPr>
      <w:rFonts w:ascii="Times New Roman" w:hAnsi="Times New Roman" w:cs="Times New Roman"/>
      <w:sz w:val="18"/>
    </w:rPr>
  </w:style>
  <w:style w:type="paragraph" w:styleId="ndice9">
    <w:name w:val="index 9"/>
    <w:basedOn w:val="Standard"/>
    <w:next w:val="Standard"/>
    <w:uiPriority w:val="99"/>
    <w:pPr>
      <w:tabs>
        <w:tab w:val="right" w:pos="6787"/>
      </w:tabs>
      <w:ind w:left="2160" w:hanging="240"/>
    </w:pPr>
    <w:rPr>
      <w:rFonts w:ascii="Times New Roman" w:hAnsi="Times New Roman" w:cs="Times New Roman"/>
      <w:sz w:val="18"/>
    </w:rPr>
  </w:style>
  <w:style w:type="paragraph" w:styleId="Ttulodendice">
    <w:name w:val="index heading"/>
    <w:basedOn w:val="Standard"/>
    <w:next w:val="ndice10"/>
    <w:uiPriority w:val="99"/>
    <w:pPr>
      <w:spacing w:before="240" w:after="120"/>
      <w:jc w:val="center"/>
    </w:pPr>
    <w:rPr>
      <w:rFonts w:ascii="Times New Roman" w:hAnsi="Times New Roman" w:cs="Times New Roman"/>
      <w:b/>
      <w:sz w:val="26"/>
    </w:rPr>
  </w:style>
  <w:style w:type="paragraph" w:styleId="Encabezado">
    <w:name w:val="header"/>
    <w:basedOn w:val="Standard"/>
    <w:link w:val="EncabezadoCar"/>
    <w:uiPriority w:val="99"/>
    <w:pPr>
      <w:suppressLineNumbers/>
      <w:tabs>
        <w:tab w:val="center" w:pos="4986"/>
        <w:tab w:val="right" w:pos="9972"/>
      </w:tabs>
    </w:pPr>
  </w:style>
  <w:style w:type="character" w:customStyle="1" w:styleId="EncabezadoCar">
    <w:name w:val="Encabezado Car"/>
    <w:basedOn w:val="Fuentedeprrafopredeter"/>
    <w:link w:val="Encabezado"/>
    <w:uiPriority w:val="99"/>
    <w:locked/>
    <w:rPr>
      <w:rFonts w:cs="Mangal"/>
      <w:sz w:val="21"/>
      <w:szCs w:val="21"/>
    </w:rPr>
  </w:style>
  <w:style w:type="paragraph" w:styleId="Piedepgina">
    <w:name w:val="footer"/>
    <w:basedOn w:val="Normal"/>
    <w:link w:val="PiedepginaCar"/>
    <w:uiPriority w:val="99"/>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locked/>
    <w:rPr>
      <w:rFonts w:cs="Mangal"/>
      <w:sz w:val="21"/>
      <w:szCs w:val="21"/>
    </w:rPr>
  </w:style>
  <w:style w:type="paragraph" w:customStyle="1" w:styleId="Textbodyindent">
    <w:name w:val="Text body indent"/>
    <w:basedOn w:val="Standard"/>
    <w:pPr>
      <w:tabs>
        <w:tab w:val="left" w:pos="4383"/>
        <w:tab w:val="left" w:pos="10206"/>
      </w:tabs>
      <w:ind w:left="5103" w:hanging="5103"/>
      <w:jc w:val="both"/>
    </w:pPr>
    <w:rPr>
      <w:rFonts w:ascii="Arial" w:hAnsi="Arial" w:cs="Arial"/>
      <w:spacing w:val="-3"/>
      <w:sz w:val="28"/>
    </w:rPr>
  </w:style>
  <w:style w:type="paragraph" w:styleId="Textoindependiente2">
    <w:name w:val="Body Text 2"/>
    <w:basedOn w:val="Standard"/>
    <w:link w:val="Textoindependiente2Car"/>
    <w:uiPriority w:val="99"/>
    <w:pPr>
      <w:tabs>
        <w:tab w:val="left" w:pos="-720"/>
      </w:tabs>
      <w:ind w:right="851"/>
      <w:jc w:val="both"/>
    </w:pPr>
    <w:rPr>
      <w:rFonts w:ascii="Arial" w:hAnsi="Arial" w:cs="Arial"/>
      <w:spacing w:val="-3"/>
      <w:sz w:val="28"/>
    </w:rPr>
  </w:style>
  <w:style w:type="character" w:customStyle="1" w:styleId="Textoindependiente2Car">
    <w:name w:val="Texto independiente 2 Car"/>
    <w:basedOn w:val="Fuentedeprrafopredeter"/>
    <w:link w:val="Textoindependiente2"/>
    <w:uiPriority w:val="99"/>
    <w:semiHidden/>
    <w:locked/>
    <w:rPr>
      <w:rFonts w:cs="Mangal"/>
      <w:sz w:val="21"/>
      <w:szCs w:val="21"/>
      <w:lang w:bidi="hi-IN"/>
    </w:rPr>
  </w:style>
  <w:style w:type="paragraph" w:styleId="Textoindependiente3">
    <w:name w:val="Body Text 3"/>
    <w:basedOn w:val="Standard"/>
    <w:link w:val="Textoindependiente3Car"/>
    <w:uiPriority w:val="99"/>
    <w:rPr>
      <w:rFonts w:ascii="Arial" w:hAnsi="Arial" w:cs="Arial"/>
      <w:sz w:val="28"/>
    </w:rPr>
  </w:style>
  <w:style w:type="character" w:customStyle="1" w:styleId="Textoindependiente3Car">
    <w:name w:val="Texto independiente 3 Car"/>
    <w:basedOn w:val="Fuentedeprrafopredeter"/>
    <w:link w:val="Textoindependiente3"/>
    <w:uiPriority w:val="99"/>
    <w:semiHidden/>
    <w:locked/>
    <w:rPr>
      <w:rFonts w:cs="Mangal"/>
      <w:sz w:val="14"/>
      <w:szCs w:val="14"/>
      <w:lang w:bidi="hi-IN"/>
    </w:rPr>
  </w:style>
  <w:style w:type="paragraph" w:styleId="Textodebloque">
    <w:name w:val="Block Text"/>
    <w:basedOn w:val="Standard"/>
    <w:uiPriority w:val="99"/>
    <w:pPr>
      <w:ind w:left="851" w:right="851"/>
      <w:jc w:val="both"/>
    </w:pPr>
    <w:rPr>
      <w:rFonts w:ascii="Bookman Old Style" w:hAnsi="Bookman Old Style" w:cs="Bookman Old Style"/>
      <w:sz w:val="22"/>
    </w:rPr>
  </w:style>
  <w:style w:type="paragraph" w:customStyle="1" w:styleId="Documento1">
    <w:name w:val="Documento 1"/>
    <w:pPr>
      <w:keepNext/>
      <w:keepLines/>
      <w:widowControl/>
      <w:tabs>
        <w:tab w:val="left" w:pos="-720"/>
      </w:tabs>
      <w:suppressAutoHyphens/>
      <w:autoSpaceDN w:val="0"/>
    </w:pPr>
    <w:rPr>
      <w:rFonts w:ascii="Courier" w:hAnsi="Courier" w:cs="Courier"/>
      <w:szCs w:val="20"/>
      <w:lang w:val="en-US"/>
    </w:rPr>
  </w:style>
  <w:style w:type="paragraph" w:styleId="Textocomentario">
    <w:name w:val="annotation text"/>
    <w:basedOn w:val="Standard"/>
    <w:link w:val="TextocomentarioCar"/>
    <w:uiPriority w:val="99"/>
    <w:rPr>
      <w:rFonts w:ascii="Arial" w:hAnsi="Arial" w:cs="Arial"/>
      <w:sz w:val="20"/>
    </w:rPr>
  </w:style>
  <w:style w:type="character" w:customStyle="1" w:styleId="TextocomentarioCar">
    <w:name w:val="Texto comentario Car"/>
    <w:basedOn w:val="StandardCar"/>
    <w:link w:val="Textocomentario"/>
    <w:uiPriority w:val="99"/>
    <w:locked/>
    <w:rPr>
      <w:rFonts w:ascii="Arial" w:hAnsi="Arial" w:cs="Arial"/>
      <w:sz w:val="20"/>
      <w:szCs w:val="20"/>
      <w:lang w:bidi="ar-SA"/>
    </w:rPr>
  </w:style>
  <w:style w:type="paragraph" w:customStyle="1" w:styleId="TITULODOS">
    <w:name w:val="TITULO DOS"/>
    <w:basedOn w:val="Ttulo1"/>
    <w:pPr>
      <w:tabs>
        <w:tab w:val="clear" w:pos="4395"/>
        <w:tab w:val="left" w:pos="567"/>
      </w:tabs>
      <w:jc w:val="both"/>
    </w:pPr>
    <w:rPr>
      <w:bCs/>
      <w:spacing w:val="0"/>
      <w:sz w:val="24"/>
      <w:szCs w:val="24"/>
    </w:rPr>
  </w:style>
  <w:style w:type="paragraph" w:customStyle="1" w:styleId="titulotres">
    <w:name w:val="titulo tres"/>
    <w:basedOn w:val="Ttulo1"/>
    <w:pPr>
      <w:widowControl w:val="0"/>
      <w:numPr>
        <w:numId w:val="6"/>
      </w:numPr>
      <w:tabs>
        <w:tab w:val="clear" w:pos="4395"/>
      </w:tabs>
      <w:jc w:val="both"/>
    </w:pPr>
    <w:rPr>
      <w:bCs/>
      <w:spacing w:val="0"/>
      <w:sz w:val="24"/>
      <w:szCs w:val="22"/>
      <w:lang w:bidi="hi-IN"/>
    </w:rPr>
  </w:style>
  <w:style w:type="paragraph" w:customStyle="1" w:styleId="BodyText23">
    <w:name w:val="Body Text 23"/>
    <w:basedOn w:val="Standard"/>
    <w:pPr>
      <w:widowControl w:val="0"/>
      <w:jc w:val="both"/>
    </w:pPr>
    <w:rPr>
      <w:rFonts w:ascii="Arial" w:hAnsi="Arial" w:cs="Arial"/>
      <w:b/>
    </w:rPr>
  </w:style>
  <w:style w:type="paragraph" w:customStyle="1" w:styleId="Car">
    <w:name w:val="Car"/>
    <w:basedOn w:val="Standard"/>
    <w:pPr>
      <w:spacing w:after="160" w:line="240" w:lineRule="exact"/>
    </w:pPr>
    <w:rPr>
      <w:rFonts w:ascii="Tahoma" w:hAnsi="Tahoma" w:cs="Tahoma"/>
      <w:sz w:val="20"/>
      <w:lang w:val="en-US"/>
    </w:rPr>
  </w:style>
  <w:style w:type="paragraph" w:styleId="NormalWeb">
    <w:name w:val="Normal (Web)"/>
    <w:basedOn w:val="Standard"/>
    <w:uiPriority w:val="99"/>
    <w:pPr>
      <w:spacing w:before="100" w:after="100"/>
    </w:pPr>
    <w:rPr>
      <w:rFonts w:ascii="Times New Roman" w:hAnsi="Times New Roman" w:cs="Times New Roman"/>
      <w:szCs w:val="24"/>
      <w:lang w:val="es-CO"/>
    </w:rPr>
  </w:style>
  <w:style w:type="paragraph" w:styleId="Sinespaciado">
    <w:name w:val="No Spacing"/>
    <w:uiPriority w:val="1"/>
    <w:pPr>
      <w:widowControl/>
      <w:suppressAutoHyphens/>
      <w:autoSpaceDN w:val="0"/>
    </w:pPr>
    <w:rPr>
      <w:rFonts w:ascii="Courier New" w:hAnsi="Courier New" w:cs="Courier New"/>
      <w:szCs w:val="20"/>
    </w:rPr>
  </w:style>
  <w:style w:type="paragraph" w:customStyle="1" w:styleId="WW-Default">
    <w:name w:val="WW-Default"/>
    <w:pPr>
      <w:widowControl/>
      <w:suppressAutoHyphens/>
      <w:autoSpaceDE w:val="0"/>
      <w:autoSpaceDN w:val="0"/>
    </w:pPr>
    <w:rPr>
      <w:rFonts w:ascii="Verdana" w:hAnsi="Verdana" w:cs="Verdana"/>
      <w:color w:val="000000"/>
    </w:rPr>
  </w:style>
  <w:style w:type="paragraph" w:styleId="Prrafodelista">
    <w:name w:val="List Paragraph"/>
    <w:basedOn w:val="Standard"/>
    <w:uiPriority w:val="34"/>
    <w:pPr>
      <w:ind w:left="708"/>
    </w:pPr>
  </w:style>
  <w:style w:type="paragraph" w:customStyle="1" w:styleId="Style1">
    <w:name w:val="Style 1"/>
    <w:pPr>
      <w:suppressAutoHyphens/>
      <w:autoSpaceDE w:val="0"/>
      <w:autoSpaceDN w:val="0"/>
    </w:pPr>
    <w:rPr>
      <w:rFonts w:ascii="Times New Roman" w:hAnsi="Times New Roman" w:cs="Times New Roman"/>
      <w:sz w:val="20"/>
      <w:szCs w:val="20"/>
      <w:lang w:val="en-US"/>
    </w:rPr>
  </w:style>
  <w:style w:type="paragraph" w:customStyle="1" w:styleId="Style2">
    <w:name w:val="Style 2"/>
    <w:pPr>
      <w:suppressAutoHyphens/>
      <w:autoSpaceDE w:val="0"/>
      <w:autoSpaceDN w:val="0"/>
      <w:spacing w:before="144" w:line="312" w:lineRule="auto"/>
    </w:pPr>
    <w:rPr>
      <w:rFonts w:ascii="Bookman Old Style" w:hAnsi="Bookman Old Style" w:cs="Bookman Old Style"/>
      <w:sz w:val="22"/>
      <w:szCs w:val="22"/>
      <w:lang w:val="en-US"/>
    </w:rPr>
  </w:style>
  <w:style w:type="paragraph" w:customStyle="1" w:styleId="Style3">
    <w:name w:val="Style 3"/>
    <w:pPr>
      <w:suppressAutoHyphens/>
      <w:autoSpaceDE w:val="0"/>
      <w:autoSpaceDN w:val="0"/>
      <w:ind w:left="360"/>
    </w:pPr>
    <w:rPr>
      <w:rFonts w:ascii="Times New Roman" w:hAnsi="Times New Roman" w:cs="Times New Roman"/>
      <w:sz w:val="26"/>
      <w:szCs w:val="26"/>
      <w:lang w:val="en-US"/>
    </w:rPr>
  </w:style>
  <w:style w:type="paragraph" w:customStyle="1" w:styleId="Style7">
    <w:name w:val="Style 7"/>
    <w:pPr>
      <w:suppressAutoHyphens/>
      <w:autoSpaceDE w:val="0"/>
      <w:autoSpaceDN w:val="0"/>
    </w:pPr>
    <w:rPr>
      <w:rFonts w:ascii="Times New Roman" w:hAnsi="Times New Roman" w:cs="Times New Roman"/>
      <w:sz w:val="20"/>
      <w:szCs w:val="20"/>
      <w:lang w:val="en-US"/>
    </w:rPr>
  </w:style>
  <w:style w:type="paragraph" w:customStyle="1" w:styleId="Style8">
    <w:name w:val="Style 8"/>
    <w:pPr>
      <w:suppressAutoHyphens/>
      <w:autoSpaceDE w:val="0"/>
      <w:autoSpaceDN w:val="0"/>
      <w:ind w:left="936" w:hanging="504"/>
    </w:pPr>
    <w:rPr>
      <w:rFonts w:ascii="Arial" w:hAnsi="Arial" w:cs="Arial"/>
      <w:lang w:val="en-US"/>
    </w:rPr>
  </w:style>
  <w:style w:type="paragraph" w:customStyle="1" w:styleId="Style6">
    <w:name w:val="Style 6"/>
    <w:pPr>
      <w:suppressAutoHyphens/>
      <w:autoSpaceDE w:val="0"/>
      <w:autoSpaceDN w:val="0"/>
      <w:spacing w:line="204" w:lineRule="auto"/>
      <w:ind w:left="288"/>
    </w:pPr>
    <w:rPr>
      <w:rFonts w:ascii="Arial" w:hAnsi="Arial" w:cs="Arial"/>
      <w:lang w:val="en-US"/>
    </w:rPr>
  </w:style>
  <w:style w:type="paragraph" w:styleId="Textodeglobo">
    <w:name w:val="Balloon Text"/>
    <w:basedOn w:val="Normal"/>
    <w:link w:val="TextodegloboCar"/>
    <w:uiPriority w:val="99"/>
    <w:rPr>
      <w:rFonts w:ascii="Tahoma" w:hAnsi="Tahoma" w:cs="Mangal"/>
      <w:sz w:val="16"/>
      <w:szCs w:val="14"/>
    </w:rPr>
  </w:style>
  <w:style w:type="character" w:customStyle="1" w:styleId="TextodegloboCar">
    <w:name w:val="Texto de globo Car"/>
    <w:basedOn w:val="Fuentedeprrafopredeter"/>
    <w:link w:val="Textodeglobo"/>
    <w:uiPriority w:val="99"/>
    <w:locked/>
    <w:rPr>
      <w:rFonts w:ascii="Tahoma" w:hAnsi="Tahoma" w:cs="Mangal"/>
      <w:sz w:val="14"/>
      <w:szCs w:val="14"/>
    </w:rPr>
  </w:style>
  <w:style w:type="character" w:customStyle="1" w:styleId="WW8Num1z0">
    <w:name w:val="WW8Num1z0"/>
    <w:rPr>
      <w:rFonts w:ascii="Arial" w:hAnsi="Arial"/>
      <w:spacing w:val="6"/>
      <w:sz w:val="22"/>
    </w:rPr>
  </w:style>
  <w:style w:type="character" w:customStyle="1" w:styleId="WW8Num2z0">
    <w:name w:val="WW8Num2z0"/>
    <w:rPr>
      <w:rFonts w:ascii="Arial" w:hAnsi="Arial"/>
      <w:sz w:val="24"/>
    </w:rPr>
  </w:style>
  <w:style w:type="character" w:customStyle="1" w:styleId="WW8Num5z0">
    <w:name w:val="WW8Num5z0"/>
  </w:style>
  <w:style w:type="character" w:customStyle="1" w:styleId="WW8Num8z0">
    <w:name w:val="WW8Num8z0"/>
    <w:rPr>
      <w:rFonts w:ascii="Arial" w:hAnsi="Arial"/>
      <w:sz w:val="22"/>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styleId="Nmerodepgina">
    <w:name w:val="page number"/>
    <w:basedOn w:val="Fuentedeprrafopredeter"/>
    <w:uiPriority w:val="99"/>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hAnsi="Bookman Old Style"/>
      <w:sz w:val="22"/>
    </w:rPr>
  </w:style>
  <w:style w:type="character" w:customStyle="1" w:styleId="CharacterStyle2">
    <w:name w:val="Character Style 2"/>
    <w:rPr>
      <w:sz w:val="26"/>
    </w:rPr>
  </w:style>
  <w:style w:type="character" w:styleId="Refdecomentario">
    <w:name w:val="annotation reference"/>
    <w:basedOn w:val="Fuentedeprrafopredeter"/>
    <w:uiPriority w:val="99"/>
    <w:rPr>
      <w:rFonts w:cs="Times New Roman"/>
      <w:sz w:val="16"/>
      <w:szCs w:val="16"/>
    </w:rPr>
  </w:style>
  <w:style w:type="paragraph" w:styleId="Asuntodelcomentario">
    <w:name w:val="annotation subject"/>
    <w:basedOn w:val="Textocomentario"/>
    <w:next w:val="Textocomentario"/>
    <w:link w:val="AsuntodelcomentarioCar"/>
    <w:uiPriority w:val="99"/>
    <w:pPr>
      <w:widowControl w:val="0"/>
    </w:pPr>
    <w:rPr>
      <w:rFonts w:ascii="Liberation Serif" w:hAnsi="Liberation Serif" w:cs="Mangal"/>
      <w:b/>
      <w:bCs/>
      <w:szCs w:val="18"/>
      <w:lang w:bidi="hi-IN"/>
    </w:rPr>
  </w:style>
  <w:style w:type="character" w:customStyle="1" w:styleId="AsuntodelcomentarioCar">
    <w:name w:val="Asunto del comentario Car"/>
    <w:basedOn w:val="TextocomentarioCar"/>
    <w:link w:val="Asuntodelcomentario"/>
    <w:uiPriority w:val="99"/>
    <w:locked/>
    <w:rPr>
      <w:rFonts w:ascii="Arial" w:hAnsi="Arial" w:cs="Mangal"/>
      <w:b/>
      <w:bCs/>
      <w:sz w:val="18"/>
      <w:szCs w:val="18"/>
      <w:lang w:bidi="ar-SA"/>
    </w:rPr>
  </w:style>
  <w:style w:type="character" w:customStyle="1" w:styleId="StandardCar">
    <w:name w:val="Standard Car"/>
    <w:basedOn w:val="Fuentedeprrafopredeter"/>
    <w:rPr>
      <w:rFonts w:ascii="Courier New" w:hAnsi="Courier New" w:cs="Courier New"/>
      <w:sz w:val="20"/>
      <w:szCs w:val="20"/>
      <w:lang w:bidi="ar-SA"/>
    </w:rPr>
  </w:style>
  <w:style w:type="paragraph" w:customStyle="1" w:styleId="Estilo1">
    <w:name w:val="Estilo1"/>
    <w:basedOn w:val="Normal"/>
    <w:pPr>
      <w:widowControl/>
      <w:textAlignment w:val="auto"/>
    </w:pPr>
    <w:rPr>
      <w:rFonts w:ascii="Arial" w:hAnsi="Arial" w:cs="Times New Roman"/>
      <w:kern w:val="0"/>
      <w:sz w:val="20"/>
      <w:szCs w:val="20"/>
      <w:lang w:eastAsia="es-ES" w:bidi="ar-SA"/>
    </w:rPr>
  </w:style>
  <w:style w:type="character" w:styleId="Hipervnculo">
    <w:name w:val="Hyperlink"/>
    <w:basedOn w:val="Fuentedeprrafopredeter"/>
    <w:uiPriority w:val="99"/>
    <w:rPr>
      <w:rFonts w:cs="Times New Roman"/>
      <w:color w:val="0000FF"/>
      <w:u w:val="single"/>
    </w:rPr>
  </w:style>
  <w:style w:type="character" w:customStyle="1" w:styleId="apple-converted-space">
    <w:name w:val="apple-converted-space"/>
    <w:basedOn w:val="Fuentedeprrafopredeter"/>
    <w:rPr>
      <w:rFonts w:cs="Times New Roman"/>
    </w:rPr>
  </w:style>
  <w:style w:type="numbering" w:customStyle="1" w:styleId="WW8Num4">
    <w:name w:val="WW8Num4"/>
    <w:pPr>
      <w:numPr>
        <w:numId w:val="4"/>
      </w:numPr>
    </w:pPr>
  </w:style>
  <w:style w:type="numbering" w:customStyle="1" w:styleId="WW8Num1">
    <w:name w:val="WW8Num1"/>
    <w:pPr>
      <w:numPr>
        <w:numId w:val="1"/>
      </w:numPr>
    </w:pPr>
  </w:style>
  <w:style w:type="numbering" w:customStyle="1" w:styleId="WW8Num15">
    <w:name w:val="WW8Num15"/>
    <w:pPr>
      <w:numPr>
        <w:numId w:val="15"/>
      </w:numPr>
    </w:pPr>
  </w:style>
  <w:style w:type="numbering" w:customStyle="1" w:styleId="WW8Num17">
    <w:name w:val="WW8Num17"/>
    <w:pPr>
      <w:numPr>
        <w:numId w:val="17"/>
      </w:numPr>
    </w:pPr>
  </w:style>
  <w:style w:type="numbering" w:customStyle="1" w:styleId="WW8Num2">
    <w:name w:val="WW8Num2"/>
    <w:pPr>
      <w:numPr>
        <w:numId w:val="2"/>
      </w:numPr>
    </w:pPr>
  </w:style>
  <w:style w:type="numbering" w:customStyle="1" w:styleId="WW8Num5">
    <w:name w:val="WW8Num5"/>
    <w:pPr>
      <w:numPr>
        <w:numId w:val="5"/>
      </w:numPr>
    </w:pPr>
  </w:style>
  <w:style w:type="numbering" w:customStyle="1" w:styleId="WW8Num9">
    <w:name w:val="WW8Num9"/>
    <w:pPr>
      <w:numPr>
        <w:numId w:val="9"/>
      </w:numPr>
    </w:pPr>
  </w:style>
  <w:style w:type="numbering" w:customStyle="1" w:styleId="WW8Num18">
    <w:name w:val="WW8Num18"/>
    <w:pPr>
      <w:numPr>
        <w:numId w:val="18"/>
      </w:numPr>
    </w:pPr>
  </w:style>
  <w:style w:type="numbering" w:customStyle="1" w:styleId="WW8Num13">
    <w:name w:val="WW8Num13"/>
    <w:pPr>
      <w:numPr>
        <w:numId w:val="13"/>
      </w:numPr>
    </w:pPr>
  </w:style>
  <w:style w:type="numbering" w:customStyle="1" w:styleId="WW8Num16">
    <w:name w:val="WW8Num16"/>
    <w:pPr>
      <w:numPr>
        <w:numId w:val="16"/>
      </w:numPr>
    </w:pPr>
  </w:style>
  <w:style w:type="numbering" w:customStyle="1" w:styleId="WW8Num19">
    <w:name w:val="WW8Num19"/>
    <w:pPr>
      <w:numPr>
        <w:numId w:val="19"/>
      </w:numPr>
    </w:pPr>
  </w:style>
  <w:style w:type="numbering" w:customStyle="1" w:styleId="WW8Num10">
    <w:name w:val="WW8Num10"/>
    <w:pPr>
      <w:numPr>
        <w:numId w:val="10"/>
      </w:numPr>
    </w:pPr>
  </w:style>
  <w:style w:type="numbering" w:customStyle="1" w:styleId="WW8Num14">
    <w:name w:val="WW8Num14"/>
    <w:pPr>
      <w:numPr>
        <w:numId w:val="14"/>
      </w:numPr>
    </w:pPr>
  </w:style>
  <w:style w:type="numbering" w:customStyle="1" w:styleId="WW8Num6">
    <w:name w:val="WW8Num6"/>
    <w:pPr>
      <w:numPr>
        <w:numId w:val="6"/>
      </w:numPr>
    </w:pPr>
  </w:style>
  <w:style w:type="numbering" w:customStyle="1" w:styleId="WW8Num7">
    <w:name w:val="WW8Num7"/>
    <w:pPr>
      <w:numPr>
        <w:numId w:val="7"/>
      </w:numPr>
    </w:pPr>
  </w:style>
  <w:style w:type="numbering" w:customStyle="1" w:styleId="WW8Num11">
    <w:name w:val="WW8Num11"/>
    <w:pPr>
      <w:numPr>
        <w:numId w:val="11"/>
      </w:numPr>
    </w:pPr>
  </w:style>
  <w:style w:type="numbering" w:customStyle="1" w:styleId="WW8Num3">
    <w:name w:val="WW8Num3"/>
    <w:pPr>
      <w:numPr>
        <w:numId w:val="3"/>
      </w:numPr>
    </w:pPr>
  </w:style>
  <w:style w:type="numbering" w:customStyle="1" w:styleId="WW8Num12">
    <w:name w:val="WW8Num12"/>
    <w:pPr>
      <w:numPr>
        <w:numId w:val="12"/>
      </w:numPr>
    </w:pPr>
  </w:style>
  <w:style w:type="numbering" w:customStyle="1" w:styleId="WW8Num8">
    <w:name w:val="WW8Num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1967</Words>
  <Characters>11218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SERVI001</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subject/>
  <dc:creator>Ministerio de Transporte</dc:creator>
  <cp:keywords/>
  <dc:description/>
  <cp:lastModifiedBy>rodrigo cubillos</cp:lastModifiedBy>
  <cp:revision>2</cp:revision>
  <cp:lastPrinted>2019-04-29T22:08:00Z</cp:lastPrinted>
  <dcterms:created xsi:type="dcterms:W3CDTF">2019-04-30T18:33:00Z</dcterms:created>
  <dcterms:modified xsi:type="dcterms:W3CDTF">2019-04-30T18:33:00Z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