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CD5" w:rsidRDefault="005F4CD5">
      <w:pPr>
        <w:ind w:right="-285"/>
        <w:jc w:val="center"/>
        <w:rPr>
          <w:rFonts w:ascii="Work Sans" w:hAnsi="Work Sans" w:cs="Arial"/>
          <w:b/>
          <w:sz w:val="20"/>
          <w:szCs w:val="20"/>
        </w:rPr>
      </w:pPr>
    </w:p>
    <w:p w:rsidR="005F4CD5" w:rsidRDefault="00534CD8">
      <w:pPr>
        <w:pStyle w:val="Default"/>
        <w:ind w:right="-2"/>
        <w:jc w:val="center"/>
        <w:rPr>
          <w:rFonts w:ascii="Work Sans" w:hAnsi="Work Sans" w:cs="Arial"/>
          <w:b/>
          <w:sz w:val="20"/>
          <w:szCs w:val="20"/>
        </w:rPr>
      </w:pPr>
      <w:r>
        <w:rPr>
          <w:rFonts w:ascii="Work Sans" w:hAnsi="Work Sans" w:cs="Arial"/>
          <w:b/>
          <w:sz w:val="20"/>
          <w:szCs w:val="20"/>
        </w:rPr>
        <w:t>LA MINISTRA DE TRANSPORTE</w:t>
      </w:r>
    </w:p>
    <w:p w:rsidR="005F4CD5" w:rsidRDefault="005F4CD5">
      <w:pPr>
        <w:ind w:right="-285"/>
        <w:jc w:val="center"/>
        <w:rPr>
          <w:rFonts w:ascii="Work Sans" w:hAnsi="Work Sans" w:cs="Arial"/>
          <w:sz w:val="20"/>
          <w:szCs w:val="20"/>
        </w:rPr>
      </w:pPr>
    </w:p>
    <w:p w:rsidR="005F4CD5" w:rsidRDefault="00534CD8">
      <w:pPr>
        <w:pStyle w:val="Default"/>
        <w:ind w:right="-2"/>
        <w:jc w:val="both"/>
      </w:pPr>
      <w:r>
        <w:rPr>
          <w:rFonts w:ascii="Work Sans" w:hAnsi="Work Sans" w:cs="Arial"/>
          <w:sz w:val="20"/>
          <w:szCs w:val="20"/>
        </w:rPr>
        <w:t xml:space="preserve">En ejercicio de sus facultades legales y en especial las conferidas por el artículo 21 y 30 de la Ley </w:t>
      </w:r>
      <w:r>
        <w:rPr>
          <w:rFonts w:ascii="Work Sans" w:hAnsi="Work Sans" w:cs="Arial"/>
          <w:iCs/>
          <w:sz w:val="20"/>
          <w:szCs w:val="20"/>
        </w:rPr>
        <w:t>105</w:t>
      </w:r>
      <w:r>
        <w:rPr>
          <w:rFonts w:ascii="Work Sans" w:hAnsi="Work Sans" w:cs="Arial"/>
          <w:sz w:val="20"/>
          <w:szCs w:val="20"/>
        </w:rPr>
        <w:t xml:space="preserve"> de 1993, modificado parcialmente por el artículo 1° de la Ley 787 de 2002, y por los numerales 6.14 y 6.15 del artículo 6 del Decreto 087 de 2011, y</w:t>
      </w:r>
    </w:p>
    <w:p w:rsidR="005F4CD5" w:rsidRDefault="005F4CD5">
      <w:pPr>
        <w:ind w:right="-285"/>
        <w:jc w:val="center"/>
        <w:rPr>
          <w:rFonts w:ascii="Work Sans" w:hAnsi="Work Sans" w:cs="Arial"/>
          <w:b/>
          <w:sz w:val="20"/>
          <w:szCs w:val="20"/>
        </w:rPr>
      </w:pPr>
    </w:p>
    <w:p w:rsidR="005F4CD5" w:rsidRDefault="00534CD8">
      <w:pPr>
        <w:pStyle w:val="Default"/>
        <w:ind w:right="-2"/>
        <w:jc w:val="center"/>
        <w:rPr>
          <w:rFonts w:ascii="Work Sans" w:hAnsi="Work Sans" w:cs="Arial"/>
          <w:b/>
          <w:sz w:val="20"/>
          <w:szCs w:val="20"/>
        </w:rPr>
      </w:pPr>
      <w:r>
        <w:rPr>
          <w:rFonts w:ascii="Work Sans" w:hAnsi="Work Sans" w:cs="Arial"/>
          <w:b/>
          <w:sz w:val="20"/>
          <w:szCs w:val="20"/>
        </w:rPr>
        <w:t>CONSIDERANDO</w:t>
      </w:r>
    </w:p>
    <w:p w:rsidR="005F4CD5" w:rsidRDefault="005F4CD5">
      <w:pPr>
        <w:tabs>
          <w:tab w:val="left" w:pos="0"/>
        </w:tabs>
        <w:ind w:right="-285"/>
        <w:jc w:val="both"/>
        <w:rPr>
          <w:rFonts w:ascii="Work Sans" w:hAnsi="Work Sans" w:cs="Arial"/>
          <w:sz w:val="20"/>
          <w:szCs w:val="20"/>
        </w:rPr>
      </w:pPr>
    </w:p>
    <w:p w:rsidR="005F4CD5" w:rsidRDefault="00534CD8">
      <w:pPr>
        <w:pStyle w:val="Default"/>
        <w:ind w:right="-2"/>
        <w:jc w:val="both"/>
      </w:pPr>
      <w:r>
        <w:rPr>
          <w:rFonts w:ascii="Work Sans" w:hAnsi="Work Sans" w:cs="Arial"/>
          <w:sz w:val="20"/>
        </w:rPr>
        <w:t xml:space="preserve">Que la Ley 105 de 1993, </w:t>
      </w:r>
      <w:r>
        <w:rPr>
          <w:rFonts w:ascii="Work Sans" w:hAnsi="Work Sans" w:cs="Arial"/>
          <w:i/>
          <w:sz w:val="20"/>
        </w:rPr>
        <w:t>“Por la cual se dictan disposiciones básicas sobre el transporte, se redistribuyen competencias y recursos entre la Nación y las Entidades Territoriales, se reglamenta la planeación en el sector transporte y se dictan otras disposiciones”</w:t>
      </w:r>
      <w:r>
        <w:rPr>
          <w:rFonts w:ascii="Work Sans" w:hAnsi="Work Sans" w:cs="Arial"/>
          <w:sz w:val="20"/>
        </w:rPr>
        <w:t xml:space="preserve"> en su artículo 21, modificado parcialmente por el artículo 1° de la Ley 787 de 2002, establece lo siguiente:</w:t>
      </w:r>
    </w:p>
    <w:p w:rsidR="005F4CD5" w:rsidRDefault="005F4CD5">
      <w:pPr>
        <w:pStyle w:val="Prrafodelista"/>
        <w:tabs>
          <w:tab w:val="left" w:pos="851"/>
        </w:tabs>
        <w:ind w:left="851" w:right="-285"/>
        <w:jc w:val="both"/>
        <w:rPr>
          <w:rFonts w:ascii="Work Sans" w:hAnsi="Work Sans" w:cs="Arial"/>
          <w:i/>
          <w:sz w:val="20"/>
          <w:lang w:bidi="hi-IN"/>
        </w:rPr>
      </w:pPr>
    </w:p>
    <w:p w:rsidR="005F4CD5" w:rsidRPr="005E1C25" w:rsidRDefault="00534CD8" w:rsidP="005E1C25">
      <w:pPr>
        <w:pStyle w:val="Prrafodelista"/>
        <w:ind w:left="567" w:right="623"/>
        <w:jc w:val="both"/>
        <w:rPr>
          <w:sz w:val="18"/>
          <w:szCs w:val="18"/>
        </w:rPr>
      </w:pPr>
      <w:r w:rsidRPr="005E1C25">
        <w:rPr>
          <w:rFonts w:ascii="Work Sans" w:hAnsi="Work Sans" w:cs="Arial"/>
          <w:i/>
          <w:sz w:val="18"/>
          <w:szCs w:val="18"/>
          <w:lang w:val="es-CO" w:eastAsia="es-CO"/>
        </w:rPr>
        <w:t>“ARTICULO 21.</w:t>
      </w:r>
      <w:r w:rsidRPr="00B60ADB">
        <w:rPr>
          <w:rFonts w:ascii="Work Sans" w:hAnsi="Work Sans" w:cs="Arial"/>
          <w:i/>
          <w:sz w:val="18"/>
          <w:szCs w:val="18"/>
          <w:lang w:val="es-CO" w:eastAsia="es-CO"/>
        </w:rPr>
        <w:t> </w:t>
      </w:r>
      <w:r w:rsidRPr="005E1C25">
        <w:rPr>
          <w:rFonts w:ascii="Work Sans" w:hAnsi="Work Sans" w:cs="Arial"/>
          <w:i/>
          <w:sz w:val="18"/>
          <w:szCs w:val="18"/>
          <w:lang w:val="es-CO" w:eastAsia="es-CO"/>
        </w:rPr>
        <w:t>Tasas, tarifas y peajes en la infraestructura de transporte a cargo de la Nación.</w:t>
      </w:r>
      <w:r w:rsidRPr="00B60ADB">
        <w:rPr>
          <w:rFonts w:ascii="Work Sans" w:hAnsi="Work Sans" w:cs="Arial"/>
          <w:i/>
          <w:sz w:val="18"/>
          <w:szCs w:val="18"/>
          <w:lang w:val="es-CO" w:eastAsia="es-CO"/>
        </w:rPr>
        <w:t> </w:t>
      </w:r>
      <w:r w:rsidRPr="005E1C25">
        <w:rPr>
          <w:rFonts w:ascii="Work Sans" w:hAnsi="Work Sans" w:cs="Arial"/>
          <w:i/>
          <w:sz w:val="18"/>
          <w:szCs w:val="18"/>
          <w:lang w:val="es-CO" w:eastAsia="es-CO"/>
        </w:rPr>
        <w:t>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Para estos efectos, la Nación establecerá peajes, tarifas y tasas sobre el uso de la infraestructura nacional de transporte y los recursos provenientes de su cobro se usarán exclusivamente para ese modo de transporte.</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Todos los servicios que la Nación o sus entidades descentralizadas presten a los usuarios accesoriamente a la utilización de la infraestructura Nacional de Transporte, estarán sujetos al cobro de tasas o tarifas.</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Para la fijación y cobro de tasas, tarifas y peajes, se observarán los siguientes principios:</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a) Los ingresos provenientes de la utilización de la infraestructura de transporte, deberán garantizar su adecuado mantenimiento, operación y desarrollo;</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w:t>
      </w:r>
      <w:r w:rsidRPr="00B60ADB">
        <w:rPr>
          <w:rFonts w:ascii="Work Sans" w:hAnsi="Work Sans" w:cs="Arial"/>
          <w:i/>
          <w:sz w:val="18"/>
          <w:szCs w:val="18"/>
          <w:lang w:val="es-CO" w:eastAsia="es-CO"/>
        </w:rPr>
        <w:t> </w:t>
      </w:r>
      <w:r w:rsidRPr="005E1C25">
        <w:rPr>
          <w:rFonts w:ascii="Work Sans" w:hAnsi="Work Sans" w:cs="Arial"/>
          <w:i/>
          <w:sz w:val="18"/>
          <w:szCs w:val="18"/>
          <w:lang w:val="es-CO" w:eastAsia="es-CO"/>
        </w:rPr>
        <w:t>Inpec, vehículos oficiales del (DAS) Departamento Administrativo de Seguridad y de las demás instituciones que prestan funciones de Policía Judicial;</w:t>
      </w:r>
      <w:r w:rsidRPr="00B60ADB">
        <w:rPr>
          <w:rFonts w:ascii="Work Sans" w:hAnsi="Work Sans" w:cs="Arial"/>
          <w:i/>
          <w:sz w:val="18"/>
          <w:szCs w:val="18"/>
          <w:lang w:val="es-CO" w:eastAsia="es-CO"/>
        </w:rPr>
        <w:t> </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c) El valor de las tasas o tarifas será determinado por la autoridad competente; su recaudo estará a cargo de las entidades públicas o privadas, responsables de la prestación del servicio;</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d) Las tasas de peaje serán diferenciales, es decir, se fijarán en proporción a las distancias recorridas, las características vehiculares y sus respectivos costos de operación;</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e) Para la determinación del valor del peaje y de las tasas de valoración en las vías nacionales, se tendrá en cuenta un criterio de equidad fiscal.</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Parágrafo 1°. La Nación podrá en caso de necesidad y previo concepto del Ministerio de Transporte, apropiar recursos del Presupuesto Nacional para el mantenimiento, operación y desarrollo de la infraestructura de transporte.</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sz w:val="18"/>
          <w:szCs w:val="18"/>
        </w:rPr>
      </w:pPr>
      <w:r w:rsidRPr="005E1C25">
        <w:rPr>
          <w:rFonts w:ascii="Work Sans" w:hAnsi="Work Sans" w:cs="Arial"/>
          <w:i/>
          <w:sz w:val="18"/>
          <w:szCs w:val="18"/>
          <w:lang w:val="es-CO" w:eastAsia="es-CO"/>
        </w:rPr>
        <w:lastRenderedPageBreak/>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r w:rsidRPr="00B60ADB">
        <w:rPr>
          <w:rFonts w:ascii="Work Sans" w:hAnsi="Work Sans" w:cs="Arial"/>
          <w:b/>
          <w:bCs/>
          <w:i/>
          <w:sz w:val="18"/>
          <w:szCs w:val="18"/>
          <w:lang w:val="es-CO" w:eastAsia="es-CO"/>
        </w:rPr>
        <w:t> </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rFonts w:ascii="Work Sans" w:hAnsi="Work Sans" w:cs="Arial"/>
          <w:i/>
          <w:sz w:val="18"/>
          <w:szCs w:val="18"/>
          <w:lang w:val="es-CO" w:eastAsia="es-CO"/>
        </w:rPr>
      </w:pPr>
      <w:r w:rsidRPr="005E1C25">
        <w:rPr>
          <w:rFonts w:ascii="Work Sans" w:hAnsi="Work Sans" w:cs="Arial"/>
          <w:i/>
          <w:sz w:val="18"/>
          <w:szCs w:val="18"/>
          <w:lang w:val="es-CO" w:eastAsia="es-CO"/>
        </w:rPr>
        <w:t>Parágrafo 3°. Facúltese a las Entidades Territoriales para decretar las exenciones contempladas en el literal b), del artículo 1°.</w:t>
      </w:r>
    </w:p>
    <w:p w:rsidR="005F4CD5" w:rsidRPr="005E1C25" w:rsidRDefault="00534CD8" w:rsidP="005E1C25">
      <w:pPr>
        <w:pStyle w:val="Prrafodelista"/>
        <w:ind w:left="567" w:right="623"/>
        <w:jc w:val="both"/>
        <w:rPr>
          <w:sz w:val="18"/>
          <w:szCs w:val="18"/>
        </w:rPr>
      </w:pPr>
      <w:r w:rsidRPr="00B60ADB">
        <w:rPr>
          <w:rFonts w:ascii="Work Sans" w:hAnsi="Work Sans" w:cs="Arial"/>
          <w:i/>
          <w:sz w:val="18"/>
          <w:szCs w:val="18"/>
          <w:lang w:val="es-MX" w:eastAsia="es-CO"/>
        </w:rPr>
        <w:t> </w:t>
      </w:r>
    </w:p>
    <w:p w:rsidR="005F4CD5" w:rsidRPr="005E1C25" w:rsidRDefault="00534CD8" w:rsidP="005E1C25">
      <w:pPr>
        <w:pStyle w:val="Prrafodelista"/>
        <w:ind w:left="567" w:right="623"/>
        <w:jc w:val="both"/>
        <w:rPr>
          <w:sz w:val="18"/>
          <w:szCs w:val="18"/>
        </w:rPr>
      </w:pPr>
      <w:r w:rsidRPr="005E1C25">
        <w:rPr>
          <w:rFonts w:ascii="Work Sans" w:hAnsi="Work Sans" w:cs="Arial"/>
          <w:i/>
          <w:sz w:val="18"/>
          <w:szCs w:val="18"/>
          <w:lang w:val="es-CO" w:eastAsia="es-CO"/>
        </w:rPr>
        <w:t>Parágrafo 4°. Se entiende también las vías “Concesionadas”</w:t>
      </w:r>
    </w:p>
    <w:p w:rsidR="005F4CD5" w:rsidRDefault="005F4CD5">
      <w:pPr>
        <w:pStyle w:val="Default"/>
        <w:ind w:right="-2"/>
        <w:jc w:val="both"/>
        <w:rPr>
          <w:rFonts w:ascii="Work Sans" w:hAnsi="Work Sans" w:cs="Arial"/>
          <w:sz w:val="20"/>
          <w:szCs w:val="20"/>
        </w:rPr>
      </w:pPr>
    </w:p>
    <w:p w:rsidR="005F4CD5" w:rsidRDefault="00534CD8">
      <w:pPr>
        <w:pStyle w:val="Default"/>
        <w:ind w:right="-2"/>
        <w:jc w:val="both"/>
      </w:pPr>
      <w:r>
        <w:rPr>
          <w:rFonts w:ascii="Work Sans" w:hAnsi="Work Sans" w:cs="Arial"/>
          <w:sz w:val="20"/>
          <w:szCs w:val="20"/>
        </w:rPr>
        <w:t>Que el Decreto 087 de 2011 “</w:t>
      </w:r>
      <w:r>
        <w:rPr>
          <w:rFonts w:ascii="Work Sans" w:hAnsi="Work Sans" w:cs="Arial"/>
          <w:i/>
          <w:sz w:val="20"/>
          <w:szCs w:val="20"/>
        </w:rPr>
        <w:t xml:space="preserve">Por el cual se modifica la estructura del Ministerio de </w:t>
      </w:r>
      <w:r>
        <w:rPr>
          <w:rFonts w:ascii="Work Sans" w:hAnsi="Work Sans" w:cs="Arial"/>
          <w:iCs/>
          <w:sz w:val="20"/>
          <w:szCs w:val="20"/>
        </w:rPr>
        <w:t>Transporte</w:t>
      </w:r>
      <w:r>
        <w:rPr>
          <w:rFonts w:ascii="Work Sans" w:hAnsi="Work Sans" w:cs="Arial"/>
          <w:i/>
          <w:sz w:val="20"/>
          <w:szCs w:val="20"/>
        </w:rPr>
        <w:t>, y se determinan las funciones de sus dependencias</w:t>
      </w:r>
      <w:r>
        <w:rPr>
          <w:rFonts w:ascii="Work Sans" w:hAnsi="Work Sans" w:cs="Arial"/>
          <w:sz w:val="20"/>
          <w:szCs w:val="20"/>
        </w:rPr>
        <w:t>” establece:</w:t>
      </w:r>
    </w:p>
    <w:p w:rsidR="005F4CD5" w:rsidRDefault="005F4CD5">
      <w:pPr>
        <w:ind w:left="851" w:right="-285"/>
        <w:jc w:val="both"/>
        <w:rPr>
          <w:rFonts w:ascii="Work Sans" w:hAnsi="Work Sans" w:cs="Arial"/>
          <w:i/>
          <w:sz w:val="20"/>
          <w:szCs w:val="20"/>
        </w:rPr>
      </w:pPr>
    </w:p>
    <w:p w:rsidR="005F4CD5" w:rsidRPr="00417F31" w:rsidRDefault="00534CD8">
      <w:pPr>
        <w:pStyle w:val="Prrafodelista"/>
        <w:tabs>
          <w:tab w:val="left" w:pos="567"/>
        </w:tabs>
        <w:ind w:left="567" w:right="481"/>
        <w:jc w:val="both"/>
        <w:rPr>
          <w:rFonts w:ascii="Work Sans" w:hAnsi="Work Sans" w:cs="Arial"/>
          <w:i/>
          <w:sz w:val="18"/>
          <w:szCs w:val="18"/>
          <w:lang w:val="es-CO" w:eastAsia="es-CO"/>
        </w:rPr>
      </w:pPr>
      <w:r w:rsidRPr="00554CFB">
        <w:rPr>
          <w:rFonts w:ascii="Work Sans" w:hAnsi="Work Sans" w:cs="Arial"/>
          <w:i/>
          <w:sz w:val="18"/>
          <w:szCs w:val="18"/>
          <w:lang w:val="es-CO" w:eastAsia="es-CO"/>
        </w:rPr>
        <w:t xml:space="preserve">“Artículo 6°. Funciones del Despacho del Ministro de Transporte. Son funciones del Despacho del Ministro de </w:t>
      </w:r>
      <w:r w:rsidRPr="003C5DDE">
        <w:rPr>
          <w:rFonts w:ascii="Work Sans" w:hAnsi="Work Sans" w:cs="Arial"/>
          <w:i/>
          <w:sz w:val="18"/>
          <w:szCs w:val="18"/>
          <w:lang w:val="es-CO" w:eastAsia="es-CO"/>
        </w:rPr>
        <w:t>Transporte, además de las señaladas por la Constitución Política y la ley, las siguientes:</w:t>
      </w:r>
    </w:p>
    <w:p w:rsidR="005F4CD5" w:rsidRPr="0011562C" w:rsidRDefault="005F4CD5">
      <w:pPr>
        <w:pStyle w:val="Prrafodelista"/>
        <w:tabs>
          <w:tab w:val="left" w:pos="567"/>
        </w:tabs>
        <w:ind w:left="567" w:right="481"/>
        <w:jc w:val="both"/>
        <w:rPr>
          <w:rFonts w:ascii="Work Sans" w:hAnsi="Work Sans" w:cs="Arial"/>
          <w:i/>
          <w:sz w:val="18"/>
          <w:szCs w:val="18"/>
          <w:lang w:val="es-CO" w:eastAsia="es-CO"/>
        </w:rPr>
      </w:pPr>
    </w:p>
    <w:p w:rsidR="005F4CD5" w:rsidRPr="000E612D" w:rsidRDefault="00534CD8">
      <w:pPr>
        <w:pStyle w:val="Prrafodelista"/>
        <w:tabs>
          <w:tab w:val="left" w:pos="567"/>
        </w:tabs>
        <w:ind w:left="567" w:right="481"/>
        <w:jc w:val="both"/>
        <w:rPr>
          <w:rFonts w:ascii="Work Sans" w:hAnsi="Work Sans" w:cs="Arial"/>
          <w:i/>
          <w:sz w:val="18"/>
          <w:szCs w:val="18"/>
          <w:lang w:val="es-CO" w:eastAsia="es-CO"/>
        </w:rPr>
      </w:pPr>
      <w:r w:rsidRPr="00BE3DF6">
        <w:rPr>
          <w:rFonts w:ascii="Work Sans" w:hAnsi="Work Sans" w:cs="Arial"/>
          <w:i/>
          <w:sz w:val="18"/>
          <w:szCs w:val="18"/>
          <w:lang w:val="es-CO" w:eastAsia="es-CO"/>
        </w:rPr>
        <w:t>6.14. Emitir, en su calidad de suprema autoridad del Sector Transporte y del Sistema Nacional de Transporte, concepto vinculante previo al establecimiento de los pe</w:t>
      </w:r>
      <w:r w:rsidRPr="00643B7B">
        <w:rPr>
          <w:rFonts w:ascii="Work Sans" w:hAnsi="Work Sans" w:cs="Arial"/>
          <w:i/>
          <w:sz w:val="18"/>
          <w:szCs w:val="18"/>
          <w:lang w:val="es-CO" w:eastAsia="es-CO"/>
        </w:rPr>
        <w:t xml:space="preserve">ajes que deban cobrarse por el uso de las vías a cargo de la Nación, los departamentos, distritos y municipios. </w:t>
      </w:r>
    </w:p>
    <w:p w:rsidR="005F4CD5" w:rsidRPr="00B60ADB" w:rsidRDefault="00534CD8">
      <w:pPr>
        <w:pStyle w:val="Prrafodelista"/>
        <w:tabs>
          <w:tab w:val="left" w:pos="567"/>
        </w:tabs>
        <w:ind w:left="567" w:right="481"/>
        <w:jc w:val="both"/>
        <w:rPr>
          <w:rFonts w:ascii="Work Sans" w:hAnsi="Work Sans" w:cs="Arial"/>
          <w:i/>
          <w:sz w:val="18"/>
          <w:szCs w:val="18"/>
          <w:lang w:val="es-CO" w:eastAsia="es-CO"/>
        </w:rPr>
      </w:pPr>
      <w:r w:rsidRPr="00B60ADB">
        <w:rPr>
          <w:rFonts w:ascii="Work Sans" w:hAnsi="Work Sans" w:cs="Arial"/>
          <w:i/>
          <w:sz w:val="18"/>
          <w:szCs w:val="18"/>
          <w:lang w:val="es-CO" w:eastAsia="es-CO"/>
        </w:rPr>
        <w:t xml:space="preserve"> </w:t>
      </w:r>
    </w:p>
    <w:p w:rsidR="005F4CD5" w:rsidRPr="005E1C25" w:rsidRDefault="00534CD8">
      <w:pPr>
        <w:pStyle w:val="Prrafodelista"/>
        <w:tabs>
          <w:tab w:val="left" w:pos="567"/>
        </w:tabs>
        <w:ind w:left="567" w:right="481"/>
        <w:jc w:val="both"/>
        <w:rPr>
          <w:rFonts w:ascii="Work Sans" w:hAnsi="Work Sans" w:cs="Arial"/>
          <w:i/>
          <w:sz w:val="18"/>
          <w:szCs w:val="18"/>
          <w:lang w:val="es-CO" w:eastAsia="es-CO"/>
        </w:rPr>
      </w:pPr>
      <w:r w:rsidRPr="00CF4326">
        <w:rPr>
          <w:rFonts w:ascii="Work Sans" w:hAnsi="Work Sans" w:cs="Arial"/>
          <w:i/>
          <w:sz w:val="18"/>
          <w:szCs w:val="18"/>
          <w:lang w:val="es-CO" w:eastAsia="es-CO"/>
        </w:rPr>
        <w:t>6.15. Establecer los peajes, tarifas, tasas y derechos a cobrar por el uso de la infraestructura de los modos de transporte, excepto el aéreo”.</w:t>
      </w:r>
    </w:p>
    <w:p w:rsidR="005F4CD5" w:rsidRDefault="005F4CD5">
      <w:pPr>
        <w:tabs>
          <w:tab w:val="left" w:pos="0"/>
          <w:tab w:val="left" w:pos="567"/>
        </w:tabs>
        <w:ind w:left="567" w:right="481"/>
        <w:jc w:val="both"/>
        <w:rPr>
          <w:rFonts w:ascii="Work Sans" w:hAnsi="Work Sans" w:cs="Arial"/>
          <w:sz w:val="18"/>
          <w:szCs w:val="18"/>
        </w:rPr>
      </w:pPr>
    </w:p>
    <w:p w:rsidR="005F4CD5" w:rsidRDefault="00534CD8">
      <w:pPr>
        <w:pStyle w:val="Default"/>
        <w:ind w:right="-2"/>
        <w:jc w:val="both"/>
      </w:pPr>
      <w:r>
        <w:rPr>
          <w:rFonts w:ascii="Work Sans" w:hAnsi="Work Sans" w:cs="Arial"/>
          <w:sz w:val="20"/>
          <w:szCs w:val="20"/>
          <w:lang w:val="es"/>
        </w:rPr>
        <w:t xml:space="preserve">Que los numerales 1 y 5 del artículo 4 del Decreto 4165 de 2011, establecen que le corresponde a la Agencia Nacional de Infraestructura, identificar, evaluar la viabilidad, y proponer iniciativas </w:t>
      </w:r>
      <w:r>
        <w:rPr>
          <w:rFonts w:ascii="Work Sans" w:hAnsi="Work Sans" w:cs="Arial"/>
          <w:iCs/>
          <w:sz w:val="20"/>
          <w:szCs w:val="20"/>
        </w:rPr>
        <w:t>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5F4CD5" w:rsidRDefault="005F4CD5">
      <w:pPr>
        <w:pStyle w:val="Default"/>
        <w:ind w:right="-2"/>
        <w:jc w:val="both"/>
        <w:rPr>
          <w:rFonts w:ascii="Work Sans" w:hAnsi="Work Sans" w:cs="Arial"/>
          <w:iCs/>
          <w:sz w:val="20"/>
          <w:szCs w:val="20"/>
        </w:rPr>
      </w:pPr>
    </w:p>
    <w:p w:rsidR="005F4CD5" w:rsidRDefault="00534CD8">
      <w:pPr>
        <w:pStyle w:val="Default"/>
        <w:ind w:right="-2"/>
        <w:jc w:val="both"/>
        <w:rPr>
          <w:rFonts w:ascii="Work Sans" w:hAnsi="Work Sans" w:cs="Arial"/>
          <w:iCs/>
          <w:sz w:val="20"/>
          <w:szCs w:val="20"/>
        </w:rPr>
      </w:pPr>
      <w:r>
        <w:rPr>
          <w:rFonts w:ascii="Work Sans" w:hAnsi="Work Sans" w:cs="Arial"/>
          <w:iCs/>
          <w:sz w:val="20"/>
          <w:szCs w:val="20"/>
        </w:rPr>
        <w:t>Que de conformidad con los artículos 1 y 5 de la Ley 1508 de 2012, las Asociaciones Público-Privadas son un instrumento de vinculación de capital privado, que se materializa en un contrato entre una Entidad Estatal y una persona natural o jurídica, en el cual se involucran mecanismos de pago relacionados con la disponibilidad, los estándares de calidad y el nivel de servicio de la infraestructura y/o servicio. Igualmente, se contempla el derecho al recaudo de recursos de explotación económica del proyecto.</w:t>
      </w:r>
    </w:p>
    <w:p w:rsidR="005F4CD5" w:rsidRDefault="005F4CD5">
      <w:pPr>
        <w:pStyle w:val="Default"/>
        <w:ind w:right="-2"/>
        <w:jc w:val="both"/>
        <w:rPr>
          <w:rFonts w:ascii="Work Sans" w:hAnsi="Work Sans" w:cs="Arial"/>
          <w:iCs/>
          <w:sz w:val="20"/>
          <w:szCs w:val="20"/>
        </w:rPr>
      </w:pPr>
    </w:p>
    <w:p w:rsidR="005F4CD5" w:rsidRDefault="00534CD8">
      <w:pPr>
        <w:pStyle w:val="Default"/>
        <w:ind w:right="-2"/>
        <w:jc w:val="both"/>
        <w:rPr>
          <w:rFonts w:ascii="Work Sans" w:hAnsi="Work Sans" w:cs="Arial"/>
          <w:iCs/>
          <w:sz w:val="20"/>
          <w:szCs w:val="20"/>
        </w:rPr>
      </w:pPr>
      <w:bookmarkStart w:id="0" w:name="_Hlk72325776"/>
      <w:bookmarkStart w:id="1" w:name="_Hlk72325337"/>
      <w:r>
        <w:rPr>
          <w:rFonts w:ascii="Work Sans" w:hAnsi="Work Sans" w:cs="Arial"/>
          <w:iCs/>
          <w:sz w:val="20"/>
          <w:szCs w:val="20"/>
        </w:rPr>
        <w:t>Que el Ministerio de Transporte mediante la Resolución 0062 de 2010 modificada por la Resolución 1492 de 2010, ordenó la instalación y operación de la estación de peaje denominada Pailitas localizada aproximadamente en el PR 28+600 de la ruta 4515 y  estableció  las categorías vehiculares y las tarifas de peaje a cobrar en las estaciones de peaje denominadas Pailitas, Morrison, Zambito, Aguas Negras y La Gomez.</w:t>
      </w:r>
    </w:p>
    <w:p w:rsidR="00643B7B" w:rsidRDefault="00643B7B">
      <w:pPr>
        <w:pStyle w:val="Default"/>
        <w:ind w:right="-2"/>
        <w:jc w:val="both"/>
        <w:rPr>
          <w:rFonts w:ascii="Work Sans" w:hAnsi="Work Sans" w:cs="Arial"/>
          <w:iCs/>
          <w:sz w:val="20"/>
          <w:szCs w:val="20"/>
        </w:rPr>
      </w:pPr>
    </w:p>
    <w:p w:rsidR="005F4CD5" w:rsidRDefault="00534CD8">
      <w:pPr>
        <w:pStyle w:val="Default"/>
        <w:ind w:right="-2"/>
        <w:jc w:val="both"/>
      </w:pPr>
      <w:r>
        <w:rPr>
          <w:rFonts w:ascii="Work Sans" w:hAnsi="Work Sans" w:cs="Arial"/>
          <w:iCs/>
          <w:sz w:val="20"/>
          <w:szCs w:val="20"/>
        </w:rPr>
        <w:t xml:space="preserve">Que el </w:t>
      </w:r>
      <w:r>
        <w:rPr>
          <w:rFonts w:ascii="Work Sans" w:hAnsi="Work Sans"/>
          <w:sz w:val="20"/>
          <w:szCs w:val="20"/>
        </w:rPr>
        <w:t xml:space="preserve">artículo 6 de la </w:t>
      </w:r>
      <w:r w:rsidR="003C5DDE">
        <w:rPr>
          <w:rFonts w:ascii="Work Sans" w:hAnsi="Work Sans"/>
          <w:sz w:val="20"/>
          <w:szCs w:val="20"/>
        </w:rPr>
        <w:t xml:space="preserve">citada </w:t>
      </w:r>
      <w:r>
        <w:rPr>
          <w:rFonts w:ascii="Work Sans" w:hAnsi="Work Sans"/>
          <w:sz w:val="20"/>
          <w:szCs w:val="20"/>
        </w:rPr>
        <w:t xml:space="preserve">Resolución 000062 del de 2010, </w:t>
      </w:r>
      <w:r w:rsidR="003C5DDE">
        <w:rPr>
          <w:rFonts w:ascii="Work Sans" w:hAnsi="Work Sans" w:cs="Arial"/>
          <w:iCs/>
          <w:sz w:val="20"/>
          <w:szCs w:val="20"/>
        </w:rPr>
        <w:t xml:space="preserve">modificada </w:t>
      </w:r>
      <w:r w:rsidR="003C5DDE">
        <w:rPr>
          <w:rFonts w:ascii="Work Sans" w:hAnsi="Work Sans"/>
          <w:sz w:val="20"/>
          <w:szCs w:val="20"/>
        </w:rPr>
        <w:t xml:space="preserve">transitoriamente por el </w:t>
      </w:r>
      <w:r w:rsidR="003C5DDE">
        <w:rPr>
          <w:rFonts w:ascii="Work Sans" w:hAnsi="Work Sans" w:cs="Arial"/>
          <w:iCs/>
          <w:sz w:val="20"/>
          <w:szCs w:val="20"/>
        </w:rPr>
        <w:t xml:space="preserve">artículo 4 de la Resolución 2127 de 2014, establece </w:t>
      </w:r>
      <w:r>
        <w:rPr>
          <w:rFonts w:ascii="Work Sans" w:hAnsi="Work Sans" w:cs="Arial"/>
          <w:iCs/>
          <w:sz w:val="20"/>
          <w:szCs w:val="20"/>
        </w:rPr>
        <w:t xml:space="preserve"> la fórmula de actualización de las tarifas de las estaciones de peaje para la concesión del proyecto denominado </w:t>
      </w:r>
      <w:r w:rsidRPr="00644345">
        <w:rPr>
          <w:rFonts w:ascii="Work Sans" w:hAnsi="Work Sans" w:cs="Arial"/>
          <w:i/>
          <w:iCs/>
          <w:sz w:val="20"/>
          <w:szCs w:val="20"/>
        </w:rPr>
        <w:t>“Autopista Ruta del Sol Sector 2: Puerto Salgar - San Roque”,</w:t>
      </w:r>
      <w:r>
        <w:rPr>
          <w:rFonts w:ascii="Work Sans" w:hAnsi="Work Sans" w:cs="Arial"/>
          <w:iCs/>
          <w:sz w:val="20"/>
          <w:szCs w:val="20"/>
        </w:rPr>
        <w:t xml:space="preserve"> dentro de las cuales se encontraban las estaciones La Gómez, Morrison y Pailitas.</w:t>
      </w:r>
    </w:p>
    <w:bookmarkEnd w:id="0"/>
    <w:p w:rsidR="005F4CD5" w:rsidRDefault="005F4CD5">
      <w:pPr>
        <w:pStyle w:val="Default"/>
        <w:ind w:right="-2"/>
        <w:jc w:val="both"/>
        <w:rPr>
          <w:rFonts w:ascii="Work Sans" w:hAnsi="Work Sans" w:cs="Arial"/>
          <w:iCs/>
          <w:sz w:val="20"/>
          <w:szCs w:val="20"/>
        </w:rPr>
      </w:pPr>
    </w:p>
    <w:p w:rsidR="002D3FD6" w:rsidRDefault="002D3FD6" w:rsidP="00380643">
      <w:pPr>
        <w:pStyle w:val="Default"/>
        <w:ind w:right="-2"/>
        <w:jc w:val="both"/>
        <w:rPr>
          <w:rFonts w:ascii="Work Sans" w:hAnsi="Work Sans" w:cs="Arial"/>
          <w:iCs/>
          <w:sz w:val="20"/>
          <w:szCs w:val="20"/>
        </w:rPr>
      </w:pPr>
      <w:bookmarkStart w:id="2" w:name="_Hlk72328389"/>
    </w:p>
    <w:p w:rsidR="002D3FD6" w:rsidRDefault="002D3FD6" w:rsidP="002D3FD6">
      <w:pPr>
        <w:pStyle w:val="Default"/>
        <w:ind w:right="-2"/>
        <w:jc w:val="both"/>
        <w:rPr>
          <w:rFonts w:ascii="Work Sans" w:hAnsi="Work Sans" w:cs="Arial"/>
          <w:iCs/>
          <w:sz w:val="20"/>
          <w:szCs w:val="20"/>
        </w:rPr>
      </w:pPr>
      <w:r>
        <w:rPr>
          <w:rFonts w:ascii="Work Sans" w:hAnsi="Work Sans" w:cs="Arial"/>
          <w:iCs/>
          <w:sz w:val="20"/>
          <w:szCs w:val="20"/>
        </w:rPr>
        <w:t xml:space="preserve">Que conforme lo informado por la Agencia Nacional de Infraestructura mediante </w:t>
      </w:r>
      <w:r>
        <w:rPr>
          <w:rFonts w:ascii="Work Sans" w:eastAsia="DengXian Light" w:hAnsi="Work Sans" w:cs="Arial"/>
          <w:sz w:val="20"/>
          <w:szCs w:val="20"/>
        </w:rPr>
        <w:t xml:space="preserve">oficio radicado </w:t>
      </w:r>
      <w:r>
        <w:rPr>
          <w:rFonts w:ascii="Work Sans" w:hAnsi="Work Sans" w:cs="Arial"/>
          <w:iCs/>
          <w:sz w:val="20"/>
          <w:szCs w:val="20"/>
        </w:rPr>
        <w:t>20211000234421 de 2021, las estaciones de peaje denominadas La Gómez y Morrison se encuentran ubicadas en los PRs 37+150 de la ruta nacional 4513 y 39+750 de la ruta nacional 4514.</w:t>
      </w:r>
    </w:p>
    <w:p w:rsidR="002D3FD6" w:rsidRDefault="002D3FD6" w:rsidP="00380643">
      <w:pPr>
        <w:pStyle w:val="Default"/>
        <w:ind w:right="-2"/>
        <w:jc w:val="both"/>
        <w:rPr>
          <w:rFonts w:ascii="Work Sans" w:hAnsi="Work Sans" w:cs="Arial"/>
          <w:iCs/>
          <w:sz w:val="20"/>
          <w:szCs w:val="20"/>
        </w:rPr>
      </w:pPr>
    </w:p>
    <w:p w:rsidR="00380643" w:rsidRPr="00644345" w:rsidRDefault="00534CD8" w:rsidP="00380643">
      <w:pPr>
        <w:pStyle w:val="Default"/>
        <w:ind w:right="-2"/>
        <w:jc w:val="both"/>
        <w:rPr>
          <w:rFonts w:ascii="Work Sans" w:hAnsi="Work Sans" w:cs="Arial"/>
          <w:iCs/>
          <w:sz w:val="20"/>
          <w:szCs w:val="20"/>
        </w:rPr>
      </w:pPr>
      <w:r w:rsidRPr="00643B7B">
        <w:rPr>
          <w:rFonts w:ascii="Work Sans" w:hAnsi="Work Sans" w:cs="Arial"/>
          <w:iCs/>
          <w:sz w:val="20"/>
          <w:szCs w:val="20"/>
        </w:rPr>
        <w:t>Que</w:t>
      </w:r>
      <w:r w:rsidR="00554CFB" w:rsidRPr="00643B7B">
        <w:rPr>
          <w:rFonts w:ascii="Work Sans" w:hAnsi="Work Sans" w:cs="Arial"/>
          <w:iCs/>
          <w:sz w:val="20"/>
          <w:szCs w:val="20"/>
        </w:rPr>
        <w:t xml:space="preserve"> </w:t>
      </w:r>
      <w:r w:rsidR="00554CFB" w:rsidRPr="007E310F">
        <w:rPr>
          <w:rFonts w:ascii="Work Sans" w:hAnsi="Work Sans" w:cs="Arial"/>
          <w:iCs/>
          <w:sz w:val="20"/>
          <w:szCs w:val="20"/>
        </w:rPr>
        <w:t>a</w:t>
      </w:r>
      <w:r w:rsidR="00554CFB" w:rsidRPr="00644345">
        <w:rPr>
          <w:rFonts w:ascii="Work Sans" w:hAnsi="Work Sans" w:cs="Arial"/>
          <w:iCs/>
          <w:sz w:val="20"/>
          <w:szCs w:val="20"/>
        </w:rPr>
        <w:t xml:space="preserve">nte la terminación del Contrato de Concesión No. 001 de 14 de enero de 2010 </w:t>
      </w:r>
      <w:r w:rsidR="00380643" w:rsidRPr="00644345">
        <w:rPr>
          <w:rFonts w:ascii="Work Sans" w:hAnsi="Work Sans" w:cs="Arial"/>
          <w:iCs/>
          <w:sz w:val="20"/>
          <w:szCs w:val="20"/>
        </w:rPr>
        <w:t>suscrito</w:t>
      </w:r>
      <w:r w:rsidR="00554CFB" w:rsidRPr="00644345">
        <w:rPr>
          <w:rFonts w:ascii="Work Sans" w:hAnsi="Work Sans" w:cs="Arial"/>
          <w:iCs/>
          <w:sz w:val="20"/>
          <w:szCs w:val="20"/>
        </w:rPr>
        <w:t xml:space="preserve"> entre </w:t>
      </w:r>
      <w:r w:rsidR="00644345">
        <w:rPr>
          <w:rFonts w:ascii="Work Sans" w:hAnsi="Work Sans" w:cs="Arial"/>
          <w:iCs/>
          <w:sz w:val="20"/>
          <w:szCs w:val="20"/>
        </w:rPr>
        <w:t>el</w:t>
      </w:r>
      <w:r w:rsidR="00554CFB" w:rsidRPr="00644345">
        <w:rPr>
          <w:rFonts w:ascii="Work Sans" w:hAnsi="Work Sans" w:cs="Arial"/>
          <w:iCs/>
          <w:sz w:val="20"/>
          <w:szCs w:val="20"/>
        </w:rPr>
        <w:t xml:space="preserve"> </w:t>
      </w:r>
      <w:r w:rsidR="00380643" w:rsidRPr="00644345">
        <w:rPr>
          <w:rFonts w:ascii="Work Sans" w:hAnsi="Work Sans" w:cs="Arial"/>
          <w:iCs/>
          <w:sz w:val="20"/>
          <w:szCs w:val="20"/>
        </w:rPr>
        <w:t>INCO y la Concesionaria Ruta del Sol S.A.S.</w:t>
      </w:r>
      <w:r w:rsidR="00380643" w:rsidRPr="00643B7B">
        <w:rPr>
          <w:rFonts w:ascii="Work Sans" w:hAnsi="Work Sans" w:cs="Arial"/>
          <w:iCs/>
          <w:sz w:val="20"/>
          <w:szCs w:val="20"/>
        </w:rPr>
        <w:t>,</w:t>
      </w:r>
      <w:r w:rsidR="00380643" w:rsidRPr="00644345">
        <w:rPr>
          <w:rFonts w:ascii="Work Sans" w:hAnsi="Work Sans" w:cs="Arial"/>
          <w:iCs/>
          <w:sz w:val="20"/>
          <w:szCs w:val="20"/>
        </w:rPr>
        <w:t xml:space="preserve"> </w:t>
      </w:r>
      <w:r w:rsidR="00554CFB" w:rsidRPr="00644345">
        <w:rPr>
          <w:rFonts w:ascii="Work Sans" w:hAnsi="Work Sans" w:cs="Arial"/>
          <w:iCs/>
          <w:sz w:val="20"/>
          <w:szCs w:val="20"/>
        </w:rPr>
        <w:t xml:space="preserve">mediante  acta del 20 de octubre de 2017, </w:t>
      </w:r>
      <w:r w:rsidR="00380643" w:rsidRPr="00643B7B">
        <w:rPr>
          <w:rFonts w:ascii="Work Sans" w:hAnsi="Work Sans" w:cs="Arial"/>
          <w:iCs/>
          <w:sz w:val="20"/>
          <w:szCs w:val="20"/>
        </w:rPr>
        <w:t xml:space="preserve">el Instituto Nacional de </w:t>
      </w:r>
      <w:r w:rsidR="004F698A" w:rsidRPr="007E310F">
        <w:rPr>
          <w:rFonts w:ascii="Work Sans" w:hAnsi="Work Sans" w:cs="Arial"/>
          <w:iCs/>
          <w:sz w:val="20"/>
          <w:szCs w:val="20"/>
        </w:rPr>
        <w:t>Vías</w:t>
      </w:r>
      <w:r w:rsidR="00380643" w:rsidRPr="007E310F">
        <w:rPr>
          <w:rFonts w:ascii="Work Sans" w:hAnsi="Work Sans" w:cs="Arial"/>
          <w:iCs/>
          <w:sz w:val="20"/>
          <w:szCs w:val="20"/>
        </w:rPr>
        <w:t xml:space="preserve"> –</w:t>
      </w:r>
      <w:r w:rsidR="00380643" w:rsidRPr="000E612D">
        <w:rPr>
          <w:rFonts w:ascii="Work Sans" w:hAnsi="Work Sans" w:cs="Arial"/>
          <w:iCs/>
          <w:sz w:val="20"/>
          <w:szCs w:val="20"/>
        </w:rPr>
        <w:t>INVIA</w:t>
      </w:r>
      <w:r w:rsidR="004F698A">
        <w:rPr>
          <w:rFonts w:ascii="Work Sans" w:hAnsi="Work Sans" w:cs="Arial"/>
          <w:iCs/>
          <w:sz w:val="20"/>
          <w:szCs w:val="20"/>
        </w:rPr>
        <w:t>S</w:t>
      </w:r>
      <w:r w:rsidR="00380643" w:rsidRPr="000E612D">
        <w:rPr>
          <w:rFonts w:ascii="Work Sans" w:hAnsi="Work Sans" w:cs="Arial"/>
          <w:iCs/>
          <w:sz w:val="20"/>
          <w:szCs w:val="20"/>
        </w:rPr>
        <w:t xml:space="preserve"> actualmente tiene a su cargo</w:t>
      </w:r>
      <w:r w:rsidR="00380643" w:rsidRPr="00B60ADB">
        <w:rPr>
          <w:rFonts w:ascii="Work Sans" w:hAnsi="Work Sans" w:cs="Arial"/>
          <w:iCs/>
          <w:sz w:val="20"/>
          <w:szCs w:val="20"/>
        </w:rPr>
        <w:t xml:space="preserve"> las e</w:t>
      </w:r>
      <w:r w:rsidR="00380643" w:rsidRPr="00644345">
        <w:rPr>
          <w:rFonts w:ascii="Work Sans" w:hAnsi="Work Sans" w:cs="Arial"/>
          <w:iCs/>
          <w:sz w:val="20"/>
          <w:szCs w:val="20"/>
        </w:rPr>
        <w:t xml:space="preserve">staciones de peaje </w:t>
      </w:r>
      <w:r w:rsidR="003C5DDE" w:rsidRPr="00643B7B">
        <w:rPr>
          <w:rFonts w:ascii="Work Sans" w:hAnsi="Work Sans" w:cs="Arial"/>
          <w:iCs/>
          <w:sz w:val="20"/>
          <w:szCs w:val="20"/>
        </w:rPr>
        <w:t>L</w:t>
      </w:r>
      <w:r w:rsidR="00380643" w:rsidRPr="00644345">
        <w:rPr>
          <w:rFonts w:ascii="Work Sans" w:hAnsi="Work Sans" w:cs="Arial"/>
          <w:iCs/>
          <w:sz w:val="20"/>
          <w:szCs w:val="20"/>
        </w:rPr>
        <w:t>a Gómez, Morriso</w:t>
      </w:r>
      <w:r w:rsidR="003C5DDE" w:rsidRPr="00643B7B">
        <w:rPr>
          <w:rFonts w:ascii="Work Sans" w:hAnsi="Work Sans" w:cs="Arial"/>
          <w:iCs/>
          <w:sz w:val="20"/>
          <w:szCs w:val="20"/>
        </w:rPr>
        <w:t xml:space="preserve">n y </w:t>
      </w:r>
      <w:r w:rsidR="00380643" w:rsidRPr="00644345">
        <w:rPr>
          <w:rFonts w:ascii="Work Sans" w:hAnsi="Work Sans" w:cs="Arial"/>
          <w:iCs/>
          <w:sz w:val="20"/>
          <w:szCs w:val="20"/>
        </w:rPr>
        <w:t>Pailitas</w:t>
      </w:r>
      <w:r w:rsidR="004F698A">
        <w:rPr>
          <w:rFonts w:ascii="Work Sans" w:hAnsi="Work Sans" w:cs="Arial"/>
          <w:iCs/>
          <w:sz w:val="20"/>
          <w:szCs w:val="20"/>
        </w:rPr>
        <w:t xml:space="preserve">, quien anualmente actualiza las  tarifas de las estaciones a su cargo. </w:t>
      </w:r>
    </w:p>
    <w:p w:rsidR="00554CFB" w:rsidRDefault="00554CFB">
      <w:pPr>
        <w:pStyle w:val="Default"/>
        <w:ind w:right="-2"/>
        <w:jc w:val="both"/>
        <w:rPr>
          <w:rFonts w:ascii="Work Sans" w:hAnsi="Work Sans" w:cs="Arial"/>
          <w:iCs/>
          <w:sz w:val="20"/>
          <w:szCs w:val="20"/>
        </w:rPr>
      </w:pPr>
    </w:p>
    <w:p w:rsidR="00923313" w:rsidRDefault="00923313" w:rsidP="00923313">
      <w:pPr>
        <w:widowControl/>
        <w:suppressAutoHyphens w:val="0"/>
        <w:autoSpaceDE w:val="0"/>
        <w:adjustRightInd w:val="0"/>
        <w:jc w:val="both"/>
        <w:textAlignment w:val="auto"/>
        <w:rPr>
          <w:rFonts w:ascii="Work Sans" w:hAnsi="Work Sans" w:cs="Arial"/>
          <w:iCs/>
          <w:kern w:val="0"/>
          <w:sz w:val="20"/>
          <w:szCs w:val="20"/>
          <w:lang w:eastAsia="es-ES" w:bidi="ar-SA"/>
        </w:rPr>
      </w:pPr>
      <w:r>
        <w:rPr>
          <w:rFonts w:ascii="Work Sans" w:hAnsi="Work Sans" w:cs="Arial"/>
          <w:iCs/>
          <w:color w:val="000000"/>
          <w:kern w:val="0"/>
          <w:sz w:val="20"/>
          <w:szCs w:val="20"/>
          <w:lang w:eastAsia="es-ES" w:bidi="ar-SA"/>
        </w:rPr>
        <w:t xml:space="preserve">Que la </w:t>
      </w:r>
      <w:r w:rsidRPr="00923313">
        <w:rPr>
          <w:rFonts w:ascii="Work Sans" w:hAnsi="Work Sans" w:cs="Arial"/>
          <w:iCs/>
          <w:color w:val="000000"/>
          <w:kern w:val="0"/>
          <w:sz w:val="20"/>
          <w:szCs w:val="20"/>
          <w:lang w:eastAsia="es-ES" w:bidi="ar-SA"/>
        </w:rPr>
        <w:t>A</w:t>
      </w:r>
      <w:r>
        <w:rPr>
          <w:rFonts w:ascii="Work Sans" w:hAnsi="Work Sans" w:cs="Arial"/>
          <w:iCs/>
          <w:color w:val="000000"/>
          <w:kern w:val="0"/>
          <w:sz w:val="20"/>
          <w:szCs w:val="20"/>
          <w:lang w:eastAsia="es-ES" w:bidi="ar-SA"/>
        </w:rPr>
        <w:t xml:space="preserve">gencia </w:t>
      </w:r>
      <w:r w:rsidRPr="00923313">
        <w:rPr>
          <w:rFonts w:ascii="Work Sans" w:hAnsi="Work Sans" w:cs="Arial"/>
          <w:iCs/>
          <w:color w:val="000000"/>
          <w:kern w:val="0"/>
          <w:sz w:val="20"/>
          <w:szCs w:val="20"/>
          <w:lang w:eastAsia="es-ES" w:bidi="ar-SA"/>
        </w:rPr>
        <w:t>N</w:t>
      </w:r>
      <w:r>
        <w:rPr>
          <w:rFonts w:ascii="Work Sans" w:hAnsi="Work Sans" w:cs="Arial"/>
          <w:iCs/>
          <w:color w:val="000000"/>
          <w:kern w:val="0"/>
          <w:sz w:val="20"/>
          <w:szCs w:val="20"/>
          <w:lang w:eastAsia="es-ES" w:bidi="ar-SA"/>
        </w:rPr>
        <w:t xml:space="preserve">acional de </w:t>
      </w:r>
      <w:r w:rsidRPr="00923313">
        <w:rPr>
          <w:rFonts w:ascii="Work Sans" w:hAnsi="Work Sans" w:cs="Arial"/>
          <w:iCs/>
          <w:color w:val="000000"/>
          <w:kern w:val="0"/>
          <w:sz w:val="20"/>
          <w:szCs w:val="20"/>
          <w:lang w:eastAsia="es-ES" w:bidi="ar-SA"/>
        </w:rPr>
        <w:t>I</w:t>
      </w:r>
      <w:r>
        <w:rPr>
          <w:rFonts w:ascii="Work Sans" w:hAnsi="Work Sans" w:cs="Arial"/>
          <w:iCs/>
          <w:color w:val="000000"/>
          <w:kern w:val="0"/>
          <w:sz w:val="20"/>
          <w:szCs w:val="20"/>
          <w:lang w:eastAsia="es-ES" w:bidi="ar-SA"/>
        </w:rPr>
        <w:t xml:space="preserve">nfraestructura </w:t>
      </w:r>
      <w:r w:rsidRPr="00923313">
        <w:rPr>
          <w:rFonts w:ascii="Work Sans" w:hAnsi="Work Sans" w:cs="Arial"/>
          <w:iCs/>
          <w:color w:val="000000"/>
          <w:kern w:val="0"/>
          <w:sz w:val="20"/>
          <w:szCs w:val="20"/>
          <w:lang w:eastAsia="es-ES" w:bidi="ar-SA"/>
        </w:rPr>
        <w:t>gestionó la estructuración de</w:t>
      </w:r>
      <w:r>
        <w:rPr>
          <w:rFonts w:ascii="Work Sans" w:hAnsi="Work Sans" w:cs="Arial"/>
          <w:iCs/>
          <w:color w:val="000000"/>
          <w:kern w:val="0"/>
          <w:sz w:val="20"/>
          <w:szCs w:val="20"/>
          <w:lang w:eastAsia="es-ES" w:bidi="ar-SA"/>
        </w:rPr>
        <w:t>l</w:t>
      </w:r>
      <w:r w:rsidRPr="00923313">
        <w:rPr>
          <w:rFonts w:ascii="Work Sans" w:hAnsi="Work Sans" w:cs="Arial"/>
          <w:iCs/>
          <w:color w:val="000000"/>
          <w:kern w:val="0"/>
          <w:sz w:val="20"/>
          <w:szCs w:val="20"/>
          <w:lang w:eastAsia="es-ES" w:bidi="ar-SA"/>
        </w:rPr>
        <w:t xml:space="preserve"> proyecto de Iniciativa Pública bajo el </w:t>
      </w:r>
      <w:r w:rsidRPr="00513825">
        <w:rPr>
          <w:rFonts w:ascii="Work Sans" w:hAnsi="Work Sans" w:cs="Arial"/>
          <w:iCs/>
          <w:color w:val="000000"/>
          <w:kern w:val="0"/>
          <w:sz w:val="20"/>
          <w:szCs w:val="20"/>
          <w:lang w:eastAsia="es-ES" w:bidi="ar-SA"/>
        </w:rPr>
        <w:t xml:space="preserve">esquema de Asociación Publico Privada, para la ejecución del proyecto </w:t>
      </w:r>
      <w:r w:rsidR="002D3FD6" w:rsidRPr="00513825">
        <w:rPr>
          <w:rFonts w:ascii="Work Sans" w:hAnsi="Work Sans" w:cs="Arial"/>
          <w:sz w:val="20"/>
          <w:szCs w:val="20"/>
          <w:lang w:val="es"/>
        </w:rPr>
        <w:t>Troncal del Magdalena – Concesión 2 – Sabana de Torres – Curumani,</w:t>
      </w:r>
      <w:r w:rsidR="002D3FD6" w:rsidRPr="00513825">
        <w:rPr>
          <w:rFonts w:ascii="Work Sans" w:hAnsi="Work Sans" w:cs="Arial"/>
          <w:sz w:val="20"/>
          <w:szCs w:val="20"/>
          <w:lang w:val="es"/>
        </w:rPr>
        <w:t xml:space="preserve"> </w:t>
      </w:r>
      <w:r w:rsidRPr="00513825">
        <w:rPr>
          <w:rFonts w:ascii="Work Sans" w:hAnsi="Work Sans" w:cs="Arial"/>
          <w:iCs/>
          <w:color w:val="000000"/>
          <w:kern w:val="0"/>
          <w:sz w:val="20"/>
          <w:szCs w:val="20"/>
          <w:lang w:eastAsia="es-ES" w:bidi="ar-SA"/>
        </w:rPr>
        <w:t xml:space="preserve">en </w:t>
      </w:r>
      <w:r w:rsidR="00513825" w:rsidRPr="00513825">
        <w:rPr>
          <w:rFonts w:ascii="Work Sans" w:hAnsi="Work Sans" w:cs="Arial"/>
          <w:iCs/>
          <w:color w:val="000000"/>
          <w:kern w:val="0"/>
          <w:sz w:val="20"/>
          <w:szCs w:val="20"/>
          <w:lang w:eastAsia="es-ES" w:bidi="ar-SA"/>
        </w:rPr>
        <w:t xml:space="preserve">los </w:t>
      </w:r>
      <w:r w:rsidRPr="00513825">
        <w:rPr>
          <w:rFonts w:ascii="Work Sans" w:hAnsi="Work Sans" w:cs="Arial"/>
          <w:iCs/>
          <w:color w:val="000000"/>
          <w:kern w:val="0"/>
          <w:sz w:val="20"/>
          <w:szCs w:val="20"/>
          <w:lang w:eastAsia="es-ES" w:bidi="ar-SA"/>
        </w:rPr>
        <w:t xml:space="preserve"> tramos: (i) Puerto Salgar - </w:t>
      </w:r>
      <w:r w:rsidRPr="00513825">
        <w:rPr>
          <w:rFonts w:ascii="Work Sans" w:hAnsi="Work Sans" w:cs="Arial"/>
          <w:iCs/>
          <w:kern w:val="0"/>
          <w:sz w:val="20"/>
          <w:szCs w:val="20"/>
          <w:lang w:eastAsia="es-ES" w:bidi="ar-SA"/>
        </w:rPr>
        <w:t>Barrancabermeja y (ii) Sabana de Torres - Curumaní.</w:t>
      </w:r>
    </w:p>
    <w:p w:rsidR="00923313" w:rsidRDefault="00923313" w:rsidP="00923313">
      <w:pPr>
        <w:widowControl/>
        <w:suppressAutoHyphens w:val="0"/>
        <w:autoSpaceDE w:val="0"/>
        <w:adjustRightInd w:val="0"/>
        <w:jc w:val="both"/>
        <w:textAlignment w:val="auto"/>
        <w:rPr>
          <w:rFonts w:ascii="Work Sans" w:hAnsi="Work Sans" w:cs="Arial"/>
          <w:iCs/>
          <w:sz w:val="20"/>
          <w:szCs w:val="20"/>
        </w:rPr>
      </w:pPr>
    </w:p>
    <w:bookmarkEnd w:id="1"/>
    <w:bookmarkEnd w:id="2"/>
    <w:p w:rsidR="005F4CD5" w:rsidRDefault="00534CD8">
      <w:pPr>
        <w:pStyle w:val="Default"/>
        <w:ind w:right="-2"/>
        <w:jc w:val="both"/>
      </w:pPr>
      <w:r>
        <w:rPr>
          <w:rFonts w:ascii="Work Sans" w:hAnsi="Work Sans" w:cs="Arial"/>
          <w:iCs/>
          <w:sz w:val="20"/>
          <w:szCs w:val="20"/>
        </w:rPr>
        <w:t>Que mediante oficio con número de radicado 20211000194871 del 29 de julio de 2021</w:t>
      </w:r>
      <w:r w:rsidR="00EC28D0">
        <w:rPr>
          <w:rFonts w:ascii="Work Sans" w:hAnsi="Work Sans" w:cs="Arial"/>
          <w:iCs/>
          <w:sz w:val="20"/>
          <w:szCs w:val="20"/>
        </w:rPr>
        <w:t xml:space="preserve"> y 20211000234421 del 2 de agosto de 2021</w:t>
      </w:r>
      <w:r>
        <w:rPr>
          <w:rFonts w:ascii="Work Sans" w:hAnsi="Work Sans" w:cs="Arial"/>
          <w:iCs/>
          <w:sz w:val="20"/>
          <w:szCs w:val="20"/>
        </w:rPr>
        <w:t xml:space="preserve">, la Agencia Nacional de Infraestructura, </w:t>
      </w:r>
      <w:r w:rsidR="001844FC">
        <w:rPr>
          <w:rFonts w:ascii="Work Sans" w:hAnsi="Work Sans" w:cs="Arial"/>
          <w:iCs/>
          <w:sz w:val="20"/>
          <w:szCs w:val="20"/>
        </w:rPr>
        <w:t>solicita</w:t>
      </w:r>
      <w:r w:rsidR="005435A3">
        <w:rPr>
          <w:rFonts w:ascii="Work Sans" w:hAnsi="Work Sans" w:cs="Arial"/>
          <w:iCs/>
          <w:sz w:val="20"/>
          <w:szCs w:val="20"/>
        </w:rPr>
        <w:t xml:space="preserve"> la </w:t>
      </w:r>
      <w:r>
        <w:rPr>
          <w:rFonts w:ascii="Work Sans" w:hAnsi="Work Sans" w:cs="Arial"/>
          <w:color w:val="auto"/>
          <w:sz w:val="20"/>
          <w:szCs w:val="20"/>
          <w:lang w:val="es"/>
        </w:rPr>
        <w:t>reubicación de la estación de peaje denominada La Gómez</w:t>
      </w:r>
      <w:r>
        <w:rPr>
          <w:rFonts w:ascii="Work Sans" w:hAnsi="Work Sans" w:cs="Arial"/>
          <w:sz w:val="20"/>
          <w:szCs w:val="20"/>
        </w:rPr>
        <w:t xml:space="preserve"> del PR 37+150 de la Ruta Nacional 4513 </w:t>
      </w:r>
      <w:r w:rsidRPr="00644345">
        <w:rPr>
          <w:rFonts w:ascii="Work Sans" w:hAnsi="Work Sans" w:cs="Arial"/>
          <w:sz w:val="20"/>
          <w:szCs w:val="20"/>
        </w:rPr>
        <w:t>al</w:t>
      </w:r>
      <w:r>
        <w:rPr>
          <w:rFonts w:ascii="Work Sans" w:hAnsi="Work Sans" w:cs="Arial"/>
          <w:sz w:val="20"/>
          <w:szCs w:val="20"/>
        </w:rPr>
        <w:t xml:space="preserve"> PR 37+700 de la misma Ruta Nacional</w:t>
      </w:r>
      <w:r>
        <w:rPr>
          <w:rFonts w:ascii="Work Sans" w:hAnsi="Work Sans" w:cs="Arial"/>
          <w:color w:val="auto"/>
          <w:sz w:val="20"/>
          <w:szCs w:val="20"/>
          <w:lang w:val="es"/>
        </w:rPr>
        <w:t xml:space="preserve">, </w:t>
      </w:r>
      <w:r w:rsidR="001844FC">
        <w:rPr>
          <w:rFonts w:ascii="Work Sans" w:hAnsi="Work Sans" w:cs="Arial"/>
          <w:color w:val="auto"/>
          <w:sz w:val="20"/>
          <w:szCs w:val="20"/>
          <w:lang w:val="es"/>
        </w:rPr>
        <w:t xml:space="preserve">y propone </w:t>
      </w:r>
      <w:r>
        <w:rPr>
          <w:rFonts w:ascii="Work Sans" w:hAnsi="Work Sans" w:cs="Arial"/>
          <w:color w:val="auto"/>
          <w:sz w:val="20"/>
          <w:szCs w:val="20"/>
          <w:lang w:val="es"/>
        </w:rPr>
        <w:t xml:space="preserve">tarifas diferenciales </w:t>
      </w:r>
      <w:r w:rsidR="001844FC">
        <w:rPr>
          <w:rFonts w:ascii="Work Sans" w:hAnsi="Work Sans" w:cs="Arial"/>
          <w:color w:val="auto"/>
          <w:sz w:val="20"/>
          <w:szCs w:val="20"/>
          <w:lang w:val="es"/>
        </w:rPr>
        <w:t xml:space="preserve">a establecer </w:t>
      </w:r>
      <w:r>
        <w:rPr>
          <w:rFonts w:ascii="Work Sans" w:hAnsi="Work Sans" w:cs="Arial"/>
          <w:color w:val="auto"/>
          <w:sz w:val="20"/>
          <w:szCs w:val="20"/>
          <w:lang w:val="es"/>
        </w:rPr>
        <w:t>en las estaciones de peaje La Gómez</w:t>
      </w:r>
      <w:r w:rsidR="001844FC">
        <w:rPr>
          <w:rFonts w:ascii="Work Sans" w:hAnsi="Work Sans" w:cs="Arial"/>
          <w:color w:val="auto"/>
          <w:sz w:val="20"/>
          <w:szCs w:val="20"/>
          <w:lang w:val="es"/>
        </w:rPr>
        <w:t xml:space="preserve"> y </w:t>
      </w:r>
      <w:r>
        <w:rPr>
          <w:rFonts w:ascii="Work Sans" w:hAnsi="Work Sans" w:cs="Arial"/>
          <w:color w:val="auto"/>
          <w:sz w:val="20"/>
          <w:szCs w:val="20"/>
          <w:lang w:val="es"/>
        </w:rPr>
        <w:t xml:space="preserve">Morrison, </w:t>
      </w:r>
      <w:r w:rsidR="001844FC" w:rsidRPr="00644345">
        <w:rPr>
          <w:rFonts w:ascii="Work Sans" w:hAnsi="Work Sans" w:cs="Arial"/>
          <w:color w:val="auto"/>
          <w:sz w:val="20"/>
          <w:szCs w:val="20"/>
          <w:lang w:val="es"/>
        </w:rPr>
        <w:t xml:space="preserve">pertenecientes al proyecto Troncal del Magdalena </w:t>
      </w:r>
      <w:r w:rsidR="001844FC" w:rsidRPr="00B60ADB">
        <w:rPr>
          <w:rFonts w:ascii="Work Sans" w:hAnsi="Work Sans" w:cs="Arial"/>
          <w:color w:val="auto"/>
          <w:sz w:val="20"/>
          <w:szCs w:val="20"/>
          <w:lang w:val="es"/>
        </w:rPr>
        <w:t>–</w:t>
      </w:r>
      <w:r w:rsidR="001844FC" w:rsidRPr="00644345">
        <w:rPr>
          <w:rFonts w:ascii="Work Sans" w:hAnsi="Work Sans" w:cs="Arial"/>
          <w:color w:val="auto"/>
          <w:sz w:val="20"/>
          <w:szCs w:val="20"/>
          <w:lang w:val="es"/>
        </w:rPr>
        <w:t xml:space="preserve"> Concesión 2 </w:t>
      </w:r>
      <w:r w:rsidR="001844FC" w:rsidRPr="00B60ADB">
        <w:rPr>
          <w:rFonts w:ascii="Work Sans" w:hAnsi="Work Sans" w:cs="Arial"/>
          <w:color w:val="auto"/>
          <w:sz w:val="20"/>
          <w:szCs w:val="20"/>
          <w:lang w:val="es"/>
        </w:rPr>
        <w:t>–</w:t>
      </w:r>
      <w:r w:rsidR="001844FC" w:rsidRPr="00644345">
        <w:rPr>
          <w:rFonts w:ascii="Work Sans" w:hAnsi="Work Sans" w:cs="Arial"/>
          <w:color w:val="auto"/>
          <w:sz w:val="20"/>
          <w:szCs w:val="20"/>
          <w:lang w:val="es"/>
        </w:rPr>
        <w:t xml:space="preserve"> Sabana de Torres </w:t>
      </w:r>
      <w:r w:rsidR="001844FC" w:rsidRPr="00B60ADB">
        <w:rPr>
          <w:rFonts w:ascii="Work Sans" w:hAnsi="Work Sans" w:cs="Arial"/>
          <w:color w:val="auto"/>
          <w:sz w:val="20"/>
          <w:szCs w:val="20"/>
          <w:lang w:val="es"/>
        </w:rPr>
        <w:t>–</w:t>
      </w:r>
      <w:r w:rsidR="001844FC" w:rsidRPr="00644345">
        <w:rPr>
          <w:rFonts w:ascii="Work Sans" w:hAnsi="Work Sans" w:cs="Arial"/>
          <w:color w:val="auto"/>
          <w:sz w:val="20"/>
          <w:szCs w:val="20"/>
          <w:lang w:val="es"/>
        </w:rPr>
        <w:t xml:space="preserve"> Curumani</w:t>
      </w:r>
      <w:r>
        <w:rPr>
          <w:rFonts w:ascii="Work Sans" w:hAnsi="Work Sans" w:cs="Arial"/>
          <w:color w:val="auto"/>
          <w:sz w:val="20"/>
          <w:szCs w:val="20"/>
          <w:lang w:val="es"/>
        </w:rPr>
        <w:t>, con fundamento en lo siguiente:</w:t>
      </w:r>
    </w:p>
    <w:p w:rsidR="005F4CD5" w:rsidRDefault="005F4CD5">
      <w:pPr>
        <w:pStyle w:val="Default"/>
        <w:ind w:right="-2"/>
        <w:jc w:val="both"/>
        <w:rPr>
          <w:rFonts w:ascii="Work Sans" w:hAnsi="Work Sans" w:cs="Arial"/>
          <w:color w:val="auto"/>
          <w:sz w:val="20"/>
          <w:szCs w:val="20"/>
        </w:rPr>
      </w:pP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
          <w:i/>
          <w:sz w:val="18"/>
          <w:szCs w:val="18"/>
          <w:lang w:val="es-CO" w:eastAsia="es-CO"/>
        </w:rPr>
      </w:pPr>
      <w:r>
        <w:rPr>
          <w:rFonts w:ascii="Work Sans" w:hAnsi="Work Sans" w:cs="LiberationSansNarrow"/>
          <w:i/>
          <w:kern w:val="0"/>
          <w:sz w:val="18"/>
          <w:szCs w:val="18"/>
          <w:lang w:val="es-CO" w:eastAsia="es-CO" w:bidi="ar-SA"/>
        </w:rPr>
        <w:t>“</w:t>
      </w:r>
      <w:r w:rsidRPr="00644345">
        <w:rPr>
          <w:rFonts w:ascii="Work Sans" w:hAnsi="Work Sans" w:cs="LiberationSansNarrow"/>
          <w:i/>
          <w:kern w:val="0"/>
          <w:sz w:val="18"/>
          <w:szCs w:val="18"/>
          <w:lang w:val="es-CO" w:eastAsia="es-CO" w:bidi="ar-SA"/>
        </w:rPr>
        <w:t>Como consecuencia de lo anterior, el 14 de enero de 2010 se suscribió entre el INCO y la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Concesionaria Ruta del Sol S.A.S. el Contrato de Concesión 001 de 2010, cuyo objeto, según lo</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dispuesto en la Sección 1.02, consiste en “el otorgamiento de una concesión para que de conformidad</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con lo previsto en el numeral 4 del artículo 32 de la ley (sic) 80 de 1993, el Concesionario, por su cuenta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y riesgo, elabore los diseños, financie, obtenga las Licencias Ambientales y demás permisos, adquiera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los Predios, rehabilite, construya, mejore, opere y mantenga el Sector”.</w:t>
      </w:r>
    </w:p>
    <w:p w:rsidR="00606F42" w:rsidRPr="00644345" w:rsidRDefault="00606F42" w:rsidP="00644345">
      <w:pPr>
        <w:pStyle w:val="Default"/>
        <w:ind w:left="567" w:right="623"/>
        <w:jc w:val="both"/>
        <w:rPr>
          <w:rFonts w:ascii="Work Sans" w:hAnsi="Work Sans" w:cs="LiberationSansNarrow"/>
          <w:i/>
          <w:sz w:val="18"/>
          <w:szCs w:val="18"/>
          <w:lang w:val="es-CO" w:eastAsia="es-CO"/>
        </w:rPr>
      </w:pP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r w:rsidRPr="00644345">
        <w:rPr>
          <w:rFonts w:ascii="Work Sans" w:hAnsi="Work Sans" w:cs="LiberationSansNarrow"/>
          <w:i/>
          <w:kern w:val="0"/>
          <w:sz w:val="18"/>
          <w:szCs w:val="18"/>
          <w:lang w:val="es-CO" w:eastAsia="es-CO" w:bidi="ar-SA"/>
        </w:rPr>
        <w:t>Durante el período de ejecución del contrato se suscribieron diez (10) Otrosíes, uno de los cuales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(Otrosí No. 06) adicionó el Contrato de Concesión para que “el Concesionario elaborare los diseños,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financie, obtenga las licencias ambientales y demás permisos, adquiera predios, rehabilite, construya,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mejore, opere y mantenga el Tramo denominado Transversal Río de Oro - Aguaclara - Gamarra”, el cual</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propició la apertura de una investigación en contra de la Concesionaria Ruta del Sol SAS.</w:t>
      </w: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r>
        <w:rPr>
          <w:rFonts w:ascii="Work Sans" w:hAnsi="Work Sans" w:cs="LiberationSansNarrow"/>
          <w:i/>
          <w:kern w:val="0"/>
          <w:sz w:val="18"/>
          <w:szCs w:val="18"/>
          <w:lang w:val="es-CO" w:eastAsia="es-CO" w:bidi="ar-SA"/>
        </w:rPr>
        <w:t>(…)</w:t>
      </w: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r w:rsidRPr="00644345">
        <w:rPr>
          <w:rFonts w:ascii="Work Sans" w:hAnsi="Work Sans" w:cs="LiberationSansNarrow"/>
          <w:i/>
          <w:kern w:val="0"/>
          <w:sz w:val="18"/>
          <w:szCs w:val="18"/>
          <w:lang w:val="es-CO" w:eastAsia="es-CO" w:bidi="ar-SA"/>
        </w:rPr>
        <w:t>El Tribunal Administrativo de Cundinamarca, mediante Auto del 9 de febrero de 2017, decretó las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siguientes medidas cautelares: (i) declarar la suspensión provisional “de los efectos del Contrato de</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Concesión” y sus modificaciones, hasta tanto se dicte sentencia de acción popular o se resuelva por el</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Tribunal de Arbitramento la petición de nulidad del contrato; (ii) ordenar al Presidente de la República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designar “la autoridad que habrá de administrar el Proyecto Ruta del Sol Sector II (…), a fin de evitar la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paralización de las obras que se están ejecutando” y (iii) ordenar el embargo de las cuentas bancarias,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hasta por el monto de ciento noventa y un mil ciento dieciocho millones quinientos ocho mil quinientos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pesos, de: (a) Ruta del Sol S.A.S.; (b) Constructora Norberto Odebrecht S.A.; (c) Odebrecht Latinvest</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Colombia S.A.S.; (d) Estudios y Proyectos del Sol S.A.S; (e) CSS Constructores S.A; (f) Gabriel Ignacio</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García Morales; (g) Luiz Antonio Bueno Junior; (h) Luiz Antonio Mameri, e (i) Luiz Eduardo Da Rocha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Soares.</w:t>
      </w: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Italic"/>
          <w:i/>
          <w:iCs/>
          <w:kern w:val="0"/>
          <w:sz w:val="18"/>
          <w:szCs w:val="18"/>
          <w:lang w:val="es-CO" w:eastAsia="es-CO" w:bidi="ar-SA"/>
        </w:rPr>
      </w:pPr>
      <w:r w:rsidRPr="00644345">
        <w:rPr>
          <w:rFonts w:ascii="Work Sans" w:hAnsi="Work Sans" w:cs="LiberationSansNarrow"/>
          <w:i/>
          <w:kern w:val="0"/>
          <w:sz w:val="18"/>
          <w:szCs w:val="18"/>
          <w:lang w:val="es-CO" w:eastAsia="es-CO" w:bidi="ar-SA"/>
        </w:rPr>
        <w:t>La Superintendencia de Industria y Comercio (en adelante la “SIC”), mediante la Resolución 5216 del 16</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 xml:space="preserve">de febrero de 2017, en ejercicio de las facultades previstas </w:t>
      </w:r>
      <w:r w:rsidRPr="00644345">
        <w:rPr>
          <w:rFonts w:ascii="Work Sans" w:hAnsi="Work Sans" w:cs="LiberationSansNarrow"/>
          <w:i/>
          <w:kern w:val="0"/>
          <w:sz w:val="18"/>
          <w:szCs w:val="18"/>
          <w:lang w:val="es-CO" w:eastAsia="es-CO" w:bidi="ar-SA"/>
        </w:rPr>
        <w:lastRenderedPageBreak/>
        <w:t>en la Ley 1340 de 2009 y el Decreto 4886 de</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2011 y como policía administrativa para la protección de la libre competencia económica, adoptó las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siguientes medidas cautelares:</w:t>
      </w:r>
      <w:r>
        <w:rPr>
          <w:rFonts w:ascii="Work Sans" w:hAnsi="Work Sans" w:cs="LiberationSansNarrow"/>
          <w:i/>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“Primero. Ordenar a título de medida cautelar, la suspensión o cesación de los efectos de</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las conductas presuntamente contrarias a la libre competencia económica desplegadas</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por el Instituto Nacional de Concesiones (INCO) - Hoy Agencia Nacional de Infraestructura</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(ANI)- y su ex funcionario y la Concesionaria Ruta del Sol S.A.S a través de algunas de</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las empresas que lo conforman, que generaron la suscripción del Contrato de Concesión</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No. 001 (…).</w:t>
      </w: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Italic"/>
          <w:i/>
          <w:iCs/>
          <w:sz w:val="18"/>
          <w:szCs w:val="18"/>
          <w:lang w:val="es-CO" w:eastAsia="es-CO"/>
        </w:rPr>
      </w:pPr>
      <w:r w:rsidRPr="00644345">
        <w:rPr>
          <w:rFonts w:ascii="Work Sans" w:hAnsi="Work Sans" w:cs="LiberationSansNarrow-Italic"/>
          <w:i/>
          <w:iCs/>
          <w:kern w:val="0"/>
          <w:sz w:val="18"/>
          <w:szCs w:val="18"/>
          <w:lang w:val="es-CO" w:eastAsia="es-CO" w:bidi="ar-SA"/>
        </w:rPr>
        <w:t>Segundo. Como consecuencia de lo anterior y con el fin de restablecer la libre</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competencia económica, se ORDENA a la Agencia Nacional de Infraestructura (ANI) dar</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por terminado de manera inmediata el Contrato de Concesión No. 001 de 14 de enero de</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2010 junto con sus modificaciones, adiciones y otrosíes, (…) en cumplimiento del deber</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legal establecido en el inciso 2 del artículo 45 de la Ley 80 de 1993, es decir, por haberse</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suscrito dicho contrato en presunta violación de una prohibición legal por la vulneración de</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las normas de protección de la libre competencia económica (…)</w:t>
      </w:r>
    </w:p>
    <w:p w:rsidR="00606F42" w:rsidRPr="00644345" w:rsidRDefault="00606F42" w:rsidP="00644345">
      <w:pPr>
        <w:widowControl/>
        <w:suppressAutoHyphens w:val="0"/>
        <w:autoSpaceDE w:val="0"/>
        <w:adjustRightInd w:val="0"/>
        <w:ind w:right="623"/>
        <w:jc w:val="both"/>
        <w:textAlignment w:val="auto"/>
        <w:rPr>
          <w:rFonts w:ascii="Work Sans" w:hAnsi="Work Sans" w:cs="LiberationSansNarrow-Italic"/>
          <w:i/>
          <w:iCs/>
          <w:kern w:val="0"/>
          <w:sz w:val="18"/>
          <w:szCs w:val="18"/>
          <w:lang w:val="es-CO" w:eastAsia="es-CO" w:bidi="ar-SA"/>
        </w:rPr>
      </w:pP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Italic"/>
          <w:i/>
          <w:iCs/>
          <w:kern w:val="0"/>
          <w:sz w:val="18"/>
          <w:szCs w:val="18"/>
          <w:lang w:val="es-CO" w:eastAsia="es-CO" w:bidi="ar-SA"/>
        </w:rPr>
      </w:pPr>
      <w:r w:rsidRPr="00644345">
        <w:rPr>
          <w:rFonts w:ascii="Work Sans" w:hAnsi="Work Sans" w:cs="LiberationSansNarrow-Italic"/>
          <w:i/>
          <w:iCs/>
          <w:kern w:val="0"/>
          <w:sz w:val="18"/>
          <w:szCs w:val="18"/>
          <w:lang w:val="es-CO" w:eastAsia="es-CO" w:bidi="ar-SA"/>
        </w:rPr>
        <w:t>(…)</w:t>
      </w: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Italic"/>
          <w:i/>
          <w:iCs/>
          <w:kern w:val="0"/>
          <w:sz w:val="18"/>
          <w:szCs w:val="18"/>
          <w:lang w:val="es-CO" w:eastAsia="es-CO" w:bidi="ar-SA"/>
        </w:rPr>
      </w:pPr>
      <w:r w:rsidRPr="00644345">
        <w:rPr>
          <w:rFonts w:ascii="Work Sans" w:hAnsi="Work Sans" w:cs="LiberationSansNarrow-Italic"/>
          <w:i/>
          <w:iCs/>
          <w:kern w:val="0"/>
          <w:sz w:val="18"/>
          <w:szCs w:val="18"/>
          <w:lang w:val="es-CO" w:eastAsia="es-CO" w:bidi="ar-SA"/>
        </w:rPr>
        <w:t>Tercero. Como consecuencia de la terminación del contrato, se ORDENA a la Agencia</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Nacional de Infraestructura (ANI) que disponga la liquidación del Contrato de Concesión</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No. 001 de 14 de enero de 2010 junto con sus modificaciones, adiciones y otrosíes, en el</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estado que se encuentre.</w:t>
      </w: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Italic"/>
          <w:i/>
          <w:iCs/>
          <w:sz w:val="18"/>
          <w:szCs w:val="18"/>
          <w:lang w:val="es-CO" w:eastAsia="es-CO"/>
        </w:rPr>
      </w:pPr>
      <w:r w:rsidRPr="00644345">
        <w:rPr>
          <w:rFonts w:ascii="Work Sans" w:hAnsi="Work Sans" w:cs="LiberationSansNarrow-Italic"/>
          <w:i/>
          <w:iCs/>
          <w:kern w:val="0"/>
          <w:sz w:val="18"/>
          <w:szCs w:val="18"/>
          <w:lang w:val="es-CO" w:eastAsia="es-CO" w:bidi="ar-SA"/>
        </w:rPr>
        <w:t>Cuarto. Como consecuencia de las decisiones anteriores, ORDENAR a la Agencia</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Nacional de Infraestructura (ANI) que estructure y adelante una nueva licitación pública</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que garantice la libre competencia económica mediante la participación transparente de</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los distintos agentes del mercado, para la suscripción de un nuevo contrato de concesión</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que, por lo menos, asegure la ejecución en su integridad del objeto contractual</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originalmente previsto en el Contrato de Concesión No. 001 de 14 de enero de 2010 y</w:t>
      </w:r>
      <w:r>
        <w:rPr>
          <w:rFonts w:ascii="Work Sans" w:hAnsi="Work Sans" w:cs="LiberationSansNarrow-Italic"/>
          <w:i/>
          <w:iCs/>
          <w:kern w:val="0"/>
          <w:sz w:val="18"/>
          <w:szCs w:val="18"/>
          <w:lang w:val="es-CO" w:eastAsia="es-CO" w:bidi="ar-SA"/>
        </w:rPr>
        <w:t xml:space="preserve"> </w:t>
      </w:r>
      <w:r w:rsidRPr="00644345">
        <w:rPr>
          <w:rFonts w:ascii="Work Sans" w:hAnsi="Work Sans" w:cs="LiberationSansNarrow-Italic"/>
          <w:i/>
          <w:iCs/>
          <w:kern w:val="0"/>
          <w:sz w:val="18"/>
          <w:szCs w:val="18"/>
          <w:lang w:val="es-CO" w:eastAsia="es-CO" w:bidi="ar-SA"/>
        </w:rPr>
        <w:t>evitar de esa forma que las obras queden inconclusas”.</w:t>
      </w:r>
    </w:p>
    <w:p w:rsidR="00606F42" w:rsidRPr="00644345" w:rsidRDefault="00606F42" w:rsidP="00644345">
      <w:pPr>
        <w:pStyle w:val="Default"/>
        <w:ind w:left="567" w:right="623"/>
        <w:jc w:val="both"/>
        <w:rPr>
          <w:rFonts w:ascii="Work Sans" w:hAnsi="Work Sans" w:cs="LiberationSansNarrow-Italic"/>
          <w:i/>
          <w:iCs/>
          <w:sz w:val="18"/>
          <w:szCs w:val="18"/>
          <w:lang w:val="es-CO" w:eastAsia="es-CO"/>
        </w:rPr>
      </w:pP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r w:rsidRPr="00644345">
        <w:rPr>
          <w:rFonts w:ascii="Work Sans" w:hAnsi="Work Sans" w:cs="LiberationSansNarrow"/>
          <w:i/>
          <w:kern w:val="0"/>
          <w:sz w:val="18"/>
          <w:szCs w:val="18"/>
          <w:lang w:val="es-CO" w:eastAsia="es-CO" w:bidi="ar-SA"/>
        </w:rPr>
        <w:t>A partir de lo anterior, el 22 de febrero de 2017, la ANI y la Concesionaria Ruta del Sol S.A.S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suscribieron el Acuerdo para la Terminación y Liquidación del Contrato de Concesión 0001 de 2010.</w:t>
      </w: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r w:rsidRPr="00644345">
        <w:rPr>
          <w:rFonts w:ascii="Work Sans" w:hAnsi="Work Sans" w:cs="LiberationSansNarrow"/>
          <w:i/>
          <w:kern w:val="0"/>
          <w:sz w:val="18"/>
          <w:szCs w:val="18"/>
          <w:lang w:val="es-CO" w:eastAsia="es-CO" w:bidi="ar-SA"/>
        </w:rPr>
        <w:t>A su vez, el 14 de septiembre de 2017, el Tribunal Administrativo de Cundinamarca, Sección Primera,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Subsección “A”, mediante auto, complementó la medida cautelar adoptada el día 9 de febrero de 2017,</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dentro del proceso que se adelantó contra la Concesionaria Ruta del Sol SAS. En su artículo segundo,</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numeral 2.1., se ordenó que la concesionaria en un término de veinte (20) días contados a partir de la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notificación de dicha providencia, hiciera entrega material a la ANI de los tramos que hacían parte del</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proyecto “Ruta del Sol Sector 2”, que se extendían desde Puerto Salgar a San Roque, ubicándose en</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dicho tramo las estaciones de peaje Zambito, Aguas Negras, la Gómez, Morrison, Pailitas, Gamarra y</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Platanal.</w:t>
      </w:r>
      <w:r>
        <w:rPr>
          <w:rFonts w:ascii="Work Sans" w:hAnsi="Work Sans" w:cs="LiberationSansNarrow"/>
          <w:i/>
          <w:kern w:val="0"/>
          <w:sz w:val="18"/>
          <w:szCs w:val="18"/>
          <w:lang w:val="es-CO" w:eastAsia="es-CO" w:bidi="ar-SA"/>
        </w:rPr>
        <w:t xml:space="preserve"> </w:t>
      </w: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kern w:val="0"/>
          <w:sz w:val="18"/>
          <w:szCs w:val="18"/>
          <w:lang w:val="es-CO" w:eastAsia="es-CO" w:bidi="ar-SA"/>
        </w:rPr>
      </w:pPr>
    </w:p>
    <w:p w:rsidR="00606F42" w:rsidRPr="00644345" w:rsidRDefault="00606F42" w:rsidP="00644345">
      <w:pPr>
        <w:widowControl/>
        <w:suppressAutoHyphens w:val="0"/>
        <w:autoSpaceDE w:val="0"/>
        <w:adjustRightInd w:val="0"/>
        <w:ind w:left="567" w:right="623"/>
        <w:jc w:val="both"/>
        <w:textAlignment w:val="auto"/>
        <w:rPr>
          <w:rFonts w:ascii="Work Sans" w:hAnsi="Work Sans" w:cs="LiberationSansNarrow-Italic"/>
          <w:i/>
          <w:iCs/>
          <w:sz w:val="18"/>
          <w:szCs w:val="18"/>
          <w:lang w:val="es-CO" w:eastAsia="es-CO"/>
        </w:rPr>
      </w:pPr>
      <w:r w:rsidRPr="00644345">
        <w:rPr>
          <w:rFonts w:ascii="Work Sans" w:hAnsi="Work Sans" w:cs="LiberationSansNarrow"/>
          <w:i/>
          <w:kern w:val="0"/>
          <w:sz w:val="18"/>
          <w:szCs w:val="18"/>
          <w:lang w:val="es-CO" w:eastAsia="es-CO" w:bidi="ar-SA"/>
        </w:rPr>
        <w:t>Con base en lo anterior, el 20 de octubre de 2017, la Agencia y y la Concesionaria Ruta del Sol S.A.S.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suscribieron el Acta de Reversión y Entrega de la Infraestructura Vial y bienes destinados al Contrato</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 Concesión 001 de 2010.</w:t>
      </w:r>
      <w:r>
        <w:rPr>
          <w:rFonts w:ascii="Work Sans" w:hAnsi="Work Sans" w:cs="LiberationSansNarrow"/>
          <w:i/>
          <w:kern w:val="0"/>
          <w:sz w:val="18"/>
          <w:szCs w:val="18"/>
          <w:lang w:val="es-CO" w:eastAsia="es-CO" w:bidi="ar-SA"/>
        </w:rPr>
        <w:t xml:space="preserve"> (…)</w:t>
      </w:r>
    </w:p>
    <w:p w:rsidR="00606F42" w:rsidRPr="00644345" w:rsidRDefault="00606F42" w:rsidP="00644345">
      <w:pPr>
        <w:pStyle w:val="Default"/>
        <w:ind w:left="567" w:right="623"/>
        <w:jc w:val="both"/>
        <w:rPr>
          <w:rFonts w:ascii="Work Sans" w:hAnsi="Work Sans" w:cs="LiberationSansNarrow-Italic"/>
          <w:i/>
          <w:iCs/>
          <w:sz w:val="18"/>
          <w:szCs w:val="18"/>
          <w:lang w:val="es-CO" w:eastAsia="es-CO"/>
        </w:rPr>
      </w:pP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sz w:val="18"/>
          <w:szCs w:val="18"/>
          <w:lang w:val="es-CO" w:eastAsia="es-CO"/>
        </w:rPr>
      </w:pPr>
      <w:r w:rsidRPr="00644345">
        <w:rPr>
          <w:rFonts w:ascii="Work Sans" w:hAnsi="Work Sans" w:cs="LiberationSansNarrow"/>
          <w:i/>
          <w:kern w:val="0"/>
          <w:sz w:val="18"/>
          <w:szCs w:val="18"/>
          <w:lang w:val="es-CO" w:eastAsia="es-CO" w:bidi="ar-SA"/>
        </w:rPr>
        <w:t>Con el fin de cumplir la finalidad principal del otorgarle al país el corredor estratégico llamado Ruta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del Sol, y como parte de las estrategias incluidas en el Capítulo VI de las Bases del Plan Nacional de</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Desarrollo 2018-2022, la ANI gestionó la estructuración de un proyecto de Iniciativa Pública que,</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bajo el esquema de Asociación Publico Privada, lleve a buen término la ejecución del proyecto Ruta</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del sol -Sector 2, desarrollando el proyecto en dos tramos principales a saber: (i) Puerto Salgar -</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 xml:space="preserve">Barrancabermeja y (ii) Sabana de Torres </w:t>
      </w:r>
      <w:r>
        <w:rPr>
          <w:rFonts w:ascii="Work Sans" w:hAnsi="Work Sans" w:cs="LiberationSansNarrow"/>
          <w:i/>
          <w:kern w:val="0"/>
          <w:sz w:val="18"/>
          <w:szCs w:val="18"/>
          <w:lang w:val="es-CO" w:eastAsia="es-CO" w:bidi="ar-SA"/>
        </w:rPr>
        <w:t>–</w:t>
      </w:r>
      <w:r w:rsidRPr="00644345">
        <w:rPr>
          <w:rFonts w:ascii="Work Sans" w:hAnsi="Work Sans" w:cs="LiberationSansNarrow"/>
          <w:i/>
          <w:kern w:val="0"/>
          <w:sz w:val="18"/>
          <w:szCs w:val="18"/>
          <w:lang w:val="es-CO" w:eastAsia="es-CO" w:bidi="ar-SA"/>
        </w:rPr>
        <w:t xml:space="preserve"> Curumaní</w:t>
      </w:r>
      <w:r w:rsidRPr="00606F42">
        <w:rPr>
          <w:rFonts w:ascii="Work Sans" w:hAnsi="Work Sans" w:cs="LiberationSansNarrow"/>
          <w:i/>
          <w:kern w:val="0"/>
          <w:sz w:val="18"/>
          <w:szCs w:val="18"/>
          <w:lang w:val="es-CO" w:eastAsia="es-CO" w:bidi="ar-SA"/>
        </w:rPr>
        <w:t>.</w:t>
      </w:r>
    </w:p>
    <w:p w:rsidR="00606F42" w:rsidRDefault="00606F42" w:rsidP="00644345">
      <w:pPr>
        <w:widowControl/>
        <w:suppressAutoHyphens w:val="0"/>
        <w:autoSpaceDE w:val="0"/>
        <w:adjustRightInd w:val="0"/>
        <w:ind w:left="567" w:right="623"/>
        <w:jc w:val="both"/>
        <w:textAlignment w:val="auto"/>
        <w:rPr>
          <w:rFonts w:ascii="Work Sans" w:hAnsi="Work Sans" w:cs="LiberationSansNarrow"/>
          <w:i/>
          <w:sz w:val="18"/>
          <w:szCs w:val="18"/>
          <w:lang w:val="es-CO" w:eastAsia="es-CO"/>
        </w:rPr>
      </w:pPr>
    </w:p>
    <w:p w:rsidR="00606F42" w:rsidRDefault="00606F42" w:rsidP="00B42A5D">
      <w:pPr>
        <w:widowControl/>
        <w:suppressAutoHyphens w:val="0"/>
        <w:autoSpaceDE w:val="0"/>
        <w:adjustRightInd w:val="0"/>
        <w:ind w:left="567" w:right="623"/>
        <w:jc w:val="both"/>
        <w:textAlignment w:val="auto"/>
        <w:rPr>
          <w:rFonts w:ascii="Work Sans" w:hAnsi="Work Sans" w:cs="Arial"/>
          <w:i/>
          <w:sz w:val="20"/>
          <w:szCs w:val="20"/>
        </w:rPr>
      </w:pPr>
      <w:r w:rsidRPr="00644345">
        <w:rPr>
          <w:rFonts w:ascii="Work Sans" w:hAnsi="Work Sans" w:cs="LiberationSansNarrow"/>
          <w:i/>
          <w:kern w:val="0"/>
          <w:sz w:val="18"/>
          <w:szCs w:val="18"/>
          <w:lang w:val="es-CO" w:eastAsia="es-CO" w:bidi="ar-SA"/>
        </w:rPr>
        <w:t>Los ingresos proyectados para la intervención de estos dos tramos tendrán un componente</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proveniente de los recaudos de las Estaciones de peajes existentes, sin contemplar la construcción</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 estaciones nuevas. El segundo tramo, Sabana de Torres - Curumaní, cuenta con las estaciones</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 peaje La Gómez, Morrison y Pailitas, cuya administración está a cargo del Instituto Nacional de</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 xml:space="preserve">Vías-INVIAS </w:t>
      </w:r>
      <w:r w:rsidRPr="00644345">
        <w:rPr>
          <w:rFonts w:ascii="Work Sans" w:hAnsi="Work Sans" w:cs="LiberationSansNarrow"/>
          <w:i/>
          <w:kern w:val="0"/>
          <w:sz w:val="18"/>
          <w:szCs w:val="18"/>
          <w:lang w:val="es-CO" w:eastAsia="es-CO" w:bidi="ar-SA"/>
        </w:rPr>
        <w:lastRenderedPageBreak/>
        <w:t>desde octubre de 2017 y cuyas tarifas se rigen por el Articulo 20 de la Resolución 0228</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de 2013 y la Resolución 00137 de 15 de enero de 2018, siendo aplicable a hoy, la Circular 01 de</w:t>
      </w:r>
      <w:r>
        <w:rPr>
          <w:rFonts w:ascii="Work Sans" w:hAnsi="Work Sans" w:cs="LiberationSansNarrow"/>
          <w:i/>
          <w:kern w:val="0"/>
          <w:sz w:val="18"/>
          <w:szCs w:val="18"/>
          <w:lang w:val="es-CO" w:eastAsia="es-CO" w:bidi="ar-SA"/>
        </w:rPr>
        <w:t xml:space="preserve"> </w:t>
      </w:r>
      <w:r w:rsidRPr="00644345">
        <w:rPr>
          <w:rFonts w:ascii="Work Sans" w:hAnsi="Work Sans" w:cs="LiberationSansNarrow"/>
          <w:i/>
          <w:kern w:val="0"/>
          <w:sz w:val="18"/>
          <w:szCs w:val="18"/>
          <w:lang w:val="es-CO" w:eastAsia="es-CO" w:bidi="ar-SA"/>
        </w:rPr>
        <w:t>2021 del INVIAS.</w:t>
      </w:r>
      <w:r w:rsidR="00B42A5D">
        <w:rPr>
          <w:rFonts w:ascii="Work Sans" w:hAnsi="Work Sans" w:cs="LiberationSansNarrow"/>
          <w:i/>
          <w:kern w:val="0"/>
          <w:sz w:val="18"/>
          <w:szCs w:val="18"/>
          <w:lang w:val="es-CO" w:eastAsia="es-CO" w:bidi="ar-SA"/>
        </w:rPr>
        <w:t xml:space="preserve"> </w:t>
      </w:r>
      <w:r w:rsidRPr="00644345">
        <w:rPr>
          <w:rFonts w:ascii="Work Sans" w:hAnsi="Work Sans" w:cs="Arial"/>
          <w:i/>
          <w:sz w:val="20"/>
          <w:szCs w:val="20"/>
        </w:rPr>
        <w:t>(…)</w:t>
      </w:r>
    </w:p>
    <w:p w:rsidR="00644345" w:rsidRPr="00644345" w:rsidRDefault="00644345" w:rsidP="00644345">
      <w:pPr>
        <w:pStyle w:val="Default"/>
        <w:ind w:right="-2" w:firstLine="567"/>
        <w:jc w:val="both"/>
        <w:rPr>
          <w:rFonts w:ascii="Work Sans" w:hAnsi="Work Sans" w:cs="Arial"/>
          <w:i/>
          <w:color w:val="auto"/>
          <w:sz w:val="20"/>
          <w:szCs w:val="20"/>
        </w:rPr>
      </w:pPr>
    </w:p>
    <w:p w:rsidR="005F4CD5" w:rsidRDefault="00534CD8">
      <w:pPr>
        <w:pStyle w:val="Prrafodelista"/>
        <w:numPr>
          <w:ilvl w:val="0"/>
          <w:numId w:val="20"/>
        </w:numPr>
        <w:spacing w:line="26" w:lineRule="atLeast"/>
        <w:ind w:left="567"/>
        <w:jc w:val="both"/>
        <w:textAlignment w:val="center"/>
        <w:rPr>
          <w:rFonts w:ascii="Work Sans" w:hAnsi="Work Sans" w:cs="Arial"/>
          <w:b/>
          <w:bCs/>
          <w:i/>
          <w:spacing w:val="-3"/>
          <w:sz w:val="18"/>
          <w:szCs w:val="18"/>
        </w:rPr>
      </w:pPr>
      <w:r>
        <w:rPr>
          <w:rFonts w:ascii="Work Sans" w:hAnsi="Work Sans" w:cs="Arial"/>
          <w:b/>
          <w:bCs/>
          <w:i/>
          <w:spacing w:val="-3"/>
          <w:sz w:val="18"/>
          <w:szCs w:val="18"/>
        </w:rPr>
        <w:t>Estación de Peaje La Gómez.</w:t>
      </w:r>
    </w:p>
    <w:p w:rsidR="005F4CD5" w:rsidRDefault="005F4CD5">
      <w:pPr>
        <w:pStyle w:val="Prrafodelista"/>
        <w:spacing w:line="26" w:lineRule="atLeast"/>
        <w:ind w:left="567"/>
        <w:jc w:val="both"/>
        <w:textAlignment w:val="center"/>
        <w:rPr>
          <w:rFonts w:ascii="Work Sans" w:hAnsi="Work Sans" w:cs="Arial"/>
          <w:b/>
          <w:bCs/>
          <w:i/>
          <w:spacing w:val="-3"/>
          <w:sz w:val="18"/>
          <w:szCs w:val="18"/>
        </w:rPr>
      </w:pPr>
    </w:p>
    <w:p w:rsidR="005F4CD5" w:rsidRDefault="00EF1B7C">
      <w:pPr>
        <w:spacing w:line="26" w:lineRule="atLeast"/>
        <w:ind w:left="567" w:right="623"/>
        <w:jc w:val="both"/>
        <w:textAlignment w:val="center"/>
        <w:rPr>
          <w:rFonts w:ascii="Work Sans" w:hAnsi="Work Sans" w:cs="Arial"/>
          <w:i/>
          <w:spacing w:val="-3"/>
          <w:sz w:val="18"/>
          <w:szCs w:val="18"/>
        </w:rPr>
      </w:pPr>
      <w:r>
        <w:rPr>
          <w:rFonts w:ascii="Work Sans" w:hAnsi="Work Sans" w:cs="Arial"/>
          <w:i/>
          <w:spacing w:val="-3"/>
          <w:sz w:val="18"/>
          <w:szCs w:val="18"/>
          <w:lang w:val="es-CO"/>
        </w:rPr>
        <w:t>(…)</w:t>
      </w:r>
    </w:p>
    <w:p w:rsidR="00EF1B7C" w:rsidRDefault="00EF1B7C">
      <w:pPr>
        <w:spacing w:line="26" w:lineRule="atLeast"/>
        <w:ind w:left="567" w:right="623"/>
        <w:jc w:val="both"/>
        <w:textAlignment w:val="center"/>
        <w:rPr>
          <w:rFonts w:ascii="Work Sans" w:hAnsi="Work Sans" w:cs="Arial"/>
          <w:i/>
          <w:spacing w:val="-3"/>
          <w:sz w:val="18"/>
          <w:szCs w:val="18"/>
        </w:rPr>
      </w:pPr>
    </w:p>
    <w:p w:rsidR="005F4CD5" w:rsidRDefault="00534CD8">
      <w:pPr>
        <w:spacing w:line="26" w:lineRule="atLeast"/>
        <w:ind w:left="567" w:right="623"/>
        <w:jc w:val="both"/>
        <w:textAlignment w:val="center"/>
      </w:pPr>
      <w:r>
        <w:rPr>
          <w:rFonts w:ascii="Work Sans" w:hAnsi="Work Sans" w:cs="Arial"/>
          <w:i/>
          <w:spacing w:val="-3"/>
          <w:sz w:val="18"/>
          <w:szCs w:val="18"/>
        </w:rPr>
        <w:t xml:space="preserve">Por medio del Radicado No. MT 20211200334471 del 12 de abril de 2021 del Ministerio de Transporte se recibió el concepto favorable al análisis de riesgos del proyecto APP de iniciativa pública Troncal del Magdalena - Concesión 2 - </w:t>
      </w:r>
      <w:r>
        <w:rPr>
          <w:rFonts w:ascii="Work Sans" w:hAnsi="Work Sans" w:cs="Arial Narrow"/>
          <w:i/>
          <w:color w:val="000000"/>
          <w:sz w:val="18"/>
          <w:szCs w:val="18"/>
          <w:lang w:val="es-CO"/>
        </w:rPr>
        <w:t>Sabana de Torres - Curumaní</w:t>
      </w:r>
      <w:r>
        <w:rPr>
          <w:rFonts w:ascii="Work Sans" w:hAnsi="Work Sans" w:cs="Arial"/>
          <w:i/>
          <w:spacing w:val="-3"/>
          <w:sz w:val="18"/>
          <w:szCs w:val="18"/>
        </w:rPr>
        <w:t>.</w:t>
      </w:r>
    </w:p>
    <w:p w:rsidR="005F4CD5" w:rsidRDefault="005F4CD5">
      <w:pPr>
        <w:spacing w:line="26" w:lineRule="atLeast"/>
        <w:ind w:left="567" w:right="623"/>
        <w:jc w:val="both"/>
        <w:textAlignment w:val="center"/>
        <w:rPr>
          <w:rFonts w:ascii="Work Sans" w:hAnsi="Work Sans" w:cs="Arial"/>
          <w:i/>
          <w:spacing w:val="-3"/>
          <w:sz w:val="18"/>
          <w:szCs w:val="18"/>
        </w:rPr>
      </w:pPr>
    </w:p>
    <w:p w:rsidR="005F4CD5" w:rsidRDefault="00534CD8">
      <w:pPr>
        <w:spacing w:line="26" w:lineRule="atLeast"/>
        <w:ind w:left="567" w:right="623"/>
        <w:jc w:val="both"/>
        <w:textAlignment w:val="center"/>
      </w:pPr>
      <w:r>
        <w:rPr>
          <w:rFonts w:ascii="Work Sans" w:hAnsi="Work Sans" w:cs="Arial"/>
          <w:i/>
          <w:spacing w:val="-3"/>
          <w:sz w:val="18"/>
          <w:szCs w:val="18"/>
        </w:rPr>
        <w:t xml:space="preserve">Por medio del Radicado No. MHC 2-2021-022323 del 1° de mayo de 2021, del Ministerio de Hacienda, se obtuvo la “Aprobación de valoración de obligaciones contingentes y plan de aportes al Fondo de Contingencias de las Entidades Estatales del proyecto Troncal del Magdalena - Concesión 2 - </w:t>
      </w:r>
      <w:r>
        <w:rPr>
          <w:rFonts w:ascii="Work Sans" w:hAnsi="Work Sans" w:cs="Arial Narrow"/>
          <w:i/>
          <w:color w:val="000000"/>
          <w:sz w:val="18"/>
          <w:szCs w:val="18"/>
          <w:lang w:val="es-CO"/>
        </w:rPr>
        <w:t>Sabana de Torres - Curumaní</w:t>
      </w:r>
      <w:r>
        <w:rPr>
          <w:rFonts w:ascii="Work Sans" w:hAnsi="Work Sans" w:cs="Arial"/>
          <w:i/>
          <w:spacing w:val="-3"/>
          <w:sz w:val="18"/>
          <w:szCs w:val="18"/>
        </w:rPr>
        <w:t>”.</w:t>
      </w:r>
    </w:p>
    <w:p w:rsidR="005F4CD5" w:rsidRDefault="005F4CD5">
      <w:pPr>
        <w:spacing w:line="26" w:lineRule="atLeast"/>
        <w:ind w:left="567" w:right="623"/>
        <w:jc w:val="both"/>
        <w:textAlignment w:val="center"/>
        <w:rPr>
          <w:rFonts w:ascii="Work Sans" w:hAnsi="Work Sans" w:cs="Arial"/>
          <w:i/>
          <w:spacing w:val="-3"/>
          <w:sz w:val="18"/>
          <w:szCs w:val="18"/>
        </w:rPr>
      </w:pPr>
    </w:p>
    <w:p w:rsidR="005F4CD5" w:rsidRDefault="00534CD8">
      <w:pPr>
        <w:spacing w:line="26" w:lineRule="atLeast"/>
        <w:ind w:left="567" w:right="623"/>
        <w:jc w:val="both"/>
        <w:textAlignment w:val="center"/>
      </w:pPr>
      <w:r>
        <w:rPr>
          <w:rFonts w:ascii="Work Sans" w:hAnsi="Work Sans" w:cs="Arial"/>
          <w:i/>
          <w:spacing w:val="-3"/>
          <w:sz w:val="18"/>
          <w:szCs w:val="18"/>
        </w:rPr>
        <w:t xml:space="preserve">Mediante los Radicados No. MT 20205000154231 del 22 de abril de 2020 y MT 20205000154231 del 21 de junio 2021 del Ministerio de Transporte, la Dirección de Infraestructura de la referida Cartera Ministerial emitió concepto favorable a la retribución por unidades funcionales para el proyecto Troncal del Magdalena - Concesión 2 - </w:t>
      </w:r>
      <w:r>
        <w:rPr>
          <w:rFonts w:ascii="Work Sans" w:hAnsi="Work Sans" w:cs="Arial Narrow"/>
          <w:i/>
          <w:color w:val="000000"/>
          <w:sz w:val="18"/>
          <w:szCs w:val="18"/>
          <w:lang w:val="es-CO"/>
        </w:rPr>
        <w:t>Sabana de Torres - Curumaní</w:t>
      </w:r>
      <w:r>
        <w:rPr>
          <w:rFonts w:ascii="Work Sans" w:hAnsi="Work Sans" w:cs="Arial"/>
          <w:i/>
          <w:spacing w:val="-3"/>
          <w:sz w:val="18"/>
          <w:szCs w:val="18"/>
        </w:rPr>
        <w:t>”.</w:t>
      </w:r>
    </w:p>
    <w:p w:rsidR="005F4CD5" w:rsidRDefault="005F4CD5">
      <w:pPr>
        <w:spacing w:line="26" w:lineRule="atLeast"/>
        <w:ind w:left="567" w:right="623"/>
        <w:jc w:val="both"/>
        <w:textAlignment w:val="center"/>
        <w:rPr>
          <w:rFonts w:ascii="Work Sans" w:hAnsi="Work Sans" w:cs="Arial"/>
          <w:i/>
          <w:spacing w:val="-3"/>
          <w:sz w:val="18"/>
          <w:szCs w:val="18"/>
        </w:rPr>
      </w:pPr>
    </w:p>
    <w:p w:rsidR="005F4CD5" w:rsidRDefault="00534CD8">
      <w:pPr>
        <w:spacing w:line="26" w:lineRule="atLeast"/>
        <w:ind w:left="567" w:right="623"/>
        <w:jc w:val="both"/>
        <w:textAlignment w:val="center"/>
      </w:pPr>
      <w:r>
        <w:rPr>
          <w:rFonts w:ascii="Work Sans" w:hAnsi="Work Sans" w:cs="Arial"/>
          <w:i/>
          <w:spacing w:val="-3"/>
          <w:sz w:val="18"/>
          <w:szCs w:val="18"/>
        </w:rPr>
        <w:t xml:space="preserve">A través del oficio con Radicado No.20218200660391 del 24 de junio de 2021 del Departamento Nacional de Planeación, dicha entidad emitió concepto favorable sobre la utilización del esquema de Asociación Público Privada, como mecanismo de ejecución para el Proyecto de Asociación Público Privada - APP de Iniciativa Pública Troncal del Magdalena - Concesión 2 - </w:t>
      </w:r>
      <w:r>
        <w:rPr>
          <w:rFonts w:ascii="Work Sans" w:hAnsi="Work Sans" w:cs="Arial Narrow"/>
          <w:i/>
          <w:color w:val="000000"/>
          <w:sz w:val="18"/>
          <w:szCs w:val="18"/>
          <w:lang w:val="es-CO"/>
        </w:rPr>
        <w:t>Sabana de Torres - Curumaní</w:t>
      </w:r>
      <w:r>
        <w:rPr>
          <w:rFonts w:ascii="Work Sans" w:hAnsi="Work Sans" w:cs="Arial"/>
          <w:i/>
          <w:spacing w:val="-3"/>
          <w:sz w:val="18"/>
          <w:szCs w:val="18"/>
        </w:rPr>
        <w:t>”.</w:t>
      </w:r>
    </w:p>
    <w:p w:rsidR="005F4CD5" w:rsidRDefault="005F4CD5">
      <w:pPr>
        <w:spacing w:line="26" w:lineRule="atLeast"/>
        <w:ind w:left="567" w:right="623"/>
        <w:jc w:val="both"/>
        <w:textAlignment w:val="center"/>
        <w:rPr>
          <w:rFonts w:ascii="Work Sans" w:hAnsi="Work Sans" w:cs="Arial"/>
          <w:i/>
          <w:spacing w:val="-3"/>
          <w:sz w:val="18"/>
          <w:szCs w:val="18"/>
        </w:rPr>
      </w:pPr>
    </w:p>
    <w:p w:rsidR="005F4CD5" w:rsidRDefault="00534CD8">
      <w:pPr>
        <w:spacing w:line="26" w:lineRule="atLeast"/>
        <w:ind w:left="567" w:right="623"/>
        <w:jc w:val="both"/>
        <w:textAlignment w:val="center"/>
        <w:rPr>
          <w:rFonts w:ascii="Work Sans" w:hAnsi="Work Sans" w:cs="Arial"/>
          <w:i/>
          <w:spacing w:val="-3"/>
          <w:sz w:val="18"/>
          <w:szCs w:val="18"/>
        </w:rPr>
      </w:pPr>
      <w:r>
        <w:rPr>
          <w:rFonts w:ascii="Work Sans" w:hAnsi="Work Sans" w:cs="Arial"/>
          <w:i/>
          <w:spacing w:val="-3"/>
          <w:sz w:val="18"/>
          <w:szCs w:val="18"/>
        </w:rPr>
        <w:t>El proyecto de Quinta Generación de Concesiones “</w:t>
      </w:r>
      <w:r>
        <w:rPr>
          <w:rFonts w:ascii="Work Sans" w:hAnsi="Work Sans" w:cs="Arial Narrow"/>
          <w:i/>
          <w:color w:val="000000"/>
          <w:sz w:val="18"/>
          <w:szCs w:val="18"/>
          <w:lang w:val="es-CO"/>
        </w:rPr>
        <w:t>Sabana de Torres - Curumaní</w:t>
      </w:r>
      <w:r>
        <w:rPr>
          <w:rFonts w:ascii="Work Sans" w:hAnsi="Work Sans" w:cs="Arial"/>
          <w:i/>
          <w:spacing w:val="-3"/>
          <w:sz w:val="18"/>
          <w:szCs w:val="18"/>
        </w:rPr>
        <w:t>” tiene como objeto principal desarrollar un corredor vial con un nivel de servicio óptimo que garantice la conexión entre Santander / Norte de Santander y Cesar, los municipios de Sabana de Torres, Rionegro, La Esperanza, San Alberto, San Martin, Rio de Oro, Aguachica, Gamarra, La Gloria, Tamalameque, Pailitas, Chimichagua y Curumaní; y contempla un alcance origen - destino de 272.1 kilómetros, con intervenciones distribuidas así:</w:t>
      </w:r>
    </w:p>
    <w:p w:rsidR="00EF1B7C" w:rsidRDefault="004C2279" w:rsidP="00644345">
      <w:pPr>
        <w:spacing w:line="26" w:lineRule="atLeast"/>
        <w:ind w:left="567" w:right="623"/>
        <w:jc w:val="center"/>
        <w:textAlignment w:val="center"/>
        <w:rPr>
          <w:rFonts w:ascii="Work Sans" w:hAnsi="Work Sans" w:cs="Arial"/>
          <w:i/>
          <w:spacing w:val="-3"/>
          <w:sz w:val="18"/>
          <w:szCs w:val="18"/>
        </w:rPr>
      </w:pPr>
      <w:r w:rsidRPr="004C2279">
        <w:rPr>
          <w:noProof/>
          <w:lang w:val="es-CO" w:eastAsia="es-CO" w:bidi="ar-SA"/>
        </w:rPr>
        <w:drawing>
          <wp:inline distT="0" distB="0" distL="0" distR="0">
            <wp:extent cx="4105275" cy="24003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400300"/>
                    </a:xfrm>
                    <a:prstGeom prst="rect">
                      <a:avLst/>
                    </a:prstGeom>
                    <a:noFill/>
                    <a:ln>
                      <a:noFill/>
                    </a:ln>
                  </pic:spPr>
                </pic:pic>
              </a:graphicData>
            </a:graphic>
          </wp:inline>
        </w:drawing>
      </w:r>
    </w:p>
    <w:p w:rsidR="00EF1B7C" w:rsidRDefault="00EF1B7C">
      <w:pPr>
        <w:spacing w:line="26" w:lineRule="atLeast"/>
        <w:ind w:left="567" w:right="623"/>
        <w:jc w:val="both"/>
        <w:textAlignment w:val="center"/>
        <w:rPr>
          <w:rFonts w:ascii="Work Sans" w:hAnsi="Work Sans" w:cs="Arial"/>
          <w:i/>
          <w:spacing w:val="-3"/>
          <w:sz w:val="18"/>
          <w:szCs w:val="18"/>
        </w:rPr>
      </w:pPr>
    </w:p>
    <w:p w:rsidR="005F4CD5" w:rsidRDefault="00534CD8">
      <w:pPr>
        <w:spacing w:line="26" w:lineRule="atLeast"/>
        <w:ind w:left="567" w:right="623"/>
        <w:jc w:val="both"/>
        <w:textAlignment w:val="center"/>
        <w:rPr>
          <w:rFonts w:ascii="Work Sans" w:hAnsi="Work Sans" w:cs="Arial"/>
          <w:i/>
          <w:spacing w:val="-3"/>
          <w:sz w:val="18"/>
          <w:szCs w:val="18"/>
        </w:rPr>
      </w:pPr>
      <w:r>
        <w:rPr>
          <w:rFonts w:ascii="Work Sans" w:hAnsi="Work Sans" w:cs="Arial"/>
          <w:i/>
          <w:spacing w:val="-3"/>
          <w:sz w:val="18"/>
          <w:szCs w:val="18"/>
        </w:rPr>
        <w:t xml:space="preserve">Dentro de la estructuración financiera del proyecto de Asociación Público-Privada de iniciativa pública Troncal del Magdalena  Concesión 2 - Sabana de Torres - Curumaní, se contempló como fuente de retribución del concesionario el recaudo de peaje y el incremento tarifario previsto en la propuesta de resolución de las estaciones de peaje La Gómez, Morrison y Pailitas, conforme a las condiciones establecidas en la minuta </w:t>
      </w:r>
      <w:r>
        <w:rPr>
          <w:rFonts w:ascii="Work Sans" w:hAnsi="Work Sans" w:cs="Arial"/>
          <w:i/>
          <w:spacing w:val="-3"/>
          <w:sz w:val="18"/>
          <w:szCs w:val="18"/>
        </w:rPr>
        <w:lastRenderedPageBreak/>
        <w:t>del contrato de concesión estructurado para tales efectos.</w:t>
      </w:r>
    </w:p>
    <w:p w:rsidR="005F4CD5" w:rsidRDefault="005F4CD5">
      <w:pPr>
        <w:spacing w:line="26" w:lineRule="atLeast"/>
        <w:ind w:left="567" w:right="623"/>
        <w:jc w:val="both"/>
        <w:rPr>
          <w:rFonts w:ascii="Work Sans" w:hAnsi="Work Sans" w:cs="Arial"/>
          <w:i/>
          <w:sz w:val="18"/>
          <w:szCs w:val="18"/>
        </w:rPr>
      </w:pPr>
    </w:p>
    <w:p w:rsidR="005F4CD5" w:rsidRDefault="00EF1B7C" w:rsidP="00644345">
      <w:pPr>
        <w:spacing w:line="26" w:lineRule="atLeast"/>
        <w:ind w:right="623"/>
        <w:jc w:val="both"/>
        <w:textAlignment w:val="auto"/>
      </w:pPr>
      <w:r>
        <w:rPr>
          <w:rFonts w:ascii="Work Sans" w:hAnsi="Work Sans" w:cs="Arial"/>
          <w:b/>
          <w:bCs/>
          <w:i/>
          <w:spacing w:val="-3"/>
          <w:sz w:val="18"/>
          <w:szCs w:val="18"/>
        </w:rPr>
        <w:t xml:space="preserve">3. </w:t>
      </w:r>
      <w:r w:rsidR="00534CD8" w:rsidRPr="00644345">
        <w:rPr>
          <w:rFonts w:ascii="Work Sans" w:hAnsi="Work Sans" w:cs="Arial"/>
          <w:b/>
          <w:bCs/>
          <w:i/>
          <w:spacing w:val="-3"/>
          <w:sz w:val="18"/>
          <w:szCs w:val="18"/>
        </w:rPr>
        <w:t xml:space="preserve">Solicitud de expedición de Resolución de Peaje y </w:t>
      </w:r>
      <w:r w:rsidR="00534CD8" w:rsidRPr="00644345">
        <w:rPr>
          <w:rFonts w:ascii="Work Sans" w:hAnsi="Work Sans" w:cs="Arial"/>
          <w:b/>
          <w:i/>
          <w:sz w:val="18"/>
          <w:szCs w:val="18"/>
        </w:rPr>
        <w:t>justificación de la solicitud.</w:t>
      </w:r>
    </w:p>
    <w:p w:rsidR="005F4CD5" w:rsidRDefault="005F4CD5">
      <w:pPr>
        <w:spacing w:line="26" w:lineRule="atLeast"/>
        <w:ind w:left="567" w:right="623"/>
        <w:jc w:val="both"/>
        <w:rPr>
          <w:rFonts w:ascii="Work Sans" w:hAnsi="Work Sans" w:cs="Arial"/>
          <w:i/>
          <w:spacing w:val="-3"/>
          <w:sz w:val="18"/>
          <w:szCs w:val="18"/>
        </w:rPr>
      </w:pPr>
    </w:p>
    <w:p w:rsidR="005F4CD5" w:rsidRDefault="00EF1B7C">
      <w:pPr>
        <w:spacing w:line="26" w:lineRule="atLeast"/>
        <w:ind w:left="567" w:right="623"/>
        <w:jc w:val="both"/>
        <w:rPr>
          <w:rFonts w:ascii="Work Sans" w:hAnsi="Work Sans" w:cs="Arial"/>
          <w:i/>
          <w:spacing w:val="-3"/>
          <w:sz w:val="18"/>
          <w:szCs w:val="18"/>
          <w:lang w:val="es-MX"/>
        </w:rPr>
      </w:pPr>
      <w:r>
        <w:rPr>
          <w:rFonts w:ascii="Work Sans" w:hAnsi="Work Sans" w:cs="Arial"/>
          <w:i/>
          <w:spacing w:val="-3"/>
          <w:sz w:val="18"/>
          <w:szCs w:val="18"/>
          <w:lang w:val="es-MX"/>
        </w:rPr>
        <w:t>(…)</w:t>
      </w:r>
    </w:p>
    <w:p w:rsidR="005F4CD5" w:rsidRDefault="00534CD8">
      <w:pPr>
        <w:pStyle w:val="Prrafodelista"/>
        <w:numPr>
          <w:ilvl w:val="0"/>
          <w:numId w:val="22"/>
        </w:numPr>
        <w:spacing w:line="26" w:lineRule="atLeast"/>
        <w:ind w:left="567" w:right="623"/>
        <w:jc w:val="both"/>
        <w:textAlignment w:val="auto"/>
        <w:rPr>
          <w:rFonts w:ascii="Work Sans" w:hAnsi="Work Sans" w:cs="Arial"/>
          <w:b/>
          <w:bCs/>
          <w:i/>
          <w:spacing w:val="-3"/>
          <w:sz w:val="18"/>
          <w:szCs w:val="18"/>
          <w:lang w:val="es-MX"/>
        </w:rPr>
      </w:pPr>
      <w:r>
        <w:rPr>
          <w:rFonts w:ascii="Work Sans" w:hAnsi="Work Sans" w:cs="Arial"/>
          <w:b/>
          <w:bCs/>
          <w:i/>
          <w:spacing w:val="-3"/>
          <w:sz w:val="18"/>
          <w:szCs w:val="18"/>
          <w:lang w:val="es-MX"/>
        </w:rPr>
        <w:t>Establecer la reubicación de la Estación de Peaje La Gómez del PR 37+150 de la Ruta Nacional 4513 al PR 37+700 de la misma ruta nacional</w:t>
      </w:r>
    </w:p>
    <w:p w:rsidR="005F4CD5" w:rsidRDefault="005F4CD5">
      <w:pPr>
        <w:pStyle w:val="Prrafodelista"/>
        <w:spacing w:line="26" w:lineRule="atLeast"/>
        <w:ind w:left="567" w:right="623"/>
        <w:jc w:val="both"/>
        <w:rPr>
          <w:rFonts w:ascii="Work Sans" w:hAnsi="Work Sans" w:cs="Arial"/>
          <w:b/>
          <w:bCs/>
          <w:i/>
          <w:spacing w:val="-3"/>
          <w:sz w:val="18"/>
          <w:szCs w:val="18"/>
          <w:lang w:val="es-MX"/>
        </w:rPr>
      </w:pPr>
    </w:p>
    <w:p w:rsidR="005F4CD5" w:rsidRDefault="00534CD8">
      <w:pPr>
        <w:tabs>
          <w:tab w:val="left" w:pos="0"/>
        </w:tabs>
        <w:spacing w:line="26" w:lineRule="atLeast"/>
        <w:ind w:left="567" w:right="623"/>
        <w:jc w:val="both"/>
      </w:pPr>
      <w:r>
        <w:rPr>
          <w:rFonts w:ascii="Work Sans" w:hAnsi="Work Sans" w:cs="Arial"/>
          <w:bCs/>
          <w:i/>
          <w:sz w:val="18"/>
          <w:szCs w:val="18"/>
        </w:rPr>
        <w:t xml:space="preserve">Dadas las </w:t>
      </w:r>
      <w:r>
        <w:rPr>
          <w:rFonts w:ascii="Work Sans" w:hAnsi="Work Sans" w:cs="Arial"/>
          <w:i/>
          <w:spacing w:val="-3"/>
          <w:sz w:val="18"/>
          <w:szCs w:val="18"/>
        </w:rPr>
        <w:t>necesidades</w:t>
      </w:r>
      <w:r>
        <w:rPr>
          <w:rFonts w:ascii="Work Sans" w:hAnsi="Work Sans" w:cs="Arial"/>
          <w:bCs/>
          <w:i/>
          <w:sz w:val="18"/>
          <w:szCs w:val="18"/>
        </w:rPr>
        <w:t xml:space="preserve"> del proyecto se requiere reubicar la estación de peaje La Gómez, pasando del del PR 37+150 de la Ruta Nacional 4513 al PR 37+700 de la misma ruta nacional, de conformidad con las condiciones establecidas en el Contrato de Concesión que resulte del Proceso de Selección que adelante la ANI para la adjudicación del Proyecto de Asociación Público-Privada Troncal del Magdalena – Concesión 2 – Sabana de Torres – Curumaní.</w:t>
      </w:r>
    </w:p>
    <w:p w:rsidR="005F4CD5" w:rsidRDefault="005F4CD5">
      <w:pPr>
        <w:tabs>
          <w:tab w:val="left" w:pos="0"/>
        </w:tabs>
        <w:spacing w:line="26" w:lineRule="atLeast"/>
        <w:ind w:left="567" w:right="623"/>
        <w:jc w:val="both"/>
        <w:rPr>
          <w:rFonts w:ascii="Work Sans" w:hAnsi="Work Sans" w:cs="Arial"/>
          <w:bCs/>
          <w:i/>
          <w:sz w:val="18"/>
          <w:szCs w:val="18"/>
        </w:rPr>
      </w:pPr>
    </w:p>
    <w:p w:rsidR="005F4CD5" w:rsidRPr="00644345" w:rsidRDefault="00534CD8">
      <w:pPr>
        <w:pStyle w:val="Prrafodelista"/>
        <w:numPr>
          <w:ilvl w:val="0"/>
          <w:numId w:val="22"/>
        </w:numPr>
        <w:spacing w:line="26" w:lineRule="atLeast"/>
        <w:ind w:left="567" w:right="623"/>
        <w:jc w:val="both"/>
        <w:textAlignment w:val="auto"/>
      </w:pPr>
      <w:r>
        <w:rPr>
          <w:rFonts w:ascii="Work Sans" w:hAnsi="Work Sans" w:cs="Arial"/>
          <w:b/>
          <w:bCs/>
          <w:i/>
          <w:spacing w:val="-3"/>
          <w:sz w:val="18"/>
          <w:szCs w:val="18"/>
        </w:rPr>
        <w:t>Establecer tarifas diferenciales para las Categorías I y II en las estaciones de peaje La Gómez y Morrison, en forma bidireccional, así:</w:t>
      </w:r>
    </w:p>
    <w:p w:rsidR="00EF1B7C" w:rsidRDefault="00EF1B7C" w:rsidP="00644345">
      <w:pPr>
        <w:spacing w:line="26" w:lineRule="atLeast"/>
        <w:ind w:left="567" w:right="623"/>
        <w:jc w:val="both"/>
        <w:textAlignment w:val="auto"/>
      </w:pPr>
    </w:p>
    <w:p w:rsidR="00EF1B7C" w:rsidRDefault="004C2279" w:rsidP="00B42A5D">
      <w:pPr>
        <w:spacing w:line="26" w:lineRule="atLeast"/>
        <w:ind w:right="623"/>
        <w:jc w:val="right"/>
        <w:textAlignment w:val="auto"/>
      </w:pPr>
      <w:r w:rsidRPr="004C2279">
        <w:rPr>
          <w:noProof/>
          <w:lang w:val="es-CO" w:eastAsia="es-CO" w:bidi="ar-SA"/>
        </w:rPr>
        <w:drawing>
          <wp:inline distT="0" distB="0" distL="0" distR="0">
            <wp:extent cx="4705350" cy="211455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114550"/>
                    </a:xfrm>
                    <a:prstGeom prst="rect">
                      <a:avLst/>
                    </a:prstGeom>
                    <a:noFill/>
                    <a:ln>
                      <a:noFill/>
                    </a:ln>
                  </pic:spPr>
                </pic:pic>
              </a:graphicData>
            </a:graphic>
          </wp:inline>
        </w:drawing>
      </w:r>
    </w:p>
    <w:p w:rsidR="00EF1B7C" w:rsidRDefault="00EF1B7C" w:rsidP="00644345">
      <w:pPr>
        <w:spacing w:line="26" w:lineRule="atLeast"/>
        <w:ind w:right="623"/>
        <w:jc w:val="both"/>
        <w:textAlignment w:val="auto"/>
      </w:pPr>
    </w:p>
    <w:tbl>
      <w:tblPr>
        <w:tblW w:w="8020" w:type="dxa"/>
        <w:jc w:val="center"/>
        <w:tblCellMar>
          <w:left w:w="10" w:type="dxa"/>
          <w:right w:w="10" w:type="dxa"/>
        </w:tblCellMar>
        <w:tblLook w:val="0000" w:firstRow="0" w:lastRow="0" w:firstColumn="0" w:lastColumn="0" w:noHBand="0" w:noVBand="0"/>
      </w:tblPr>
      <w:tblGrid>
        <w:gridCol w:w="8020"/>
      </w:tblGrid>
      <w:tr w:rsidR="005F4CD5" w:rsidTr="00644345">
        <w:tblPrEx>
          <w:tblCellMar>
            <w:top w:w="0" w:type="dxa"/>
            <w:bottom w:w="0" w:type="dxa"/>
          </w:tblCellMar>
        </w:tblPrEx>
        <w:trPr>
          <w:trHeight w:val="14"/>
          <w:jc w:val="center"/>
        </w:trPr>
        <w:tc>
          <w:tcPr>
            <w:tcW w:w="8020" w:type="dxa"/>
            <w:noWrap/>
            <w:tcMar>
              <w:top w:w="0" w:type="dxa"/>
              <w:left w:w="70" w:type="dxa"/>
              <w:bottom w:w="0" w:type="dxa"/>
              <w:right w:w="70" w:type="dxa"/>
            </w:tcMar>
            <w:vAlign w:val="center"/>
          </w:tcPr>
          <w:p w:rsidR="005F4CD5" w:rsidRDefault="004C2279" w:rsidP="00B42A5D">
            <w:pPr>
              <w:spacing w:line="26" w:lineRule="atLeast"/>
              <w:jc w:val="center"/>
              <w:rPr>
                <w:rFonts w:ascii="Work Sans" w:hAnsi="Work Sans" w:cs="Arial"/>
                <w:i/>
                <w:sz w:val="18"/>
                <w:szCs w:val="18"/>
              </w:rPr>
            </w:pPr>
            <w:r w:rsidRPr="004C2279">
              <w:rPr>
                <w:noProof/>
                <w:lang w:val="es-CO" w:eastAsia="es-CO" w:bidi="ar-SA"/>
              </w:rPr>
              <w:drawing>
                <wp:inline distT="0" distB="0" distL="0" distR="0">
                  <wp:extent cx="4572000" cy="2324100"/>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24100"/>
                          </a:xfrm>
                          <a:prstGeom prst="rect">
                            <a:avLst/>
                          </a:prstGeom>
                          <a:noFill/>
                          <a:ln>
                            <a:noFill/>
                          </a:ln>
                        </pic:spPr>
                      </pic:pic>
                    </a:graphicData>
                  </a:graphic>
                </wp:inline>
              </w:drawing>
            </w:r>
          </w:p>
        </w:tc>
      </w:tr>
    </w:tbl>
    <w:p w:rsidR="005F4CD5" w:rsidRDefault="005F4CD5">
      <w:pPr>
        <w:spacing w:line="26" w:lineRule="atLeast"/>
        <w:ind w:right="-285"/>
        <w:rPr>
          <w:rFonts w:ascii="Work Sans" w:hAnsi="Work Sans" w:cs="Arial"/>
          <w:b/>
          <w:i/>
          <w:sz w:val="18"/>
          <w:szCs w:val="18"/>
        </w:rPr>
      </w:pPr>
    </w:p>
    <w:p w:rsidR="005F4CD5" w:rsidRDefault="00534CD8">
      <w:pPr>
        <w:tabs>
          <w:tab w:val="left" w:pos="567"/>
        </w:tabs>
        <w:spacing w:line="26" w:lineRule="atLeast"/>
        <w:ind w:left="567" w:right="623"/>
        <w:jc w:val="both"/>
      </w:pPr>
      <w:r>
        <w:rPr>
          <w:rFonts w:ascii="Work Sans" w:hAnsi="Work Sans" w:cs="Arial"/>
          <w:bCs/>
          <w:i/>
          <w:sz w:val="18"/>
          <w:szCs w:val="18"/>
        </w:rPr>
        <w:t>Las tarifas diferenciales previstas tienen vigencia a partir del acta de inicio del contrato de concesión que se suscriba como consecuencia del trámite de la iniciativa pública que adelante la Agencia Nacional de Infraestructura para la adjudicación del proyecto de Concesión bajo la modalidad de APP Corredor Troncal del Magdalena - Concesión2 - Sabana de Torres - Curumaní.</w:t>
      </w:r>
    </w:p>
    <w:p w:rsidR="005F4CD5" w:rsidRDefault="005F4CD5">
      <w:pPr>
        <w:tabs>
          <w:tab w:val="left" w:pos="567"/>
        </w:tabs>
        <w:spacing w:line="26" w:lineRule="atLeast"/>
        <w:ind w:left="567" w:right="623"/>
        <w:jc w:val="both"/>
        <w:rPr>
          <w:rFonts w:ascii="Work Sans" w:hAnsi="Work Sans" w:cs="Arial"/>
          <w:bCs/>
          <w:i/>
          <w:sz w:val="18"/>
          <w:szCs w:val="18"/>
        </w:rPr>
      </w:pPr>
    </w:p>
    <w:p w:rsidR="005F4CD5" w:rsidRPr="00644345" w:rsidRDefault="00534CD8">
      <w:pPr>
        <w:tabs>
          <w:tab w:val="left" w:pos="567"/>
        </w:tabs>
        <w:spacing w:line="26" w:lineRule="atLeast"/>
        <w:ind w:left="567" w:right="623"/>
        <w:jc w:val="both"/>
        <w:rPr>
          <w:rFonts w:ascii="Work Sans" w:hAnsi="Work Sans" w:cs="Arial"/>
          <w:i/>
          <w:spacing w:val="-3"/>
          <w:sz w:val="18"/>
          <w:szCs w:val="18"/>
          <w:lang w:val="es-MX"/>
        </w:rPr>
      </w:pPr>
      <w:r w:rsidRPr="00644345">
        <w:rPr>
          <w:rFonts w:ascii="Work Sans" w:hAnsi="Work Sans" w:cs="Arial"/>
          <w:i/>
          <w:spacing w:val="-3"/>
          <w:sz w:val="18"/>
          <w:szCs w:val="18"/>
          <w:lang w:val="es-MX"/>
        </w:rPr>
        <w:t xml:space="preserve">Para establecer las tarifas diferenciales de las estaciones de peaje La Gómez y Morrison a la fecha del acta de inicio del contrato, se deberán actualizar los valores ilustrados </w:t>
      </w:r>
      <w:r w:rsidRPr="00644345">
        <w:rPr>
          <w:rFonts w:ascii="Work Sans" w:hAnsi="Work Sans" w:cs="Arial"/>
          <w:i/>
          <w:spacing w:val="-3"/>
          <w:sz w:val="18"/>
          <w:szCs w:val="18"/>
          <w:lang w:val="es-MX"/>
        </w:rPr>
        <w:lastRenderedPageBreak/>
        <w:t xml:space="preserve">teniendo en cuenta el IPC de diciembre del año inmediatamente anterior y el IPC de diciembre de 2020. Luego deberá ser sumado el FOSEVI y finalmente redondear a la centena. </w:t>
      </w:r>
    </w:p>
    <w:p w:rsidR="005F4CD5" w:rsidRDefault="005F4CD5">
      <w:pPr>
        <w:tabs>
          <w:tab w:val="left" w:pos="567"/>
        </w:tabs>
        <w:spacing w:line="26" w:lineRule="atLeast"/>
        <w:ind w:left="567" w:right="623"/>
        <w:jc w:val="both"/>
        <w:rPr>
          <w:rFonts w:ascii="Work Sans" w:hAnsi="Work Sans" w:cs="Arial"/>
          <w:i/>
          <w:spacing w:val="-3"/>
          <w:sz w:val="18"/>
          <w:szCs w:val="18"/>
          <w:lang w:val="es-MX"/>
        </w:rPr>
      </w:pPr>
    </w:p>
    <w:p w:rsidR="005F4CD5" w:rsidRDefault="00534CD8">
      <w:pPr>
        <w:pStyle w:val="Prrafodelista"/>
        <w:numPr>
          <w:ilvl w:val="0"/>
          <w:numId w:val="22"/>
        </w:numPr>
        <w:tabs>
          <w:tab w:val="left" w:pos="567"/>
        </w:tabs>
        <w:spacing w:line="26" w:lineRule="atLeast"/>
        <w:ind w:left="567" w:right="623"/>
        <w:jc w:val="both"/>
        <w:textAlignment w:val="auto"/>
      </w:pPr>
      <w:r>
        <w:rPr>
          <w:rFonts w:ascii="Work Sans" w:hAnsi="Work Sans" w:cs="Arial"/>
          <w:b/>
          <w:bCs/>
          <w:i/>
          <w:spacing w:val="-3"/>
          <w:sz w:val="18"/>
          <w:szCs w:val="18"/>
        </w:rPr>
        <w:t>Establecer un incremento a las tarifas de las estaciones de peaje La Gómez, Morrison y Pailitas en forma bidireccional, en función de la terminación de la Unidad Funcional 1 del contrato de concesión que se suscriba</w:t>
      </w:r>
    </w:p>
    <w:p w:rsidR="005F4CD5" w:rsidRDefault="005F4CD5">
      <w:pPr>
        <w:tabs>
          <w:tab w:val="left" w:pos="567"/>
        </w:tabs>
        <w:spacing w:line="26" w:lineRule="atLeast"/>
        <w:jc w:val="both"/>
        <w:rPr>
          <w:rFonts w:ascii="Work Sans" w:hAnsi="Work Sans" w:cs="Arial"/>
          <w:i/>
          <w:spacing w:val="-3"/>
          <w:sz w:val="18"/>
          <w:szCs w:val="18"/>
          <w:lang w:val="es-MX"/>
        </w:r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942"/>
      </w:tblGrid>
      <w:tr w:rsidR="005F4CD5" w:rsidTr="00644345">
        <w:trPr>
          <w:trHeight w:val="295"/>
          <w:jc w:val="center"/>
        </w:trPr>
        <w:tc>
          <w:tcPr>
            <w:tcW w:w="1455" w:type="dxa"/>
          </w:tcPr>
          <w:p w:rsidR="005F4CD5" w:rsidRDefault="00534CD8">
            <w:pPr>
              <w:tabs>
                <w:tab w:val="left" w:pos="567"/>
              </w:tabs>
              <w:spacing w:line="26" w:lineRule="atLeast"/>
              <w:ind w:right="68"/>
              <w:jc w:val="center"/>
              <w:rPr>
                <w:rFonts w:ascii="Work Sans" w:hAnsi="Work Sans" w:cs="Arial"/>
                <w:b/>
                <w:bCs/>
                <w:i/>
                <w:sz w:val="18"/>
                <w:szCs w:val="18"/>
              </w:rPr>
            </w:pPr>
            <w:bookmarkStart w:id="3" w:name="_Hlk73524968"/>
            <w:r>
              <w:rPr>
                <w:rFonts w:ascii="Work Sans" w:hAnsi="Work Sans" w:cs="Arial"/>
                <w:b/>
                <w:bCs/>
                <w:i/>
                <w:sz w:val="18"/>
                <w:szCs w:val="18"/>
              </w:rPr>
              <w:t>CATEGORÍA VEHICULAR</w:t>
            </w:r>
          </w:p>
        </w:tc>
        <w:tc>
          <w:tcPr>
            <w:tcW w:w="1942" w:type="dxa"/>
            <w:noWrap/>
          </w:tcPr>
          <w:p w:rsidR="005F4CD5" w:rsidRDefault="00534CD8">
            <w:pPr>
              <w:tabs>
                <w:tab w:val="left" w:pos="567"/>
              </w:tabs>
              <w:spacing w:line="26" w:lineRule="atLeast"/>
              <w:ind w:right="68"/>
              <w:jc w:val="center"/>
              <w:rPr>
                <w:rFonts w:ascii="Work Sans" w:hAnsi="Work Sans" w:cs="Arial"/>
                <w:b/>
                <w:bCs/>
                <w:i/>
                <w:sz w:val="18"/>
                <w:szCs w:val="18"/>
              </w:rPr>
            </w:pPr>
            <w:r>
              <w:rPr>
                <w:rFonts w:ascii="Work Sans" w:hAnsi="Work Sans" w:cs="Arial"/>
                <w:b/>
                <w:bCs/>
                <w:i/>
                <w:sz w:val="18"/>
                <w:szCs w:val="18"/>
              </w:rPr>
              <w:t>INCREMENTO T1</w:t>
            </w:r>
          </w:p>
        </w:tc>
      </w:tr>
      <w:tr w:rsidR="005F4CD5" w:rsidTr="00644345">
        <w:trPr>
          <w:trHeight w:val="147"/>
          <w:jc w:val="center"/>
        </w:trPr>
        <w:tc>
          <w:tcPr>
            <w:tcW w:w="1455"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w:t>
            </w:r>
          </w:p>
        </w:tc>
        <w:tc>
          <w:tcPr>
            <w:tcW w:w="1942"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rsidTr="00644345">
        <w:trPr>
          <w:trHeight w:val="147"/>
          <w:jc w:val="center"/>
        </w:trPr>
        <w:tc>
          <w:tcPr>
            <w:tcW w:w="1455"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II</w:t>
            </w:r>
          </w:p>
        </w:tc>
        <w:tc>
          <w:tcPr>
            <w:tcW w:w="1942"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rsidTr="00644345">
        <w:trPr>
          <w:trHeight w:val="147"/>
          <w:jc w:val="center"/>
        </w:trPr>
        <w:tc>
          <w:tcPr>
            <w:tcW w:w="1455"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III</w:t>
            </w:r>
          </w:p>
        </w:tc>
        <w:tc>
          <w:tcPr>
            <w:tcW w:w="1942"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rsidTr="00644345">
        <w:trPr>
          <w:trHeight w:val="147"/>
          <w:jc w:val="center"/>
        </w:trPr>
        <w:tc>
          <w:tcPr>
            <w:tcW w:w="1455"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IV</w:t>
            </w:r>
          </w:p>
        </w:tc>
        <w:tc>
          <w:tcPr>
            <w:tcW w:w="1942"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rsidTr="00644345">
        <w:trPr>
          <w:trHeight w:val="147"/>
          <w:jc w:val="center"/>
        </w:trPr>
        <w:tc>
          <w:tcPr>
            <w:tcW w:w="1455"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V</w:t>
            </w:r>
          </w:p>
        </w:tc>
        <w:tc>
          <w:tcPr>
            <w:tcW w:w="1942" w:type="dxa"/>
            <w:noWrap/>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bl>
    <w:bookmarkEnd w:id="3"/>
    <w:p w:rsidR="005F4CD5" w:rsidRDefault="00534CD8" w:rsidP="00644345">
      <w:pPr>
        <w:tabs>
          <w:tab w:val="left" w:pos="567"/>
        </w:tabs>
        <w:spacing w:line="26" w:lineRule="atLeast"/>
        <w:ind w:left="567" w:right="623"/>
        <w:jc w:val="both"/>
        <w:rPr>
          <w:rFonts w:ascii="Work Sans" w:hAnsi="Work Sans" w:cs="Arial"/>
          <w:i/>
          <w:spacing w:val="-3"/>
          <w:sz w:val="18"/>
          <w:szCs w:val="18"/>
          <w:lang w:val="es-MX"/>
        </w:rPr>
      </w:pPr>
      <w:r>
        <w:rPr>
          <w:rFonts w:ascii="Work Sans" w:hAnsi="Work Sans" w:cs="Arial"/>
          <w:i/>
          <w:spacing w:val="-3"/>
          <w:sz w:val="18"/>
          <w:szCs w:val="18"/>
          <w:lang w:val="es-MX"/>
        </w:rPr>
        <w:br/>
        <w:t xml:space="preserve">Los incrementos previstos </w:t>
      </w:r>
      <w:r w:rsidRPr="00643B7B">
        <w:rPr>
          <w:rFonts w:ascii="Work Sans" w:hAnsi="Work Sans" w:cs="Arial"/>
          <w:i/>
          <w:spacing w:val="-3"/>
          <w:sz w:val="18"/>
          <w:szCs w:val="18"/>
          <w:lang w:val="es-MX"/>
        </w:rPr>
        <w:t>se aplicarán</w:t>
      </w:r>
      <w:r>
        <w:rPr>
          <w:rFonts w:ascii="Work Sans" w:hAnsi="Work Sans" w:cs="Arial"/>
          <w:i/>
          <w:spacing w:val="-3"/>
          <w:sz w:val="18"/>
          <w:szCs w:val="18"/>
          <w:lang w:val="es-MX"/>
        </w:rPr>
        <w:t xml:space="preserve"> por una sola vez en el mes de enero siguiente a la terminación de la Unidad Funcional 1 del contrato de concesión que se suscriba para la ejecución del proyecto de Concesión bajo la modalidad de APP Corredor Troncal del Magdalena - Concesión 2 - Sabana de Torres - Curumaní.</w:t>
      </w:r>
    </w:p>
    <w:p w:rsidR="005F4CD5" w:rsidRDefault="005F4CD5">
      <w:pPr>
        <w:tabs>
          <w:tab w:val="left" w:pos="567"/>
        </w:tabs>
        <w:spacing w:line="26" w:lineRule="atLeast"/>
        <w:ind w:left="567" w:right="623"/>
        <w:jc w:val="both"/>
        <w:rPr>
          <w:rFonts w:ascii="Work Sans" w:hAnsi="Work Sans" w:cs="Arial"/>
          <w:i/>
          <w:spacing w:val="-3"/>
          <w:sz w:val="18"/>
          <w:szCs w:val="18"/>
          <w:lang w:val="es-MX"/>
        </w:rPr>
      </w:pPr>
    </w:p>
    <w:p w:rsidR="005F4CD5" w:rsidRDefault="00534CD8" w:rsidP="00644345">
      <w:pPr>
        <w:pStyle w:val="Prrafodelista"/>
        <w:numPr>
          <w:ilvl w:val="0"/>
          <w:numId w:val="22"/>
        </w:numPr>
        <w:tabs>
          <w:tab w:val="left" w:pos="567"/>
        </w:tabs>
        <w:spacing w:line="26" w:lineRule="atLeast"/>
        <w:ind w:left="567" w:right="623" w:hanging="425"/>
        <w:jc w:val="both"/>
        <w:textAlignment w:val="auto"/>
        <w:rPr>
          <w:rFonts w:ascii="Work Sans" w:hAnsi="Work Sans" w:cs="Arial"/>
          <w:b/>
          <w:bCs/>
          <w:i/>
          <w:spacing w:val="-3"/>
          <w:sz w:val="18"/>
          <w:szCs w:val="18"/>
        </w:rPr>
      </w:pPr>
      <w:r>
        <w:rPr>
          <w:rFonts w:ascii="Work Sans" w:hAnsi="Work Sans" w:cs="Arial"/>
          <w:b/>
          <w:bCs/>
          <w:i/>
          <w:spacing w:val="-3"/>
          <w:sz w:val="18"/>
          <w:szCs w:val="18"/>
        </w:rPr>
        <w:t>Establecer un incremento a las tarifas de las estaciones de peaje La Gómez, Morrison y Pailitas en forma bidireccional, en función del inicio de la Etapa de Operación y Mantenimiento del contrato de concesión que se suscriba</w:t>
      </w:r>
    </w:p>
    <w:p w:rsidR="005F4CD5" w:rsidRDefault="005F4CD5">
      <w:pPr>
        <w:tabs>
          <w:tab w:val="left" w:pos="567"/>
        </w:tabs>
        <w:spacing w:line="26" w:lineRule="atLeast"/>
        <w:ind w:left="567" w:right="623"/>
        <w:jc w:val="both"/>
        <w:rPr>
          <w:rFonts w:ascii="Work Sans" w:hAnsi="Work Sans" w:cs="Arial"/>
          <w:i/>
          <w:spacing w:val="-3"/>
          <w:sz w:val="18"/>
          <w:szCs w:val="18"/>
          <w:lang w:val="es-MX"/>
        </w:rPr>
      </w:pPr>
    </w:p>
    <w:tbl>
      <w:tblPr>
        <w:tblW w:w="3397" w:type="dxa"/>
        <w:jc w:val="center"/>
        <w:tblLayout w:type="fixed"/>
        <w:tblCellMar>
          <w:left w:w="10" w:type="dxa"/>
          <w:right w:w="10" w:type="dxa"/>
        </w:tblCellMar>
        <w:tblLook w:val="0000" w:firstRow="0" w:lastRow="0" w:firstColumn="0" w:lastColumn="0" w:noHBand="0" w:noVBand="0"/>
      </w:tblPr>
      <w:tblGrid>
        <w:gridCol w:w="1696"/>
        <w:gridCol w:w="1701"/>
      </w:tblGrid>
      <w:tr w:rsidR="005F4CD5">
        <w:tblPrEx>
          <w:tblCellMar>
            <w:top w:w="0" w:type="dxa"/>
            <w:bottom w:w="0" w:type="dxa"/>
          </w:tblCellMar>
        </w:tblPrEx>
        <w:trPr>
          <w:trHeight w:val="295"/>
          <w:tblHeader/>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4CD5" w:rsidRDefault="00534CD8">
            <w:pPr>
              <w:tabs>
                <w:tab w:val="left" w:pos="567"/>
              </w:tabs>
              <w:spacing w:line="26" w:lineRule="atLeast"/>
              <w:ind w:right="68"/>
              <w:jc w:val="center"/>
              <w:rPr>
                <w:rFonts w:ascii="Work Sans" w:hAnsi="Work Sans" w:cs="Arial"/>
                <w:b/>
                <w:bCs/>
                <w:i/>
                <w:sz w:val="18"/>
                <w:szCs w:val="18"/>
              </w:rPr>
            </w:pPr>
            <w:r>
              <w:rPr>
                <w:rFonts w:ascii="Work Sans" w:hAnsi="Work Sans" w:cs="Arial"/>
                <w:b/>
                <w:bCs/>
                <w:i/>
                <w:sz w:val="18"/>
                <w:szCs w:val="18"/>
              </w:rPr>
              <w:t>CATEGORÍA VEHICULAR</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5F4CD5" w:rsidRDefault="00534CD8">
            <w:pPr>
              <w:tabs>
                <w:tab w:val="left" w:pos="567"/>
              </w:tabs>
              <w:spacing w:line="26" w:lineRule="atLeast"/>
              <w:ind w:right="68"/>
              <w:jc w:val="center"/>
              <w:rPr>
                <w:rFonts w:ascii="Work Sans" w:hAnsi="Work Sans" w:cs="Arial"/>
                <w:b/>
                <w:bCs/>
                <w:i/>
                <w:sz w:val="18"/>
                <w:szCs w:val="18"/>
              </w:rPr>
            </w:pPr>
            <w:r>
              <w:rPr>
                <w:rFonts w:ascii="Work Sans" w:hAnsi="Work Sans" w:cs="Arial"/>
                <w:b/>
                <w:bCs/>
                <w:i/>
                <w:sz w:val="18"/>
                <w:szCs w:val="18"/>
              </w:rPr>
              <w:t>INCREMENTO T2</w:t>
            </w:r>
          </w:p>
        </w:tc>
      </w:tr>
      <w:tr w:rsidR="005F4CD5">
        <w:tblPrEx>
          <w:tblCellMar>
            <w:top w:w="0" w:type="dxa"/>
            <w:bottom w:w="0" w:type="dxa"/>
          </w:tblCellMar>
        </w:tblPrEx>
        <w:trPr>
          <w:trHeight w:val="147"/>
          <w:jc w:val="center"/>
        </w:trPr>
        <w:tc>
          <w:tcPr>
            <w:tcW w:w="1696"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tblPrEx>
          <w:tblCellMar>
            <w:top w:w="0" w:type="dxa"/>
            <w:bottom w:w="0" w:type="dxa"/>
          </w:tblCellMar>
        </w:tblPrEx>
        <w:trPr>
          <w:trHeight w:val="147"/>
          <w:jc w:val="center"/>
        </w:trPr>
        <w:tc>
          <w:tcPr>
            <w:tcW w:w="1696"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II</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tblPrEx>
          <w:tblCellMar>
            <w:top w:w="0" w:type="dxa"/>
            <w:bottom w:w="0" w:type="dxa"/>
          </w:tblCellMar>
        </w:tblPrEx>
        <w:trPr>
          <w:trHeight w:val="147"/>
          <w:jc w:val="center"/>
        </w:trPr>
        <w:tc>
          <w:tcPr>
            <w:tcW w:w="1696"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III</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tblPrEx>
          <w:tblCellMar>
            <w:top w:w="0" w:type="dxa"/>
            <w:bottom w:w="0" w:type="dxa"/>
          </w:tblCellMar>
        </w:tblPrEx>
        <w:trPr>
          <w:trHeight w:val="147"/>
          <w:jc w:val="center"/>
        </w:trPr>
        <w:tc>
          <w:tcPr>
            <w:tcW w:w="1696"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IV</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r w:rsidR="005F4CD5">
        <w:tblPrEx>
          <w:tblCellMar>
            <w:top w:w="0" w:type="dxa"/>
            <w:bottom w:w="0" w:type="dxa"/>
          </w:tblCellMar>
        </w:tblPrEx>
        <w:trPr>
          <w:trHeight w:val="147"/>
          <w:jc w:val="center"/>
        </w:trPr>
        <w:tc>
          <w:tcPr>
            <w:tcW w:w="1696"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Categoría V</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rsidR="005F4CD5" w:rsidRDefault="00534CD8">
            <w:pPr>
              <w:tabs>
                <w:tab w:val="left" w:pos="567"/>
              </w:tabs>
              <w:spacing w:line="26" w:lineRule="atLeast"/>
              <w:ind w:right="68"/>
              <w:jc w:val="center"/>
              <w:rPr>
                <w:rFonts w:ascii="Work Sans" w:hAnsi="Work Sans" w:cs="Arial"/>
                <w:i/>
                <w:sz w:val="18"/>
                <w:szCs w:val="18"/>
              </w:rPr>
            </w:pPr>
            <w:r>
              <w:rPr>
                <w:rFonts w:ascii="Work Sans" w:hAnsi="Work Sans" w:cs="Arial"/>
                <w:i/>
                <w:sz w:val="18"/>
                <w:szCs w:val="18"/>
              </w:rPr>
              <w:t>3%</w:t>
            </w:r>
          </w:p>
        </w:tc>
      </w:tr>
    </w:tbl>
    <w:p w:rsidR="005F4CD5" w:rsidRDefault="005F4CD5">
      <w:pPr>
        <w:tabs>
          <w:tab w:val="left" w:pos="567"/>
        </w:tabs>
        <w:spacing w:line="26" w:lineRule="atLeast"/>
        <w:rPr>
          <w:rFonts w:ascii="Work Sans" w:hAnsi="Work Sans" w:cs="Arial"/>
          <w:i/>
          <w:spacing w:val="-3"/>
          <w:sz w:val="18"/>
          <w:szCs w:val="18"/>
          <w:lang w:val="es-MX"/>
        </w:rPr>
      </w:pPr>
    </w:p>
    <w:p w:rsidR="005F4CD5" w:rsidRDefault="00534CD8">
      <w:pPr>
        <w:tabs>
          <w:tab w:val="left" w:pos="567"/>
        </w:tabs>
        <w:spacing w:line="26" w:lineRule="atLeast"/>
        <w:ind w:left="567" w:right="623"/>
        <w:jc w:val="both"/>
        <w:rPr>
          <w:rFonts w:ascii="Work Sans" w:hAnsi="Work Sans" w:cs="Arial"/>
          <w:i/>
          <w:spacing w:val="-3"/>
          <w:sz w:val="18"/>
          <w:szCs w:val="18"/>
          <w:lang w:val="es-MX"/>
        </w:rPr>
      </w:pPr>
      <w:r>
        <w:rPr>
          <w:rFonts w:ascii="Work Sans" w:hAnsi="Work Sans" w:cs="Arial"/>
          <w:i/>
          <w:spacing w:val="-3"/>
          <w:sz w:val="18"/>
          <w:szCs w:val="18"/>
          <w:lang w:val="es-MX"/>
        </w:rPr>
        <w:t>Los incrementos previstos se aplicarán por una sola vez en el mes de enero siguiente al inicio de la Etapa de Operación y Mantenimiento del contrato de concesión conforme a lo establecido en la Parte Especial del contrato que se suscriba como consecuencia del trámite de iniciativa pública que adelante la Agencia Nacional de Infraestructura para la ejecución del Proyecto de APP Corredor Troncal del Magdalena - Concesión 2 - Sabana de Torres - Curumaní.</w:t>
      </w:r>
    </w:p>
    <w:p w:rsidR="00A406E2" w:rsidRDefault="00A406E2">
      <w:pPr>
        <w:tabs>
          <w:tab w:val="left" w:pos="567"/>
        </w:tabs>
        <w:spacing w:line="26" w:lineRule="atLeast"/>
        <w:ind w:left="567" w:right="623"/>
        <w:jc w:val="both"/>
        <w:rPr>
          <w:rFonts w:ascii="Work Sans" w:hAnsi="Work Sans" w:cs="Arial"/>
          <w:i/>
          <w:spacing w:val="-3"/>
          <w:sz w:val="18"/>
          <w:szCs w:val="18"/>
          <w:lang w:val="es-MX"/>
        </w:rPr>
      </w:pPr>
    </w:p>
    <w:p w:rsidR="005F4CD5" w:rsidRDefault="00534CD8">
      <w:pPr>
        <w:pStyle w:val="Prrafodelista"/>
        <w:numPr>
          <w:ilvl w:val="0"/>
          <w:numId w:val="22"/>
        </w:numPr>
        <w:tabs>
          <w:tab w:val="left" w:pos="567"/>
        </w:tabs>
        <w:spacing w:line="26" w:lineRule="atLeast"/>
        <w:ind w:left="567" w:right="623"/>
        <w:jc w:val="both"/>
        <w:textAlignment w:val="auto"/>
        <w:rPr>
          <w:rFonts w:ascii="Work Sans" w:hAnsi="Work Sans" w:cs="Arial"/>
          <w:b/>
          <w:bCs/>
          <w:i/>
          <w:spacing w:val="-3"/>
          <w:sz w:val="18"/>
          <w:szCs w:val="18"/>
        </w:rPr>
      </w:pPr>
      <w:r>
        <w:rPr>
          <w:rFonts w:ascii="Work Sans" w:hAnsi="Work Sans" w:cs="Arial"/>
          <w:b/>
          <w:bCs/>
          <w:i/>
          <w:spacing w:val="-3"/>
          <w:sz w:val="18"/>
          <w:szCs w:val="18"/>
        </w:rPr>
        <w:t>Establecer la fórmula de actualización anual durante la vigencia del proyecto</w:t>
      </w:r>
    </w:p>
    <w:p w:rsidR="005F4CD5" w:rsidRDefault="005F4CD5">
      <w:pPr>
        <w:tabs>
          <w:tab w:val="left" w:pos="567"/>
        </w:tabs>
        <w:spacing w:line="26" w:lineRule="atLeast"/>
        <w:ind w:left="567" w:right="623"/>
        <w:jc w:val="both"/>
        <w:rPr>
          <w:rFonts w:ascii="Work Sans" w:hAnsi="Work Sans" w:cs="Arial"/>
          <w:i/>
          <w:spacing w:val="-3"/>
          <w:sz w:val="18"/>
          <w:szCs w:val="18"/>
          <w:lang w:val="es-MX"/>
        </w:rPr>
      </w:pPr>
    </w:p>
    <w:p w:rsidR="005F4CD5" w:rsidRDefault="00534CD8">
      <w:pPr>
        <w:tabs>
          <w:tab w:val="left" w:pos="567"/>
        </w:tabs>
        <w:spacing w:line="26" w:lineRule="atLeast"/>
        <w:ind w:left="567" w:right="623"/>
        <w:jc w:val="both"/>
        <w:rPr>
          <w:rFonts w:ascii="Work Sans" w:hAnsi="Work Sans" w:cs="Arial"/>
          <w:i/>
          <w:spacing w:val="-3"/>
          <w:sz w:val="18"/>
          <w:szCs w:val="18"/>
          <w:lang w:val="es-MX"/>
        </w:rPr>
      </w:pPr>
      <w:r>
        <w:rPr>
          <w:rFonts w:ascii="Work Sans" w:hAnsi="Work Sans" w:cs="Arial"/>
          <w:i/>
          <w:spacing w:val="-3"/>
          <w:sz w:val="18"/>
          <w:szCs w:val="18"/>
          <w:lang w:val="es-MX"/>
        </w:rPr>
        <w:t>Las tarifas plenas y diferenciales, para cada una de las Estaciones de Peaje correspondientes al Proyecto de Asociación Público Privada Sabana de Torres - Curumaní, se actualizarán de conformidad con lo establecido en la Sección 4.2 de la Parte Especial del Contrato que se suscriba como consecuencia del trámite de la iniciativa pública que adelante la Agencia Nacional de Infraestructura para la ejecución del Proyecto de APP Corredor Troncal del Magdalena - Concesión 2 - Sabana de Torres - Curumaní.</w:t>
      </w:r>
      <w:r w:rsidR="00A406E2">
        <w:rPr>
          <w:rFonts w:ascii="Work Sans" w:hAnsi="Work Sans" w:cs="Arial"/>
          <w:i/>
          <w:spacing w:val="-3"/>
          <w:sz w:val="18"/>
          <w:szCs w:val="18"/>
          <w:lang w:val="es-MX"/>
        </w:rPr>
        <w:t xml:space="preserve"> (…)</w:t>
      </w:r>
    </w:p>
    <w:p w:rsidR="00A406E2" w:rsidRDefault="00A406E2">
      <w:pPr>
        <w:tabs>
          <w:tab w:val="left" w:pos="567"/>
        </w:tabs>
        <w:spacing w:line="26" w:lineRule="atLeast"/>
        <w:ind w:left="567" w:right="623"/>
        <w:jc w:val="both"/>
        <w:rPr>
          <w:rFonts w:ascii="Work Sans" w:hAnsi="Work Sans" w:cs="Arial"/>
          <w:i/>
          <w:spacing w:val="-3"/>
          <w:sz w:val="18"/>
          <w:szCs w:val="18"/>
          <w:lang w:val="es-MX"/>
        </w:rPr>
      </w:pPr>
    </w:p>
    <w:p w:rsidR="00A406E2" w:rsidRDefault="00A406E2" w:rsidP="00A406E2">
      <w:pPr>
        <w:widowControl/>
        <w:suppressAutoHyphens w:val="0"/>
        <w:autoSpaceDE w:val="0"/>
        <w:adjustRightInd w:val="0"/>
        <w:ind w:left="567" w:right="623"/>
        <w:jc w:val="both"/>
        <w:textAlignment w:val="auto"/>
        <w:rPr>
          <w:rFonts w:ascii="Work Sans" w:hAnsi="Work Sans" w:cs="Arial"/>
          <w:i/>
          <w:spacing w:val="-3"/>
          <w:sz w:val="18"/>
          <w:szCs w:val="18"/>
          <w:lang w:val="es-MX"/>
        </w:rPr>
      </w:pPr>
      <w:r w:rsidRPr="00A406E2">
        <w:rPr>
          <w:rFonts w:ascii="Work Sans" w:hAnsi="Work Sans" w:cs="Arial"/>
          <w:i/>
          <w:spacing w:val="-3"/>
          <w:sz w:val="18"/>
          <w:szCs w:val="18"/>
          <w:lang w:val="es-MX"/>
        </w:rPr>
        <w:t xml:space="preserve">Para calcular las tarifas plenas y diferenciales de las estaciones de peaje La </w:t>
      </w:r>
      <w:r>
        <w:rPr>
          <w:rFonts w:ascii="Work Sans" w:hAnsi="Work Sans" w:cs="Arial"/>
          <w:i/>
          <w:spacing w:val="-3"/>
          <w:sz w:val="18"/>
          <w:szCs w:val="18"/>
          <w:lang w:val="es-MX"/>
        </w:rPr>
        <w:t>G</w:t>
      </w:r>
      <w:r w:rsidRPr="00A406E2">
        <w:rPr>
          <w:rFonts w:ascii="Work Sans" w:hAnsi="Work Sans" w:cs="Arial"/>
          <w:i/>
          <w:spacing w:val="-3"/>
          <w:sz w:val="18"/>
          <w:szCs w:val="18"/>
          <w:lang w:val="es-MX"/>
        </w:rPr>
        <w:t>ómez, Morrison y Pailitas</w:t>
      </w:r>
      <w:r>
        <w:rPr>
          <w:rFonts w:ascii="Work Sans" w:hAnsi="Work Sans" w:cs="Arial"/>
          <w:i/>
          <w:spacing w:val="-3"/>
          <w:sz w:val="18"/>
          <w:szCs w:val="18"/>
          <w:lang w:val="es-MX"/>
        </w:rPr>
        <w:t xml:space="preserve"> </w:t>
      </w:r>
      <w:r w:rsidRPr="00A406E2">
        <w:rPr>
          <w:rFonts w:ascii="Work Sans" w:hAnsi="Work Sans" w:cs="Arial"/>
          <w:i/>
          <w:spacing w:val="-3"/>
          <w:sz w:val="18"/>
          <w:szCs w:val="18"/>
          <w:lang w:val="es-MX"/>
        </w:rPr>
        <w:t>a la fecha de suscripción del acta de inicio del contrato de concesión que se llegare a celebrar, se</w:t>
      </w:r>
      <w:r>
        <w:rPr>
          <w:rFonts w:ascii="Work Sans" w:hAnsi="Work Sans" w:cs="Arial"/>
          <w:i/>
          <w:spacing w:val="-3"/>
          <w:sz w:val="18"/>
          <w:szCs w:val="18"/>
          <w:lang w:val="es-MX"/>
        </w:rPr>
        <w:t xml:space="preserve"> </w:t>
      </w:r>
      <w:r w:rsidRPr="00A406E2">
        <w:rPr>
          <w:rFonts w:ascii="Work Sans" w:hAnsi="Work Sans" w:cs="Arial"/>
          <w:i/>
          <w:spacing w:val="-3"/>
          <w:sz w:val="18"/>
          <w:szCs w:val="18"/>
          <w:lang w:val="es-MX"/>
        </w:rPr>
        <w:t>deberán tomar las tarifas consagradas en la circular externa No. 001 de 2021 del Instituto Nacional de</w:t>
      </w:r>
      <w:r>
        <w:rPr>
          <w:rFonts w:ascii="Work Sans" w:hAnsi="Work Sans" w:cs="Arial"/>
          <w:i/>
          <w:spacing w:val="-3"/>
          <w:sz w:val="18"/>
          <w:szCs w:val="18"/>
          <w:lang w:val="es-MX"/>
        </w:rPr>
        <w:t xml:space="preserve"> </w:t>
      </w:r>
      <w:r w:rsidRPr="00A406E2">
        <w:rPr>
          <w:rFonts w:ascii="Work Sans" w:hAnsi="Work Sans" w:cs="Arial"/>
          <w:i/>
          <w:spacing w:val="-3"/>
          <w:sz w:val="18"/>
          <w:szCs w:val="18"/>
          <w:lang w:val="es-MX"/>
        </w:rPr>
        <w:t>Vías - INVIAS del 31 de enero de 2021, descontando el valor correspondiente al Fondo de Seguridad</w:t>
      </w:r>
      <w:r>
        <w:rPr>
          <w:rFonts w:ascii="Work Sans" w:hAnsi="Work Sans" w:cs="Arial"/>
          <w:i/>
          <w:spacing w:val="-3"/>
          <w:sz w:val="18"/>
          <w:szCs w:val="18"/>
          <w:lang w:val="es-MX"/>
        </w:rPr>
        <w:t xml:space="preserve"> </w:t>
      </w:r>
      <w:r w:rsidRPr="00A406E2">
        <w:rPr>
          <w:rFonts w:ascii="Work Sans" w:hAnsi="Work Sans" w:cs="Arial"/>
          <w:i/>
          <w:spacing w:val="-3"/>
          <w:sz w:val="18"/>
          <w:szCs w:val="18"/>
          <w:lang w:val="es-MX"/>
        </w:rPr>
        <w:t>Vial (FOSEVI), y debiéndose actualizar teniendo en cuenta el IPC de diciembre del año inmediatamente</w:t>
      </w:r>
      <w:r>
        <w:rPr>
          <w:rFonts w:ascii="Work Sans" w:hAnsi="Work Sans" w:cs="Arial"/>
          <w:i/>
          <w:spacing w:val="-3"/>
          <w:sz w:val="18"/>
          <w:szCs w:val="18"/>
          <w:lang w:val="es-MX"/>
        </w:rPr>
        <w:t xml:space="preserve"> </w:t>
      </w:r>
      <w:r w:rsidRPr="00A406E2">
        <w:rPr>
          <w:rFonts w:ascii="Work Sans" w:hAnsi="Work Sans" w:cs="Arial"/>
          <w:i/>
          <w:spacing w:val="-3"/>
          <w:sz w:val="18"/>
          <w:szCs w:val="18"/>
          <w:lang w:val="es-MX"/>
        </w:rPr>
        <w:t>anterior y el IPC de diciembre de 2020. Luego deberá ser sumado el FOSEVI y finalmente redondear a</w:t>
      </w:r>
      <w:r>
        <w:rPr>
          <w:rFonts w:ascii="Work Sans" w:hAnsi="Work Sans" w:cs="Arial"/>
          <w:i/>
          <w:spacing w:val="-3"/>
          <w:sz w:val="18"/>
          <w:szCs w:val="18"/>
          <w:lang w:val="es-MX"/>
        </w:rPr>
        <w:t xml:space="preserve"> </w:t>
      </w:r>
      <w:r w:rsidRPr="00A406E2">
        <w:rPr>
          <w:rFonts w:ascii="Work Sans" w:hAnsi="Work Sans" w:cs="Arial"/>
          <w:i/>
          <w:spacing w:val="-3"/>
          <w:sz w:val="18"/>
          <w:szCs w:val="18"/>
          <w:lang w:val="es-MX"/>
        </w:rPr>
        <w:t>la centena.</w:t>
      </w:r>
    </w:p>
    <w:p w:rsidR="00A406E2" w:rsidRDefault="00A406E2" w:rsidP="00A406E2">
      <w:pPr>
        <w:tabs>
          <w:tab w:val="left" w:pos="567"/>
        </w:tabs>
        <w:spacing w:line="26" w:lineRule="atLeast"/>
        <w:ind w:left="567" w:right="623"/>
        <w:jc w:val="both"/>
        <w:rPr>
          <w:rFonts w:ascii="Work Sans" w:hAnsi="Work Sans" w:cs="Arial"/>
          <w:i/>
          <w:spacing w:val="-3"/>
          <w:sz w:val="18"/>
          <w:szCs w:val="18"/>
          <w:lang w:val="es-MX"/>
        </w:rPr>
      </w:pPr>
    </w:p>
    <w:p w:rsidR="00A406E2" w:rsidRDefault="00A406E2" w:rsidP="00A406E2">
      <w:pPr>
        <w:tabs>
          <w:tab w:val="left" w:pos="567"/>
        </w:tabs>
        <w:spacing w:line="26" w:lineRule="atLeast"/>
        <w:ind w:left="567" w:right="623"/>
        <w:jc w:val="both"/>
        <w:rPr>
          <w:rFonts w:ascii="Work Sans" w:hAnsi="Work Sans" w:cs="Arial"/>
          <w:i/>
          <w:spacing w:val="-3"/>
          <w:sz w:val="18"/>
          <w:szCs w:val="18"/>
          <w:lang w:val="es-MX"/>
        </w:rPr>
      </w:pPr>
      <w:r>
        <w:rPr>
          <w:rFonts w:ascii="Work Sans" w:hAnsi="Work Sans" w:cs="Arial"/>
          <w:i/>
          <w:spacing w:val="-3"/>
          <w:sz w:val="18"/>
          <w:szCs w:val="18"/>
          <w:lang w:val="es-MX"/>
        </w:rPr>
        <w:t>(…)</w:t>
      </w:r>
    </w:p>
    <w:p w:rsidR="005F4CD5" w:rsidRDefault="005F4CD5" w:rsidP="00A406E2">
      <w:pPr>
        <w:tabs>
          <w:tab w:val="left" w:pos="567"/>
        </w:tabs>
        <w:spacing w:line="26" w:lineRule="atLeast"/>
        <w:ind w:left="567" w:right="623"/>
        <w:jc w:val="both"/>
        <w:rPr>
          <w:rFonts w:ascii="Work Sans" w:hAnsi="Work Sans" w:cs="Arial"/>
          <w:i/>
          <w:spacing w:val="-3"/>
          <w:sz w:val="18"/>
          <w:szCs w:val="18"/>
          <w:lang w:val="es-MX"/>
        </w:rPr>
      </w:pPr>
    </w:p>
    <w:p w:rsidR="005F4CD5" w:rsidRDefault="00534CD8">
      <w:pPr>
        <w:pStyle w:val="Prrafodelista"/>
        <w:numPr>
          <w:ilvl w:val="1"/>
          <w:numId w:val="21"/>
        </w:numPr>
        <w:tabs>
          <w:tab w:val="left" w:pos="567"/>
        </w:tabs>
        <w:spacing w:line="26" w:lineRule="atLeast"/>
        <w:ind w:left="567" w:right="623"/>
        <w:jc w:val="both"/>
        <w:textAlignment w:val="auto"/>
        <w:rPr>
          <w:rFonts w:ascii="Work Sans" w:hAnsi="Work Sans" w:cs="Arial"/>
          <w:b/>
          <w:bCs/>
          <w:i/>
          <w:spacing w:val="-3"/>
          <w:sz w:val="18"/>
          <w:szCs w:val="18"/>
        </w:rPr>
      </w:pPr>
      <w:r>
        <w:rPr>
          <w:rFonts w:ascii="Work Sans" w:hAnsi="Work Sans" w:cs="Arial"/>
          <w:b/>
          <w:bCs/>
          <w:i/>
          <w:spacing w:val="-3"/>
          <w:sz w:val="18"/>
          <w:szCs w:val="18"/>
        </w:rPr>
        <w:lastRenderedPageBreak/>
        <w:t xml:space="preserve">Justificación </w:t>
      </w:r>
    </w:p>
    <w:p w:rsidR="005F4CD5" w:rsidRDefault="005F4CD5">
      <w:pPr>
        <w:pStyle w:val="Prrafodelista"/>
        <w:tabs>
          <w:tab w:val="left" w:pos="567"/>
        </w:tabs>
        <w:spacing w:line="26" w:lineRule="atLeast"/>
        <w:ind w:left="567" w:right="623"/>
        <w:jc w:val="both"/>
        <w:rPr>
          <w:rFonts w:ascii="Work Sans" w:hAnsi="Work Sans" w:cs="Arial"/>
          <w:b/>
          <w:bCs/>
          <w:i/>
          <w:spacing w:val="-3"/>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La presente solicitud se fundamenta en la estructuración técnica, legal y financiera del proyecto, dado que los alcances físicos proyectados como intervención para las diferentes Unidades Funcionales determinan el presupuesto de CAPEX y OPEX, los cuales a su vez hacen parte del modelo financiero que busca, a grandes rasgos, una estructura de ingresos y costos que generen el mayor “valor por dinero”, de tal forma que se maximicen los beneficios para los usuarios de la vía y así mismo, se optimicen los recursos públicos</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En virtud de lo anterior y teniendo en cuenta que los principales ingresos del proyecto provienen de los recaudos por las Estaciones de Peajes del corredor, a continuación, expresamos la justificación de las solicitudes mencionadas en el punto anterior:</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pStyle w:val="Prrafodelista"/>
        <w:numPr>
          <w:ilvl w:val="0"/>
          <w:numId w:val="24"/>
        </w:numPr>
        <w:tabs>
          <w:tab w:val="left" w:pos="567"/>
        </w:tabs>
        <w:spacing w:line="26" w:lineRule="atLeast"/>
        <w:ind w:left="567" w:right="623" w:hanging="426"/>
        <w:jc w:val="both"/>
        <w:textAlignment w:val="auto"/>
      </w:pPr>
      <w:r>
        <w:rPr>
          <w:rFonts w:ascii="Work Sans" w:hAnsi="Work Sans" w:cs="Arial"/>
          <w:b/>
          <w:bCs/>
          <w:i/>
          <w:spacing w:val="-3"/>
          <w:sz w:val="18"/>
          <w:szCs w:val="18"/>
          <w:lang w:val="es-MX"/>
        </w:rPr>
        <w:t>Establecer la reubicación de la Estación de Peaje La Gómez del PR 37+150 de la Ruta Nacional 4513 al PR 37+700 de la misma ruta nacional</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La solicitud de reubicación de la Estación de peaje La Gómez obedece al cumplimiento de las especificaciones de diseño geométrico, especialmente aquellas que debe cumplir la construcción del retorno bidireccional sobre el cual se plantea la construcción del Área de Servicio del proyecto, toda vez que el retorno disminuiría notablemente la distancia de aproximación al peaje en el sentido La Lizama - San Alberto, lo que afectaría la operación del retorno.</w:t>
      </w:r>
    </w:p>
    <w:p w:rsidR="005F4CD5" w:rsidRDefault="005F4CD5">
      <w:pPr>
        <w:pStyle w:val="Prrafodelista"/>
        <w:tabs>
          <w:tab w:val="left" w:pos="567"/>
        </w:tabs>
        <w:spacing w:line="26" w:lineRule="atLeast"/>
        <w:ind w:left="567" w:right="623"/>
        <w:jc w:val="both"/>
        <w:rPr>
          <w:rFonts w:ascii="Work Sans" w:hAnsi="Work Sans" w:cs="Arial"/>
          <w:i/>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Ante la poca distancia que quedaría entre el retorno y la estación de peaje, se hace consecuente su reubicación a 500 metros de su ubicación actual, permitiendo con ello que los usuarios cuenten con unas distancias óptimas de aproximación al peaje que no afecten su visibilidad y la operación del retorno mencionado.</w:t>
      </w:r>
    </w:p>
    <w:p w:rsidR="005F4CD5" w:rsidRDefault="005F4CD5">
      <w:pPr>
        <w:pStyle w:val="Prrafodelista"/>
        <w:tabs>
          <w:tab w:val="left" w:pos="567"/>
        </w:tabs>
        <w:spacing w:line="26" w:lineRule="atLeast"/>
        <w:ind w:left="567" w:right="623"/>
        <w:jc w:val="both"/>
        <w:rPr>
          <w:rFonts w:ascii="Work Sans" w:hAnsi="Work Sans" w:cs="Arial"/>
          <w:i/>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 xml:space="preserve">A su vez, la reubicación de la estación de peaje pretende capturar el tráfico total que emplea la vía, evitando de esta manera que los usuarios empleen vías alternas con tal de evitar el pago de la tarifa. </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pStyle w:val="Prrafodelista"/>
        <w:numPr>
          <w:ilvl w:val="0"/>
          <w:numId w:val="24"/>
        </w:numPr>
        <w:tabs>
          <w:tab w:val="left" w:pos="567"/>
        </w:tabs>
        <w:spacing w:line="26" w:lineRule="atLeast"/>
        <w:ind w:left="567" w:right="623" w:hanging="426"/>
        <w:jc w:val="both"/>
        <w:textAlignment w:val="auto"/>
      </w:pPr>
      <w:r>
        <w:rPr>
          <w:rFonts w:ascii="Work Sans" w:hAnsi="Work Sans" w:cs="Arial"/>
          <w:b/>
          <w:bCs/>
          <w:i/>
          <w:spacing w:val="-3"/>
          <w:sz w:val="18"/>
          <w:szCs w:val="18"/>
          <w:lang w:val="es-MX"/>
        </w:rPr>
        <w:t>Establecer</w:t>
      </w:r>
      <w:r>
        <w:rPr>
          <w:rFonts w:ascii="Work Sans" w:hAnsi="Work Sans" w:cs="Arial"/>
          <w:b/>
          <w:bCs/>
          <w:i/>
          <w:sz w:val="18"/>
          <w:szCs w:val="18"/>
          <w:lang w:val="es"/>
        </w:rPr>
        <w:t xml:space="preserve"> tarifas diferenciales para las Categorías I y II en las estaciones de peaje La Gómez, Morrison.</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 xml:space="preserve">Como parte de la estructuración del proyecto se realizaron las distintas socializaciones del Proyecto, dentro de las cuales se elevaron solicitudes de los habitantes de la zona, que en su mayoría pedían tarifas diferenciales (Beneficios inexistentes a hoy) y que motivaron que la Entidad tuviera en cuenta dichas peticiones a la hora de desarrollar la estructuración integral del proyecto, encontrándose prudente otorgar unas tarifas diferenciales para la estación de peaje La Gómez que oscila alrededor del 50% de la tarifa plena de la categoría correspondiente, mientras que la para estación de peaje Morrison se buscó unificar dichas tarifas con la que se vienen aplicando en la estación de peaje Pailitas. </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Cabe aclarar, que la atención de estas solicitudes no solo permite la viabilidad del inicio de las obras, sino la aceptación de la comunidad ante el futuro concesionario. En ese sentido, se considera que las tarifas diferenciales son necesarias desde el inicio del proyecto, dado que como se explicó anteriormente, no solo atienen el resultado de la socialización, sino que corresponden a una adecuada gestión social, permitiendo la aceptación del proyecto por parte de la comunidad y por lo tanto, evitando problemas sociales que impidan el inicio de obras.</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pStyle w:val="Prrafodelista"/>
        <w:numPr>
          <w:ilvl w:val="0"/>
          <w:numId w:val="24"/>
        </w:numPr>
        <w:tabs>
          <w:tab w:val="left" w:pos="567"/>
        </w:tabs>
        <w:spacing w:line="26" w:lineRule="atLeast"/>
        <w:ind w:left="567" w:right="623" w:hanging="426"/>
        <w:jc w:val="both"/>
        <w:textAlignment w:val="auto"/>
      </w:pPr>
      <w:r>
        <w:rPr>
          <w:rFonts w:ascii="Work Sans" w:hAnsi="Work Sans" w:cs="Arial Narrow"/>
          <w:b/>
          <w:bCs/>
          <w:i/>
          <w:sz w:val="18"/>
          <w:szCs w:val="18"/>
          <w:lang w:val="es"/>
        </w:rPr>
        <w:t>Establecer</w:t>
      </w:r>
      <w:r>
        <w:rPr>
          <w:rFonts w:ascii="Work Sans" w:hAnsi="Work Sans" w:cs="Arial"/>
          <w:b/>
          <w:bCs/>
          <w:i/>
          <w:spacing w:val="-3"/>
          <w:sz w:val="18"/>
          <w:szCs w:val="18"/>
        </w:rPr>
        <w:t xml:space="preserve"> un </w:t>
      </w:r>
      <w:r>
        <w:rPr>
          <w:rFonts w:ascii="Work Sans" w:hAnsi="Work Sans" w:cs="Arial"/>
          <w:b/>
          <w:bCs/>
          <w:i/>
          <w:spacing w:val="-3"/>
          <w:sz w:val="18"/>
          <w:szCs w:val="18"/>
          <w:lang w:val="es-MX"/>
        </w:rPr>
        <w:t>incremento</w:t>
      </w:r>
      <w:r>
        <w:rPr>
          <w:rFonts w:ascii="Work Sans" w:hAnsi="Work Sans" w:cs="Arial"/>
          <w:b/>
          <w:bCs/>
          <w:i/>
          <w:spacing w:val="-3"/>
          <w:sz w:val="18"/>
          <w:szCs w:val="18"/>
        </w:rPr>
        <w:t xml:space="preserve"> a las tarifas de las estaciones de peaje La Gómez, Morrison y Pailitas en forma bidireccional, en función de la terminación de la Unidad Funcional 1 del contrato de concesión que se suscriba</w:t>
      </w:r>
    </w:p>
    <w:p w:rsidR="005F4CD5" w:rsidRDefault="005F4CD5">
      <w:pPr>
        <w:tabs>
          <w:tab w:val="left" w:pos="567"/>
        </w:tabs>
        <w:spacing w:line="26" w:lineRule="atLeast"/>
        <w:ind w:left="567" w:right="623"/>
        <w:jc w:val="both"/>
        <w:rPr>
          <w:rFonts w:ascii="Work Sans" w:hAnsi="Work Sans" w:cs="Arial"/>
          <w:i/>
          <w:sz w:val="18"/>
          <w:szCs w:val="18"/>
        </w:rPr>
      </w:pPr>
    </w:p>
    <w:p w:rsidR="005F4CD5"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 xml:space="preserve">Como parte de la estructuración financiera del Proyecto se contempló que, con el fin de optimizar los aportes del Estado, se diera un incrementó en las tarifas siempre </w:t>
      </w:r>
      <w:r>
        <w:rPr>
          <w:rFonts w:ascii="Work Sans" w:hAnsi="Work Sans" w:cs="Arial"/>
          <w:i/>
          <w:sz w:val="18"/>
          <w:szCs w:val="18"/>
        </w:rPr>
        <w:lastRenderedPageBreak/>
        <w:t xml:space="preserve">que el Concesionario ejecute, termine y se suscriba el acta de terminación de la Unidad Funcional 1 conforme a los documentos del contrato a celebrar. Este incremento tiene como propósito adicional buscar que el Concesionario mejore los niveles de servicio del corredor, lo que a su vez genera un mayor beneficio para los usuarios del mismo. </w:t>
      </w:r>
    </w:p>
    <w:p w:rsidR="005F4CD5" w:rsidRDefault="005F4CD5">
      <w:pPr>
        <w:tabs>
          <w:tab w:val="left" w:pos="567"/>
        </w:tabs>
        <w:spacing w:line="26" w:lineRule="atLeast"/>
        <w:ind w:left="567" w:right="623"/>
        <w:jc w:val="both"/>
        <w:rPr>
          <w:rFonts w:ascii="Work Sans" w:hAnsi="Work Sans" w:cs="Arial"/>
          <w:b/>
          <w:bCs/>
          <w:i/>
          <w:sz w:val="18"/>
          <w:szCs w:val="18"/>
          <w:shd w:val="clear" w:color="auto" w:fill="FFFF00"/>
        </w:rPr>
      </w:pPr>
    </w:p>
    <w:p w:rsidR="005F4CD5" w:rsidRDefault="00534CD8">
      <w:pPr>
        <w:pStyle w:val="Prrafodelista"/>
        <w:numPr>
          <w:ilvl w:val="0"/>
          <w:numId w:val="24"/>
        </w:numPr>
        <w:tabs>
          <w:tab w:val="left" w:pos="567"/>
        </w:tabs>
        <w:spacing w:line="26" w:lineRule="atLeast"/>
        <w:ind w:left="567" w:right="623" w:hanging="426"/>
        <w:jc w:val="both"/>
        <w:textAlignment w:val="auto"/>
      </w:pPr>
      <w:r>
        <w:rPr>
          <w:rFonts w:ascii="Work Sans" w:hAnsi="Work Sans" w:cs="Arial"/>
          <w:b/>
          <w:bCs/>
          <w:i/>
          <w:spacing w:val="-3"/>
          <w:sz w:val="18"/>
          <w:szCs w:val="18"/>
          <w:lang w:val="es-MX"/>
        </w:rPr>
        <w:t>Establecer</w:t>
      </w:r>
      <w:r>
        <w:rPr>
          <w:rFonts w:ascii="Work Sans" w:hAnsi="Work Sans" w:cs="Arial"/>
          <w:b/>
          <w:bCs/>
          <w:i/>
          <w:spacing w:val="-3"/>
          <w:sz w:val="18"/>
          <w:szCs w:val="18"/>
        </w:rPr>
        <w:t xml:space="preserve"> un incremento a las tarifas de las estaciones de peaje La Gómez, Morrison y Pailitas en forma bidireccional, en función del inicio de la Etapa de Operación y Mantenimiento del contrato de concesión que se suscriba</w:t>
      </w:r>
    </w:p>
    <w:p w:rsidR="005F4CD5" w:rsidRDefault="005F4CD5">
      <w:pPr>
        <w:tabs>
          <w:tab w:val="left" w:pos="567"/>
        </w:tabs>
        <w:spacing w:line="26" w:lineRule="atLeast"/>
        <w:ind w:left="567" w:right="623"/>
        <w:jc w:val="both"/>
        <w:rPr>
          <w:rFonts w:ascii="Work Sans" w:hAnsi="Work Sans" w:cs="Arial"/>
          <w:b/>
          <w:bCs/>
          <w:i/>
          <w:sz w:val="18"/>
          <w:szCs w:val="18"/>
        </w:rPr>
      </w:pPr>
    </w:p>
    <w:p w:rsidR="005F4CD5" w:rsidRDefault="00534CD8">
      <w:pPr>
        <w:tabs>
          <w:tab w:val="left" w:pos="567"/>
        </w:tabs>
        <w:spacing w:line="26" w:lineRule="atLeast"/>
        <w:ind w:left="567" w:right="623"/>
        <w:jc w:val="both"/>
      </w:pPr>
      <w:r>
        <w:rPr>
          <w:rFonts w:ascii="Work Sans" w:hAnsi="Work Sans" w:cs="Arial"/>
          <w:i/>
          <w:sz w:val="18"/>
          <w:szCs w:val="18"/>
        </w:rPr>
        <w:t>Como parte de la estructuración financiera del Proyecto se contempló que, con el fin de optimizar los aportes del Estado, se dé un incremento en las tarifas una vez se inicie la Etapa de Operación y Mantenimiento del Proyecto, buscando con ello un equilibrio de los ingresos del proyecto, con tal de que los mismos no dependan exclusivamente de vigencias futuras.</w:t>
      </w:r>
      <w:r>
        <w:rPr>
          <w:rFonts w:ascii="Work Sans" w:hAnsi="Work Sans" w:cs="Arial"/>
          <w:b/>
          <w:bCs/>
          <w:i/>
          <w:sz w:val="18"/>
          <w:szCs w:val="18"/>
        </w:rPr>
        <w:t xml:space="preserve"> </w:t>
      </w:r>
      <w:r>
        <w:rPr>
          <w:rFonts w:ascii="Work Sans" w:hAnsi="Work Sans" w:cs="Arial"/>
          <w:i/>
          <w:sz w:val="18"/>
          <w:szCs w:val="18"/>
        </w:rPr>
        <w:t>De esta manera el incremento pretende reducir los aportes a cargo de la Nación, disminuyendo las erogaciones del Presupuesto General de la Nación.</w:t>
      </w:r>
    </w:p>
    <w:p w:rsidR="005F4CD5" w:rsidRDefault="005F4CD5">
      <w:pPr>
        <w:tabs>
          <w:tab w:val="left" w:pos="567"/>
        </w:tabs>
        <w:spacing w:line="26" w:lineRule="atLeast"/>
        <w:ind w:left="567" w:right="623"/>
        <w:jc w:val="both"/>
        <w:rPr>
          <w:rFonts w:ascii="Work Sans" w:hAnsi="Work Sans" w:cs="Arial"/>
          <w:b/>
          <w:bCs/>
          <w:i/>
          <w:sz w:val="18"/>
          <w:szCs w:val="18"/>
          <w:shd w:val="clear" w:color="auto" w:fill="FFFF00"/>
        </w:rPr>
      </w:pPr>
    </w:p>
    <w:p w:rsidR="005F4CD5" w:rsidRDefault="00534CD8">
      <w:pPr>
        <w:pStyle w:val="Prrafodelista"/>
        <w:numPr>
          <w:ilvl w:val="0"/>
          <w:numId w:val="24"/>
        </w:numPr>
        <w:tabs>
          <w:tab w:val="left" w:pos="567"/>
        </w:tabs>
        <w:spacing w:line="26" w:lineRule="atLeast"/>
        <w:ind w:left="567" w:right="623" w:hanging="426"/>
        <w:jc w:val="both"/>
        <w:textAlignment w:val="auto"/>
      </w:pPr>
      <w:r>
        <w:rPr>
          <w:rFonts w:ascii="Work Sans" w:hAnsi="Work Sans" w:cs="Arial"/>
          <w:b/>
          <w:bCs/>
          <w:i/>
          <w:sz w:val="18"/>
          <w:szCs w:val="18"/>
        </w:rPr>
        <w:t xml:space="preserve">Establecer la </w:t>
      </w:r>
      <w:r>
        <w:rPr>
          <w:rFonts w:ascii="Work Sans" w:hAnsi="Work Sans" w:cs="Arial"/>
          <w:b/>
          <w:bCs/>
          <w:i/>
          <w:spacing w:val="-3"/>
          <w:sz w:val="18"/>
          <w:szCs w:val="18"/>
          <w:lang w:val="es-MX"/>
        </w:rPr>
        <w:t>fórmula</w:t>
      </w:r>
      <w:r>
        <w:rPr>
          <w:rFonts w:ascii="Work Sans" w:hAnsi="Work Sans" w:cs="Arial"/>
          <w:b/>
          <w:bCs/>
          <w:i/>
          <w:sz w:val="18"/>
          <w:szCs w:val="18"/>
        </w:rPr>
        <w:t xml:space="preserve"> de actualización anual durante la vigencia del proyecto, las cuales pertenecerán al Proyecto de Asociación Público-Privada de Iniciativa Pública Troncal del Magdalena - Concesión 2 - Sabana de Torres - Curumaní</w:t>
      </w:r>
    </w:p>
    <w:p w:rsidR="005F4CD5" w:rsidRDefault="005F4CD5">
      <w:pPr>
        <w:pStyle w:val="Prrafodelista"/>
        <w:tabs>
          <w:tab w:val="left" w:pos="567"/>
        </w:tabs>
        <w:spacing w:line="26" w:lineRule="atLeast"/>
        <w:ind w:left="567" w:right="623"/>
        <w:jc w:val="both"/>
        <w:rPr>
          <w:rFonts w:ascii="Work Sans" w:hAnsi="Work Sans" w:cs="Arial"/>
          <w:b/>
          <w:bCs/>
          <w:i/>
          <w:sz w:val="18"/>
          <w:szCs w:val="18"/>
        </w:rPr>
      </w:pPr>
    </w:p>
    <w:p w:rsidR="00B14EC9" w:rsidRDefault="00534CD8">
      <w:pPr>
        <w:tabs>
          <w:tab w:val="left" w:pos="567"/>
        </w:tabs>
        <w:spacing w:line="26" w:lineRule="atLeast"/>
        <w:ind w:left="567" w:right="623"/>
        <w:jc w:val="both"/>
        <w:rPr>
          <w:rFonts w:ascii="Work Sans" w:hAnsi="Work Sans" w:cs="Arial"/>
          <w:i/>
          <w:sz w:val="18"/>
          <w:szCs w:val="18"/>
        </w:rPr>
      </w:pPr>
      <w:r>
        <w:rPr>
          <w:rFonts w:ascii="Work Sans" w:hAnsi="Work Sans" w:cs="Arial"/>
          <w:i/>
          <w:sz w:val="18"/>
          <w:szCs w:val="18"/>
        </w:rPr>
        <w:t>La fórmula de actualización tiene como propósito mantener el valor de los ingresos del proyecto en el tiempo, ya que todos los costos y gastos en los que debe incurrir el concesionario fluctúan de acuerdo al comportamiento de la economía y, en ese sentido, los ingresos deben actualizarse igualmente, con tal de que no se genere un desequilibrio económico en función del comportamiento del mercado.</w:t>
      </w:r>
    </w:p>
    <w:p w:rsidR="00B14EC9" w:rsidRDefault="00B14EC9">
      <w:pPr>
        <w:tabs>
          <w:tab w:val="left" w:pos="567"/>
        </w:tabs>
        <w:spacing w:line="26" w:lineRule="atLeast"/>
        <w:ind w:left="567" w:right="623"/>
        <w:jc w:val="both"/>
        <w:rPr>
          <w:rFonts w:ascii="Work Sans" w:hAnsi="Work Sans" w:cs="Arial"/>
          <w:i/>
          <w:sz w:val="18"/>
          <w:szCs w:val="18"/>
        </w:rPr>
      </w:pPr>
    </w:p>
    <w:p w:rsidR="00B14EC9" w:rsidRDefault="00B14EC9" w:rsidP="00644345">
      <w:pPr>
        <w:widowControl/>
        <w:suppressAutoHyphens w:val="0"/>
        <w:autoSpaceDE w:val="0"/>
        <w:adjustRightInd w:val="0"/>
        <w:ind w:left="567" w:right="623"/>
        <w:jc w:val="both"/>
        <w:textAlignment w:val="auto"/>
        <w:rPr>
          <w:rFonts w:ascii="Work Sans" w:hAnsi="Work Sans" w:cs="Arial"/>
          <w:i/>
          <w:sz w:val="18"/>
          <w:szCs w:val="18"/>
        </w:rPr>
      </w:pPr>
      <w:r w:rsidRPr="00644345">
        <w:rPr>
          <w:rFonts w:ascii="Work Sans" w:hAnsi="Work Sans" w:cs="Arial"/>
          <w:i/>
          <w:sz w:val="18"/>
          <w:szCs w:val="18"/>
        </w:rPr>
        <w:t>Es importante precisar que la estructuración financiera aprobada para el proyecto consideró</w:t>
      </w:r>
      <w:r>
        <w:rPr>
          <w:rFonts w:ascii="Work Sans" w:hAnsi="Work Sans" w:cs="Arial"/>
          <w:i/>
          <w:sz w:val="18"/>
          <w:szCs w:val="18"/>
        </w:rPr>
        <w:t xml:space="preserve"> </w:t>
      </w:r>
      <w:r w:rsidRPr="00644345">
        <w:rPr>
          <w:rFonts w:ascii="Work Sans" w:hAnsi="Work Sans" w:cs="Arial"/>
          <w:i/>
          <w:sz w:val="18"/>
          <w:szCs w:val="18"/>
        </w:rPr>
        <w:t>como referencia las tarifas de peaje plenas y diferenciales consagradas en la circular externa</w:t>
      </w:r>
      <w:r>
        <w:rPr>
          <w:rFonts w:ascii="Work Sans" w:hAnsi="Work Sans" w:cs="Arial"/>
          <w:i/>
          <w:sz w:val="18"/>
          <w:szCs w:val="18"/>
        </w:rPr>
        <w:t xml:space="preserve"> </w:t>
      </w:r>
      <w:r w:rsidRPr="00644345">
        <w:rPr>
          <w:rFonts w:ascii="Work Sans" w:hAnsi="Work Sans" w:cs="Arial"/>
          <w:i/>
          <w:sz w:val="18"/>
          <w:szCs w:val="18"/>
        </w:rPr>
        <w:t>No. 001 de 2021 del Instituto Nacional de Vías - INVIAS del 31 de enero de 2021 y que</w:t>
      </w:r>
      <w:r>
        <w:rPr>
          <w:rFonts w:ascii="Work Sans" w:hAnsi="Work Sans" w:cs="Arial"/>
          <w:i/>
          <w:sz w:val="18"/>
          <w:szCs w:val="18"/>
        </w:rPr>
        <w:t xml:space="preserve"> </w:t>
      </w:r>
      <w:r w:rsidRPr="00644345">
        <w:rPr>
          <w:rFonts w:ascii="Work Sans" w:hAnsi="Work Sans" w:cs="Arial"/>
          <w:i/>
          <w:sz w:val="18"/>
          <w:szCs w:val="18"/>
        </w:rPr>
        <w:t xml:space="preserve">actualmente se encuentra vigente. Por lo cual el valor </w:t>
      </w:r>
      <w:r>
        <w:rPr>
          <w:rFonts w:ascii="Work Sans" w:hAnsi="Work Sans" w:cs="Arial"/>
          <w:i/>
          <w:sz w:val="18"/>
          <w:szCs w:val="18"/>
        </w:rPr>
        <w:t>d</w:t>
      </w:r>
      <w:r w:rsidRPr="00644345">
        <w:rPr>
          <w:rFonts w:ascii="Work Sans" w:hAnsi="Work Sans" w:cs="Arial"/>
          <w:i/>
          <w:sz w:val="18"/>
          <w:szCs w:val="18"/>
        </w:rPr>
        <w:t>e dichas tarifas seguirá vigente para el</w:t>
      </w:r>
      <w:r>
        <w:rPr>
          <w:rFonts w:ascii="Work Sans" w:hAnsi="Work Sans" w:cs="Arial"/>
          <w:i/>
          <w:sz w:val="18"/>
          <w:szCs w:val="18"/>
        </w:rPr>
        <w:t xml:space="preserve"> </w:t>
      </w:r>
      <w:r w:rsidRPr="00644345">
        <w:rPr>
          <w:rFonts w:ascii="Work Sans" w:hAnsi="Work Sans" w:cs="Arial"/>
          <w:i/>
          <w:sz w:val="18"/>
          <w:szCs w:val="18"/>
        </w:rPr>
        <w:t xml:space="preserve">desarrollo del proyecto de Asociación </w:t>
      </w:r>
      <w:r>
        <w:rPr>
          <w:rFonts w:ascii="Work Sans" w:hAnsi="Work Sans" w:cs="Arial"/>
          <w:i/>
          <w:sz w:val="18"/>
          <w:szCs w:val="18"/>
        </w:rPr>
        <w:t>P</w:t>
      </w:r>
      <w:r w:rsidRPr="00644345">
        <w:rPr>
          <w:rFonts w:ascii="Work Sans" w:hAnsi="Work Sans" w:cs="Arial"/>
          <w:i/>
          <w:sz w:val="18"/>
          <w:szCs w:val="18"/>
        </w:rPr>
        <w:t>úblico Privada Troncal del Magdalena Concesión 2</w:t>
      </w:r>
      <w:r>
        <w:rPr>
          <w:rFonts w:ascii="Work Sans" w:hAnsi="Work Sans" w:cs="Arial"/>
          <w:i/>
          <w:sz w:val="18"/>
          <w:szCs w:val="18"/>
        </w:rPr>
        <w:t xml:space="preserve"> </w:t>
      </w:r>
      <w:r w:rsidRPr="00644345">
        <w:rPr>
          <w:rFonts w:ascii="Work Sans" w:hAnsi="Work Sans" w:cs="Arial"/>
          <w:i/>
          <w:sz w:val="18"/>
          <w:szCs w:val="18"/>
        </w:rPr>
        <w:t>Sabana de Torres - Curumaní, sin embargo para su actualización anual e incrementos</w:t>
      </w:r>
      <w:r>
        <w:rPr>
          <w:rFonts w:ascii="Work Sans" w:hAnsi="Work Sans" w:cs="Arial"/>
          <w:i/>
          <w:sz w:val="18"/>
          <w:szCs w:val="18"/>
        </w:rPr>
        <w:t xml:space="preserve"> </w:t>
      </w:r>
      <w:r w:rsidRPr="00644345">
        <w:rPr>
          <w:rFonts w:ascii="Work Sans" w:hAnsi="Work Sans" w:cs="Arial"/>
          <w:i/>
          <w:sz w:val="18"/>
          <w:szCs w:val="18"/>
        </w:rPr>
        <w:t xml:space="preserve">posteriores esta se </w:t>
      </w:r>
      <w:r>
        <w:rPr>
          <w:rFonts w:ascii="Work Sans" w:hAnsi="Work Sans" w:cs="Arial"/>
          <w:i/>
          <w:sz w:val="18"/>
          <w:szCs w:val="18"/>
        </w:rPr>
        <w:t>r</w:t>
      </w:r>
      <w:r w:rsidRPr="00644345">
        <w:rPr>
          <w:rFonts w:ascii="Work Sans" w:hAnsi="Work Sans" w:cs="Arial"/>
          <w:i/>
          <w:sz w:val="18"/>
          <w:szCs w:val="18"/>
        </w:rPr>
        <w:t>ealizará de conformidad con lo establecido en la Sección 4.2 de la Parte</w:t>
      </w:r>
      <w:r>
        <w:rPr>
          <w:rFonts w:ascii="Work Sans" w:hAnsi="Work Sans" w:cs="Arial"/>
          <w:i/>
          <w:sz w:val="18"/>
          <w:szCs w:val="18"/>
        </w:rPr>
        <w:t xml:space="preserve"> </w:t>
      </w:r>
      <w:r w:rsidRPr="00644345">
        <w:rPr>
          <w:rFonts w:ascii="Work Sans" w:hAnsi="Work Sans" w:cs="Arial"/>
          <w:i/>
          <w:sz w:val="18"/>
          <w:szCs w:val="18"/>
        </w:rPr>
        <w:t>Especial del Contrato y la Resolución de Peajes.</w:t>
      </w:r>
      <w:r>
        <w:rPr>
          <w:rFonts w:ascii="Work Sans" w:hAnsi="Work Sans" w:cs="Arial"/>
          <w:i/>
          <w:sz w:val="18"/>
          <w:szCs w:val="18"/>
        </w:rPr>
        <w:t>”</w:t>
      </w:r>
    </w:p>
    <w:p w:rsidR="00B14EC9" w:rsidRDefault="00B14EC9">
      <w:pPr>
        <w:tabs>
          <w:tab w:val="left" w:pos="567"/>
        </w:tabs>
        <w:spacing w:line="26" w:lineRule="atLeast"/>
        <w:ind w:left="567" w:right="623"/>
        <w:jc w:val="both"/>
        <w:rPr>
          <w:rFonts w:ascii="Work Sans" w:hAnsi="Work Sans" w:cs="Arial"/>
          <w:i/>
          <w:sz w:val="18"/>
          <w:szCs w:val="18"/>
        </w:rPr>
      </w:pPr>
    </w:p>
    <w:p w:rsidR="005F4CD5" w:rsidRDefault="00534CD8" w:rsidP="00B14EC9">
      <w:pPr>
        <w:pStyle w:val="Default"/>
        <w:ind w:right="-2"/>
        <w:jc w:val="both"/>
        <w:rPr>
          <w:rFonts w:ascii="Work Sans" w:hAnsi="Work Sans" w:cs="LiberationSansNarrow"/>
          <w:sz w:val="20"/>
          <w:szCs w:val="20"/>
          <w:lang w:val="es-CO" w:eastAsia="es-CO"/>
        </w:rPr>
      </w:pPr>
      <w:r>
        <w:rPr>
          <w:rFonts w:ascii="Work Sans" w:eastAsia="DengXian Light" w:hAnsi="Work Sans" w:cs="Arial"/>
          <w:sz w:val="20"/>
          <w:szCs w:val="20"/>
        </w:rPr>
        <w:t xml:space="preserve">Que mediante memorando 20211410083203 </w:t>
      </w:r>
      <w:r>
        <w:rPr>
          <w:rFonts w:ascii="Work Sans" w:hAnsi="Work Sans" w:cs="Arial"/>
          <w:sz w:val="20"/>
          <w:szCs w:val="20"/>
          <w:lang w:val="es-CO"/>
        </w:rPr>
        <w:t>del 15 de julio de</w:t>
      </w:r>
      <w:r>
        <w:rPr>
          <w:rFonts w:ascii="Work Sans" w:eastAsia="DengXian Light" w:hAnsi="Work Sans" w:cs="Arial"/>
          <w:sz w:val="20"/>
          <w:szCs w:val="20"/>
        </w:rPr>
        <w:t xml:space="preserve"> 2021 la Oficina de Regulación Económica del Ministerio de Transporte en cumplimiento del numeral 9.8. del artículo 9 del Decreto 087 de 2011, analizó y viabilizó  la reubicación </w:t>
      </w:r>
      <w:r>
        <w:rPr>
          <w:rFonts w:ascii="Work Sans" w:hAnsi="Work Sans" w:cs="Arial"/>
          <w:color w:val="auto"/>
          <w:sz w:val="20"/>
          <w:szCs w:val="20"/>
          <w:lang w:val="es"/>
        </w:rPr>
        <w:t>de la estación de peaje denominada La Gómez</w:t>
      </w:r>
      <w:r>
        <w:rPr>
          <w:rFonts w:ascii="Work Sans" w:hAnsi="Work Sans" w:cs="Arial"/>
          <w:sz w:val="20"/>
          <w:szCs w:val="20"/>
        </w:rPr>
        <w:t xml:space="preserve"> del PR 37+150 de la Ruta Nacional 4513</w:t>
      </w:r>
      <w:r w:rsidRPr="00B14EC9">
        <w:rPr>
          <w:rFonts w:ascii="Work Sans" w:hAnsi="Work Sans" w:cs="Arial"/>
          <w:sz w:val="20"/>
          <w:szCs w:val="20"/>
        </w:rPr>
        <w:t xml:space="preserve"> </w:t>
      </w:r>
      <w:r w:rsidRPr="00644345">
        <w:rPr>
          <w:rFonts w:ascii="Work Sans" w:hAnsi="Work Sans" w:cs="Arial"/>
          <w:sz w:val="20"/>
          <w:szCs w:val="20"/>
        </w:rPr>
        <w:t>al</w:t>
      </w:r>
      <w:r>
        <w:rPr>
          <w:rFonts w:ascii="Work Sans" w:hAnsi="Work Sans" w:cs="Arial"/>
          <w:sz w:val="20"/>
          <w:szCs w:val="20"/>
        </w:rPr>
        <w:t xml:space="preserve"> PR 37+700 de la misma Ruta Nacional,</w:t>
      </w:r>
      <w:r>
        <w:rPr>
          <w:rFonts w:ascii="Work Sans" w:eastAsia="DengXian Light" w:hAnsi="Work Sans" w:cs="Arial"/>
          <w:sz w:val="20"/>
          <w:szCs w:val="20"/>
        </w:rPr>
        <w:t xml:space="preserve"> el establecimiento </w:t>
      </w:r>
      <w:r>
        <w:rPr>
          <w:rFonts w:ascii="Work Sans" w:hAnsi="Work Sans" w:cs="Arial"/>
          <w:sz w:val="20"/>
          <w:szCs w:val="20"/>
        </w:rPr>
        <w:t xml:space="preserve">de las tarifas diferenciales, los incrementos </w:t>
      </w:r>
      <w:r w:rsidR="00B14EC9">
        <w:rPr>
          <w:rFonts w:ascii="Work Sans" w:hAnsi="Work Sans" w:cs="Arial"/>
          <w:sz w:val="20"/>
          <w:szCs w:val="20"/>
        </w:rPr>
        <w:t>a las</w:t>
      </w:r>
      <w:r>
        <w:rPr>
          <w:rFonts w:ascii="Work Sans" w:hAnsi="Work Sans" w:cs="Arial"/>
          <w:sz w:val="20"/>
          <w:szCs w:val="20"/>
        </w:rPr>
        <w:t xml:space="preserve"> tarifas plenas a cobrar en las estaciones de peaje denominadas La Gómez, Morrison y Pailitas, las cuales hacen parte del proyecto</w:t>
      </w:r>
      <w:r w:rsidR="00B14EC9">
        <w:rPr>
          <w:rFonts w:ascii="Work Sans" w:hAnsi="Work Sans" w:cs="Arial"/>
          <w:sz w:val="20"/>
          <w:szCs w:val="20"/>
        </w:rPr>
        <w:t xml:space="preserve"> </w:t>
      </w:r>
      <w:r w:rsidR="00B14EC9" w:rsidRPr="00644345">
        <w:rPr>
          <w:rFonts w:ascii="Work Sans" w:hAnsi="Work Sans" w:cs="LiberationSansNarrow"/>
          <w:sz w:val="20"/>
          <w:szCs w:val="20"/>
          <w:lang w:val="es-CO" w:eastAsia="es-CO"/>
        </w:rPr>
        <w:t>Corredor Troncal del Magdalena - Concesión 2 - Sabana de Torres - Curumaní.</w:t>
      </w:r>
    </w:p>
    <w:p w:rsidR="00644345" w:rsidRPr="00B14EC9" w:rsidRDefault="00644345" w:rsidP="00B14EC9">
      <w:pPr>
        <w:pStyle w:val="Default"/>
        <w:ind w:right="-2"/>
        <w:jc w:val="both"/>
        <w:rPr>
          <w:rFonts w:ascii="Work Sans" w:hAnsi="Work Sans" w:cs="Arial"/>
          <w:sz w:val="20"/>
          <w:szCs w:val="20"/>
        </w:rPr>
      </w:pPr>
    </w:p>
    <w:p w:rsidR="005F4CD5" w:rsidRDefault="00534CD8">
      <w:pPr>
        <w:pStyle w:val="Default"/>
        <w:ind w:right="-2"/>
        <w:jc w:val="both"/>
      </w:pPr>
      <w:r>
        <w:rPr>
          <w:rFonts w:ascii="Work Sans" w:hAnsi="Work Sans" w:cs="Arial"/>
          <w:iCs/>
          <w:sz w:val="20"/>
          <w:szCs w:val="20"/>
        </w:rPr>
        <w:t xml:space="preserve">Que conforme a las funciones y competencias de la Agencia Nacional de Infraestructura de conformidad con el Decreto 4165 de 2011, como entidad del sector descentralizado de la Rama Ejecutiva </w:t>
      </w:r>
      <w:r>
        <w:rPr>
          <w:rFonts w:ascii="Work Sans" w:hAnsi="Work Sans" w:cs="Arial"/>
          <w:sz w:val="20"/>
          <w:szCs w:val="20"/>
        </w:rPr>
        <w:t>del</w:t>
      </w:r>
      <w:r>
        <w:rPr>
          <w:rFonts w:ascii="Work Sans" w:hAnsi="Work Sans" w:cs="Arial"/>
          <w:iCs/>
          <w:sz w:val="20"/>
          <w:szCs w:val="20"/>
        </w:rPr>
        <w:t xml:space="preserve">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w:t>
      </w:r>
      <w:r>
        <w:rPr>
          <w:rFonts w:ascii="Work Sans" w:hAnsi="Work Sans" w:cs="Arial"/>
          <w:iCs/>
          <w:sz w:val="20"/>
          <w:szCs w:val="20"/>
        </w:rPr>
        <w:lastRenderedPageBreak/>
        <w:t xml:space="preserve">otorgamiento, reemplazo y control y las causales de pérdida del beneficio, de las tarifas especiales diferenciales de peajes. </w:t>
      </w:r>
    </w:p>
    <w:p w:rsidR="005F4CD5" w:rsidRDefault="005F4CD5">
      <w:pPr>
        <w:ind w:right="-285"/>
        <w:jc w:val="both"/>
        <w:rPr>
          <w:rFonts w:ascii="Work Sans" w:hAnsi="Work Sans" w:cs="Arial"/>
          <w:iCs/>
          <w:sz w:val="20"/>
          <w:szCs w:val="20"/>
        </w:rPr>
      </w:pPr>
    </w:p>
    <w:p w:rsidR="005F4CD5" w:rsidRDefault="00534CD8">
      <w:pPr>
        <w:pStyle w:val="NormalWeb"/>
        <w:spacing w:before="0" w:after="0"/>
        <w:jc w:val="both"/>
      </w:pPr>
      <w:r>
        <w:rPr>
          <w:rFonts w:ascii="Work Sans" w:hAnsi="Work Sans" w:cs="Arial"/>
          <w:sz w:val="20"/>
          <w:szCs w:val="20"/>
        </w:rPr>
        <w:t>Que el contenido de la presente resolución fue publicado en la página web del Ministerio de Transporte y de la Agencia Nacional de Infraestructura</w:t>
      </w:r>
      <w:r w:rsidR="00042E42">
        <w:rPr>
          <w:rFonts w:ascii="Work Sans" w:hAnsi="Work Sans" w:cs="Arial"/>
          <w:sz w:val="20"/>
          <w:szCs w:val="20"/>
        </w:rPr>
        <w:t xml:space="preserve"> del 13 al 27 de agosto de 2021, </w:t>
      </w:r>
      <w:r>
        <w:rPr>
          <w:rFonts w:ascii="Work Sans" w:hAnsi="Work Sans" w:cs="Arial"/>
          <w:sz w:val="20"/>
          <w:szCs w:val="20"/>
        </w:rPr>
        <w:t xml:space="preserve">en cumplimiento de lo determinado en el numeral 8 del artículo 8° de la Ley 1437 de 2011, artículo 2.1.2.1.14 del Decreto 1081 de 2015 modificado y adicionado por el Decreto </w:t>
      </w:r>
      <w:r w:rsidR="00B14EC9">
        <w:rPr>
          <w:rFonts w:ascii="Work Sans" w:hAnsi="Work Sans" w:cs="Arial"/>
          <w:sz w:val="20"/>
          <w:szCs w:val="20"/>
        </w:rPr>
        <w:t>1</w:t>
      </w:r>
      <w:r>
        <w:rPr>
          <w:rFonts w:ascii="Work Sans" w:hAnsi="Work Sans" w:cs="Arial"/>
          <w:sz w:val="20"/>
          <w:szCs w:val="20"/>
        </w:rPr>
        <w:t>27</w:t>
      </w:r>
      <w:r w:rsidR="00B14EC9">
        <w:rPr>
          <w:rFonts w:ascii="Work Sans" w:hAnsi="Work Sans" w:cs="Arial"/>
          <w:sz w:val="20"/>
          <w:szCs w:val="20"/>
        </w:rPr>
        <w:t>3</w:t>
      </w:r>
      <w:r>
        <w:rPr>
          <w:rFonts w:ascii="Work Sans" w:hAnsi="Work Sans" w:cs="Arial"/>
          <w:sz w:val="20"/>
          <w:szCs w:val="20"/>
        </w:rPr>
        <w:t xml:space="preserve"> de 20</w:t>
      </w:r>
      <w:r w:rsidR="00B14EC9">
        <w:rPr>
          <w:rFonts w:ascii="Work Sans" w:hAnsi="Work Sans" w:cs="Arial"/>
          <w:sz w:val="20"/>
          <w:szCs w:val="20"/>
        </w:rPr>
        <w:t>20</w:t>
      </w:r>
      <w:r>
        <w:rPr>
          <w:rFonts w:ascii="Work Sans" w:hAnsi="Work Sans" w:cs="Arial"/>
          <w:sz w:val="20"/>
          <w:szCs w:val="20"/>
        </w:rPr>
        <w:t xml:space="preserve"> y la Resolución 994 de 2017 del Ministerio de Transporte, con el objeto de recibir opiniones, sugerencias o propuestas alternativas.</w:t>
      </w:r>
    </w:p>
    <w:p w:rsidR="005F4CD5" w:rsidRPr="00042E42" w:rsidRDefault="005F4CD5">
      <w:pPr>
        <w:ind w:right="-285"/>
        <w:jc w:val="both"/>
        <w:rPr>
          <w:rFonts w:ascii="Work Sans" w:hAnsi="Work Sans" w:cs="Arial"/>
          <w:sz w:val="20"/>
          <w:szCs w:val="20"/>
          <w:lang w:val="es-CO"/>
        </w:rPr>
      </w:pPr>
    </w:p>
    <w:p w:rsidR="005F4CD5" w:rsidRDefault="00534CD8">
      <w:pPr>
        <w:pStyle w:val="Default"/>
        <w:ind w:right="-2"/>
        <w:jc w:val="both"/>
      </w:pPr>
      <w:r>
        <w:rPr>
          <w:rFonts w:ascii="Work Sans" w:hAnsi="Work Sans" w:cs="Arial"/>
          <w:iCs/>
          <w:sz w:val="20"/>
          <w:szCs w:val="20"/>
        </w:rPr>
        <w:t>Que la Oficina Asesora Jurídica</w:t>
      </w:r>
      <w:r w:rsidR="00B14EC9">
        <w:rPr>
          <w:rFonts w:ascii="Work Sans" w:hAnsi="Work Sans" w:cs="Arial"/>
          <w:iCs/>
          <w:sz w:val="20"/>
          <w:szCs w:val="20"/>
        </w:rPr>
        <w:t xml:space="preserve"> del Ministerio de Transporte</w:t>
      </w:r>
      <w:r w:rsidR="00644345">
        <w:rPr>
          <w:rFonts w:ascii="Work Sans" w:hAnsi="Work Sans" w:cs="Arial"/>
          <w:iCs/>
          <w:sz w:val="20"/>
          <w:szCs w:val="20"/>
        </w:rPr>
        <w:t>,</w:t>
      </w:r>
      <w:r w:rsidR="00B14EC9">
        <w:rPr>
          <w:rFonts w:ascii="Work Sans" w:hAnsi="Work Sans" w:cs="Arial"/>
          <w:iCs/>
          <w:sz w:val="20"/>
          <w:szCs w:val="20"/>
        </w:rPr>
        <w:t xml:space="preserve"> </w:t>
      </w:r>
      <w:r>
        <w:rPr>
          <w:rFonts w:ascii="Work Sans" w:hAnsi="Work Sans" w:cs="Arial"/>
          <w:iCs/>
          <w:sz w:val="20"/>
          <w:szCs w:val="20"/>
        </w:rPr>
        <w:t>conservará los documentos asociados a la publicación del presente</w:t>
      </w:r>
      <w:r>
        <w:rPr>
          <w:rFonts w:ascii="Work Sans" w:hAnsi="Work Sans" w:cs="Arial"/>
          <w:sz w:val="20"/>
          <w:szCs w:val="20"/>
        </w:rPr>
        <w:t xml:space="preserve"> acto administrativo.</w:t>
      </w:r>
      <w:r>
        <w:rPr>
          <w:rFonts w:ascii="Work Sans" w:hAnsi="Work Sans" w:cs="Arial"/>
          <w:iCs/>
          <w:sz w:val="20"/>
          <w:szCs w:val="20"/>
        </w:rPr>
        <w:t xml:space="preserve"> Todo ello en concordancia con las políticas de gestión documental y de archivo de la entidad.</w:t>
      </w:r>
    </w:p>
    <w:p w:rsidR="005F4CD5" w:rsidRDefault="005F4CD5">
      <w:pPr>
        <w:ind w:right="-285"/>
        <w:jc w:val="both"/>
        <w:rPr>
          <w:rFonts w:ascii="Work Sans" w:hAnsi="Work Sans" w:cs="Arial"/>
          <w:sz w:val="20"/>
          <w:szCs w:val="20"/>
        </w:rPr>
      </w:pPr>
    </w:p>
    <w:p w:rsidR="005F4CD5" w:rsidRDefault="00534CD8">
      <w:pPr>
        <w:pStyle w:val="Default"/>
        <w:ind w:right="-2"/>
        <w:jc w:val="both"/>
      </w:pPr>
      <w:r>
        <w:rPr>
          <w:rFonts w:ascii="Work Sans" w:hAnsi="Work Sans" w:cs="Arial"/>
          <w:sz w:val="20"/>
          <w:szCs w:val="20"/>
        </w:rPr>
        <w:t xml:space="preserve">En mérito de lo expuesto, </w:t>
      </w:r>
    </w:p>
    <w:p w:rsidR="005F4CD5" w:rsidRDefault="005F4CD5">
      <w:pPr>
        <w:ind w:right="-284"/>
        <w:jc w:val="center"/>
        <w:rPr>
          <w:rFonts w:ascii="Work Sans" w:hAnsi="Work Sans" w:cs="Arial"/>
          <w:b/>
          <w:sz w:val="20"/>
          <w:szCs w:val="20"/>
        </w:rPr>
      </w:pPr>
    </w:p>
    <w:p w:rsidR="005F4CD5" w:rsidRDefault="00534CD8">
      <w:pPr>
        <w:ind w:right="-284"/>
        <w:jc w:val="center"/>
        <w:rPr>
          <w:rFonts w:ascii="Work Sans" w:hAnsi="Work Sans" w:cs="Arial"/>
          <w:b/>
          <w:sz w:val="20"/>
          <w:szCs w:val="20"/>
        </w:rPr>
      </w:pPr>
      <w:r>
        <w:rPr>
          <w:rFonts w:ascii="Work Sans" w:hAnsi="Work Sans" w:cs="Arial"/>
          <w:b/>
          <w:sz w:val="20"/>
          <w:szCs w:val="20"/>
        </w:rPr>
        <w:t>RESUELVE:</w:t>
      </w:r>
    </w:p>
    <w:p w:rsidR="005F4CD5" w:rsidRDefault="005F4CD5">
      <w:pPr>
        <w:tabs>
          <w:tab w:val="left" w:pos="0"/>
          <w:tab w:val="left" w:pos="1276"/>
        </w:tabs>
        <w:ind w:right="-284"/>
        <w:jc w:val="both"/>
        <w:rPr>
          <w:rFonts w:ascii="Work Sans" w:hAnsi="Work Sans" w:cs="Arial"/>
          <w:b/>
          <w:bCs/>
          <w:sz w:val="20"/>
          <w:lang w:eastAsia="es-ES"/>
        </w:rPr>
      </w:pPr>
    </w:p>
    <w:p w:rsidR="005F4CD5" w:rsidRPr="00042E42" w:rsidRDefault="009D11E0" w:rsidP="00042E42">
      <w:pPr>
        <w:pStyle w:val="Default"/>
        <w:ind w:right="-2"/>
        <w:jc w:val="both"/>
      </w:pPr>
      <w:r>
        <w:rPr>
          <w:rFonts w:ascii="Work Sans" w:hAnsi="Work Sans" w:cs="Arial"/>
          <w:b/>
          <w:bCs/>
          <w:sz w:val="20"/>
        </w:rPr>
        <w:t xml:space="preserve">ARTÍCULO 1.- </w:t>
      </w:r>
      <w:r w:rsidR="00534CD8">
        <w:rPr>
          <w:rFonts w:ascii="Work Sans" w:hAnsi="Work Sans" w:cs="Arial"/>
          <w:sz w:val="20"/>
        </w:rPr>
        <w:t xml:space="preserve">Emitir concepto </w:t>
      </w:r>
      <w:r w:rsidR="00534CD8" w:rsidRPr="00042E42">
        <w:rPr>
          <w:rFonts w:ascii="Work Sans" w:hAnsi="Work Sans" w:cs="Arial"/>
          <w:sz w:val="20"/>
        </w:rPr>
        <w:t xml:space="preserve">vinculante previo para la reubicación de la </w:t>
      </w:r>
      <w:r w:rsidR="00B14EC9" w:rsidRPr="00042E42">
        <w:rPr>
          <w:rFonts w:ascii="Work Sans" w:hAnsi="Work Sans" w:cs="Arial"/>
          <w:sz w:val="20"/>
        </w:rPr>
        <w:t>e</w:t>
      </w:r>
      <w:r w:rsidR="00534CD8" w:rsidRPr="00042E42">
        <w:rPr>
          <w:rFonts w:ascii="Work Sans" w:hAnsi="Work Sans" w:cs="Arial"/>
          <w:sz w:val="20"/>
        </w:rPr>
        <w:t xml:space="preserve">stación de Peaje denominada  La Gómez, del PR 37+150 al PR 37+700 de la </w:t>
      </w:r>
      <w:r w:rsidR="00B14EC9" w:rsidRPr="00042E42">
        <w:rPr>
          <w:rFonts w:ascii="Work Sans" w:hAnsi="Work Sans" w:cs="Arial"/>
          <w:sz w:val="20"/>
        </w:rPr>
        <w:t>Ruta Nacional 4513.</w:t>
      </w:r>
    </w:p>
    <w:p w:rsidR="005F4CD5" w:rsidRPr="00042E42" w:rsidRDefault="005F4CD5">
      <w:pPr>
        <w:pStyle w:val="Default"/>
        <w:ind w:right="-2"/>
        <w:jc w:val="both"/>
        <w:rPr>
          <w:rFonts w:ascii="Work Sans" w:hAnsi="Work Sans" w:cs="Arial"/>
          <w:sz w:val="20"/>
        </w:rPr>
      </w:pPr>
    </w:p>
    <w:p w:rsidR="00923313" w:rsidRDefault="009D11E0" w:rsidP="006C38E9">
      <w:pPr>
        <w:pStyle w:val="Default"/>
        <w:ind w:right="-2"/>
        <w:jc w:val="both"/>
        <w:rPr>
          <w:rFonts w:ascii="Work Sans" w:hAnsi="Work Sans" w:cs="Arial"/>
          <w:sz w:val="20"/>
        </w:rPr>
      </w:pPr>
      <w:r w:rsidRPr="00042E42">
        <w:rPr>
          <w:rFonts w:ascii="Work Sans" w:hAnsi="Work Sans" w:cs="Arial"/>
          <w:b/>
          <w:bCs/>
          <w:sz w:val="20"/>
        </w:rPr>
        <w:t xml:space="preserve">ARTÍCULO 2.- </w:t>
      </w:r>
      <w:r w:rsidR="00534CD8" w:rsidRPr="00042E42">
        <w:rPr>
          <w:rFonts w:ascii="Work Sans" w:hAnsi="Work Sans" w:cs="Arial"/>
          <w:sz w:val="20"/>
        </w:rPr>
        <w:t xml:space="preserve">Establecer las siguientes tarifas diferenciales </w:t>
      </w:r>
      <w:r w:rsidR="00B14EC9" w:rsidRPr="00042E42">
        <w:rPr>
          <w:rFonts w:ascii="Work Sans" w:hAnsi="Work Sans" w:cs="Arial"/>
          <w:sz w:val="20"/>
        </w:rPr>
        <w:t xml:space="preserve">en </w:t>
      </w:r>
      <w:r w:rsidR="00534CD8" w:rsidRPr="00042E42">
        <w:rPr>
          <w:rFonts w:ascii="Work Sans" w:hAnsi="Work Sans" w:cs="Arial"/>
          <w:sz w:val="20"/>
        </w:rPr>
        <w:t xml:space="preserve">las categorías I y II </w:t>
      </w:r>
      <w:r w:rsidR="00B14EC9" w:rsidRPr="00042E42">
        <w:rPr>
          <w:rFonts w:ascii="Work Sans" w:hAnsi="Work Sans" w:cs="Arial"/>
          <w:sz w:val="20"/>
        </w:rPr>
        <w:t xml:space="preserve">de </w:t>
      </w:r>
      <w:r w:rsidR="00534CD8" w:rsidRPr="00042E42">
        <w:rPr>
          <w:rFonts w:ascii="Work Sans" w:hAnsi="Work Sans" w:cs="Arial"/>
          <w:sz w:val="20"/>
        </w:rPr>
        <w:t>las</w:t>
      </w:r>
      <w:r w:rsidR="00534CD8" w:rsidRPr="00042E42">
        <w:rPr>
          <w:rFonts w:ascii="Work Sans" w:hAnsi="Work Sans" w:cs="Arial"/>
          <w:b/>
          <w:bCs/>
          <w:sz w:val="20"/>
        </w:rPr>
        <w:t xml:space="preserve"> </w:t>
      </w:r>
      <w:r w:rsidR="00534CD8" w:rsidRPr="00042E42">
        <w:rPr>
          <w:rFonts w:ascii="Work Sans" w:hAnsi="Work Sans" w:cs="Arial"/>
          <w:sz w:val="20"/>
        </w:rPr>
        <w:t xml:space="preserve">estaciones de </w:t>
      </w:r>
      <w:r w:rsidR="00534CD8" w:rsidRPr="00042E42">
        <w:rPr>
          <w:rFonts w:ascii="Work Sans" w:hAnsi="Work Sans" w:cs="Arial"/>
          <w:sz w:val="20"/>
          <w:szCs w:val="20"/>
        </w:rPr>
        <w:t>peaje</w:t>
      </w:r>
      <w:bookmarkStart w:id="4" w:name="_Hlk72338739"/>
      <w:r w:rsidR="00042E42" w:rsidRPr="00042E42">
        <w:rPr>
          <w:rFonts w:ascii="Work Sans" w:hAnsi="Work Sans" w:cs="Arial"/>
          <w:sz w:val="20"/>
        </w:rPr>
        <w:t xml:space="preserve"> La Gómez y Morrison</w:t>
      </w:r>
      <w:bookmarkEnd w:id="4"/>
      <w:r w:rsidR="00534CD8" w:rsidRPr="00042E42">
        <w:rPr>
          <w:rFonts w:ascii="Work Sans" w:hAnsi="Work Sans" w:cs="Arial"/>
          <w:sz w:val="20"/>
        </w:rPr>
        <w:t>:</w:t>
      </w:r>
      <w:r w:rsidR="006C38E9">
        <w:rPr>
          <w:rFonts w:ascii="Work Sans" w:hAnsi="Work Sans" w:cs="Arial"/>
          <w:sz w:val="20"/>
        </w:rPr>
        <w:t xml:space="preserve"> </w:t>
      </w:r>
    </w:p>
    <w:p w:rsidR="006C38E9" w:rsidRDefault="006C38E9">
      <w:pPr>
        <w:tabs>
          <w:tab w:val="left" w:pos="0"/>
        </w:tabs>
        <w:ind w:right="-285"/>
        <w:jc w:val="both"/>
        <w:rPr>
          <w:rFonts w:ascii="Work Sans" w:hAnsi="Work Sans" w:cs="Arial"/>
          <w:b/>
          <w:sz w:val="22"/>
          <w:szCs w:val="28"/>
        </w:rPr>
      </w:pPr>
    </w:p>
    <w:tbl>
      <w:tblPr>
        <w:tblW w:w="85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5528"/>
        <w:gridCol w:w="1697"/>
        <w:gridCol w:w="76"/>
      </w:tblGrid>
      <w:tr w:rsidR="00B42A5D" w:rsidRPr="00B42A5D" w:rsidTr="00B42A5D">
        <w:trPr>
          <w:trHeight w:val="18"/>
          <w:tblHeader/>
        </w:trPr>
        <w:tc>
          <w:tcPr>
            <w:tcW w:w="8581" w:type="dxa"/>
            <w:gridSpan w:val="4"/>
            <w:noWrap/>
            <w:vAlign w:val="center"/>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ESTACIÓN DE PEAJE LA GÓMEZ</w:t>
            </w:r>
          </w:p>
        </w:tc>
      </w:tr>
      <w:tr w:rsidR="00B42A5D" w:rsidRPr="00B42A5D" w:rsidTr="00B42A5D">
        <w:trPr>
          <w:trHeight w:val="18"/>
          <w:tblHeader/>
        </w:trPr>
        <w:tc>
          <w:tcPr>
            <w:tcW w:w="1280" w:type="dxa"/>
            <w:noWrap/>
            <w:vAlign w:val="center"/>
            <w:hideMark/>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CATEGORÍAS</w:t>
            </w:r>
          </w:p>
        </w:tc>
        <w:tc>
          <w:tcPr>
            <w:tcW w:w="5528" w:type="dxa"/>
            <w:noWrap/>
            <w:vAlign w:val="center"/>
            <w:hideMark/>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DESCRIPCIÓN</w:t>
            </w:r>
          </w:p>
        </w:tc>
        <w:tc>
          <w:tcPr>
            <w:tcW w:w="1773" w:type="dxa"/>
            <w:gridSpan w:val="2"/>
            <w:vAlign w:val="center"/>
            <w:hideMark/>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TARIFAS</w:t>
            </w:r>
          </w:p>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Pesos constantes diciembre 2020</w:t>
            </w:r>
          </w:p>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(incluye Fondo de Seguridad Vial)</w:t>
            </w:r>
          </w:p>
        </w:tc>
      </w:tr>
      <w:tr w:rsidR="00B42A5D" w:rsidRPr="00B42A5D" w:rsidTr="00B42A5D">
        <w:trPr>
          <w:trHeight w:val="18"/>
        </w:trPr>
        <w:tc>
          <w:tcPr>
            <w:tcW w:w="1280" w:type="dxa"/>
            <w:noWrap/>
            <w:vAlign w:val="center"/>
            <w:hideMark/>
          </w:tcPr>
          <w:p w:rsidR="00B42A5D" w:rsidRPr="00B42A5D" w:rsidRDefault="00B42A5D" w:rsidP="00BE3748">
            <w:pPr>
              <w:spacing w:line="26" w:lineRule="atLeast"/>
              <w:rPr>
                <w:rFonts w:ascii="Work Sans" w:hAnsi="Work Sans" w:cs="Arial"/>
                <w:bCs/>
                <w:sz w:val="18"/>
                <w:szCs w:val="18"/>
              </w:rPr>
            </w:pPr>
            <w:r w:rsidRPr="00B42A5D">
              <w:rPr>
                <w:rFonts w:ascii="Work Sans" w:hAnsi="Work Sans" w:cs="Arial"/>
                <w:bCs/>
                <w:sz w:val="18"/>
                <w:szCs w:val="18"/>
              </w:rPr>
              <w:t>Categoría I Especial</w:t>
            </w:r>
          </w:p>
        </w:tc>
        <w:tc>
          <w:tcPr>
            <w:tcW w:w="5528" w:type="dxa"/>
            <w:noWrap/>
            <w:vAlign w:val="center"/>
          </w:tcPr>
          <w:p w:rsidR="00B42A5D" w:rsidRPr="00B42A5D" w:rsidRDefault="00B42A5D" w:rsidP="00BE3748">
            <w:pPr>
              <w:spacing w:line="26" w:lineRule="atLeast"/>
              <w:jc w:val="both"/>
              <w:rPr>
                <w:rFonts w:ascii="Work Sans" w:hAnsi="Work Sans" w:cs="Arial"/>
                <w:bCs/>
                <w:sz w:val="18"/>
                <w:szCs w:val="18"/>
              </w:rPr>
            </w:pPr>
            <w:r w:rsidRPr="00B42A5D">
              <w:rPr>
                <w:rFonts w:ascii="Work Sans" w:hAnsi="Work Sans" w:cs="Arial"/>
                <w:bCs/>
                <w:sz w:val="18"/>
                <w:szCs w:val="18"/>
              </w:rPr>
              <w:t>Vehículos de la Categoría I de servicio particular cuyos propietarios o arrendatarios en virtud de un contrato de leasing transiten frecuentemente por el peaje La Gómez y sean residentes del Corregimiento de Aguas Claras (municipio de Sabana de Torres) corregimiento La Gómez (municipio de Sabana de Torres) y los corregimientos de San Rafael de Lebrija ( Municipio de Ríonegro – Santander) y Tropezón (La Esperanza – Norte de Santander ) y los vehículos de servicio público de la Categoría I que estén autorizados por la autoridad competente para la prestación del servicio público de transporte de pasajeros en las siguientes rutas:</w:t>
            </w:r>
          </w:p>
          <w:p w:rsidR="00B42A5D" w:rsidRPr="00B42A5D" w:rsidRDefault="00B42A5D" w:rsidP="00B42A5D">
            <w:pPr>
              <w:pStyle w:val="Prrafodelista"/>
              <w:numPr>
                <w:ilvl w:val="0"/>
                <w:numId w:val="26"/>
              </w:numPr>
              <w:suppressAutoHyphens w:val="0"/>
              <w:autoSpaceDN/>
              <w:spacing w:line="26" w:lineRule="atLeast"/>
              <w:textAlignment w:val="auto"/>
              <w:rPr>
                <w:rFonts w:ascii="Work Sans" w:hAnsi="Work Sans" w:cs="Arial"/>
                <w:bCs/>
                <w:sz w:val="18"/>
                <w:szCs w:val="18"/>
              </w:rPr>
            </w:pPr>
            <w:r w:rsidRPr="00B42A5D">
              <w:rPr>
                <w:rFonts w:ascii="Work Sans" w:hAnsi="Work Sans" w:cs="Arial"/>
                <w:bCs/>
                <w:sz w:val="18"/>
                <w:szCs w:val="18"/>
              </w:rPr>
              <w:t>Desde La Lizama - San Alberto y viceversa.</w:t>
            </w:r>
          </w:p>
        </w:tc>
        <w:tc>
          <w:tcPr>
            <w:tcW w:w="1773" w:type="dxa"/>
            <w:gridSpan w:val="2"/>
            <w:noWrap/>
            <w:vAlign w:val="center"/>
            <w:hideMark/>
          </w:tcPr>
          <w:p w:rsidR="00B42A5D" w:rsidRPr="00B42A5D" w:rsidRDefault="00B42A5D" w:rsidP="00BE3748">
            <w:pPr>
              <w:spacing w:line="26" w:lineRule="atLeast"/>
              <w:jc w:val="center"/>
              <w:rPr>
                <w:rFonts w:ascii="Work Sans" w:hAnsi="Work Sans" w:cs="Arial"/>
                <w:bCs/>
                <w:sz w:val="18"/>
                <w:szCs w:val="18"/>
              </w:rPr>
            </w:pPr>
            <w:r w:rsidRPr="00B42A5D">
              <w:rPr>
                <w:rFonts w:ascii="Work Sans" w:hAnsi="Work Sans" w:cs="Arial"/>
                <w:bCs/>
                <w:sz w:val="18"/>
                <w:szCs w:val="18"/>
              </w:rPr>
              <w:t>$5.700</w:t>
            </w:r>
          </w:p>
        </w:tc>
      </w:tr>
      <w:tr w:rsidR="00B42A5D" w:rsidRPr="00B42A5D" w:rsidTr="00B42A5D">
        <w:trPr>
          <w:trHeight w:val="18"/>
        </w:trPr>
        <w:tc>
          <w:tcPr>
            <w:tcW w:w="1280" w:type="dxa"/>
            <w:noWrap/>
            <w:vAlign w:val="center"/>
            <w:hideMark/>
          </w:tcPr>
          <w:p w:rsidR="00B42A5D" w:rsidRPr="00B42A5D" w:rsidRDefault="00B42A5D" w:rsidP="00BE3748">
            <w:pPr>
              <w:spacing w:line="26" w:lineRule="atLeast"/>
              <w:rPr>
                <w:rFonts w:ascii="Work Sans" w:hAnsi="Work Sans" w:cs="Arial"/>
                <w:bCs/>
                <w:sz w:val="18"/>
                <w:szCs w:val="18"/>
              </w:rPr>
            </w:pPr>
            <w:r w:rsidRPr="00B42A5D">
              <w:rPr>
                <w:rFonts w:ascii="Work Sans" w:hAnsi="Work Sans" w:cs="Arial"/>
                <w:bCs/>
                <w:sz w:val="18"/>
                <w:szCs w:val="18"/>
              </w:rPr>
              <w:t>Categoría II Especial</w:t>
            </w:r>
          </w:p>
        </w:tc>
        <w:tc>
          <w:tcPr>
            <w:tcW w:w="5528" w:type="dxa"/>
            <w:vAlign w:val="center"/>
          </w:tcPr>
          <w:p w:rsidR="00B42A5D" w:rsidRPr="00B42A5D" w:rsidRDefault="00B42A5D" w:rsidP="00BE3748">
            <w:pPr>
              <w:spacing w:line="26" w:lineRule="atLeast"/>
              <w:jc w:val="both"/>
              <w:rPr>
                <w:rFonts w:ascii="Work Sans" w:hAnsi="Work Sans" w:cs="Arial"/>
                <w:bCs/>
                <w:sz w:val="18"/>
                <w:szCs w:val="18"/>
              </w:rPr>
            </w:pPr>
            <w:r w:rsidRPr="00B42A5D">
              <w:rPr>
                <w:rFonts w:ascii="Work Sans" w:hAnsi="Work Sans" w:cs="Arial"/>
                <w:bCs/>
                <w:sz w:val="18"/>
                <w:szCs w:val="18"/>
              </w:rPr>
              <w:t>Vehículos de la Categoría II que estén autorizados por la autoridad competente para la prestación del servicio público de transporte de pasajeros en las siguientes rutas:</w:t>
            </w:r>
          </w:p>
          <w:p w:rsidR="00B42A5D" w:rsidRPr="00B42A5D" w:rsidRDefault="00B42A5D" w:rsidP="00B42A5D">
            <w:pPr>
              <w:pStyle w:val="Prrafodelista"/>
              <w:numPr>
                <w:ilvl w:val="0"/>
                <w:numId w:val="26"/>
              </w:numPr>
              <w:suppressAutoHyphens w:val="0"/>
              <w:autoSpaceDN/>
              <w:spacing w:line="26" w:lineRule="atLeast"/>
              <w:textAlignment w:val="auto"/>
              <w:rPr>
                <w:rFonts w:ascii="Work Sans" w:hAnsi="Work Sans" w:cs="Arial"/>
                <w:bCs/>
                <w:sz w:val="18"/>
                <w:szCs w:val="18"/>
              </w:rPr>
            </w:pPr>
            <w:r w:rsidRPr="00B42A5D">
              <w:rPr>
                <w:rFonts w:ascii="Work Sans" w:hAnsi="Work Sans" w:cs="Arial"/>
                <w:bCs/>
                <w:sz w:val="18"/>
                <w:szCs w:val="18"/>
              </w:rPr>
              <w:t>Desde La Lizama - San Alberto y viceversa.</w:t>
            </w:r>
          </w:p>
        </w:tc>
        <w:tc>
          <w:tcPr>
            <w:tcW w:w="1773" w:type="dxa"/>
            <w:gridSpan w:val="2"/>
            <w:noWrap/>
            <w:vAlign w:val="center"/>
            <w:hideMark/>
          </w:tcPr>
          <w:p w:rsidR="00B42A5D" w:rsidRPr="00B42A5D" w:rsidRDefault="00B42A5D" w:rsidP="00BE3748">
            <w:pPr>
              <w:spacing w:line="26" w:lineRule="atLeast"/>
              <w:jc w:val="center"/>
              <w:rPr>
                <w:rFonts w:ascii="Work Sans" w:hAnsi="Work Sans" w:cs="Arial"/>
                <w:bCs/>
                <w:sz w:val="18"/>
                <w:szCs w:val="18"/>
              </w:rPr>
            </w:pPr>
            <w:r w:rsidRPr="00B42A5D">
              <w:rPr>
                <w:rFonts w:ascii="Work Sans" w:hAnsi="Work Sans" w:cs="Arial"/>
                <w:bCs/>
                <w:sz w:val="18"/>
                <w:szCs w:val="18"/>
              </w:rPr>
              <w:t>$7.100</w:t>
            </w:r>
          </w:p>
        </w:tc>
      </w:tr>
      <w:tr w:rsidR="00B42A5D" w:rsidRPr="00B42A5D" w:rsidTr="00B42A5D">
        <w:trPr>
          <w:trHeight w:val="18"/>
        </w:trPr>
        <w:tc>
          <w:tcPr>
            <w:tcW w:w="8581" w:type="dxa"/>
            <w:gridSpan w:val="4"/>
            <w:tcBorders>
              <w:left w:val="nil"/>
              <w:bottom w:val="nil"/>
              <w:right w:val="nil"/>
            </w:tcBorders>
            <w:noWrap/>
            <w:vAlign w:val="center"/>
          </w:tcPr>
          <w:p w:rsidR="00B42A5D" w:rsidRPr="00B42A5D" w:rsidRDefault="00B42A5D" w:rsidP="00BE3748">
            <w:pPr>
              <w:spacing w:line="26" w:lineRule="atLeast"/>
              <w:jc w:val="both"/>
              <w:rPr>
                <w:rFonts w:ascii="Work Sans" w:hAnsi="Work Sans" w:cs="Arial"/>
                <w:sz w:val="18"/>
                <w:szCs w:val="18"/>
              </w:rPr>
            </w:pPr>
          </w:p>
        </w:tc>
      </w:tr>
      <w:tr w:rsidR="00B42A5D" w:rsidRPr="00B42A5D" w:rsidTr="00B42A5D">
        <w:trPr>
          <w:trHeight w:val="18"/>
        </w:trPr>
        <w:tc>
          <w:tcPr>
            <w:tcW w:w="8581" w:type="dxa"/>
            <w:gridSpan w:val="4"/>
            <w:tcBorders>
              <w:top w:val="nil"/>
              <w:left w:val="nil"/>
              <w:bottom w:val="nil"/>
              <w:right w:val="nil"/>
            </w:tcBorders>
            <w:noWrap/>
            <w:vAlign w:val="center"/>
          </w:tcPr>
          <w:p w:rsidR="00B42A5D" w:rsidRPr="00B42A5D" w:rsidRDefault="00B42A5D" w:rsidP="00BE3748">
            <w:pPr>
              <w:spacing w:line="26" w:lineRule="atLeast"/>
              <w:jc w:val="both"/>
              <w:rPr>
                <w:rFonts w:ascii="Work Sans" w:hAnsi="Work Sans" w:cs="Arial"/>
                <w:i/>
                <w:sz w:val="18"/>
                <w:szCs w:val="18"/>
              </w:rPr>
            </w:pPr>
          </w:p>
        </w:tc>
      </w:tr>
      <w:tr w:rsidR="00B42A5D" w:rsidRPr="00B42A5D" w:rsidTr="00B42A5D">
        <w:trPr>
          <w:gridAfter w:val="1"/>
          <w:wAfter w:w="76" w:type="dxa"/>
          <w:trHeight w:val="20"/>
          <w:tblHeader/>
        </w:trPr>
        <w:tc>
          <w:tcPr>
            <w:tcW w:w="8505" w:type="dxa"/>
            <w:gridSpan w:val="3"/>
            <w:noWrap/>
            <w:vAlign w:val="center"/>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ESTACIÓN DE PEAJE MORRISON</w:t>
            </w:r>
          </w:p>
        </w:tc>
      </w:tr>
      <w:tr w:rsidR="00B42A5D" w:rsidRPr="00B42A5D" w:rsidTr="00B42A5D">
        <w:trPr>
          <w:gridAfter w:val="1"/>
          <w:wAfter w:w="76" w:type="dxa"/>
          <w:trHeight w:val="20"/>
          <w:tblHeader/>
        </w:trPr>
        <w:tc>
          <w:tcPr>
            <w:tcW w:w="1280" w:type="dxa"/>
            <w:noWrap/>
            <w:vAlign w:val="center"/>
            <w:hideMark/>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CATEGORÍAS</w:t>
            </w:r>
          </w:p>
        </w:tc>
        <w:tc>
          <w:tcPr>
            <w:tcW w:w="5528" w:type="dxa"/>
            <w:noWrap/>
            <w:vAlign w:val="center"/>
            <w:hideMark/>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DESCRIPCIÓN</w:t>
            </w:r>
          </w:p>
        </w:tc>
        <w:tc>
          <w:tcPr>
            <w:tcW w:w="1697" w:type="dxa"/>
            <w:vAlign w:val="center"/>
            <w:hideMark/>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TARIFAS</w:t>
            </w:r>
          </w:p>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Pesos constantes diciembre 2020</w:t>
            </w:r>
          </w:p>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b/>
                <w:sz w:val="18"/>
                <w:szCs w:val="18"/>
              </w:rPr>
              <w:t>(Incluye Fondo de Seguridad Vial)</w:t>
            </w:r>
          </w:p>
        </w:tc>
      </w:tr>
      <w:tr w:rsidR="00B42A5D" w:rsidRPr="00B42A5D" w:rsidTr="00B42A5D">
        <w:trPr>
          <w:gridAfter w:val="1"/>
          <w:wAfter w:w="76" w:type="dxa"/>
          <w:trHeight w:val="20"/>
          <w:tblHeader/>
        </w:trPr>
        <w:tc>
          <w:tcPr>
            <w:tcW w:w="1280" w:type="dxa"/>
            <w:noWrap/>
            <w:vAlign w:val="center"/>
          </w:tcPr>
          <w:p w:rsidR="00B42A5D" w:rsidRPr="00B42A5D" w:rsidRDefault="00B42A5D" w:rsidP="00BE3748">
            <w:pPr>
              <w:spacing w:line="26" w:lineRule="atLeast"/>
              <w:ind w:right="-285"/>
              <w:jc w:val="both"/>
              <w:rPr>
                <w:rFonts w:ascii="Work Sans" w:hAnsi="Work Sans" w:cs="Arial"/>
                <w:b/>
                <w:sz w:val="18"/>
                <w:szCs w:val="18"/>
              </w:rPr>
            </w:pPr>
            <w:r w:rsidRPr="00B42A5D">
              <w:rPr>
                <w:rFonts w:ascii="Work Sans" w:hAnsi="Work Sans" w:cs="Arial"/>
                <w:sz w:val="18"/>
                <w:szCs w:val="18"/>
              </w:rPr>
              <w:t>Categoría I Especial</w:t>
            </w:r>
          </w:p>
        </w:tc>
        <w:tc>
          <w:tcPr>
            <w:tcW w:w="5528" w:type="dxa"/>
            <w:noWrap/>
            <w:vAlign w:val="center"/>
          </w:tcPr>
          <w:p w:rsidR="00B42A5D" w:rsidRPr="00B42A5D" w:rsidRDefault="00B42A5D" w:rsidP="00BE3748">
            <w:pPr>
              <w:spacing w:line="26" w:lineRule="atLeast"/>
              <w:ind w:right="71"/>
              <w:jc w:val="both"/>
              <w:rPr>
                <w:rFonts w:ascii="Work Sans" w:hAnsi="Work Sans" w:cs="Arial"/>
                <w:sz w:val="18"/>
                <w:szCs w:val="18"/>
              </w:rPr>
            </w:pPr>
            <w:r w:rsidRPr="00B42A5D">
              <w:rPr>
                <w:rFonts w:ascii="Work Sans" w:hAnsi="Work Sans" w:cs="Arial"/>
                <w:sz w:val="18"/>
                <w:szCs w:val="18"/>
              </w:rPr>
              <w:t xml:space="preserve">Vehículos de la Categoría I de servicio particular cuyos propietarios o arrendatarios en virtud de un contrato de leasing transiten frecuentemente por el peaje y sean </w:t>
            </w:r>
            <w:r w:rsidRPr="00B42A5D">
              <w:rPr>
                <w:rFonts w:ascii="Work Sans" w:hAnsi="Work Sans" w:cs="Arial"/>
                <w:sz w:val="18"/>
                <w:szCs w:val="18"/>
              </w:rPr>
              <w:lastRenderedPageBreak/>
              <w:t>residentes en el Corregimiento de Líbano y Minas (San Alberto), Municipio de San Martín, los corregimientos de Morrison (Río de Oro), Municipio de Aguachica y Corregimiento de Norean (Aguachica) y los vehículos de servicio público de la Categoría I que estén autorizados por la autoridad competente para la prestación del servicio público de transporte de pasajeros en las siguientes rutas:</w:t>
            </w:r>
          </w:p>
          <w:p w:rsidR="00B42A5D" w:rsidRPr="00B42A5D" w:rsidRDefault="00B42A5D" w:rsidP="00B42A5D">
            <w:pPr>
              <w:pStyle w:val="Prrafodelista"/>
              <w:numPr>
                <w:ilvl w:val="0"/>
                <w:numId w:val="26"/>
              </w:numPr>
              <w:suppressAutoHyphens w:val="0"/>
              <w:autoSpaceDN/>
              <w:spacing w:line="26" w:lineRule="atLeast"/>
              <w:ind w:right="71"/>
              <w:jc w:val="both"/>
              <w:textAlignment w:val="auto"/>
              <w:rPr>
                <w:rFonts w:ascii="Work Sans" w:hAnsi="Work Sans" w:cs="Arial"/>
                <w:sz w:val="18"/>
                <w:szCs w:val="18"/>
              </w:rPr>
            </w:pPr>
            <w:r w:rsidRPr="00B42A5D">
              <w:rPr>
                <w:rFonts w:ascii="Work Sans" w:hAnsi="Work Sans" w:cs="Arial"/>
                <w:sz w:val="18"/>
                <w:szCs w:val="18"/>
              </w:rPr>
              <w:t>Desde San Alberto - La Mata y viceversa.</w:t>
            </w:r>
          </w:p>
        </w:tc>
        <w:tc>
          <w:tcPr>
            <w:tcW w:w="1697" w:type="dxa"/>
            <w:vAlign w:val="center"/>
          </w:tcPr>
          <w:p w:rsidR="00B42A5D" w:rsidRPr="00B42A5D" w:rsidRDefault="00B42A5D" w:rsidP="00BE3748">
            <w:pPr>
              <w:spacing w:line="26" w:lineRule="atLeast"/>
              <w:jc w:val="center"/>
              <w:rPr>
                <w:rFonts w:ascii="Work Sans" w:hAnsi="Work Sans" w:cs="Arial"/>
                <w:b/>
                <w:sz w:val="18"/>
                <w:szCs w:val="18"/>
              </w:rPr>
            </w:pPr>
            <w:r w:rsidRPr="00B42A5D">
              <w:rPr>
                <w:rFonts w:ascii="Work Sans" w:hAnsi="Work Sans" w:cs="Arial"/>
                <w:sz w:val="18"/>
                <w:szCs w:val="18"/>
              </w:rPr>
              <w:lastRenderedPageBreak/>
              <w:t>$4.900</w:t>
            </w:r>
          </w:p>
        </w:tc>
      </w:tr>
      <w:tr w:rsidR="00B42A5D" w:rsidRPr="00B42A5D" w:rsidTr="00B42A5D">
        <w:trPr>
          <w:gridAfter w:val="1"/>
          <w:wAfter w:w="76" w:type="dxa"/>
          <w:trHeight w:val="20"/>
          <w:tblHeader/>
        </w:trPr>
        <w:tc>
          <w:tcPr>
            <w:tcW w:w="1280" w:type="dxa"/>
            <w:noWrap/>
            <w:vAlign w:val="center"/>
          </w:tcPr>
          <w:p w:rsidR="00B42A5D" w:rsidRPr="00B42A5D" w:rsidRDefault="00B42A5D" w:rsidP="00BE3748">
            <w:pPr>
              <w:spacing w:line="26" w:lineRule="atLeast"/>
              <w:ind w:right="-285"/>
              <w:jc w:val="both"/>
              <w:rPr>
                <w:rFonts w:ascii="Work Sans" w:hAnsi="Work Sans" w:cs="Arial"/>
                <w:sz w:val="18"/>
                <w:szCs w:val="18"/>
              </w:rPr>
            </w:pPr>
            <w:r w:rsidRPr="00B42A5D">
              <w:rPr>
                <w:rFonts w:ascii="Work Sans" w:hAnsi="Work Sans" w:cs="Arial"/>
                <w:sz w:val="18"/>
                <w:szCs w:val="18"/>
              </w:rPr>
              <w:t>Categoría II Especial</w:t>
            </w:r>
          </w:p>
        </w:tc>
        <w:tc>
          <w:tcPr>
            <w:tcW w:w="5528" w:type="dxa"/>
            <w:noWrap/>
          </w:tcPr>
          <w:p w:rsidR="00B42A5D" w:rsidRPr="00B42A5D" w:rsidRDefault="00B42A5D" w:rsidP="00BE3748">
            <w:pPr>
              <w:spacing w:line="26" w:lineRule="atLeast"/>
              <w:ind w:right="71"/>
              <w:jc w:val="both"/>
              <w:rPr>
                <w:rFonts w:ascii="Work Sans" w:hAnsi="Work Sans" w:cs="Arial"/>
                <w:sz w:val="18"/>
                <w:szCs w:val="18"/>
                <w:lang w:eastAsia="en-US"/>
              </w:rPr>
            </w:pPr>
            <w:r w:rsidRPr="00B42A5D">
              <w:rPr>
                <w:rFonts w:ascii="Work Sans" w:hAnsi="Work Sans" w:cs="Arial"/>
                <w:sz w:val="18"/>
                <w:szCs w:val="18"/>
              </w:rPr>
              <w:t>Vehículos de la Categoría II que</w:t>
            </w:r>
            <w:r w:rsidRPr="00B42A5D">
              <w:rPr>
                <w:rFonts w:ascii="Work Sans" w:hAnsi="Work Sans" w:cs="Arial"/>
                <w:sz w:val="18"/>
                <w:szCs w:val="18"/>
                <w:lang w:eastAsia="en-US"/>
              </w:rPr>
              <w:t xml:space="preserve"> estén autorizados por la autoridad competente para la prestación del servicio público de transporte de pasajeros en las siguientes rutas:</w:t>
            </w:r>
          </w:p>
          <w:p w:rsidR="00B42A5D" w:rsidRPr="00B42A5D" w:rsidRDefault="00B42A5D" w:rsidP="00B42A5D">
            <w:pPr>
              <w:pStyle w:val="Prrafodelista"/>
              <w:numPr>
                <w:ilvl w:val="0"/>
                <w:numId w:val="26"/>
              </w:numPr>
              <w:suppressAutoHyphens w:val="0"/>
              <w:autoSpaceDN/>
              <w:spacing w:line="26" w:lineRule="atLeast"/>
              <w:ind w:right="71"/>
              <w:jc w:val="both"/>
              <w:textAlignment w:val="auto"/>
              <w:rPr>
                <w:rFonts w:ascii="Work Sans" w:hAnsi="Work Sans" w:cs="Arial"/>
                <w:sz w:val="18"/>
                <w:szCs w:val="18"/>
              </w:rPr>
            </w:pPr>
            <w:r w:rsidRPr="00B42A5D">
              <w:rPr>
                <w:rFonts w:ascii="Work Sans" w:hAnsi="Work Sans" w:cs="Arial"/>
                <w:sz w:val="18"/>
                <w:szCs w:val="18"/>
              </w:rPr>
              <w:t>Desde San Alberto - La Mata y viceversa.</w:t>
            </w:r>
          </w:p>
        </w:tc>
        <w:tc>
          <w:tcPr>
            <w:tcW w:w="1697" w:type="dxa"/>
            <w:vAlign w:val="center"/>
          </w:tcPr>
          <w:p w:rsidR="00B42A5D" w:rsidRPr="00B42A5D" w:rsidRDefault="00B42A5D" w:rsidP="00BE3748">
            <w:pPr>
              <w:spacing w:line="26" w:lineRule="atLeast"/>
              <w:jc w:val="center"/>
              <w:rPr>
                <w:rFonts w:ascii="Work Sans" w:hAnsi="Work Sans" w:cs="Arial"/>
                <w:sz w:val="18"/>
                <w:szCs w:val="18"/>
              </w:rPr>
            </w:pPr>
            <w:r w:rsidRPr="00B42A5D">
              <w:rPr>
                <w:rFonts w:ascii="Work Sans" w:hAnsi="Work Sans" w:cs="Arial"/>
                <w:sz w:val="18"/>
                <w:szCs w:val="18"/>
              </w:rPr>
              <w:t>$200</w:t>
            </w:r>
          </w:p>
        </w:tc>
      </w:tr>
    </w:tbl>
    <w:p w:rsidR="006C38E9" w:rsidRDefault="006C38E9">
      <w:pPr>
        <w:tabs>
          <w:tab w:val="left" w:pos="0"/>
        </w:tabs>
        <w:ind w:right="-285"/>
        <w:jc w:val="both"/>
        <w:rPr>
          <w:rFonts w:ascii="Work Sans" w:hAnsi="Work Sans" w:cs="Arial"/>
          <w:b/>
          <w:sz w:val="22"/>
          <w:szCs w:val="28"/>
        </w:rPr>
      </w:pPr>
    </w:p>
    <w:p w:rsidR="005F4CD5" w:rsidRDefault="00534CD8">
      <w:pPr>
        <w:pStyle w:val="Default"/>
        <w:ind w:right="-2"/>
        <w:jc w:val="both"/>
      </w:pPr>
      <w:bookmarkStart w:id="5" w:name="_Hlk74725509"/>
      <w:r>
        <w:rPr>
          <w:rFonts w:ascii="Work Sans" w:hAnsi="Work Sans" w:cs="Arial"/>
          <w:b/>
          <w:sz w:val="20"/>
        </w:rPr>
        <w:t>Parágrafo 1</w:t>
      </w:r>
      <w:r w:rsidR="007F0521">
        <w:rPr>
          <w:rFonts w:ascii="Work Sans" w:hAnsi="Work Sans" w:cs="Arial"/>
          <w:bCs/>
          <w:sz w:val="20"/>
        </w:rPr>
        <w:t>.</w:t>
      </w:r>
      <w:r>
        <w:rPr>
          <w:rFonts w:ascii="Work Sans" w:hAnsi="Work Sans" w:cs="Arial"/>
          <w:bCs/>
          <w:sz w:val="20"/>
        </w:rPr>
        <w:t xml:space="preserve"> Las tarifas diferenciales establecidas en el presente artículo entraran a regir a partir de la suscripción del acta de inicio del contrato de concesión, que se suscriba como consecuencia del trámite de la iniciativa pública que adelante la Agencia Nacional de Infraestructura para la adjudicación del proyecto de Concesión bajo la modalidad de APP Corredor Troncal del Magdalena – Concesión 2 - Sabana de Torres - </w:t>
      </w:r>
      <w:r>
        <w:rPr>
          <w:rFonts w:ascii="Work Sans" w:hAnsi="Work Sans" w:cs="Arial"/>
          <w:sz w:val="20"/>
          <w:szCs w:val="20"/>
        </w:rPr>
        <w:t>Curumaní</w:t>
      </w:r>
      <w:r>
        <w:rPr>
          <w:rFonts w:ascii="Work Sans" w:hAnsi="Work Sans" w:cs="Arial"/>
          <w:bCs/>
          <w:sz w:val="20"/>
        </w:rPr>
        <w:t>.</w:t>
      </w:r>
    </w:p>
    <w:p w:rsidR="005F4CD5" w:rsidRDefault="005F4CD5">
      <w:pPr>
        <w:tabs>
          <w:tab w:val="left" w:pos="0"/>
        </w:tabs>
        <w:ind w:right="-285"/>
        <w:jc w:val="both"/>
        <w:rPr>
          <w:rFonts w:ascii="Work Sans" w:hAnsi="Work Sans" w:cs="Arial"/>
          <w:bCs/>
          <w:kern w:val="0"/>
          <w:sz w:val="20"/>
          <w:lang w:eastAsia="es-ES"/>
        </w:rPr>
      </w:pPr>
    </w:p>
    <w:p w:rsidR="005F4CD5" w:rsidRDefault="00534CD8">
      <w:pPr>
        <w:pStyle w:val="Default"/>
        <w:ind w:right="-2"/>
        <w:jc w:val="both"/>
        <w:rPr>
          <w:rFonts w:ascii="Work Sans" w:hAnsi="Work Sans" w:cs="Arial"/>
          <w:color w:val="auto"/>
          <w:sz w:val="20"/>
          <w:szCs w:val="20"/>
        </w:rPr>
      </w:pPr>
      <w:r>
        <w:rPr>
          <w:rFonts w:ascii="Work Sans" w:hAnsi="Work Sans" w:cs="Arial"/>
          <w:b/>
          <w:color w:val="auto"/>
          <w:sz w:val="20"/>
        </w:rPr>
        <w:t>Parágrafo 2</w:t>
      </w:r>
      <w:r w:rsidR="007F0521">
        <w:rPr>
          <w:rFonts w:ascii="Work Sans" w:hAnsi="Work Sans" w:cs="Arial"/>
          <w:bCs/>
          <w:color w:val="auto"/>
          <w:sz w:val="20"/>
        </w:rPr>
        <w:t>.</w:t>
      </w:r>
      <w:r>
        <w:rPr>
          <w:rFonts w:ascii="Work Sans" w:hAnsi="Work Sans" w:cs="Arial"/>
          <w:bCs/>
          <w:color w:val="auto"/>
          <w:sz w:val="20"/>
        </w:rPr>
        <w:t xml:space="preserve"> </w:t>
      </w:r>
      <w:r>
        <w:rPr>
          <w:rFonts w:ascii="Work Sans" w:hAnsi="Work Sans" w:cs="Arial"/>
          <w:bCs/>
          <w:color w:val="auto"/>
          <w:sz w:val="20"/>
          <w:szCs w:val="20"/>
        </w:rPr>
        <w:t>Las tarifas  diferenciales establecidas en el presente artículo</w:t>
      </w:r>
      <w:r>
        <w:rPr>
          <w:rFonts w:ascii="Work Sans" w:hAnsi="Work Sans" w:cs="Arial"/>
          <w:color w:val="auto"/>
          <w:sz w:val="20"/>
          <w:szCs w:val="20"/>
        </w:rPr>
        <w:t xml:space="preserve"> se actualizarán de conformidad con lo establecido en la Sección 4.2 de la Parte Especial del Contrato que se suscriba como consecuencia del trámite de la iniciativa pública que adelante la Agencia Nacional de Infraestructura para la ejecución del Proyecto de APP Corredor Troncal del Magdalena - Concesión 2 - Sabana de Torres - Curumaní. </w:t>
      </w:r>
    </w:p>
    <w:p w:rsidR="007F0521" w:rsidRDefault="007F0521">
      <w:pPr>
        <w:pStyle w:val="Default"/>
        <w:ind w:right="-2"/>
        <w:jc w:val="both"/>
        <w:rPr>
          <w:rFonts w:ascii="Work Sans" w:hAnsi="Work Sans" w:cs="Arial"/>
          <w:color w:val="auto"/>
          <w:sz w:val="20"/>
          <w:szCs w:val="20"/>
        </w:rPr>
      </w:pPr>
    </w:p>
    <w:p w:rsidR="004F698A" w:rsidRDefault="004F698A">
      <w:pPr>
        <w:pStyle w:val="Default"/>
        <w:ind w:right="-2"/>
        <w:jc w:val="both"/>
        <w:rPr>
          <w:rFonts w:ascii="Work Sans" w:hAnsi="Work Sans" w:cs="Arial"/>
          <w:sz w:val="20"/>
          <w:szCs w:val="20"/>
        </w:rPr>
      </w:pPr>
      <w:r>
        <w:rPr>
          <w:rFonts w:ascii="Work Sans" w:hAnsi="Work Sans" w:cs="Arial"/>
          <w:b/>
          <w:color w:val="auto"/>
          <w:sz w:val="20"/>
        </w:rPr>
        <w:t>Parágrafo 3</w:t>
      </w:r>
      <w:r>
        <w:rPr>
          <w:rFonts w:ascii="Work Sans" w:hAnsi="Work Sans" w:cs="Arial"/>
          <w:bCs/>
          <w:color w:val="auto"/>
          <w:sz w:val="20"/>
        </w:rPr>
        <w:t xml:space="preserve">. </w:t>
      </w:r>
      <w:r>
        <w:rPr>
          <w:rFonts w:ascii="Work Sans" w:hAnsi="Work Sans" w:cs="Arial"/>
          <w:sz w:val="20"/>
          <w:szCs w:val="20"/>
        </w:rPr>
        <w:t>Las tarifas diferenciales de peaje establecidas en el presente artículo, incluyen el valor destinado a adelantar programas de seguridad en las carreteras a cargo de la Nación (FOSEVI).</w:t>
      </w:r>
    </w:p>
    <w:p w:rsidR="004F698A" w:rsidRDefault="004F698A">
      <w:pPr>
        <w:pStyle w:val="Default"/>
        <w:ind w:right="-2"/>
        <w:jc w:val="both"/>
        <w:rPr>
          <w:rFonts w:ascii="Work Sans" w:hAnsi="Work Sans" w:cs="Arial"/>
          <w:color w:val="auto"/>
          <w:sz w:val="20"/>
          <w:szCs w:val="20"/>
        </w:rPr>
      </w:pPr>
    </w:p>
    <w:bookmarkEnd w:id="5"/>
    <w:p w:rsidR="005F4CD5" w:rsidRDefault="009D11E0">
      <w:pPr>
        <w:pStyle w:val="Default"/>
        <w:ind w:right="-2"/>
        <w:jc w:val="both"/>
      </w:pPr>
      <w:r>
        <w:rPr>
          <w:rFonts w:ascii="Work Sans" w:hAnsi="Work Sans" w:cs="Arial"/>
          <w:b/>
          <w:sz w:val="20"/>
        </w:rPr>
        <w:t>ARTÍCULO 3</w:t>
      </w:r>
      <w:r>
        <w:rPr>
          <w:rFonts w:ascii="Work Sans" w:hAnsi="Work Sans" w:cs="Arial"/>
          <w:bCs/>
          <w:sz w:val="20"/>
        </w:rPr>
        <w:t xml:space="preserve">.- </w:t>
      </w:r>
      <w:r w:rsidR="00534CD8">
        <w:rPr>
          <w:rFonts w:ascii="Work Sans" w:hAnsi="Work Sans" w:cs="Arial"/>
          <w:bCs/>
          <w:sz w:val="20"/>
        </w:rPr>
        <w:t xml:space="preserve">Establecer  un incremento del 3% </w:t>
      </w:r>
      <w:r>
        <w:rPr>
          <w:rFonts w:ascii="Work Sans" w:hAnsi="Work Sans" w:cs="Arial"/>
          <w:bCs/>
          <w:sz w:val="20"/>
        </w:rPr>
        <w:t>a</w:t>
      </w:r>
      <w:r w:rsidR="00534CD8">
        <w:rPr>
          <w:rFonts w:ascii="Work Sans" w:hAnsi="Work Sans" w:cs="Arial"/>
          <w:bCs/>
          <w:sz w:val="20"/>
        </w:rPr>
        <w:t xml:space="preserve"> las tarifa de las categorías de las </w:t>
      </w:r>
      <w:r w:rsidR="00534CD8">
        <w:rPr>
          <w:rFonts w:ascii="Work Sans" w:hAnsi="Work Sans" w:cs="Arial"/>
          <w:bCs/>
          <w:sz w:val="20"/>
          <w:lang w:bidi="hi-IN"/>
        </w:rPr>
        <w:t xml:space="preserve">estaciones de peaje </w:t>
      </w:r>
      <w:r w:rsidR="00534CD8">
        <w:rPr>
          <w:rFonts w:ascii="Work Sans" w:hAnsi="Work Sans" w:cs="Arial"/>
          <w:bCs/>
          <w:sz w:val="20"/>
        </w:rPr>
        <w:t>La Gómez, Morrison y Pailitas, una vez</w:t>
      </w:r>
      <w:bookmarkStart w:id="6" w:name="_Hlk74725555"/>
      <w:r w:rsidR="00534CD8">
        <w:rPr>
          <w:rFonts w:ascii="Work Sans" w:hAnsi="Work Sans" w:cs="Arial"/>
          <w:bCs/>
          <w:sz w:val="20"/>
        </w:rPr>
        <w:t xml:space="preserve"> se termine la unidad funcional 1 </w:t>
      </w:r>
      <w:r w:rsidR="00534CD8">
        <w:rPr>
          <w:rFonts w:ascii="Work Sans" w:hAnsi="Work Sans" w:cs="Arial"/>
          <w:bCs/>
          <w:sz w:val="20"/>
          <w:lang w:bidi="hi-IN"/>
        </w:rPr>
        <w:t>del contrato de concesión que se suscriba</w:t>
      </w:r>
      <w:bookmarkEnd w:id="6"/>
      <w:r w:rsidR="00534CD8">
        <w:rPr>
          <w:rFonts w:ascii="Work Sans" w:hAnsi="Work Sans" w:cs="Arial"/>
          <w:bCs/>
          <w:sz w:val="20"/>
          <w:lang w:bidi="hi-IN"/>
        </w:rPr>
        <w:t xml:space="preserve"> para la ejecución del proyecto de Concesión bajo la modalidad de APP Corredor Troncal del Magdalena - </w:t>
      </w:r>
      <w:r w:rsidR="00534CD8">
        <w:rPr>
          <w:rFonts w:ascii="Work Sans" w:hAnsi="Work Sans" w:cs="Arial"/>
          <w:bCs/>
          <w:sz w:val="20"/>
        </w:rPr>
        <w:t>Concesión2 - Sabana de Torres – Curumaní</w:t>
      </w:r>
      <w:r w:rsidR="00534CD8">
        <w:rPr>
          <w:rFonts w:ascii="Work Sans" w:hAnsi="Work Sans" w:cs="Arial"/>
          <w:bCs/>
          <w:sz w:val="20"/>
          <w:lang w:bidi="hi-IN"/>
        </w:rPr>
        <w:t>.</w:t>
      </w:r>
    </w:p>
    <w:p w:rsidR="005F4CD5" w:rsidRDefault="00534CD8">
      <w:pPr>
        <w:tabs>
          <w:tab w:val="left" w:pos="0"/>
        </w:tabs>
        <w:ind w:right="-285"/>
        <w:jc w:val="both"/>
      </w:pPr>
      <w:r>
        <w:rPr>
          <w:rFonts w:ascii="Work Sans" w:hAnsi="Work Sans" w:cs="Arial"/>
          <w:bCs/>
          <w:kern w:val="0"/>
          <w:sz w:val="20"/>
          <w:lang w:eastAsia="es-ES"/>
        </w:rPr>
        <w:t xml:space="preserve"> </w:t>
      </w:r>
    </w:p>
    <w:p w:rsidR="005F4CD5" w:rsidRDefault="00534CD8">
      <w:pPr>
        <w:pStyle w:val="Default"/>
        <w:ind w:right="-2"/>
        <w:jc w:val="both"/>
      </w:pPr>
      <w:r>
        <w:rPr>
          <w:rFonts w:ascii="Work Sans" w:hAnsi="Work Sans" w:cs="Arial"/>
          <w:b/>
          <w:sz w:val="20"/>
        </w:rPr>
        <w:t>Parágrafo</w:t>
      </w:r>
      <w:bookmarkStart w:id="7" w:name="_Hlk74210274"/>
      <w:bookmarkStart w:id="8" w:name="_Hlk74124123"/>
      <w:r w:rsidR="007F0521">
        <w:rPr>
          <w:rFonts w:ascii="Work Sans" w:hAnsi="Work Sans" w:cs="Arial"/>
          <w:b/>
          <w:sz w:val="20"/>
        </w:rPr>
        <w:t>.</w:t>
      </w:r>
      <w:r>
        <w:rPr>
          <w:rFonts w:ascii="Work Sans" w:hAnsi="Work Sans" w:cs="Arial"/>
          <w:bCs/>
          <w:sz w:val="20"/>
        </w:rPr>
        <w:t xml:space="preserve"> </w:t>
      </w:r>
      <w:bookmarkStart w:id="9" w:name="_Hlk74726610"/>
      <w:bookmarkStart w:id="10" w:name="_Hlk74219963"/>
      <w:r>
        <w:rPr>
          <w:rFonts w:ascii="Work Sans" w:hAnsi="Work Sans" w:cs="Arial"/>
          <w:bCs/>
          <w:sz w:val="20"/>
          <w:lang w:bidi="hi-IN"/>
        </w:rPr>
        <w:t xml:space="preserve">El incremento previsto en el presente artículo se aplicará por una sola vez en el mes de enero siguiente a </w:t>
      </w:r>
      <w:r>
        <w:rPr>
          <w:rFonts w:ascii="Work Sans" w:hAnsi="Work Sans" w:cs="Arial"/>
          <w:bCs/>
          <w:sz w:val="20"/>
        </w:rPr>
        <w:t xml:space="preserve">la terminación de la unidad funcional 1 </w:t>
      </w:r>
      <w:r>
        <w:rPr>
          <w:rFonts w:ascii="Work Sans" w:hAnsi="Work Sans" w:cs="Arial"/>
          <w:bCs/>
          <w:sz w:val="20"/>
          <w:lang w:bidi="hi-IN"/>
        </w:rPr>
        <w:t xml:space="preserve">del contrato de concesión que se suscriba para la ejecución del proyecto de Concesión bajo la modalidad de APP Corredor Troncal del Magdalena - </w:t>
      </w:r>
      <w:r>
        <w:rPr>
          <w:rFonts w:ascii="Work Sans" w:hAnsi="Work Sans" w:cs="Arial"/>
          <w:bCs/>
          <w:sz w:val="20"/>
        </w:rPr>
        <w:t>Concesión 2 - Sabana de Torres - Curumaní.</w:t>
      </w:r>
      <w:bookmarkEnd w:id="9"/>
    </w:p>
    <w:p w:rsidR="005F4CD5" w:rsidRDefault="005F4CD5">
      <w:pPr>
        <w:pStyle w:val="Default"/>
        <w:ind w:right="-2"/>
        <w:jc w:val="both"/>
        <w:rPr>
          <w:rFonts w:ascii="Work Sans" w:hAnsi="Work Sans" w:cs="Arial"/>
          <w:bCs/>
          <w:sz w:val="20"/>
        </w:rPr>
      </w:pPr>
    </w:p>
    <w:bookmarkEnd w:id="7"/>
    <w:bookmarkEnd w:id="8"/>
    <w:bookmarkEnd w:id="10"/>
    <w:p w:rsidR="005F4CD5" w:rsidRDefault="009D11E0">
      <w:pPr>
        <w:pStyle w:val="Prrafodelista"/>
        <w:tabs>
          <w:tab w:val="left" w:pos="0"/>
          <w:tab w:val="left" w:pos="2745"/>
        </w:tabs>
        <w:ind w:left="0" w:right="-285"/>
        <w:jc w:val="both"/>
      </w:pPr>
      <w:r>
        <w:rPr>
          <w:rFonts w:ascii="Work Sans" w:hAnsi="Work Sans" w:cs="Arial"/>
          <w:b/>
          <w:iCs/>
          <w:sz w:val="20"/>
        </w:rPr>
        <w:t xml:space="preserve">ARTÍCULO 4.- </w:t>
      </w:r>
      <w:bookmarkStart w:id="11" w:name="_Hlk74726761"/>
      <w:r w:rsidR="00534CD8">
        <w:rPr>
          <w:rFonts w:ascii="Work Sans" w:hAnsi="Work Sans" w:cs="Arial"/>
          <w:bCs/>
          <w:sz w:val="20"/>
        </w:rPr>
        <w:t xml:space="preserve">Establecer  un incremento del 3 % </w:t>
      </w:r>
      <w:r>
        <w:rPr>
          <w:rFonts w:ascii="Work Sans" w:hAnsi="Work Sans" w:cs="Arial"/>
          <w:bCs/>
          <w:sz w:val="20"/>
        </w:rPr>
        <w:t>a</w:t>
      </w:r>
      <w:r w:rsidR="00534CD8">
        <w:rPr>
          <w:rFonts w:ascii="Work Sans" w:hAnsi="Work Sans" w:cs="Arial"/>
          <w:bCs/>
          <w:sz w:val="20"/>
        </w:rPr>
        <w:t xml:space="preserve"> las tarifa de las categorías de las </w:t>
      </w:r>
      <w:r w:rsidR="00534CD8">
        <w:rPr>
          <w:rFonts w:ascii="Work Sans" w:hAnsi="Work Sans" w:cs="Arial"/>
          <w:bCs/>
          <w:sz w:val="20"/>
          <w:lang w:bidi="hi-IN"/>
        </w:rPr>
        <w:t xml:space="preserve">estaciones de peaje </w:t>
      </w:r>
      <w:r w:rsidR="00534CD8">
        <w:rPr>
          <w:rFonts w:ascii="Work Sans" w:hAnsi="Work Sans" w:cs="Arial"/>
          <w:bCs/>
          <w:sz w:val="20"/>
        </w:rPr>
        <w:t>La Gómez, Morrison y Pailitas, una vez  inicie</w:t>
      </w:r>
      <w:r w:rsidR="00534CD8">
        <w:rPr>
          <w:rFonts w:ascii="Work Sans" w:hAnsi="Work Sans" w:cs="Arial"/>
          <w:sz w:val="20"/>
        </w:rPr>
        <w:t xml:space="preserve"> la Etapa de Operación y Mantenimiento del contrato de concesión que se suscriba </w:t>
      </w:r>
      <w:bookmarkEnd w:id="11"/>
      <w:r w:rsidR="00534CD8">
        <w:rPr>
          <w:rFonts w:ascii="Work Sans" w:hAnsi="Work Sans" w:cs="Arial"/>
          <w:sz w:val="20"/>
        </w:rPr>
        <w:t xml:space="preserve">para la ejecución del proyecto de Concesión bajo la modalidad de APP Corredor Troncal del Magdalena - </w:t>
      </w:r>
      <w:r w:rsidR="00534CD8">
        <w:rPr>
          <w:rFonts w:ascii="Work Sans" w:hAnsi="Work Sans" w:cs="Arial"/>
          <w:bCs/>
          <w:sz w:val="20"/>
        </w:rPr>
        <w:t>Concesión 2 - Sabana de Torres - Curumaní</w:t>
      </w:r>
      <w:r>
        <w:rPr>
          <w:rFonts w:ascii="Work Sans" w:hAnsi="Work Sans" w:cs="Arial"/>
          <w:sz w:val="20"/>
        </w:rPr>
        <w:t>.</w:t>
      </w:r>
    </w:p>
    <w:p w:rsidR="005F4CD5" w:rsidRDefault="005F4CD5">
      <w:pPr>
        <w:ind w:right="-285"/>
        <w:jc w:val="center"/>
        <w:rPr>
          <w:rFonts w:ascii="Work Sans" w:hAnsi="Work Sans" w:cs="Arial"/>
          <w:b/>
          <w:i/>
          <w:sz w:val="20"/>
          <w:szCs w:val="20"/>
        </w:rPr>
      </w:pPr>
    </w:p>
    <w:p w:rsidR="005F4CD5" w:rsidRPr="00042E42" w:rsidRDefault="00534CD8">
      <w:pPr>
        <w:pStyle w:val="Default"/>
        <w:ind w:right="-2"/>
        <w:jc w:val="both"/>
        <w:rPr>
          <w:highlight w:val="yellow"/>
        </w:rPr>
      </w:pPr>
      <w:r>
        <w:rPr>
          <w:rFonts w:ascii="Work Sans" w:hAnsi="Work Sans" w:cs="Arial"/>
          <w:b/>
          <w:sz w:val="20"/>
          <w:szCs w:val="20"/>
        </w:rPr>
        <w:t xml:space="preserve">Parágrafo. </w:t>
      </w:r>
      <w:bookmarkStart w:id="12" w:name="_Hlk74726827"/>
      <w:r w:rsidR="009D11E0" w:rsidRPr="00042E42">
        <w:rPr>
          <w:rFonts w:ascii="Work Sans" w:hAnsi="Work Sans" w:cs="Arial"/>
          <w:sz w:val="20"/>
          <w:szCs w:val="20"/>
        </w:rPr>
        <w:t>El</w:t>
      </w:r>
      <w:r w:rsidRPr="009D11E0">
        <w:rPr>
          <w:rFonts w:ascii="Work Sans" w:hAnsi="Work Sans" w:cs="Arial"/>
          <w:bCs/>
          <w:sz w:val="20"/>
          <w:szCs w:val="20"/>
        </w:rPr>
        <w:t xml:space="preserve"> incremento previsto en el presente artículo se aplicarán por una sola vez en el</w:t>
      </w:r>
      <w:r>
        <w:rPr>
          <w:rFonts w:ascii="Work Sans" w:hAnsi="Work Sans" w:cs="Arial"/>
          <w:bCs/>
          <w:sz w:val="20"/>
          <w:szCs w:val="20"/>
        </w:rPr>
        <w:t xml:space="preserve"> mes de enero siguiente al inicio de la </w:t>
      </w:r>
      <w:r w:rsidR="009D11E0">
        <w:rPr>
          <w:rFonts w:ascii="Work Sans" w:hAnsi="Work Sans" w:cs="Arial"/>
          <w:bCs/>
          <w:sz w:val="20"/>
          <w:szCs w:val="20"/>
        </w:rPr>
        <w:t>e</w:t>
      </w:r>
      <w:r>
        <w:rPr>
          <w:rFonts w:ascii="Work Sans" w:hAnsi="Work Sans" w:cs="Arial"/>
          <w:bCs/>
          <w:sz w:val="20"/>
          <w:szCs w:val="20"/>
        </w:rPr>
        <w:t xml:space="preserve">tapa de </w:t>
      </w:r>
      <w:r w:rsidR="009D11E0">
        <w:rPr>
          <w:rFonts w:ascii="Work Sans" w:hAnsi="Work Sans" w:cs="Arial"/>
          <w:bCs/>
          <w:sz w:val="20"/>
          <w:szCs w:val="20"/>
        </w:rPr>
        <w:t>o</w:t>
      </w:r>
      <w:r>
        <w:rPr>
          <w:rFonts w:ascii="Work Sans" w:hAnsi="Work Sans" w:cs="Arial"/>
          <w:bCs/>
          <w:sz w:val="20"/>
          <w:szCs w:val="20"/>
        </w:rPr>
        <w:t xml:space="preserve">peración y </w:t>
      </w:r>
      <w:r w:rsidR="009D11E0">
        <w:rPr>
          <w:rFonts w:ascii="Work Sans" w:hAnsi="Work Sans" w:cs="Arial"/>
          <w:bCs/>
          <w:sz w:val="20"/>
          <w:szCs w:val="20"/>
        </w:rPr>
        <w:t>m</w:t>
      </w:r>
      <w:r>
        <w:rPr>
          <w:rFonts w:ascii="Work Sans" w:hAnsi="Work Sans" w:cs="Arial"/>
          <w:bCs/>
          <w:sz w:val="20"/>
          <w:szCs w:val="20"/>
        </w:rPr>
        <w:t xml:space="preserve">antenimiento del </w:t>
      </w:r>
      <w:r>
        <w:rPr>
          <w:rFonts w:ascii="Work Sans" w:hAnsi="Work Sans" w:cs="Arial"/>
          <w:bCs/>
          <w:sz w:val="20"/>
          <w:szCs w:val="20"/>
        </w:rPr>
        <w:lastRenderedPageBreak/>
        <w:t xml:space="preserve">contrato de concesión conforme a lo establecido en la Parte Especial del contrato que se suscriba como consecuencia del trámite de iniciativa pública que adelante la Agencia Nacional de Infraestructura para la ejecución del </w:t>
      </w:r>
      <w:r w:rsidRPr="0011562C">
        <w:rPr>
          <w:rFonts w:ascii="Work Sans" w:hAnsi="Work Sans" w:cs="Arial"/>
          <w:bCs/>
          <w:sz w:val="20"/>
          <w:szCs w:val="20"/>
        </w:rPr>
        <w:t>Proyecto de</w:t>
      </w:r>
      <w:r w:rsidRPr="0011562C">
        <w:rPr>
          <w:rFonts w:ascii="Work Sans" w:hAnsi="Work Sans" w:cs="Arial"/>
          <w:sz w:val="20"/>
        </w:rPr>
        <w:t xml:space="preserve"> APP Corredor Troncal del Magdalena - </w:t>
      </w:r>
      <w:r w:rsidRPr="0011562C">
        <w:rPr>
          <w:rFonts w:ascii="Work Sans" w:hAnsi="Work Sans" w:cs="Arial"/>
          <w:bCs/>
          <w:sz w:val="20"/>
        </w:rPr>
        <w:t xml:space="preserve">Concesión 2 - Sabana de Torres - </w:t>
      </w:r>
      <w:r w:rsidRPr="0011562C">
        <w:rPr>
          <w:rFonts w:ascii="Work Sans" w:hAnsi="Work Sans" w:cs="Arial"/>
          <w:sz w:val="20"/>
          <w:szCs w:val="20"/>
        </w:rPr>
        <w:t>Curumaní</w:t>
      </w:r>
      <w:r w:rsidRPr="00BE3DF6">
        <w:rPr>
          <w:rFonts w:ascii="Work Sans" w:hAnsi="Work Sans" w:cs="Arial"/>
          <w:bCs/>
          <w:sz w:val="20"/>
        </w:rPr>
        <w:t>.</w:t>
      </w:r>
      <w:r w:rsidRPr="00BE3DF6">
        <w:rPr>
          <w:rFonts w:ascii="Work Sans" w:hAnsi="Work Sans" w:cs="Arial"/>
          <w:bCs/>
          <w:sz w:val="20"/>
          <w:szCs w:val="20"/>
        </w:rPr>
        <w:t xml:space="preserve"> </w:t>
      </w:r>
    </w:p>
    <w:bookmarkEnd w:id="12"/>
    <w:p w:rsidR="005F4CD5" w:rsidRDefault="005F4CD5">
      <w:pPr>
        <w:pStyle w:val="Default"/>
        <w:ind w:right="-2"/>
        <w:jc w:val="both"/>
        <w:rPr>
          <w:rFonts w:ascii="Work Sans" w:hAnsi="Work Sans" w:cs="Arial"/>
          <w:sz w:val="20"/>
          <w:szCs w:val="20"/>
        </w:rPr>
      </w:pPr>
    </w:p>
    <w:p w:rsidR="008734C6" w:rsidRPr="007B6F79" w:rsidRDefault="008734C6" w:rsidP="008734C6">
      <w:pPr>
        <w:pStyle w:val="Default"/>
        <w:ind w:right="-2"/>
        <w:jc w:val="both"/>
      </w:pPr>
      <w:r w:rsidRPr="007B6F79">
        <w:rPr>
          <w:rFonts w:ascii="Work Sans" w:hAnsi="Work Sans" w:cs="Arial"/>
          <w:b/>
          <w:bCs/>
          <w:sz w:val="20"/>
          <w:szCs w:val="20"/>
        </w:rPr>
        <w:t>Artículo 5.-</w:t>
      </w:r>
      <w:r w:rsidRPr="007B6F79">
        <w:rPr>
          <w:rFonts w:ascii="Work Sans" w:hAnsi="Work Sans" w:cs="Arial"/>
          <w:sz w:val="20"/>
          <w:szCs w:val="20"/>
        </w:rPr>
        <w:t xml:space="preserve"> </w:t>
      </w:r>
      <w:bookmarkStart w:id="13" w:name="_Hlk74726942"/>
      <w:r w:rsidRPr="007B6F79">
        <w:rPr>
          <w:rFonts w:ascii="Work Sans" w:hAnsi="Work Sans" w:cs="Arial"/>
          <w:bCs/>
          <w:sz w:val="20"/>
          <w:szCs w:val="20"/>
        </w:rPr>
        <w:t xml:space="preserve">Las tarifas para cada una de las Estaciones de Peaje </w:t>
      </w:r>
      <w:r w:rsidRPr="007B6F79">
        <w:rPr>
          <w:rFonts w:ascii="Work Sans" w:hAnsi="Work Sans" w:cs="Arial"/>
          <w:sz w:val="20"/>
          <w:szCs w:val="20"/>
        </w:rPr>
        <w:t>correspondientes al Proyecto de Asociación Público Privada Sabana de Torres - Curumaní, se actualizarán de conformidad con lo establecido en la Sección 4.2 de la Parte Especial del Contrato que se suscriba como consecuencia del trámite de la iniciativa pública que adelante la Agencia Nacional de Infraestructura para la ejecución del Proyecto de APP Corredor Troncal del Magdalena - Concesión 2 - Sabana de Torres - Curumaní</w:t>
      </w:r>
      <w:bookmarkEnd w:id="13"/>
      <w:r w:rsidRPr="007B6F79">
        <w:rPr>
          <w:rFonts w:ascii="Work Sans" w:hAnsi="Work Sans" w:cs="Arial"/>
          <w:sz w:val="20"/>
          <w:szCs w:val="20"/>
        </w:rPr>
        <w:t>.</w:t>
      </w:r>
    </w:p>
    <w:p w:rsidR="008734C6" w:rsidRPr="007B6F79" w:rsidRDefault="008734C6" w:rsidP="008734C6">
      <w:pPr>
        <w:pStyle w:val="Default"/>
        <w:ind w:right="-2"/>
        <w:jc w:val="both"/>
        <w:rPr>
          <w:rFonts w:ascii="Work Sans" w:hAnsi="Work Sans" w:cs="Arial"/>
          <w:sz w:val="20"/>
          <w:szCs w:val="20"/>
        </w:rPr>
      </w:pPr>
    </w:p>
    <w:p w:rsidR="008734C6" w:rsidRPr="007B6F79" w:rsidRDefault="00086A41" w:rsidP="008734C6">
      <w:pPr>
        <w:pStyle w:val="Default"/>
        <w:ind w:right="-2"/>
        <w:jc w:val="both"/>
      </w:pPr>
      <w:r>
        <w:rPr>
          <w:rFonts w:ascii="Work Sans" w:hAnsi="Work Sans" w:cs="Arial"/>
          <w:b/>
          <w:bCs/>
          <w:sz w:val="20"/>
          <w:szCs w:val="20"/>
        </w:rPr>
        <w:t>Parágrafo</w:t>
      </w:r>
      <w:r w:rsidR="008734C6" w:rsidRPr="007B6F79">
        <w:rPr>
          <w:rFonts w:ascii="Work Sans" w:hAnsi="Work Sans" w:cs="Arial"/>
          <w:b/>
          <w:bCs/>
          <w:sz w:val="20"/>
          <w:szCs w:val="20"/>
        </w:rPr>
        <w:t xml:space="preserve">. </w:t>
      </w:r>
      <w:r w:rsidR="008734C6" w:rsidRPr="007B6F79">
        <w:rPr>
          <w:rFonts w:ascii="Work Sans" w:hAnsi="Work Sans" w:cs="Arial"/>
          <w:sz w:val="20"/>
          <w:szCs w:val="20"/>
        </w:rPr>
        <w:t>A la fecha de suscripción del acta de inicio del contrato de concesión que se llegare a celebrar las tarifas de las estaciones de peaje La Gómez, Morrison y Pailitas se cal</w:t>
      </w:r>
      <w:r w:rsidR="007B6F79" w:rsidRPr="007B6F79">
        <w:rPr>
          <w:rFonts w:ascii="Work Sans" w:hAnsi="Work Sans" w:cs="Arial"/>
          <w:sz w:val="20"/>
          <w:szCs w:val="20"/>
        </w:rPr>
        <w:t>culará</w:t>
      </w:r>
      <w:r w:rsidR="008734C6" w:rsidRPr="007B6F79">
        <w:rPr>
          <w:rFonts w:ascii="Work Sans" w:hAnsi="Work Sans" w:cs="Arial"/>
          <w:sz w:val="20"/>
          <w:szCs w:val="20"/>
        </w:rPr>
        <w:t xml:space="preserve">n teniendo en cuenta las tarifas consagradas en la circular externa No. 001 de 2021 del Instituto Nacional de Vías - INVIAS del 31 de enero de 2021, </w:t>
      </w:r>
      <w:r w:rsidR="008734C6" w:rsidRPr="007B6F79">
        <w:rPr>
          <w:rFonts w:ascii="Work Sans" w:hAnsi="Work Sans" w:cs="Arial"/>
          <w:bCs/>
          <w:sz w:val="20"/>
        </w:rPr>
        <w:t xml:space="preserve">descontando el valor correspondiente al Fondo de Seguridad Vial (FOSEVI), y </w:t>
      </w:r>
      <w:r w:rsidR="008734C6" w:rsidRPr="007B6F79">
        <w:rPr>
          <w:rFonts w:ascii="Work Sans" w:hAnsi="Work Sans" w:cs="Arial"/>
          <w:sz w:val="20"/>
          <w:szCs w:val="20"/>
        </w:rPr>
        <w:t>se actualizar teniendo en cuenta el IPC de diciembre del año inmediatamente anterior y el IPC de diciembre de 2020. Luego deberá ser sumado el FOSEVI y finalmente redondear a la centena.</w:t>
      </w:r>
    </w:p>
    <w:p w:rsidR="008734C6" w:rsidRPr="008734C6" w:rsidRDefault="008734C6" w:rsidP="00EA1D5B">
      <w:pPr>
        <w:widowControl/>
        <w:suppressAutoHyphens w:val="0"/>
        <w:autoSpaceDE w:val="0"/>
        <w:adjustRightInd w:val="0"/>
        <w:textAlignment w:val="auto"/>
        <w:rPr>
          <w:rFonts w:ascii="Work Sans" w:hAnsi="Work Sans" w:cs="Arial"/>
          <w:color w:val="000000"/>
          <w:kern w:val="0"/>
          <w:sz w:val="20"/>
          <w:highlight w:val="yellow"/>
          <w:lang w:eastAsia="es-ES" w:bidi="ar-SA"/>
        </w:rPr>
      </w:pPr>
    </w:p>
    <w:p w:rsidR="005F4CD5" w:rsidRDefault="009D11E0">
      <w:pPr>
        <w:pStyle w:val="Default"/>
        <w:ind w:right="-2"/>
        <w:jc w:val="both"/>
      </w:pPr>
      <w:r>
        <w:rPr>
          <w:rFonts w:ascii="Work Sans" w:hAnsi="Work Sans" w:cs="Arial"/>
          <w:b/>
          <w:bCs/>
          <w:sz w:val="20"/>
          <w:szCs w:val="20"/>
        </w:rPr>
        <w:t>ARTÍCULO 6.-</w:t>
      </w:r>
      <w:r>
        <w:rPr>
          <w:rFonts w:ascii="Work Sans" w:hAnsi="Work Sans" w:cs="Arial"/>
          <w:sz w:val="20"/>
          <w:szCs w:val="20"/>
        </w:rPr>
        <w:t xml:space="preserve"> </w:t>
      </w:r>
      <w:r w:rsidR="00534CD8">
        <w:rPr>
          <w:rFonts w:ascii="Work Sans" w:hAnsi="Work Sans" w:cs="Arial"/>
          <w:sz w:val="20"/>
          <w:szCs w:val="20"/>
        </w:rPr>
        <w:t>La fijación de los requisitos para acreditar la calidad de beneficiario, el procedimiento para acceder al beneficio, los mecanismos de otorgamiento, reemplazo y control, y las causales de pérdida del beneficio de las tarifas diferenciales previstas en esta resolución corresponderá a la Agencia Nacional de Infraestructura.</w:t>
      </w:r>
    </w:p>
    <w:p w:rsidR="005F4CD5" w:rsidRDefault="005F4CD5">
      <w:pPr>
        <w:pStyle w:val="Default"/>
        <w:ind w:right="-2"/>
        <w:jc w:val="both"/>
        <w:rPr>
          <w:rFonts w:ascii="Work Sans" w:hAnsi="Work Sans" w:cs="Arial"/>
          <w:sz w:val="20"/>
        </w:rPr>
      </w:pPr>
      <w:bookmarkStart w:id="14" w:name="_GoBack"/>
      <w:bookmarkEnd w:id="14"/>
    </w:p>
    <w:p w:rsidR="005F4CD5" w:rsidRDefault="009D11E0">
      <w:pPr>
        <w:pStyle w:val="Default"/>
        <w:ind w:right="-2"/>
        <w:jc w:val="both"/>
        <w:rPr>
          <w:rFonts w:ascii="Work Sans" w:hAnsi="Work Sans" w:cs="Arial"/>
          <w:sz w:val="20"/>
          <w:szCs w:val="20"/>
        </w:rPr>
      </w:pPr>
      <w:r w:rsidRPr="00042E42">
        <w:rPr>
          <w:rFonts w:ascii="Work Sans" w:hAnsi="Work Sans" w:cs="Arial"/>
          <w:b/>
          <w:sz w:val="20"/>
          <w:szCs w:val="20"/>
        </w:rPr>
        <w:t>ARTÍCULO 7.-</w:t>
      </w:r>
      <w:r w:rsidRPr="00042E42">
        <w:rPr>
          <w:rFonts w:ascii="Work Sans" w:hAnsi="Work Sans" w:cs="Arial"/>
          <w:sz w:val="20"/>
          <w:szCs w:val="20"/>
        </w:rPr>
        <w:t xml:space="preserve"> </w:t>
      </w:r>
      <w:r w:rsidR="00534CD8" w:rsidRPr="00042E42">
        <w:rPr>
          <w:rFonts w:ascii="Work Sans" w:hAnsi="Work Sans" w:cs="Arial"/>
          <w:sz w:val="20"/>
          <w:szCs w:val="20"/>
        </w:rPr>
        <w:t>La presente resolución rige a partir de la fecha de su publicación en el diario oficial</w:t>
      </w:r>
      <w:r w:rsidR="0045756A" w:rsidRPr="00042E42">
        <w:rPr>
          <w:rFonts w:ascii="Work Sans" w:hAnsi="Work Sans" w:cs="Arial"/>
          <w:sz w:val="20"/>
          <w:szCs w:val="20"/>
        </w:rPr>
        <w:t xml:space="preserve"> y deroga el artículo 6 de la Resolución 0062 de 2010</w:t>
      </w:r>
      <w:r w:rsidR="0011562C" w:rsidRPr="00042E42">
        <w:rPr>
          <w:rFonts w:ascii="Work Sans" w:hAnsi="Work Sans" w:cs="Arial"/>
          <w:sz w:val="20"/>
          <w:szCs w:val="20"/>
        </w:rPr>
        <w:t xml:space="preserve"> y 4 de la Resolución 2127 de 2014, del Ministerio de Transporte.</w:t>
      </w:r>
      <w:r w:rsidR="0011562C">
        <w:rPr>
          <w:rFonts w:ascii="Work Sans" w:hAnsi="Work Sans" w:cs="Arial"/>
          <w:sz w:val="20"/>
          <w:szCs w:val="20"/>
        </w:rPr>
        <w:t xml:space="preserve">  </w:t>
      </w:r>
    </w:p>
    <w:p w:rsidR="005F4CD5" w:rsidRDefault="005F4CD5">
      <w:pPr>
        <w:jc w:val="both"/>
        <w:rPr>
          <w:rFonts w:ascii="Work Sans" w:hAnsi="Work Sans" w:cs="Arial"/>
          <w:sz w:val="20"/>
          <w:szCs w:val="20"/>
          <w:lang w:eastAsia="es-CO"/>
        </w:rPr>
      </w:pPr>
    </w:p>
    <w:p w:rsidR="005F4CD5" w:rsidRDefault="00534CD8">
      <w:pPr>
        <w:widowControl/>
        <w:jc w:val="center"/>
        <w:textAlignment w:val="auto"/>
        <w:rPr>
          <w:rFonts w:ascii="Work Sans" w:hAnsi="Work Sans" w:cs="Arial"/>
          <w:b/>
          <w:kern w:val="0"/>
          <w:sz w:val="20"/>
          <w:szCs w:val="20"/>
          <w:lang w:val="es-CO" w:eastAsia="en-US" w:bidi="ar-SA"/>
        </w:rPr>
      </w:pPr>
      <w:r>
        <w:rPr>
          <w:rFonts w:ascii="Work Sans" w:hAnsi="Work Sans" w:cs="Arial"/>
          <w:b/>
          <w:kern w:val="0"/>
          <w:sz w:val="20"/>
          <w:szCs w:val="20"/>
          <w:lang w:val="es-CO" w:eastAsia="en-US" w:bidi="ar-SA"/>
        </w:rPr>
        <w:t>PUBLIQUESE Y CUMPLASE</w:t>
      </w:r>
    </w:p>
    <w:p w:rsidR="005F4CD5" w:rsidRDefault="005F4CD5">
      <w:pPr>
        <w:widowControl/>
        <w:jc w:val="center"/>
        <w:textAlignment w:val="auto"/>
        <w:rPr>
          <w:rFonts w:ascii="Work Sans" w:hAnsi="Work Sans" w:cs="Arial"/>
          <w:kern w:val="0"/>
          <w:sz w:val="20"/>
          <w:szCs w:val="20"/>
          <w:lang w:val="es-CO" w:eastAsia="en-US" w:bidi="ar-SA"/>
        </w:rPr>
      </w:pPr>
    </w:p>
    <w:p w:rsidR="00042E42" w:rsidRDefault="00042E42">
      <w:pPr>
        <w:widowControl/>
        <w:jc w:val="center"/>
        <w:textAlignment w:val="auto"/>
        <w:rPr>
          <w:rFonts w:ascii="Work Sans" w:hAnsi="Work Sans" w:cs="Arial"/>
          <w:kern w:val="0"/>
          <w:sz w:val="20"/>
          <w:szCs w:val="20"/>
          <w:lang w:val="es-CO" w:eastAsia="en-US" w:bidi="ar-SA"/>
        </w:rPr>
      </w:pPr>
    </w:p>
    <w:p w:rsidR="005F4CD5" w:rsidRDefault="005F4CD5">
      <w:pPr>
        <w:widowControl/>
        <w:jc w:val="center"/>
        <w:textAlignment w:val="auto"/>
        <w:rPr>
          <w:rFonts w:ascii="Work Sans" w:hAnsi="Work Sans" w:cs="Arial"/>
          <w:kern w:val="0"/>
          <w:sz w:val="20"/>
          <w:szCs w:val="20"/>
          <w:lang w:val="es-CO" w:eastAsia="en-US" w:bidi="ar-SA"/>
        </w:rPr>
      </w:pPr>
    </w:p>
    <w:p w:rsidR="005F4CD5" w:rsidRDefault="00534CD8">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rsidR="00042E42" w:rsidRDefault="00042E42">
      <w:pPr>
        <w:pStyle w:val="Standard"/>
        <w:autoSpaceDE w:val="0"/>
        <w:ind w:left="-142" w:right="-86"/>
        <w:jc w:val="center"/>
        <w:rPr>
          <w:rFonts w:ascii="Work Sans" w:hAnsi="Work Sans" w:cs="Arial"/>
          <w:sz w:val="21"/>
          <w:szCs w:val="21"/>
          <w:lang w:val="es-CO"/>
        </w:rPr>
      </w:pPr>
    </w:p>
    <w:p w:rsidR="005F4CD5" w:rsidRDefault="005F4CD5">
      <w:pPr>
        <w:widowControl/>
        <w:jc w:val="center"/>
        <w:textAlignment w:val="auto"/>
        <w:rPr>
          <w:rFonts w:ascii="Work Sans" w:hAnsi="Work Sans" w:cs="Arial"/>
          <w:kern w:val="0"/>
          <w:sz w:val="20"/>
          <w:szCs w:val="20"/>
          <w:lang w:val="es-CO" w:eastAsia="en-US" w:bidi="ar-SA"/>
        </w:rPr>
      </w:pPr>
    </w:p>
    <w:p w:rsidR="005F4CD5" w:rsidRDefault="00534CD8">
      <w:pPr>
        <w:pStyle w:val="Ttulo1"/>
        <w:ind w:right="-1"/>
        <w:rPr>
          <w:rFonts w:ascii="Work Sans" w:hAnsi="Work Sans"/>
          <w:sz w:val="20"/>
        </w:rPr>
      </w:pPr>
      <w:r>
        <w:rPr>
          <w:rFonts w:ascii="Work Sans" w:hAnsi="Work Sans"/>
          <w:sz w:val="20"/>
        </w:rPr>
        <w:t>ANGELA MARÍA OROZCO GÓMEZ</w:t>
      </w:r>
    </w:p>
    <w:p w:rsidR="005F4CD5" w:rsidRDefault="005F4CD5">
      <w:pPr>
        <w:pStyle w:val="Standard"/>
        <w:rPr>
          <w:rFonts w:ascii="Work Sans" w:hAnsi="Work Sans"/>
        </w:rPr>
      </w:pPr>
    </w:p>
    <w:p w:rsidR="00042E42" w:rsidRDefault="00042E42">
      <w:pPr>
        <w:pStyle w:val="Standard"/>
        <w:rPr>
          <w:rFonts w:ascii="Work Sans" w:hAnsi="Work Sans"/>
        </w:rPr>
      </w:pPr>
    </w:p>
    <w:p w:rsidR="005F4CD5" w:rsidRDefault="00534CD8">
      <w:pPr>
        <w:jc w:val="both"/>
        <w:rPr>
          <w:rFonts w:ascii="Work Sans" w:hAnsi="Work Sans" w:cs="Arial"/>
          <w:sz w:val="12"/>
          <w:szCs w:val="12"/>
          <w:lang w:eastAsia="es-CO"/>
        </w:rPr>
      </w:pPr>
      <w:r>
        <w:rPr>
          <w:rFonts w:ascii="Work Sans" w:hAnsi="Work Sans" w:cs="Arial"/>
          <w:sz w:val="12"/>
          <w:szCs w:val="12"/>
          <w:lang w:eastAsia="es-CO"/>
        </w:rPr>
        <w:t>Manuel Felipe Gutiérrez Torres – Presidente Agencia Nacional de Infraestructura</w:t>
      </w:r>
    </w:p>
    <w:p w:rsidR="005F4CD5" w:rsidRDefault="00534CD8">
      <w:pPr>
        <w:jc w:val="both"/>
        <w:rPr>
          <w:rFonts w:ascii="Work Sans" w:hAnsi="Work Sans" w:cs="Arial"/>
          <w:sz w:val="12"/>
          <w:szCs w:val="12"/>
          <w:lang w:eastAsia="es-CO"/>
        </w:rPr>
      </w:pPr>
      <w:r>
        <w:rPr>
          <w:rFonts w:ascii="Work Sans" w:hAnsi="Work Sans" w:cs="Arial"/>
          <w:sz w:val="12"/>
          <w:szCs w:val="12"/>
          <w:lang w:eastAsia="es-CO"/>
        </w:rPr>
        <w:t>Sol Ángel Cala Acosta – Asesora Despacho de la Ministra de Transporte</w:t>
      </w:r>
    </w:p>
    <w:p w:rsidR="005F4CD5" w:rsidRDefault="00534CD8">
      <w:pPr>
        <w:rPr>
          <w:rFonts w:ascii="Work Sans" w:hAnsi="Work Sans" w:cs="Arial"/>
          <w:sz w:val="12"/>
          <w:szCs w:val="12"/>
          <w:lang w:eastAsia="es-CO"/>
        </w:rPr>
      </w:pPr>
      <w:r>
        <w:rPr>
          <w:rFonts w:ascii="Work Sans" w:hAnsi="Work Sans" w:cs="Arial"/>
          <w:sz w:val="12"/>
          <w:szCs w:val="12"/>
          <w:lang w:eastAsia="es-CO"/>
        </w:rPr>
        <w:t>Beatriz Helena García Guzmán – Jefe Oficina Asesora de Jurídica, Ministerio de Transporte</w:t>
      </w:r>
    </w:p>
    <w:p w:rsidR="005F4CD5" w:rsidRDefault="00534CD8">
      <w:pPr>
        <w:widowControl/>
        <w:rPr>
          <w:rFonts w:ascii="Work Sans" w:hAnsi="Work Sans" w:cs="Arial"/>
          <w:sz w:val="12"/>
          <w:szCs w:val="12"/>
          <w:lang w:eastAsia="es-CO"/>
        </w:rPr>
      </w:pPr>
      <w:r>
        <w:rPr>
          <w:rFonts w:ascii="Work Sans" w:hAnsi="Work Sans" w:cs="Arial"/>
          <w:sz w:val="12"/>
          <w:szCs w:val="12"/>
          <w:lang w:eastAsia="es-CO"/>
        </w:rPr>
        <w:t xml:space="preserve">Ángela María Acosta – Jefe de Oficina de Regulación </w:t>
      </w:r>
      <w:r w:rsidR="00042E42">
        <w:rPr>
          <w:rFonts w:ascii="Work Sans" w:hAnsi="Work Sans" w:cs="Arial"/>
          <w:sz w:val="12"/>
          <w:szCs w:val="12"/>
          <w:lang w:eastAsia="es-CO"/>
        </w:rPr>
        <w:t>Económica,</w:t>
      </w:r>
      <w:r>
        <w:rPr>
          <w:rFonts w:ascii="Work Sans" w:hAnsi="Work Sans" w:cs="Arial"/>
          <w:sz w:val="12"/>
          <w:szCs w:val="12"/>
          <w:lang w:eastAsia="es-CO"/>
        </w:rPr>
        <w:t xml:space="preserve"> Ministerio de Transporte</w:t>
      </w:r>
    </w:p>
    <w:p w:rsidR="00042E42" w:rsidRDefault="00042E42" w:rsidP="00042E42">
      <w:pPr>
        <w:jc w:val="both"/>
        <w:rPr>
          <w:rFonts w:ascii="Work Sans" w:hAnsi="Work Sans" w:cs="Arial"/>
          <w:sz w:val="12"/>
          <w:szCs w:val="12"/>
          <w:lang w:eastAsia="es-CO"/>
        </w:rPr>
      </w:pPr>
      <w:bookmarkStart w:id="15" w:name="_Hlk512429908"/>
      <w:r>
        <w:rPr>
          <w:rFonts w:ascii="Work Sans" w:hAnsi="Work Sans" w:cs="Arial"/>
          <w:sz w:val="12"/>
          <w:szCs w:val="12"/>
          <w:lang w:eastAsia="es-CO"/>
        </w:rPr>
        <w:t xml:space="preserve">Fernando Ramírez Laguado- Vicepresidente Jurídico, Agencia Nacional de Infraestructura </w:t>
      </w:r>
    </w:p>
    <w:bookmarkEnd w:id="15"/>
    <w:p w:rsidR="005F4CD5" w:rsidRDefault="00534CD8">
      <w:pPr>
        <w:widowControl/>
      </w:pPr>
      <w:r>
        <w:rPr>
          <w:rFonts w:ascii="Work Sans" w:hAnsi="Work Sans" w:cs="Arial"/>
          <w:sz w:val="12"/>
          <w:szCs w:val="12"/>
          <w:lang w:val="es-MX" w:bidi="ar-SA"/>
        </w:rPr>
        <w:t xml:space="preserve">Claudia Patricia Roa Orjuela- Asesora </w:t>
      </w:r>
      <w:r>
        <w:rPr>
          <w:rFonts w:ascii="Work Sans" w:hAnsi="Work Sans" w:cs="Arial"/>
          <w:sz w:val="12"/>
          <w:szCs w:val="12"/>
          <w:lang w:eastAsia="es-CO"/>
        </w:rPr>
        <w:t>Oficina Asesora de Jurídica, Ministerio de Transporte</w:t>
      </w:r>
    </w:p>
    <w:p w:rsidR="005F4CD5" w:rsidRDefault="00534CD8" w:rsidP="00A406E2">
      <w:pPr>
        <w:widowControl/>
        <w:ind w:left="709" w:hanging="709"/>
        <w:textAlignment w:val="auto"/>
        <w:rPr>
          <w:rFonts w:ascii="Work Sans" w:hAnsi="Work Sans"/>
          <w:sz w:val="22"/>
          <w:szCs w:val="22"/>
        </w:rPr>
      </w:pPr>
      <w:r>
        <w:rPr>
          <w:rFonts w:ascii="Work Sans" w:hAnsi="Work Sans" w:cs="Arial"/>
          <w:sz w:val="12"/>
          <w:szCs w:val="12"/>
          <w:lang w:eastAsia="es-CO"/>
        </w:rPr>
        <w:t>Magda Paola Suárez Alejo – Abogada Grupo de Conceptos</w:t>
      </w:r>
    </w:p>
    <w:sectPr w:rsidR="005F4CD5">
      <w:headerReference w:type="default" r:id="rId10"/>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2D" w:rsidRDefault="00B3292D">
      <w:r>
        <w:separator/>
      </w:r>
    </w:p>
  </w:endnote>
  <w:endnote w:type="continuationSeparator" w:id="0">
    <w:p w:rsidR="00B3292D" w:rsidRDefault="00B3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ork Sans">
    <w:altName w:val="Times New Roman"/>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0000400000000000000"/>
    <w:charset w:val="01"/>
    <w:family w:val="roman"/>
    <w:notTrueType/>
    <w:pitch w:val="variable"/>
    <w:sig w:usb0="00002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LiberationSansNarrow">
    <w:panose1 w:val="00000000000000000000"/>
    <w:charset w:val="00"/>
    <w:family w:val="auto"/>
    <w:notTrueType/>
    <w:pitch w:val="default"/>
    <w:sig w:usb0="00000003" w:usb1="00000000" w:usb2="00000000" w:usb3="00000000" w:csb0="00000001" w:csb1="00000000"/>
  </w:font>
  <w:font w:name="LiberationSansNarrow-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de3of9">
    <w:altName w:val="Calibri"/>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2D" w:rsidRDefault="00B3292D">
      <w:r>
        <w:rPr>
          <w:color w:val="000000"/>
        </w:rPr>
        <w:separator/>
      </w:r>
    </w:p>
  </w:footnote>
  <w:footnote w:type="continuationSeparator" w:id="0">
    <w:p w:rsidR="00B3292D" w:rsidRDefault="00B32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D8" w:rsidRDefault="004C2279">
    <w:r w:rsidRPr="004C2279">
      <w:rPr>
        <w:noProof/>
        <w:lang w:val="es-CO" w:eastAsia="es-CO" w:bidi="ar-SA"/>
      </w:rPr>
      <w:drawing>
        <wp:inline distT="0" distB="0" distL="0" distR="0">
          <wp:extent cx="2143125" cy="323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323850"/>
                  </a:xfrm>
                  <a:prstGeom prst="rect">
                    <a:avLst/>
                  </a:prstGeom>
                  <a:noFill/>
                  <a:ln>
                    <a:noFill/>
                  </a:ln>
                </pic:spPr>
              </pic:pic>
            </a:graphicData>
          </a:graphic>
        </wp:inline>
      </w:drawing>
    </w:r>
  </w:p>
  <w:p w:rsidR="00534CD8" w:rsidRDefault="00534CD8">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534CD8" w:rsidRDefault="00534CD8">
    <w:pPr>
      <w:pStyle w:val="Encabezado"/>
      <w:jc w:val="center"/>
    </w:pPr>
    <w:r>
      <w:rPr>
        <w:rFonts w:ascii="Work Sans" w:hAnsi="Work Sans"/>
        <w:sz w:val="20"/>
      </w:rPr>
      <w:t xml:space="preserve">de </w:t>
    </w:r>
    <w:r>
      <w:rPr>
        <w:rFonts w:ascii="Work Sans" w:hAnsi="Work Sans" w:cs="Arial"/>
        <w:sz w:val="20"/>
        <w:lang w:val="es-CO"/>
      </w:rPr>
      <w:t>*F_RAD_S*</w:t>
    </w:r>
  </w:p>
  <w:p w:rsidR="00534CD8" w:rsidRDefault="00534CD8">
    <w:pPr>
      <w:pStyle w:val="Encabezado"/>
      <w:jc w:val="center"/>
      <w:rPr>
        <w:rFonts w:ascii="Code3of9" w:hAnsi="Code3of9" w:cs="Tahoma"/>
        <w:sz w:val="36"/>
        <w:szCs w:val="40"/>
      </w:rPr>
    </w:pPr>
    <w:r>
      <w:rPr>
        <w:rFonts w:ascii="Code3of9" w:hAnsi="Code3of9" w:cs="Tahoma"/>
        <w:sz w:val="36"/>
        <w:szCs w:val="40"/>
      </w:rPr>
      <w:t>**RAD_S**</w:t>
    </w:r>
  </w:p>
  <w:p w:rsidR="00534CD8" w:rsidRDefault="00534CD8">
    <w:pPr>
      <w:pStyle w:val="Encabezado"/>
      <w:jc w:val="center"/>
      <w:rPr>
        <w:rFonts w:ascii="Code3of9" w:hAnsi="Code3of9" w:cs="Tahoma"/>
        <w:sz w:val="36"/>
        <w:szCs w:val="40"/>
      </w:rPr>
    </w:pPr>
  </w:p>
  <w:p w:rsidR="00534CD8" w:rsidRPr="005E1C25" w:rsidRDefault="00534CD8">
    <w:pPr>
      <w:pStyle w:val="Default"/>
      <w:jc w:val="center"/>
      <w:rPr>
        <w:rFonts w:ascii="Work Sans" w:hAnsi="Work Sans"/>
      </w:rPr>
    </w:pPr>
    <w:r w:rsidRPr="005E1C25">
      <w:rPr>
        <w:rFonts w:ascii="Work Sans" w:hAnsi="Work Sans" w:cs="Arial"/>
        <w:color w:val="auto"/>
        <w:sz w:val="20"/>
        <w:szCs w:val="20"/>
        <w:lang w:val="es"/>
      </w:rPr>
      <w:t>“</w:t>
    </w:r>
    <w:r w:rsidRPr="005E1C25">
      <w:rPr>
        <w:rFonts w:ascii="Work Sans" w:hAnsi="Work Sans" w:cs="Arial"/>
        <w:i/>
        <w:color w:val="auto"/>
        <w:sz w:val="20"/>
        <w:szCs w:val="20"/>
        <w:lang w:val="es"/>
      </w:rPr>
      <w:t xml:space="preserve">Por la cual se emite concepto vinculante previo a la reubicación de la estación de peaje La Gómez, se establecen tarifas diferenciales en las estaciones de peaje La Gómez, Morrison y se establecen incrementos en las tarifas de las estaciones de  peaje de La Gómez, Morrison y Pailitas, </w:t>
    </w:r>
    <w:r w:rsidR="005E1C25">
      <w:rPr>
        <w:rFonts w:ascii="Work Sans" w:hAnsi="Work Sans" w:cs="Arial"/>
        <w:i/>
        <w:color w:val="auto"/>
        <w:sz w:val="20"/>
        <w:szCs w:val="20"/>
        <w:lang w:val="es"/>
      </w:rPr>
      <w:t>del</w:t>
    </w:r>
    <w:r w:rsidRPr="005E1C25">
      <w:rPr>
        <w:rFonts w:ascii="Work Sans" w:hAnsi="Work Sans" w:cs="Arial"/>
        <w:i/>
        <w:color w:val="auto"/>
        <w:sz w:val="20"/>
        <w:szCs w:val="20"/>
        <w:lang w:val="es"/>
      </w:rPr>
      <w:t xml:space="preserve"> proyecto Troncal del Magdalena </w:t>
    </w:r>
    <w:r w:rsidRPr="00B60ADB">
      <w:rPr>
        <w:rFonts w:ascii="Work Sans" w:hAnsi="Work Sans" w:cs="Arial"/>
        <w:i/>
        <w:color w:val="auto"/>
        <w:sz w:val="20"/>
        <w:szCs w:val="20"/>
        <w:lang w:val="es"/>
      </w:rPr>
      <w:t>–</w:t>
    </w:r>
    <w:r w:rsidRPr="005E1C25">
      <w:rPr>
        <w:rFonts w:ascii="Work Sans" w:hAnsi="Work Sans" w:cs="Arial"/>
        <w:i/>
        <w:color w:val="auto"/>
        <w:sz w:val="20"/>
        <w:szCs w:val="20"/>
        <w:lang w:val="es"/>
      </w:rPr>
      <w:t xml:space="preserve"> Concesión 2 </w:t>
    </w:r>
    <w:r w:rsidRPr="00B60ADB">
      <w:rPr>
        <w:rFonts w:ascii="Work Sans" w:hAnsi="Work Sans" w:cs="Arial"/>
        <w:i/>
        <w:color w:val="auto"/>
        <w:sz w:val="20"/>
        <w:szCs w:val="20"/>
        <w:lang w:val="es"/>
      </w:rPr>
      <w:t>–</w:t>
    </w:r>
    <w:r w:rsidRPr="005E1C25">
      <w:rPr>
        <w:rFonts w:ascii="Work Sans" w:hAnsi="Work Sans" w:cs="Arial"/>
        <w:i/>
        <w:color w:val="auto"/>
        <w:sz w:val="20"/>
        <w:szCs w:val="20"/>
        <w:lang w:val="es"/>
      </w:rPr>
      <w:t xml:space="preserve"> Sabana de Torres </w:t>
    </w:r>
    <w:r w:rsidRPr="00B60ADB">
      <w:rPr>
        <w:rFonts w:ascii="Work Sans" w:hAnsi="Work Sans" w:cs="Arial"/>
        <w:i/>
        <w:color w:val="auto"/>
        <w:sz w:val="20"/>
        <w:szCs w:val="20"/>
        <w:lang w:val="es"/>
      </w:rPr>
      <w:t>–</w:t>
    </w:r>
    <w:r w:rsidRPr="005E1C25">
      <w:rPr>
        <w:rFonts w:ascii="Work Sans" w:hAnsi="Work Sans" w:cs="Arial"/>
        <w:i/>
        <w:color w:val="auto"/>
        <w:sz w:val="20"/>
        <w:szCs w:val="20"/>
        <w:lang w:val="es"/>
      </w:rPr>
      <w:t xml:space="preserve"> Curumani</w:t>
    </w:r>
    <w:r w:rsidR="00C56FE2">
      <w:rPr>
        <w:rFonts w:ascii="Work Sans" w:hAnsi="Work Sans" w:cs="Arial"/>
        <w:i/>
        <w:color w:val="auto"/>
        <w:sz w:val="20"/>
        <w:szCs w:val="20"/>
        <w:lang w:val="es"/>
      </w:rPr>
      <w:t>,</w:t>
    </w:r>
    <w:r w:rsidRPr="005E1C25">
      <w:rPr>
        <w:rFonts w:ascii="Work Sans" w:hAnsi="Work Sans" w:cs="Arial"/>
        <w:i/>
        <w:color w:val="auto"/>
        <w:sz w:val="20"/>
        <w:szCs w:val="20"/>
        <w:lang w:val="es"/>
      </w:rPr>
      <w:t xml:space="preserve"> y se dictan otras disposiciones</w:t>
    </w:r>
    <w:r w:rsidRPr="005E1C25">
      <w:rPr>
        <w:rFonts w:ascii="Work Sans" w:hAnsi="Work Sans" w:cs="Arial"/>
        <w:color w:val="auto"/>
        <w:sz w:val="20"/>
        <w:szCs w:val="20"/>
        <w:lang w:val="es"/>
      </w:rPr>
      <w:t>”</w:t>
    </w:r>
  </w:p>
  <w:p w:rsidR="00534CD8" w:rsidRDefault="00534CD8">
    <w:pPr>
      <w:pStyle w:val="Standard"/>
      <w:autoSpaceDE w:val="0"/>
      <w:rPr>
        <w:rFonts w:ascii="Work Sans" w:hAnsi="Work San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947"/>
    <w:multiLevelType w:val="multilevel"/>
    <w:tmpl w:val="47DC2D3E"/>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6E7060C"/>
    <w:multiLevelType w:val="multilevel"/>
    <w:tmpl w:val="4D0C2782"/>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9467EAE"/>
    <w:multiLevelType w:val="multilevel"/>
    <w:tmpl w:val="4C9EA602"/>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A6326A3"/>
    <w:multiLevelType w:val="multilevel"/>
    <w:tmpl w:val="F2F2E8AC"/>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11DB3704"/>
    <w:multiLevelType w:val="multilevel"/>
    <w:tmpl w:val="4FF4DDC6"/>
    <w:lvl w:ilvl="0">
      <w:start w:val="1"/>
      <w:numFmt w:val="lowerLetter"/>
      <w:lvlText w:val="%1)"/>
      <w:lvlJc w:val="left"/>
      <w:pPr>
        <w:ind w:left="360" w:hanging="360"/>
      </w:pPr>
      <w:rPr>
        <w:rFonts w:ascii="Work Sans" w:hAnsi="Work Sans" w:cs="Times New Roman" w:hint="default"/>
        <w:b/>
        <w:i/>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16A612E8"/>
    <w:multiLevelType w:val="multilevel"/>
    <w:tmpl w:val="D67ABE12"/>
    <w:lvl w:ilvl="0">
      <w:start w:val="1"/>
      <w:numFmt w:val="lowerLetter"/>
      <w:lvlText w:val="%1)"/>
      <w:lvlJc w:val="left"/>
      <w:pPr>
        <w:ind w:left="360" w:hanging="360"/>
      </w:pPr>
      <w:rPr>
        <w:rFonts w:ascii="Work Sans" w:hAnsi="Work Sans" w:cs="Times New Roman" w:hint="default"/>
        <w:b/>
        <w:bCs/>
        <w:i/>
        <w:sz w:val="20"/>
        <w:szCs w:val="20"/>
      </w:rPr>
    </w:lvl>
    <w:lvl w:ilvl="1">
      <w:start w:val="1"/>
      <w:numFmt w:val="lowerLetter"/>
      <w:lvlText w:val="%2."/>
      <w:lvlJc w:val="left"/>
      <w:pPr>
        <w:ind w:left="360" w:hanging="360"/>
      </w:pPr>
      <w:rPr>
        <w:rFonts w:cs="Times New Roman"/>
      </w:rPr>
    </w:lvl>
    <w:lvl w:ilvl="2">
      <w:start w:val="1"/>
      <w:numFmt w:val="lowerRoman"/>
      <w:lvlText w:val="%3."/>
      <w:lvlJc w:val="right"/>
      <w:pPr>
        <w:ind w:left="180" w:hanging="180"/>
      </w:pPr>
      <w:rPr>
        <w:rFonts w:cs="Times New Roman"/>
      </w:rPr>
    </w:lvl>
    <w:lvl w:ilvl="3">
      <w:start w:val="1"/>
      <w:numFmt w:val="decimal"/>
      <w:lvlText w:val="%4."/>
      <w:lvlJc w:val="left"/>
      <w:pPr>
        <w:ind w:left="780" w:hanging="360"/>
      </w:pPr>
      <w:rPr>
        <w:rFonts w:cs="Times New Roman"/>
      </w:rPr>
    </w:lvl>
    <w:lvl w:ilvl="4">
      <w:start w:val="1"/>
      <w:numFmt w:val="lowerLetter"/>
      <w:lvlText w:val="%5."/>
      <w:lvlJc w:val="left"/>
      <w:pPr>
        <w:ind w:left="1500" w:hanging="360"/>
      </w:pPr>
      <w:rPr>
        <w:rFonts w:cs="Times New Roman"/>
      </w:rPr>
    </w:lvl>
    <w:lvl w:ilvl="5">
      <w:start w:val="1"/>
      <w:numFmt w:val="lowerRoman"/>
      <w:lvlText w:val="%6."/>
      <w:lvlJc w:val="right"/>
      <w:pPr>
        <w:ind w:left="2220" w:hanging="180"/>
      </w:pPr>
      <w:rPr>
        <w:rFonts w:cs="Times New Roman"/>
      </w:rPr>
    </w:lvl>
    <w:lvl w:ilvl="6">
      <w:start w:val="1"/>
      <w:numFmt w:val="decimal"/>
      <w:lvlText w:val="%7."/>
      <w:lvlJc w:val="left"/>
      <w:pPr>
        <w:ind w:left="2940" w:hanging="360"/>
      </w:pPr>
      <w:rPr>
        <w:rFonts w:cs="Times New Roman"/>
      </w:rPr>
    </w:lvl>
    <w:lvl w:ilvl="7">
      <w:start w:val="1"/>
      <w:numFmt w:val="lowerLetter"/>
      <w:lvlText w:val="%8."/>
      <w:lvlJc w:val="left"/>
      <w:pPr>
        <w:ind w:left="3660" w:hanging="360"/>
      </w:pPr>
      <w:rPr>
        <w:rFonts w:cs="Times New Roman"/>
      </w:rPr>
    </w:lvl>
    <w:lvl w:ilvl="8">
      <w:start w:val="1"/>
      <w:numFmt w:val="lowerRoman"/>
      <w:lvlText w:val="%9."/>
      <w:lvlJc w:val="right"/>
      <w:pPr>
        <w:ind w:left="4380" w:hanging="180"/>
      </w:pPr>
      <w:rPr>
        <w:rFonts w:cs="Times New Roman"/>
      </w:rPr>
    </w:lvl>
  </w:abstractNum>
  <w:abstractNum w:abstractNumId="6" w15:restartNumberingAfterBreak="0">
    <w:nsid w:val="21DB7C37"/>
    <w:multiLevelType w:val="multilevel"/>
    <w:tmpl w:val="4B5ED150"/>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2540402B"/>
    <w:multiLevelType w:val="multilevel"/>
    <w:tmpl w:val="CD5858DE"/>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25FB55BB"/>
    <w:multiLevelType w:val="multilevel"/>
    <w:tmpl w:val="5EF67340"/>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67F149F"/>
    <w:multiLevelType w:val="multilevel"/>
    <w:tmpl w:val="AA32E4DE"/>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2BB3333E"/>
    <w:multiLevelType w:val="multilevel"/>
    <w:tmpl w:val="0666EFF2"/>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2E7446C1"/>
    <w:multiLevelType w:val="multilevel"/>
    <w:tmpl w:val="1FDCC7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436C542F"/>
    <w:multiLevelType w:val="multilevel"/>
    <w:tmpl w:val="9C7818B6"/>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4D701418"/>
    <w:multiLevelType w:val="multilevel"/>
    <w:tmpl w:val="3EF80C46"/>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4DA626E8"/>
    <w:multiLevelType w:val="multilevel"/>
    <w:tmpl w:val="873445F4"/>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502E48C5"/>
    <w:multiLevelType w:val="multilevel"/>
    <w:tmpl w:val="E1DEC774"/>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641A16CD"/>
    <w:multiLevelType w:val="hybridMultilevel"/>
    <w:tmpl w:val="C1765A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A754F35"/>
    <w:multiLevelType w:val="multilevel"/>
    <w:tmpl w:val="CE7CF00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6B794276"/>
    <w:multiLevelType w:val="multilevel"/>
    <w:tmpl w:val="C26AE6C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9" w15:restartNumberingAfterBreak="0">
    <w:nsid w:val="6EE63628"/>
    <w:multiLevelType w:val="multilevel"/>
    <w:tmpl w:val="BC464FDC"/>
    <w:lvl w:ilvl="0">
      <w:start w:val="1"/>
      <w:numFmt w:val="decimal"/>
      <w:lvlText w:val="%1."/>
      <w:lvlJc w:val="left"/>
      <w:pPr>
        <w:ind w:left="360" w:hanging="360"/>
      </w:pPr>
      <w:rPr>
        <w:rFonts w:cs="Times New Roman"/>
        <w:b/>
      </w:rPr>
    </w:lvl>
    <w:lvl w:ilvl="1">
      <w:start w:val="1"/>
      <w:numFmt w:val="decimal"/>
      <w:lvlText w:val="%1.%2"/>
      <w:lvlJc w:val="left"/>
      <w:pPr>
        <w:ind w:left="720" w:hanging="360"/>
      </w:pPr>
      <w:rPr>
        <w:rFonts w:cs="Times New Roman"/>
        <w:b/>
        <w:bCs/>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6904755"/>
    <w:multiLevelType w:val="multilevel"/>
    <w:tmpl w:val="80BE99F6"/>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76CA6358"/>
    <w:multiLevelType w:val="multilevel"/>
    <w:tmpl w:val="F0FEC1B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76D04D2C"/>
    <w:multiLevelType w:val="multilevel"/>
    <w:tmpl w:val="8F5071D4"/>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7AE872E2"/>
    <w:multiLevelType w:val="multilevel"/>
    <w:tmpl w:val="25F8207E"/>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7C2E31E1"/>
    <w:multiLevelType w:val="multilevel"/>
    <w:tmpl w:val="6C4040A2"/>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7DF27792"/>
    <w:multiLevelType w:val="multilevel"/>
    <w:tmpl w:val="E6FE42E0"/>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7"/>
  </w:num>
  <w:num w:numId="2">
    <w:abstractNumId w:val="13"/>
  </w:num>
  <w:num w:numId="3">
    <w:abstractNumId w:val="10"/>
  </w:num>
  <w:num w:numId="4">
    <w:abstractNumId w:val="14"/>
  </w:num>
  <w:num w:numId="5">
    <w:abstractNumId w:val="21"/>
  </w:num>
  <w:num w:numId="6">
    <w:abstractNumId w:val="22"/>
  </w:num>
  <w:num w:numId="7">
    <w:abstractNumId w:val="9"/>
  </w:num>
  <w:num w:numId="8">
    <w:abstractNumId w:val="15"/>
  </w:num>
  <w:num w:numId="9">
    <w:abstractNumId w:val="6"/>
  </w:num>
  <w:num w:numId="10">
    <w:abstractNumId w:val="12"/>
  </w:num>
  <w:num w:numId="11">
    <w:abstractNumId w:val="8"/>
  </w:num>
  <w:num w:numId="12">
    <w:abstractNumId w:val="23"/>
  </w:num>
  <w:num w:numId="13">
    <w:abstractNumId w:val="0"/>
  </w:num>
  <w:num w:numId="14">
    <w:abstractNumId w:val="24"/>
  </w:num>
  <w:num w:numId="15">
    <w:abstractNumId w:val="20"/>
  </w:num>
  <w:num w:numId="16">
    <w:abstractNumId w:val="2"/>
  </w:num>
  <w:num w:numId="17">
    <w:abstractNumId w:val="1"/>
  </w:num>
  <w:num w:numId="18">
    <w:abstractNumId w:val="25"/>
  </w:num>
  <w:num w:numId="19">
    <w:abstractNumId w:val="3"/>
  </w:num>
  <w:num w:numId="20">
    <w:abstractNumId w:val="17"/>
  </w:num>
  <w:num w:numId="21">
    <w:abstractNumId w:val="19"/>
  </w:num>
  <w:num w:numId="22">
    <w:abstractNumId w:val="4"/>
  </w:num>
  <w:num w:numId="23">
    <w:abstractNumId w:val="11"/>
  </w:num>
  <w:num w:numId="24">
    <w:abstractNumId w:val="5"/>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D5"/>
    <w:rsid w:val="00042E42"/>
    <w:rsid w:val="00086A41"/>
    <w:rsid w:val="000E612D"/>
    <w:rsid w:val="0011562C"/>
    <w:rsid w:val="001844FC"/>
    <w:rsid w:val="002D3FD6"/>
    <w:rsid w:val="00380643"/>
    <w:rsid w:val="003C5DDE"/>
    <w:rsid w:val="003C706F"/>
    <w:rsid w:val="00417F31"/>
    <w:rsid w:val="0045756A"/>
    <w:rsid w:val="004C2279"/>
    <w:rsid w:val="004F698A"/>
    <w:rsid w:val="00513825"/>
    <w:rsid w:val="00534CD8"/>
    <w:rsid w:val="005435A3"/>
    <w:rsid w:val="00554CFB"/>
    <w:rsid w:val="005B1C52"/>
    <w:rsid w:val="005E1C25"/>
    <w:rsid w:val="005F4CD5"/>
    <w:rsid w:val="00606F42"/>
    <w:rsid w:val="00643B7B"/>
    <w:rsid w:val="00644345"/>
    <w:rsid w:val="006C38E9"/>
    <w:rsid w:val="007B6F79"/>
    <w:rsid w:val="007E310F"/>
    <w:rsid w:val="007F0521"/>
    <w:rsid w:val="008734C6"/>
    <w:rsid w:val="00923313"/>
    <w:rsid w:val="009D11E0"/>
    <w:rsid w:val="00A406E2"/>
    <w:rsid w:val="00B14EC9"/>
    <w:rsid w:val="00B3292D"/>
    <w:rsid w:val="00B42A5D"/>
    <w:rsid w:val="00B60ADB"/>
    <w:rsid w:val="00BE3748"/>
    <w:rsid w:val="00BE3DF6"/>
    <w:rsid w:val="00C56FE2"/>
    <w:rsid w:val="00CB43FC"/>
    <w:rsid w:val="00CD49DF"/>
    <w:rsid w:val="00CF4326"/>
    <w:rsid w:val="00EA1D5B"/>
    <w:rsid w:val="00EC28D0"/>
    <w:rsid w:val="00EE4CF8"/>
    <w:rsid w:val="00EF1B7C"/>
    <w:rsid w:val="00FE5A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3B9F77-68C5-4155-A9F8-001DE263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Liberation Serif"/>
        <w:lang w:val="es-CO" w:eastAsia="es-CO"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38E9"/>
    <w:pPr>
      <w:widowControl w:val="0"/>
      <w:suppressAutoHyphens/>
      <w:autoSpaceDN w:val="0"/>
    </w:pPr>
    <w:rPr>
      <w:rFonts w:cs="Lohit Devanagari"/>
      <w:kern w:val="3"/>
      <w:sz w:val="24"/>
      <w:szCs w:val="24"/>
      <w:lang w:val="es-ES" w:eastAsia="zh-CN" w:bidi="hi-IN"/>
    </w:rPr>
  </w:style>
  <w:style w:type="paragraph" w:styleId="Ttulo1">
    <w:name w:val="heading 1"/>
    <w:basedOn w:val="Standard"/>
    <w:next w:val="Standard"/>
    <w:link w:val="Ttulo1Car"/>
    <w:uiPriority w:val="9"/>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link w:val="Ttulo2Car"/>
    <w:uiPriority w:val="9"/>
    <w:pPr>
      <w:keepNext/>
      <w:widowControl w:val="0"/>
      <w:jc w:val="center"/>
      <w:outlineLvl w:val="1"/>
    </w:pPr>
    <w:rPr>
      <w:rFonts w:ascii="Arial" w:hAnsi="Arial" w:cs="Arial"/>
      <w:b/>
    </w:rPr>
  </w:style>
  <w:style w:type="paragraph" w:styleId="Ttulo3">
    <w:name w:val="heading 3"/>
    <w:basedOn w:val="Standard"/>
    <w:next w:val="Standard"/>
    <w:link w:val="Ttulo3Car"/>
    <w:uiPriority w:val="9"/>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pPr>
      <w:keepNext/>
      <w:outlineLvl w:val="4"/>
    </w:pPr>
    <w:rPr>
      <w:rFonts w:ascii="Arial" w:hAnsi="Arial" w:cs="Arial"/>
      <w:b/>
      <w:bCs/>
      <w:sz w:val="28"/>
    </w:rPr>
  </w:style>
  <w:style w:type="paragraph" w:styleId="Ttulo6">
    <w:name w:val="heading 6"/>
    <w:basedOn w:val="Standard"/>
    <w:next w:val="Standard"/>
    <w:link w:val="Ttulo6Car"/>
    <w:uiPriority w:val="9"/>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pPr>
      <w:keepNext/>
      <w:outlineLvl w:val="6"/>
    </w:pPr>
    <w:rPr>
      <w:rFonts w:ascii="Arial" w:hAnsi="Arial" w:cs="Arial"/>
    </w:rPr>
  </w:style>
  <w:style w:type="paragraph" w:styleId="Ttulo8">
    <w:name w:val="heading 8"/>
    <w:basedOn w:val="Standard"/>
    <w:next w:val="Standard"/>
    <w:link w:val="Ttulo8Car"/>
    <w:uiPriority w:val="9"/>
    <w:pPr>
      <w:keepNext/>
      <w:tabs>
        <w:tab w:val="left" w:pos="-720"/>
      </w:tabs>
      <w:jc w:val="center"/>
      <w:outlineLvl w:val="7"/>
    </w:pPr>
    <w:rPr>
      <w:sz w:val="28"/>
    </w:rPr>
  </w:style>
  <w:style w:type="paragraph" w:styleId="Ttulo9">
    <w:name w:val="heading 9"/>
    <w:basedOn w:val="Standard"/>
    <w:next w:val="Standard"/>
    <w:link w:val="Ttulo9Car"/>
    <w:uiPriority w:val="9"/>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libri Light" w:hAnsi="Calibri Light" w:cs="Times New Roman"/>
      <w:b/>
      <w:kern w:val="3"/>
      <w:sz w:val="29"/>
    </w:rPr>
  </w:style>
  <w:style w:type="character" w:customStyle="1" w:styleId="Ttulo2Car">
    <w:name w:val="Título 2 Car"/>
    <w:basedOn w:val="Fuentedeprrafopredeter"/>
    <w:link w:val="Ttulo2"/>
    <w:uiPriority w:val="9"/>
    <w:locked/>
    <w:rPr>
      <w:rFonts w:ascii="Calibri Light" w:hAnsi="Calibri Light" w:cs="Times New Roman"/>
      <w:b/>
      <w:i/>
      <w:sz w:val="25"/>
    </w:rPr>
  </w:style>
  <w:style w:type="character" w:customStyle="1" w:styleId="Ttulo3Car">
    <w:name w:val="Título 3 Car"/>
    <w:basedOn w:val="Fuentedeprrafopredeter"/>
    <w:link w:val="Ttulo3"/>
    <w:uiPriority w:val="9"/>
    <w:locked/>
    <w:rPr>
      <w:rFonts w:ascii="Calibri Light" w:hAnsi="Calibri Light" w:cs="Times New Roman"/>
      <w:b/>
      <w:sz w:val="23"/>
    </w:rPr>
  </w:style>
  <w:style w:type="character" w:customStyle="1" w:styleId="Ttulo4Car">
    <w:name w:val="Título 4 Car"/>
    <w:basedOn w:val="Fuentedeprrafopredeter"/>
    <w:link w:val="Ttulo4"/>
    <w:uiPriority w:val="9"/>
    <w:locked/>
    <w:rPr>
      <w:rFonts w:ascii="Calibri" w:hAnsi="Calibri" w:cs="Times New Roman"/>
      <w:b/>
      <w:sz w:val="25"/>
    </w:rPr>
  </w:style>
  <w:style w:type="character" w:customStyle="1" w:styleId="Ttulo5Car">
    <w:name w:val="Título 5 Car"/>
    <w:basedOn w:val="Fuentedeprrafopredeter"/>
    <w:link w:val="Ttulo5"/>
    <w:uiPriority w:val="9"/>
    <w:locked/>
    <w:rPr>
      <w:rFonts w:ascii="Calibri" w:hAnsi="Calibri" w:cs="Times New Roman"/>
      <w:b/>
      <w:i/>
      <w:sz w:val="23"/>
    </w:rPr>
  </w:style>
  <w:style w:type="character" w:customStyle="1" w:styleId="Ttulo6Car">
    <w:name w:val="Título 6 Car"/>
    <w:basedOn w:val="Fuentedeprrafopredeter"/>
    <w:link w:val="Ttulo6"/>
    <w:uiPriority w:val="9"/>
    <w:locked/>
    <w:rPr>
      <w:rFonts w:ascii="Calibri" w:hAnsi="Calibri" w:cs="Times New Roman"/>
      <w:b/>
      <w:sz w:val="20"/>
    </w:rPr>
  </w:style>
  <w:style w:type="character" w:customStyle="1" w:styleId="Ttulo7Car">
    <w:name w:val="Título 7 Car"/>
    <w:basedOn w:val="Fuentedeprrafopredeter"/>
    <w:link w:val="Ttulo7"/>
    <w:uiPriority w:val="9"/>
    <w:locked/>
    <w:rPr>
      <w:rFonts w:ascii="Calibri" w:hAnsi="Calibri" w:cs="Times New Roman"/>
      <w:sz w:val="21"/>
    </w:rPr>
  </w:style>
  <w:style w:type="character" w:customStyle="1" w:styleId="Ttulo8Car">
    <w:name w:val="Título 8 Car"/>
    <w:basedOn w:val="Fuentedeprrafopredeter"/>
    <w:link w:val="Ttulo8"/>
    <w:uiPriority w:val="9"/>
    <w:locked/>
    <w:rPr>
      <w:rFonts w:ascii="Calibri" w:hAnsi="Calibri" w:cs="Times New Roman"/>
      <w:i/>
      <w:sz w:val="21"/>
    </w:rPr>
  </w:style>
  <w:style w:type="character" w:customStyle="1" w:styleId="Ttulo9Car">
    <w:name w:val="Título 9 Car"/>
    <w:basedOn w:val="Fuentedeprrafopredeter"/>
    <w:link w:val="Ttulo9"/>
    <w:uiPriority w:val="9"/>
    <w:locked/>
    <w:rPr>
      <w:rFonts w:ascii="Calibri Light" w:hAnsi="Calibri Light" w:cs="Times New Roman"/>
      <w:sz w:val="20"/>
    </w:rPr>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autoSpaceDN w:val="0"/>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basedOn w:val="Standard"/>
    <w:uiPriority w:val="35"/>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character" w:customStyle="1" w:styleId="EncabezadoCar">
    <w:name w:val="Encabezado Car"/>
    <w:basedOn w:val="Fuentedeprrafopredeter"/>
    <w:link w:val="Encabezado"/>
    <w:uiPriority w:val="99"/>
    <w:locked/>
    <w:rPr>
      <w:rFonts w:cs="Times New Roman"/>
      <w:sz w:val="21"/>
    </w:r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locked/>
    <w:rPr>
      <w:rFonts w:cs="Times New Roman"/>
      <w:sz w:val="21"/>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3Car">
    <w:name w:val="Texto independiente 3 Car"/>
    <w:basedOn w:val="Fuentedeprrafopredeter"/>
    <w:link w:val="Textoindependiente3"/>
    <w:uiPriority w:val="99"/>
    <w:locked/>
    <w:rPr>
      <w:rFonts w:cs="Times New Roman"/>
      <w:sz w:val="14"/>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pPr>
    <w:rPr>
      <w:rFonts w:ascii="Courier" w:hAnsi="Courier" w:cs="Courier"/>
      <w:kern w:val="3"/>
      <w:sz w:val="24"/>
      <w:lang w:val="en-US" w:eastAsia="zh-CN"/>
    </w:rPr>
  </w:style>
  <w:style w:type="paragraph" w:styleId="Textocomentario">
    <w:name w:val="annotation text"/>
    <w:basedOn w:val="Standard"/>
    <w:link w:val="TextocomentarioCar"/>
    <w:uiPriority w:val="99"/>
    <w:rPr>
      <w:rFonts w:ascii="Arial" w:hAnsi="Arial" w:cs="Arial"/>
      <w:sz w:val="20"/>
    </w:rPr>
  </w:style>
  <w:style w:type="character" w:customStyle="1" w:styleId="TextocomentarioCar">
    <w:name w:val="Texto comentario Car"/>
    <w:basedOn w:val="Fuentedeprrafopredeter"/>
    <w:link w:val="Textocomentario"/>
    <w:uiPriority w:val="99"/>
    <w:locked/>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suppressAutoHyphens/>
      <w:autoSpaceDN w:val="0"/>
    </w:pPr>
    <w:rPr>
      <w:rFonts w:ascii="Courier New" w:hAnsi="Courier New" w:cs="Courier New"/>
      <w:kern w:val="3"/>
      <w:sz w:val="24"/>
      <w:lang w:val="es-ES" w:eastAsia="zh-CN"/>
    </w:rPr>
  </w:style>
  <w:style w:type="paragraph" w:customStyle="1" w:styleId="WW-Default">
    <w:name w:val="WW-Default"/>
    <w:pPr>
      <w:suppressAutoHyphens/>
      <w:autoSpaceDE w:val="0"/>
      <w:autoSpaceDN w:val="0"/>
    </w:pPr>
    <w:rPr>
      <w:rFonts w:ascii="Verdana" w:hAnsi="Verdana" w:cs="Verdana"/>
      <w:color w:val="000000"/>
      <w:kern w:val="3"/>
      <w:sz w:val="24"/>
      <w:szCs w:val="24"/>
      <w:lang w:val="es-ES" w:eastAsia="zh-CN"/>
    </w:rPr>
  </w:style>
  <w:style w:type="paragraph" w:styleId="Prrafodelista">
    <w:name w:val="List Paragraph"/>
    <w:aliases w:val="titulo 5,Bolita,HOJA,Lista vistosa - Énfasis 11,Colorful List - Accent 11,Guión,BOLA,Estilo 3,Titulo 8,ViÃ±eta 2,Pбrrafo de lista,BOLADEF,Párrafo de lista2,Párrafo de lista3,Párrafo de lista21,subtitulo 1w,Lista HD,Nivel 1 OS,Viñeta 2"/>
    <w:basedOn w:val="Standard"/>
    <w:uiPriority w:val="99"/>
    <w:qFormat/>
    <w:pPr>
      <w:ind w:left="708"/>
    </w:pPr>
  </w:style>
  <w:style w:type="paragraph" w:customStyle="1" w:styleId="Style1">
    <w:name w:val="Style 1"/>
    <w:pPr>
      <w:widowControl w:val="0"/>
      <w:suppressAutoHyphens/>
      <w:autoSpaceDE w:val="0"/>
      <w:autoSpaceDN w:val="0"/>
    </w:pPr>
    <w:rPr>
      <w:rFonts w:ascii="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pPr>
    <w:rPr>
      <w:rFonts w:ascii="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pPr>
    <w:rPr>
      <w:rFonts w:ascii="Arial" w:hAnsi="Arial" w:cs="Arial"/>
      <w:kern w:val="3"/>
      <w:sz w:val="24"/>
      <w:szCs w:val="24"/>
      <w:lang w:val="en-US" w:eastAsia="zh-CN"/>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uiPriority w:val="99"/>
    <w:rPr>
      <w:rFonts w:cs="Times New Roman"/>
      <w:sz w:val="16"/>
    </w:rPr>
  </w:style>
  <w:style w:type="paragraph" w:styleId="Asuntodelcomentario">
    <w:name w:val="annotation subject"/>
    <w:basedOn w:val="Textocomentario"/>
    <w:next w:val="Textocomentario"/>
    <w:link w:val="AsuntodelcomentarioCar"/>
    <w:uiPriority w:val="99"/>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link w:val="Asuntodelcomentario"/>
    <w:uiPriority w:val="99"/>
    <w:locked/>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link w:val="HTMLconformatoprevioC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uiPriority w:val="99"/>
    <w:locked/>
    <w:rPr>
      <w:rFonts w:ascii="Courier New" w:hAnsi="Courier New" w:cs="Courier New"/>
    </w:rPr>
  </w:style>
  <w:style w:type="paragraph" w:styleId="Revisin">
    <w:name w:val="Revision"/>
    <w:uiPriority w:val="99"/>
    <w:pPr>
      <w:suppressAutoHyphens/>
      <w:autoSpaceDN w:val="0"/>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uiPriority w:val="99"/>
    <w:rPr>
      <w:rFonts w:cs="Times New Roman"/>
      <w:color w:val="0000FF"/>
      <w:u w:val="single"/>
    </w:rPr>
  </w:style>
  <w:style w:type="paragraph" w:styleId="Textonotaalfinal">
    <w:name w:val="endnote text"/>
    <w:basedOn w:val="Normal"/>
    <w:link w:val="TextonotaalfinalCar"/>
    <w:uiPriority w:val="99"/>
    <w:rPr>
      <w:rFonts w:cs="Mangal"/>
      <w:sz w:val="20"/>
      <w:szCs w:val="18"/>
    </w:rPr>
  </w:style>
  <w:style w:type="character" w:customStyle="1" w:styleId="TextonotaalfinalCar">
    <w:name w:val="Texto nota al final Car"/>
    <w:basedOn w:val="Fuentedeprrafopredeter"/>
    <w:link w:val="Textonotaalfinal"/>
    <w:uiPriority w:val="99"/>
    <w:locked/>
    <w:rPr>
      <w:rFonts w:cs="Mangal"/>
      <w:kern w:val="3"/>
      <w:sz w:val="18"/>
      <w:szCs w:val="18"/>
      <w:lang w:val="es-ES" w:eastAsia="zh-CN" w:bidi="hi-IN"/>
    </w:rPr>
  </w:style>
  <w:style w:type="character" w:styleId="Refdenotaalfinal">
    <w:name w:val="endnote reference"/>
    <w:basedOn w:val="Fuentedeprrafopredeter"/>
    <w:uiPriority w:val="99"/>
    <w:rPr>
      <w:rFonts w:cs="Times New Roman"/>
      <w:position w:val="0"/>
      <w:vertAlign w:val="superscript"/>
    </w:rPr>
  </w:style>
  <w:style w:type="paragraph" w:styleId="Textonotapie">
    <w:name w:val="footnote text"/>
    <w:basedOn w:val="Normal"/>
    <w:link w:val="TextonotapieCar"/>
    <w:uiPriority w:val="99"/>
    <w:rPr>
      <w:rFonts w:cs="Mangal"/>
      <w:sz w:val="20"/>
      <w:szCs w:val="18"/>
    </w:rPr>
  </w:style>
  <w:style w:type="character" w:customStyle="1" w:styleId="TextonotapieCar">
    <w:name w:val="Texto nota pie Car"/>
    <w:basedOn w:val="Fuentedeprrafopredeter"/>
    <w:link w:val="Textonotapie"/>
    <w:uiPriority w:val="99"/>
    <w:locked/>
    <w:rPr>
      <w:rFonts w:cs="Mangal"/>
      <w:kern w:val="3"/>
      <w:sz w:val="18"/>
      <w:szCs w:val="18"/>
      <w:lang w:val="es-ES" w:eastAsia="zh-CN" w:bidi="hi-IN"/>
    </w:rPr>
  </w:style>
  <w:style w:type="character" w:styleId="Refdenotaalpie">
    <w:name w:val="footnote reference"/>
    <w:basedOn w:val="Fuentedeprrafopredeter"/>
    <w:uiPriority w:val="99"/>
    <w:rPr>
      <w:rFonts w:cs="Times New Roman"/>
      <w:position w:val="0"/>
      <w:vertAlign w:val="superscript"/>
    </w:rPr>
  </w:style>
  <w:style w:type="character" w:styleId="Textoennegrita">
    <w:name w:val="Strong"/>
    <w:basedOn w:val="Fuentedeprrafopredeter"/>
    <w:uiPriority w:val="22"/>
    <w:rPr>
      <w:rFonts w:cs="Times New Roman"/>
      <w:b/>
      <w:bCs/>
    </w:rPr>
  </w:style>
  <w:style w:type="paragraph" w:customStyle="1" w:styleId="Default">
    <w:name w:val="Default"/>
    <w:pPr>
      <w:suppressAutoHyphens/>
      <w:autoSpaceDE w:val="0"/>
      <w:autoSpaceDN w:val="0"/>
      <w:textAlignment w:val="auto"/>
    </w:pPr>
    <w:rPr>
      <w:rFonts w:ascii="Verdana" w:hAnsi="Verdana" w:cs="Verdana"/>
      <w:color w:val="000000"/>
      <w:sz w:val="24"/>
      <w:szCs w:val="24"/>
      <w:lang w:val="es-ES" w:eastAsia="es-ES"/>
    </w:rPr>
  </w:style>
  <w:style w:type="character" w:customStyle="1" w:styleId="PrrafodelistaCar">
    <w:name w:val="Párrafo de lista Car"/>
    <w:aliases w:val="titulo 5 Car,Bolita Car,HOJA Car,Colorful List Accent 1 Car,Colorful List - Accent 11 Car,Guión Car,BOLA Car,Estilo 3 Car,Titulo 8 Car,ViÃ±eta 2 Car,Pбrrafo de lista Car,BOLADEF Car,Párrafo de lista2 Car,Párrafo de lista3 Car"/>
    <w:uiPriority w:val="99"/>
    <w:rPr>
      <w:rFonts w:ascii="Courier New" w:hAnsi="Courier New"/>
      <w:kern w:val="3"/>
      <w:sz w:val="24"/>
      <w:lang w:val="es-ES" w:eastAsia="zh-CN"/>
    </w:rPr>
  </w:style>
  <w:style w:type="paragraph" w:customStyle="1" w:styleId="Normal1">
    <w:name w:val="Normal 1"/>
    <w:basedOn w:val="Sangranormal"/>
    <w:pPr>
      <w:widowControl/>
      <w:jc w:val="both"/>
      <w:textAlignment w:val="auto"/>
    </w:pPr>
    <w:rPr>
      <w:rFonts w:ascii="Times New Roman" w:hAnsi="Times New Roman" w:cs="Times New Roman"/>
      <w:kern w:val="0"/>
      <w:szCs w:val="24"/>
      <w:lang w:val="es" w:eastAsia="es-ES" w:bidi="ar-SA"/>
    </w:rPr>
  </w:style>
  <w:style w:type="character" w:customStyle="1" w:styleId="Normal1Car">
    <w:name w:val="Normal 1 Car"/>
    <w:basedOn w:val="Fuentedeprrafopredeter"/>
    <w:rPr>
      <w:rFonts w:ascii="Times New Roman" w:hAnsi="Times New Roman" w:cs="Times New Roman"/>
      <w:sz w:val="24"/>
      <w:szCs w:val="24"/>
      <w:lang w:val="es" w:eastAsia="es-ES"/>
    </w:rPr>
  </w:style>
  <w:style w:type="paragraph" w:styleId="Sangranormal">
    <w:name w:val="Normal Indent"/>
    <w:basedOn w:val="Normal"/>
    <w:uiPriority w:val="99"/>
    <w:pPr>
      <w:ind w:left="708"/>
    </w:pPr>
    <w:rPr>
      <w:rFonts w:cs="Mangal"/>
      <w:szCs w:val="21"/>
    </w:rPr>
  </w:style>
  <w:style w:type="paragraph" w:customStyle="1" w:styleId="pa10">
    <w:name w:val="pa10"/>
    <w:basedOn w:val="Normal"/>
    <w:pPr>
      <w:widowControl/>
      <w:spacing w:before="100" w:after="100"/>
      <w:textAlignment w:val="auto"/>
    </w:pPr>
    <w:rPr>
      <w:rFonts w:ascii="Times New Roman" w:hAnsi="Times New Roman" w:cs="Times New Roman"/>
      <w:kern w:val="0"/>
      <w:lang w:val="es-CO" w:eastAsia="es-CO" w:bidi="ar-SA"/>
    </w:rPr>
  </w:style>
  <w:style w:type="numbering" w:customStyle="1" w:styleId="WW8Num12">
    <w:name w:val="WW8Num12"/>
    <w:pPr>
      <w:numPr>
        <w:numId w:val="13"/>
      </w:numPr>
    </w:pPr>
  </w:style>
  <w:style w:type="numbering" w:customStyle="1" w:styleId="WW8Num19">
    <w:name w:val="WW8Num19"/>
    <w:pPr>
      <w:numPr>
        <w:numId w:val="17"/>
      </w:numPr>
    </w:pPr>
  </w:style>
  <w:style w:type="numbering" w:customStyle="1" w:styleId="WW8Num16">
    <w:name w:val="WW8Num16"/>
    <w:pPr>
      <w:numPr>
        <w:numId w:val="16"/>
      </w:numPr>
    </w:pPr>
  </w:style>
  <w:style w:type="numbering" w:customStyle="1" w:styleId="WW8Num17">
    <w:name w:val="WW8Num17"/>
    <w:pPr>
      <w:numPr>
        <w:numId w:val="19"/>
      </w:numPr>
    </w:pPr>
  </w:style>
  <w:style w:type="numbering" w:customStyle="1" w:styleId="WW8Num7">
    <w:name w:val="WW8Num7"/>
    <w:pPr>
      <w:numPr>
        <w:numId w:val="9"/>
      </w:numPr>
    </w:pPr>
  </w:style>
  <w:style w:type="numbering" w:customStyle="1" w:styleId="WW8Num2">
    <w:name w:val="WW8Num2"/>
    <w:pPr>
      <w:numPr>
        <w:numId w:val="1"/>
      </w:numPr>
    </w:pPr>
  </w:style>
  <w:style w:type="numbering" w:customStyle="1" w:styleId="WW8Num13">
    <w:name w:val="WW8Num13"/>
    <w:pPr>
      <w:numPr>
        <w:numId w:val="11"/>
      </w:numPr>
    </w:pPr>
  </w:style>
  <w:style w:type="numbering" w:customStyle="1" w:styleId="WW8Num3">
    <w:name w:val="WW8Num3"/>
    <w:pPr>
      <w:numPr>
        <w:numId w:val="7"/>
      </w:numPr>
    </w:pPr>
  </w:style>
  <w:style w:type="numbering" w:customStyle="1" w:styleId="WW8Num1">
    <w:name w:val="WW8Num1"/>
    <w:pPr>
      <w:numPr>
        <w:numId w:val="3"/>
      </w:numPr>
    </w:pPr>
  </w:style>
  <w:style w:type="numbering" w:customStyle="1" w:styleId="WW8Num5">
    <w:name w:val="WW8Num5"/>
    <w:pPr>
      <w:numPr>
        <w:numId w:val="10"/>
      </w:numPr>
    </w:pPr>
  </w:style>
  <w:style w:type="numbering" w:customStyle="1" w:styleId="WW8Num14">
    <w:name w:val="WW8Num14"/>
    <w:pPr>
      <w:numPr>
        <w:numId w:val="2"/>
      </w:numPr>
    </w:pPr>
  </w:style>
  <w:style w:type="numbering" w:customStyle="1" w:styleId="WW8Num10">
    <w:name w:val="WW8Num10"/>
    <w:pPr>
      <w:numPr>
        <w:numId w:val="4"/>
      </w:numPr>
    </w:pPr>
  </w:style>
  <w:style w:type="numbering" w:customStyle="1" w:styleId="WW8Num4">
    <w:name w:val="WW8Num4"/>
    <w:pPr>
      <w:numPr>
        <w:numId w:val="8"/>
      </w:numPr>
    </w:pPr>
  </w:style>
  <w:style w:type="numbering" w:customStyle="1" w:styleId="WW8Num15">
    <w:name w:val="WW8Num15"/>
    <w:pPr>
      <w:numPr>
        <w:numId w:val="15"/>
      </w:numPr>
    </w:pPr>
  </w:style>
  <w:style w:type="numbering" w:customStyle="1" w:styleId="WW8Num18">
    <w:name w:val="WW8Num18"/>
    <w:pPr>
      <w:numPr>
        <w:numId w:val="5"/>
      </w:numPr>
    </w:pPr>
  </w:style>
  <w:style w:type="numbering" w:customStyle="1" w:styleId="WW8Num8">
    <w:name w:val="WW8Num8"/>
    <w:pPr>
      <w:numPr>
        <w:numId w:val="6"/>
      </w:numPr>
    </w:pPr>
  </w:style>
  <w:style w:type="numbering" w:customStyle="1" w:styleId="WW8Num6">
    <w:name w:val="WW8Num6"/>
    <w:pPr>
      <w:numPr>
        <w:numId w:val="12"/>
      </w:numPr>
    </w:pPr>
  </w:style>
  <w:style w:type="numbering" w:customStyle="1" w:styleId="WW8Num11">
    <w:name w:val="WW8Num11"/>
    <w:pPr>
      <w:numPr>
        <w:numId w:val="14"/>
      </w:numPr>
    </w:pPr>
  </w:style>
  <w:style w:type="numbering" w:customStyle="1" w:styleId="WW8Num9">
    <w:name w:val="WW8Num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3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5720</Words>
  <Characters>31460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37106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Claudia Patricia Roa Orjuela</cp:lastModifiedBy>
  <cp:revision>3</cp:revision>
  <cp:lastPrinted>2020-04-03T23:17:00Z</cp:lastPrinted>
  <dcterms:created xsi:type="dcterms:W3CDTF">2021-08-13T18:38:00Z</dcterms:created>
  <dcterms:modified xsi:type="dcterms:W3CDTF">2021-08-13T19:00:00Z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