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3170"/>
        <w:gridCol w:w="1864"/>
        <w:gridCol w:w="1966"/>
        <w:gridCol w:w="1828"/>
      </w:tblGrid>
      <w:tr w:rsidR="00150E89" w:rsidRPr="00700993" w14:paraId="361ECBE5" w14:textId="77777777" w:rsidTr="007C3855">
        <w:trPr>
          <w:trHeight w:val="322"/>
        </w:trPr>
        <w:tc>
          <w:tcPr>
            <w:tcW w:w="3227" w:type="dxa"/>
            <w:shd w:val="clear" w:color="auto" w:fill="D9D9D9" w:themeFill="background1" w:themeFillShade="D9"/>
            <w:vAlign w:val="center"/>
          </w:tcPr>
          <w:p w14:paraId="46401258" w14:textId="77777777" w:rsidR="00150E89" w:rsidRPr="00700993" w:rsidRDefault="00150E89" w:rsidP="007C3855">
            <w:pPr>
              <w:contextualSpacing/>
              <w:rPr>
                <w:rFonts w:cstheme="minorHAnsi"/>
                <w:b/>
                <w:sz w:val="20"/>
                <w:szCs w:val="20"/>
              </w:rPr>
            </w:pPr>
            <w:r w:rsidRPr="00700993">
              <w:rPr>
                <w:rFonts w:cstheme="minorHAnsi"/>
                <w:b/>
                <w:sz w:val="20"/>
                <w:szCs w:val="20"/>
              </w:rPr>
              <w:t>TIPO DE REUNIÓN:</w:t>
            </w:r>
          </w:p>
        </w:tc>
        <w:tc>
          <w:tcPr>
            <w:tcW w:w="5751" w:type="dxa"/>
            <w:gridSpan w:val="3"/>
            <w:vAlign w:val="center"/>
          </w:tcPr>
          <w:p w14:paraId="230C9E3A" w14:textId="298D1CC2" w:rsidR="00150E89" w:rsidRPr="00700993" w:rsidRDefault="00D1223D" w:rsidP="007C3855">
            <w:pPr>
              <w:contextualSpacing/>
              <w:rPr>
                <w:rFonts w:cstheme="minorHAnsi"/>
                <w:sz w:val="20"/>
                <w:szCs w:val="20"/>
              </w:rPr>
            </w:pPr>
            <w:r>
              <w:rPr>
                <w:rFonts w:cstheme="minorHAnsi"/>
                <w:sz w:val="20"/>
                <w:szCs w:val="20"/>
              </w:rPr>
              <w:t xml:space="preserve">Evaluación </w:t>
            </w:r>
            <w:r w:rsidR="00325FD1">
              <w:rPr>
                <w:rFonts w:cstheme="minorHAnsi"/>
                <w:sz w:val="20"/>
                <w:szCs w:val="20"/>
              </w:rPr>
              <w:t>Estrategia Rendición de Cuentas 201</w:t>
            </w:r>
            <w:r w:rsidR="007E37E9">
              <w:rPr>
                <w:rFonts w:cstheme="minorHAnsi"/>
                <w:sz w:val="20"/>
                <w:szCs w:val="20"/>
              </w:rPr>
              <w:t>9</w:t>
            </w:r>
          </w:p>
        </w:tc>
      </w:tr>
      <w:tr w:rsidR="00150E89" w:rsidRPr="00700993" w14:paraId="62F4FCEE" w14:textId="77777777" w:rsidTr="007C3855">
        <w:trPr>
          <w:trHeight w:val="412"/>
        </w:trPr>
        <w:tc>
          <w:tcPr>
            <w:tcW w:w="3227" w:type="dxa"/>
            <w:shd w:val="clear" w:color="auto" w:fill="D9D9D9" w:themeFill="background1" w:themeFillShade="D9"/>
            <w:vAlign w:val="center"/>
          </w:tcPr>
          <w:p w14:paraId="5680EC34" w14:textId="77777777" w:rsidR="00150E89" w:rsidRPr="00700993" w:rsidRDefault="00150E89" w:rsidP="007C3855">
            <w:pPr>
              <w:contextualSpacing/>
              <w:rPr>
                <w:rFonts w:cstheme="minorHAnsi"/>
                <w:b/>
                <w:sz w:val="20"/>
                <w:szCs w:val="20"/>
              </w:rPr>
            </w:pPr>
            <w:r w:rsidRPr="00700993">
              <w:rPr>
                <w:rFonts w:cstheme="minorHAnsi"/>
                <w:b/>
                <w:sz w:val="20"/>
                <w:szCs w:val="20"/>
              </w:rPr>
              <w:t>FECHA Y HORA DE LA REUNIÓN:</w:t>
            </w:r>
          </w:p>
        </w:tc>
        <w:tc>
          <w:tcPr>
            <w:tcW w:w="1890" w:type="dxa"/>
            <w:tcBorders>
              <w:right w:val="single" w:sz="4" w:space="0" w:color="auto"/>
            </w:tcBorders>
            <w:vAlign w:val="center"/>
          </w:tcPr>
          <w:p w14:paraId="2AF262D4" w14:textId="0ACBCCA7" w:rsidR="00150E89" w:rsidRPr="00700993" w:rsidRDefault="00150E89" w:rsidP="007C3855">
            <w:pPr>
              <w:contextualSpacing/>
              <w:rPr>
                <w:rFonts w:cstheme="minorHAnsi"/>
                <w:sz w:val="20"/>
                <w:szCs w:val="20"/>
              </w:rPr>
            </w:pPr>
            <w:r w:rsidRPr="00700993">
              <w:rPr>
                <w:rFonts w:cstheme="minorHAnsi"/>
                <w:b/>
                <w:sz w:val="20"/>
                <w:szCs w:val="20"/>
              </w:rPr>
              <w:t>Fecha:</w:t>
            </w:r>
            <w:r w:rsidR="003D630B" w:rsidRPr="00700993">
              <w:rPr>
                <w:rFonts w:cstheme="minorHAnsi"/>
                <w:b/>
                <w:sz w:val="20"/>
                <w:szCs w:val="20"/>
              </w:rPr>
              <w:t xml:space="preserve"> </w:t>
            </w:r>
            <w:r w:rsidR="007E37E9">
              <w:rPr>
                <w:rFonts w:cstheme="minorHAnsi"/>
                <w:b/>
                <w:sz w:val="20"/>
                <w:szCs w:val="20"/>
              </w:rPr>
              <w:t>9</w:t>
            </w:r>
            <w:r w:rsidR="007662D5">
              <w:rPr>
                <w:rFonts w:cstheme="minorHAnsi"/>
                <w:b/>
                <w:sz w:val="20"/>
                <w:szCs w:val="20"/>
              </w:rPr>
              <w:t>/01/</w:t>
            </w:r>
            <w:r w:rsidR="007E37E9">
              <w:rPr>
                <w:rFonts w:cstheme="minorHAnsi"/>
                <w:b/>
                <w:sz w:val="20"/>
                <w:szCs w:val="20"/>
              </w:rPr>
              <w:t>20</w:t>
            </w:r>
          </w:p>
        </w:tc>
        <w:tc>
          <w:tcPr>
            <w:tcW w:w="2000" w:type="dxa"/>
            <w:tcBorders>
              <w:left w:val="single" w:sz="4" w:space="0" w:color="auto"/>
              <w:right w:val="single" w:sz="4" w:space="0" w:color="auto"/>
            </w:tcBorders>
            <w:vAlign w:val="center"/>
          </w:tcPr>
          <w:p w14:paraId="2FC633FC" w14:textId="35BA12D6" w:rsidR="00150E89" w:rsidRPr="00700993" w:rsidRDefault="00150E89" w:rsidP="007C3855">
            <w:pPr>
              <w:contextualSpacing/>
              <w:rPr>
                <w:rFonts w:cstheme="minorHAnsi"/>
                <w:sz w:val="20"/>
                <w:szCs w:val="20"/>
              </w:rPr>
            </w:pPr>
            <w:r w:rsidRPr="00700993">
              <w:rPr>
                <w:rFonts w:cstheme="minorHAnsi"/>
                <w:b/>
                <w:sz w:val="20"/>
                <w:szCs w:val="20"/>
              </w:rPr>
              <w:t>Hora Inicio:</w:t>
            </w:r>
            <w:r w:rsidR="007662D5">
              <w:rPr>
                <w:rFonts w:cstheme="minorHAnsi"/>
                <w:b/>
                <w:sz w:val="20"/>
                <w:szCs w:val="20"/>
              </w:rPr>
              <w:t xml:space="preserve"> </w:t>
            </w:r>
            <w:r w:rsidR="007E37E9">
              <w:rPr>
                <w:rFonts w:cstheme="minorHAnsi"/>
                <w:b/>
                <w:sz w:val="20"/>
                <w:szCs w:val="20"/>
              </w:rPr>
              <w:t>8</w:t>
            </w:r>
            <w:r w:rsidR="007662D5">
              <w:rPr>
                <w:rFonts w:cstheme="minorHAnsi"/>
                <w:b/>
                <w:sz w:val="20"/>
                <w:szCs w:val="20"/>
              </w:rPr>
              <w:t>:3</w:t>
            </w:r>
            <w:r w:rsidR="00FE3209" w:rsidRPr="00700993">
              <w:rPr>
                <w:rFonts w:cstheme="minorHAnsi"/>
                <w:b/>
                <w:sz w:val="20"/>
                <w:szCs w:val="20"/>
              </w:rPr>
              <w:t>0</w:t>
            </w:r>
          </w:p>
        </w:tc>
        <w:tc>
          <w:tcPr>
            <w:tcW w:w="1861" w:type="dxa"/>
            <w:tcBorders>
              <w:left w:val="single" w:sz="4" w:space="0" w:color="auto"/>
            </w:tcBorders>
            <w:vAlign w:val="center"/>
          </w:tcPr>
          <w:p w14:paraId="61C523A3" w14:textId="36D50BBF" w:rsidR="00150E89" w:rsidRPr="00700993" w:rsidRDefault="00150E89" w:rsidP="007C3855">
            <w:pPr>
              <w:contextualSpacing/>
              <w:rPr>
                <w:rFonts w:cstheme="minorHAnsi"/>
                <w:sz w:val="20"/>
                <w:szCs w:val="20"/>
              </w:rPr>
            </w:pPr>
            <w:r w:rsidRPr="00700993">
              <w:rPr>
                <w:rFonts w:cstheme="minorHAnsi"/>
                <w:b/>
                <w:sz w:val="20"/>
                <w:szCs w:val="20"/>
              </w:rPr>
              <w:t>Hora Fin:</w:t>
            </w:r>
            <w:r w:rsidR="007662D5">
              <w:rPr>
                <w:rFonts w:cstheme="minorHAnsi"/>
                <w:b/>
                <w:sz w:val="20"/>
                <w:szCs w:val="20"/>
              </w:rPr>
              <w:t xml:space="preserve"> </w:t>
            </w:r>
            <w:r w:rsidR="007E37E9">
              <w:rPr>
                <w:rFonts w:cstheme="minorHAnsi"/>
                <w:b/>
                <w:sz w:val="20"/>
                <w:szCs w:val="20"/>
              </w:rPr>
              <w:t>9:30</w:t>
            </w:r>
          </w:p>
        </w:tc>
      </w:tr>
      <w:tr w:rsidR="00150E89" w:rsidRPr="00700993" w14:paraId="07826EFC" w14:textId="77777777" w:rsidTr="007C3855">
        <w:trPr>
          <w:trHeight w:val="417"/>
        </w:trPr>
        <w:tc>
          <w:tcPr>
            <w:tcW w:w="3227" w:type="dxa"/>
            <w:shd w:val="clear" w:color="auto" w:fill="D9D9D9" w:themeFill="background1" w:themeFillShade="D9"/>
            <w:vAlign w:val="center"/>
          </w:tcPr>
          <w:p w14:paraId="6B9812B2" w14:textId="77777777" w:rsidR="00150E89" w:rsidRPr="00700993" w:rsidRDefault="00150E89" w:rsidP="007C3855">
            <w:pPr>
              <w:contextualSpacing/>
              <w:rPr>
                <w:rFonts w:cstheme="minorHAnsi"/>
                <w:b/>
                <w:sz w:val="20"/>
                <w:szCs w:val="20"/>
              </w:rPr>
            </w:pPr>
            <w:r w:rsidRPr="00700993">
              <w:rPr>
                <w:rFonts w:cstheme="minorHAnsi"/>
                <w:b/>
                <w:sz w:val="20"/>
                <w:szCs w:val="20"/>
              </w:rPr>
              <w:t>LUGAR DE LA REUNIÓN:</w:t>
            </w:r>
          </w:p>
        </w:tc>
        <w:tc>
          <w:tcPr>
            <w:tcW w:w="5751" w:type="dxa"/>
            <w:gridSpan w:val="3"/>
            <w:vAlign w:val="center"/>
          </w:tcPr>
          <w:p w14:paraId="44122782" w14:textId="77777777" w:rsidR="00150E89" w:rsidRPr="00700993" w:rsidRDefault="00FE3209" w:rsidP="007C3855">
            <w:pPr>
              <w:contextualSpacing/>
              <w:rPr>
                <w:rFonts w:cstheme="minorHAnsi"/>
                <w:sz w:val="20"/>
                <w:szCs w:val="20"/>
              </w:rPr>
            </w:pPr>
            <w:r w:rsidRPr="00700993">
              <w:rPr>
                <w:rFonts w:cstheme="minorHAnsi"/>
                <w:sz w:val="20"/>
                <w:szCs w:val="20"/>
              </w:rPr>
              <w:t>Sala reunión piso 7</w:t>
            </w:r>
          </w:p>
        </w:tc>
      </w:tr>
    </w:tbl>
    <w:p w14:paraId="31E87B56" w14:textId="77777777" w:rsidR="00F97492" w:rsidRPr="00700993" w:rsidRDefault="00F97492" w:rsidP="00B435D0">
      <w:pPr>
        <w:spacing w:line="240" w:lineRule="auto"/>
        <w:contextualSpacing/>
        <w:rPr>
          <w:rFonts w:cstheme="minorHAnsi"/>
          <w:sz w:val="20"/>
          <w:szCs w:val="20"/>
        </w:rPr>
      </w:pPr>
    </w:p>
    <w:tbl>
      <w:tblPr>
        <w:tblStyle w:val="Tablaconcuadrcula"/>
        <w:tblW w:w="0" w:type="auto"/>
        <w:tblLook w:val="04A0" w:firstRow="1" w:lastRow="0" w:firstColumn="1" w:lastColumn="0" w:noHBand="0" w:noVBand="1"/>
      </w:tblPr>
      <w:tblGrid>
        <w:gridCol w:w="8828"/>
      </w:tblGrid>
      <w:tr w:rsidR="00150E89" w:rsidRPr="00700993" w14:paraId="59D295B3" w14:textId="77777777" w:rsidTr="006D137E">
        <w:trPr>
          <w:trHeight w:val="456"/>
        </w:trPr>
        <w:tc>
          <w:tcPr>
            <w:tcW w:w="8828" w:type="dxa"/>
            <w:shd w:val="clear" w:color="auto" w:fill="D9D9D9" w:themeFill="background1" w:themeFillShade="D9"/>
            <w:vAlign w:val="center"/>
          </w:tcPr>
          <w:p w14:paraId="3ED05827" w14:textId="77777777" w:rsidR="00150E89" w:rsidRPr="00700993" w:rsidRDefault="00150E89" w:rsidP="007C3855">
            <w:pPr>
              <w:contextualSpacing/>
              <w:jc w:val="center"/>
              <w:rPr>
                <w:rFonts w:cstheme="minorHAnsi"/>
                <w:b/>
                <w:sz w:val="20"/>
                <w:szCs w:val="20"/>
              </w:rPr>
            </w:pPr>
            <w:r w:rsidRPr="00700993">
              <w:rPr>
                <w:rFonts w:cstheme="minorHAnsi"/>
                <w:b/>
                <w:sz w:val="20"/>
                <w:szCs w:val="20"/>
              </w:rPr>
              <w:t>ASISTENTES A LA REUNIÓN</w:t>
            </w:r>
          </w:p>
        </w:tc>
      </w:tr>
      <w:tr w:rsidR="00150E89" w:rsidRPr="00700993" w14:paraId="08B36A14" w14:textId="77777777" w:rsidTr="006D137E">
        <w:trPr>
          <w:trHeight w:val="419"/>
        </w:trPr>
        <w:tc>
          <w:tcPr>
            <w:tcW w:w="8828" w:type="dxa"/>
            <w:vAlign w:val="center"/>
          </w:tcPr>
          <w:p w14:paraId="7EC5E371" w14:textId="332ED8F0" w:rsidR="00150E89" w:rsidRPr="00700993" w:rsidRDefault="007662D5" w:rsidP="007C3855">
            <w:pPr>
              <w:contextualSpacing/>
              <w:rPr>
                <w:rFonts w:cstheme="minorHAnsi"/>
                <w:sz w:val="20"/>
                <w:szCs w:val="20"/>
              </w:rPr>
            </w:pPr>
            <w:r w:rsidRPr="00700993">
              <w:rPr>
                <w:rFonts w:cstheme="minorHAnsi"/>
                <w:sz w:val="20"/>
                <w:szCs w:val="20"/>
              </w:rPr>
              <w:t>Mónica Patricia Franco - GIT Atención al Ciudadano</w:t>
            </w:r>
          </w:p>
        </w:tc>
      </w:tr>
      <w:tr w:rsidR="00150E89" w:rsidRPr="00700993" w14:paraId="24B9AB13" w14:textId="77777777" w:rsidTr="006D137E">
        <w:trPr>
          <w:trHeight w:val="412"/>
        </w:trPr>
        <w:tc>
          <w:tcPr>
            <w:tcW w:w="8828" w:type="dxa"/>
            <w:vAlign w:val="center"/>
          </w:tcPr>
          <w:p w14:paraId="65F936D6" w14:textId="7455440D" w:rsidR="00150E89" w:rsidRPr="00700993" w:rsidRDefault="007662D5" w:rsidP="007C3855">
            <w:pPr>
              <w:contextualSpacing/>
              <w:rPr>
                <w:rFonts w:cstheme="minorHAnsi"/>
                <w:sz w:val="20"/>
                <w:szCs w:val="20"/>
              </w:rPr>
            </w:pPr>
            <w:r w:rsidRPr="00700993">
              <w:rPr>
                <w:rFonts w:cstheme="minorHAnsi"/>
                <w:sz w:val="20"/>
                <w:szCs w:val="20"/>
              </w:rPr>
              <w:t>Héctor E. Vanegas – GIT de Planeación</w:t>
            </w:r>
          </w:p>
        </w:tc>
      </w:tr>
      <w:tr w:rsidR="00150E89" w:rsidRPr="00700993" w14:paraId="423278FD" w14:textId="77777777" w:rsidTr="006D137E">
        <w:trPr>
          <w:trHeight w:val="418"/>
        </w:trPr>
        <w:tc>
          <w:tcPr>
            <w:tcW w:w="8828" w:type="dxa"/>
            <w:vAlign w:val="center"/>
          </w:tcPr>
          <w:p w14:paraId="01E4D0FF" w14:textId="08F3B1C1" w:rsidR="00150E89" w:rsidRPr="00700993" w:rsidRDefault="007662D5" w:rsidP="007C3855">
            <w:pPr>
              <w:contextualSpacing/>
              <w:rPr>
                <w:rFonts w:cstheme="minorHAnsi"/>
                <w:sz w:val="20"/>
                <w:szCs w:val="20"/>
              </w:rPr>
            </w:pPr>
            <w:r w:rsidRPr="00700993">
              <w:rPr>
                <w:rFonts w:cstheme="minorHAnsi"/>
                <w:sz w:val="20"/>
                <w:szCs w:val="20"/>
              </w:rPr>
              <w:t>Ricardo Aguilera W. – GIT de Planeación</w:t>
            </w:r>
          </w:p>
        </w:tc>
      </w:tr>
      <w:tr w:rsidR="00700993" w:rsidRPr="00700993" w14:paraId="3464D278" w14:textId="77777777" w:rsidTr="006D137E">
        <w:trPr>
          <w:trHeight w:val="418"/>
        </w:trPr>
        <w:tc>
          <w:tcPr>
            <w:tcW w:w="8828" w:type="dxa"/>
            <w:vAlign w:val="center"/>
          </w:tcPr>
          <w:p w14:paraId="752F588B" w14:textId="01B431BD" w:rsidR="00700993" w:rsidRPr="00700993" w:rsidRDefault="007662D5" w:rsidP="007C3855">
            <w:pPr>
              <w:contextualSpacing/>
              <w:rPr>
                <w:rFonts w:cstheme="minorHAnsi"/>
                <w:sz w:val="20"/>
                <w:szCs w:val="20"/>
              </w:rPr>
            </w:pPr>
            <w:r>
              <w:rPr>
                <w:rFonts w:cstheme="minorHAnsi"/>
                <w:sz w:val="20"/>
                <w:szCs w:val="20"/>
              </w:rPr>
              <w:t>Jhonatan A. Hernandez – Oficina de Comunicaciones</w:t>
            </w:r>
          </w:p>
        </w:tc>
      </w:tr>
    </w:tbl>
    <w:p w14:paraId="4B009081" w14:textId="77777777" w:rsidR="00150E89" w:rsidRPr="00700993" w:rsidRDefault="00150E89" w:rsidP="00B435D0">
      <w:pPr>
        <w:spacing w:line="240" w:lineRule="auto"/>
        <w:contextualSpacing/>
        <w:rPr>
          <w:rFonts w:cstheme="minorHAnsi"/>
          <w:sz w:val="20"/>
          <w:szCs w:val="20"/>
        </w:rPr>
      </w:pPr>
    </w:p>
    <w:tbl>
      <w:tblPr>
        <w:tblStyle w:val="Tablaconcuadrcula"/>
        <w:tblW w:w="0" w:type="auto"/>
        <w:tblLook w:val="04A0" w:firstRow="1" w:lastRow="0" w:firstColumn="1" w:lastColumn="0" w:noHBand="0" w:noVBand="1"/>
      </w:tblPr>
      <w:tblGrid>
        <w:gridCol w:w="3047"/>
        <w:gridCol w:w="5781"/>
      </w:tblGrid>
      <w:tr w:rsidR="00150E89" w:rsidRPr="00700993" w14:paraId="4A58011D" w14:textId="77777777" w:rsidTr="007C3855">
        <w:trPr>
          <w:trHeight w:val="434"/>
        </w:trPr>
        <w:tc>
          <w:tcPr>
            <w:tcW w:w="3085" w:type="dxa"/>
            <w:shd w:val="clear" w:color="auto" w:fill="D9D9D9" w:themeFill="background1" w:themeFillShade="D9"/>
            <w:vAlign w:val="center"/>
          </w:tcPr>
          <w:p w14:paraId="6FB4890A" w14:textId="77777777" w:rsidR="00150E89" w:rsidRPr="00700993" w:rsidRDefault="00150E89" w:rsidP="00F22468">
            <w:pPr>
              <w:contextualSpacing/>
              <w:rPr>
                <w:rFonts w:cstheme="minorHAnsi"/>
                <w:b/>
                <w:sz w:val="20"/>
                <w:szCs w:val="20"/>
              </w:rPr>
            </w:pPr>
            <w:r w:rsidRPr="00700993">
              <w:rPr>
                <w:rFonts w:cstheme="minorHAnsi"/>
                <w:b/>
                <w:sz w:val="20"/>
                <w:szCs w:val="20"/>
              </w:rPr>
              <w:t>RESPON</w:t>
            </w:r>
            <w:r w:rsidR="00F22468" w:rsidRPr="00700993">
              <w:rPr>
                <w:rFonts w:cstheme="minorHAnsi"/>
                <w:b/>
                <w:sz w:val="20"/>
                <w:szCs w:val="20"/>
              </w:rPr>
              <w:t>S</w:t>
            </w:r>
            <w:r w:rsidRPr="00700993">
              <w:rPr>
                <w:rFonts w:cstheme="minorHAnsi"/>
                <w:b/>
                <w:sz w:val="20"/>
                <w:szCs w:val="20"/>
              </w:rPr>
              <w:t>ABLE SEGUIMIENTO:</w:t>
            </w:r>
          </w:p>
        </w:tc>
        <w:tc>
          <w:tcPr>
            <w:tcW w:w="5893" w:type="dxa"/>
            <w:vAlign w:val="center"/>
          </w:tcPr>
          <w:p w14:paraId="7BFA3F36" w14:textId="77777777" w:rsidR="00150E89" w:rsidRPr="00700993" w:rsidRDefault="00C67B2D" w:rsidP="007C3855">
            <w:pPr>
              <w:contextualSpacing/>
              <w:rPr>
                <w:rFonts w:cstheme="minorHAnsi"/>
                <w:sz w:val="20"/>
                <w:szCs w:val="20"/>
              </w:rPr>
            </w:pPr>
            <w:r w:rsidRPr="00700993">
              <w:rPr>
                <w:rFonts w:cstheme="minorHAnsi"/>
                <w:sz w:val="20"/>
                <w:szCs w:val="20"/>
              </w:rPr>
              <w:t>Ricardo Aguilera W – GIT de Planeación</w:t>
            </w:r>
          </w:p>
        </w:tc>
      </w:tr>
    </w:tbl>
    <w:p w14:paraId="2D2F912D" w14:textId="77777777" w:rsidR="00150E89" w:rsidRPr="00700993" w:rsidRDefault="00150E89" w:rsidP="00B435D0">
      <w:pPr>
        <w:contextualSpacing/>
        <w:rPr>
          <w:rFonts w:cstheme="minorHAnsi"/>
          <w:sz w:val="20"/>
          <w:szCs w:val="20"/>
        </w:rPr>
      </w:pPr>
    </w:p>
    <w:tbl>
      <w:tblPr>
        <w:tblStyle w:val="Tablaconcuadrcula"/>
        <w:tblW w:w="0" w:type="auto"/>
        <w:tblLook w:val="04A0" w:firstRow="1" w:lastRow="0" w:firstColumn="1" w:lastColumn="0" w:noHBand="0" w:noVBand="1"/>
      </w:tblPr>
      <w:tblGrid>
        <w:gridCol w:w="8828"/>
      </w:tblGrid>
      <w:tr w:rsidR="00150E89" w:rsidRPr="00700993" w14:paraId="1C3FECA1" w14:textId="77777777" w:rsidTr="007C3855">
        <w:trPr>
          <w:trHeight w:val="415"/>
        </w:trPr>
        <w:tc>
          <w:tcPr>
            <w:tcW w:w="8978" w:type="dxa"/>
            <w:shd w:val="clear" w:color="auto" w:fill="D9D9D9" w:themeFill="background1" w:themeFillShade="D9"/>
            <w:vAlign w:val="center"/>
          </w:tcPr>
          <w:p w14:paraId="14E12472" w14:textId="77777777" w:rsidR="00150E89" w:rsidRPr="00700993" w:rsidRDefault="00150E89" w:rsidP="007C3855">
            <w:pPr>
              <w:contextualSpacing/>
              <w:jc w:val="center"/>
              <w:rPr>
                <w:rFonts w:cstheme="minorHAnsi"/>
                <w:b/>
                <w:sz w:val="20"/>
                <w:szCs w:val="20"/>
              </w:rPr>
            </w:pPr>
            <w:r w:rsidRPr="00700993">
              <w:rPr>
                <w:rFonts w:cstheme="minorHAnsi"/>
                <w:b/>
                <w:sz w:val="20"/>
                <w:szCs w:val="20"/>
              </w:rPr>
              <w:t>OBJETIVOS DE REUNIÓN</w:t>
            </w:r>
            <w:r w:rsidR="00551129" w:rsidRPr="00700993">
              <w:rPr>
                <w:rFonts w:cstheme="minorHAnsi"/>
                <w:b/>
                <w:sz w:val="20"/>
                <w:szCs w:val="20"/>
              </w:rPr>
              <w:t>:</w:t>
            </w:r>
          </w:p>
        </w:tc>
      </w:tr>
      <w:tr w:rsidR="00150E89" w:rsidRPr="00700993" w14:paraId="61EC2CED" w14:textId="77777777" w:rsidTr="007C3855">
        <w:trPr>
          <w:trHeight w:val="752"/>
        </w:trPr>
        <w:tc>
          <w:tcPr>
            <w:tcW w:w="8978" w:type="dxa"/>
            <w:vAlign w:val="center"/>
          </w:tcPr>
          <w:p w14:paraId="5B658D57" w14:textId="079F8703" w:rsidR="00150E89" w:rsidRPr="00700993" w:rsidRDefault="00C67B2D" w:rsidP="007C3855">
            <w:pPr>
              <w:contextualSpacing/>
              <w:rPr>
                <w:rFonts w:cstheme="minorHAnsi"/>
                <w:sz w:val="20"/>
                <w:szCs w:val="20"/>
              </w:rPr>
            </w:pPr>
            <w:r w:rsidRPr="00700993">
              <w:rPr>
                <w:rFonts w:cstheme="minorHAnsi"/>
                <w:sz w:val="20"/>
                <w:szCs w:val="20"/>
              </w:rPr>
              <w:t>Evaluar la estrate</w:t>
            </w:r>
            <w:r w:rsidR="007662D5">
              <w:rPr>
                <w:rFonts w:cstheme="minorHAnsi"/>
                <w:sz w:val="20"/>
                <w:szCs w:val="20"/>
              </w:rPr>
              <w:t xml:space="preserve">gia de Rendición de </w:t>
            </w:r>
            <w:r w:rsidR="007662D5" w:rsidRPr="00462A62">
              <w:rPr>
                <w:rFonts w:cstheme="minorHAnsi"/>
                <w:sz w:val="20"/>
                <w:szCs w:val="20"/>
              </w:rPr>
              <w:t>Cuentas 201</w:t>
            </w:r>
            <w:r w:rsidR="00D337CD" w:rsidRPr="00462A62">
              <w:rPr>
                <w:rFonts w:cstheme="minorHAnsi"/>
                <w:sz w:val="20"/>
                <w:szCs w:val="20"/>
              </w:rPr>
              <w:t>9</w:t>
            </w:r>
          </w:p>
        </w:tc>
      </w:tr>
    </w:tbl>
    <w:p w14:paraId="3C8476A2" w14:textId="77777777" w:rsidR="00150E89" w:rsidRPr="00700993" w:rsidRDefault="00150E89" w:rsidP="00B435D0">
      <w:pPr>
        <w:contextualSpacing/>
        <w:rPr>
          <w:rFonts w:cstheme="minorHAnsi"/>
          <w:sz w:val="20"/>
          <w:szCs w:val="20"/>
        </w:rPr>
      </w:pPr>
    </w:p>
    <w:tbl>
      <w:tblPr>
        <w:tblStyle w:val="Tablaconcuadrcula"/>
        <w:tblW w:w="0" w:type="auto"/>
        <w:tblLook w:val="04A0" w:firstRow="1" w:lastRow="0" w:firstColumn="1" w:lastColumn="0" w:noHBand="0" w:noVBand="1"/>
      </w:tblPr>
      <w:tblGrid>
        <w:gridCol w:w="8828"/>
      </w:tblGrid>
      <w:tr w:rsidR="002E138A" w:rsidRPr="00700993" w14:paraId="558DC66F" w14:textId="77777777" w:rsidTr="00C67B2D">
        <w:trPr>
          <w:trHeight w:val="352"/>
        </w:trPr>
        <w:tc>
          <w:tcPr>
            <w:tcW w:w="8828" w:type="dxa"/>
            <w:shd w:val="clear" w:color="auto" w:fill="D9D9D9" w:themeFill="background1" w:themeFillShade="D9"/>
            <w:vAlign w:val="center"/>
          </w:tcPr>
          <w:p w14:paraId="40C80C54" w14:textId="77777777" w:rsidR="002E138A" w:rsidRPr="00700993" w:rsidRDefault="00551129" w:rsidP="007C3855">
            <w:pPr>
              <w:contextualSpacing/>
              <w:jc w:val="center"/>
              <w:rPr>
                <w:rFonts w:cstheme="minorHAnsi"/>
                <w:b/>
                <w:sz w:val="20"/>
                <w:szCs w:val="20"/>
              </w:rPr>
            </w:pPr>
            <w:r w:rsidRPr="00700993">
              <w:rPr>
                <w:rFonts w:cstheme="minorHAnsi"/>
                <w:b/>
                <w:sz w:val="20"/>
                <w:szCs w:val="20"/>
              </w:rPr>
              <w:t>ORDEN DEL DÍA:</w:t>
            </w:r>
          </w:p>
        </w:tc>
      </w:tr>
      <w:tr w:rsidR="002E138A" w:rsidRPr="00700993" w14:paraId="693381F5" w14:textId="77777777" w:rsidTr="00C67B2D">
        <w:trPr>
          <w:trHeight w:val="743"/>
        </w:trPr>
        <w:tc>
          <w:tcPr>
            <w:tcW w:w="8828" w:type="dxa"/>
            <w:vAlign w:val="center"/>
          </w:tcPr>
          <w:p w14:paraId="3B027AF3" w14:textId="5D54268A" w:rsidR="002E138A" w:rsidRPr="00700993" w:rsidRDefault="00C67B2D" w:rsidP="003D630B">
            <w:pPr>
              <w:pStyle w:val="Prrafodelista"/>
              <w:numPr>
                <w:ilvl w:val="0"/>
                <w:numId w:val="1"/>
              </w:numPr>
              <w:rPr>
                <w:rFonts w:cstheme="minorHAnsi"/>
                <w:sz w:val="20"/>
                <w:szCs w:val="20"/>
              </w:rPr>
            </w:pPr>
            <w:r w:rsidRPr="00700993">
              <w:rPr>
                <w:rFonts w:cstheme="minorHAnsi"/>
                <w:sz w:val="20"/>
                <w:szCs w:val="20"/>
              </w:rPr>
              <w:t>Revisión de las actividades realizadas en desarrollo de la estrate</w:t>
            </w:r>
            <w:r w:rsidR="007662D5">
              <w:rPr>
                <w:rFonts w:cstheme="minorHAnsi"/>
                <w:sz w:val="20"/>
                <w:szCs w:val="20"/>
              </w:rPr>
              <w:t xml:space="preserve">gia de Rendición de Cuentas </w:t>
            </w:r>
            <w:r w:rsidR="007662D5" w:rsidRPr="00462A62">
              <w:rPr>
                <w:rFonts w:cstheme="minorHAnsi"/>
                <w:sz w:val="20"/>
                <w:szCs w:val="20"/>
              </w:rPr>
              <w:t>201</w:t>
            </w:r>
            <w:r w:rsidR="00D337CD" w:rsidRPr="00462A62">
              <w:rPr>
                <w:rFonts w:cstheme="minorHAnsi"/>
                <w:sz w:val="20"/>
                <w:szCs w:val="20"/>
              </w:rPr>
              <w:t>9</w:t>
            </w:r>
          </w:p>
        </w:tc>
      </w:tr>
      <w:tr w:rsidR="003D630B" w:rsidRPr="00700993" w14:paraId="3B8E4BD7" w14:textId="77777777" w:rsidTr="00C67B2D">
        <w:trPr>
          <w:trHeight w:val="743"/>
        </w:trPr>
        <w:tc>
          <w:tcPr>
            <w:tcW w:w="8828" w:type="dxa"/>
            <w:vAlign w:val="center"/>
          </w:tcPr>
          <w:p w14:paraId="780D915B" w14:textId="77777777" w:rsidR="003D630B" w:rsidRPr="00700993" w:rsidRDefault="00C67B2D" w:rsidP="003D630B">
            <w:pPr>
              <w:pStyle w:val="Prrafodelista"/>
              <w:numPr>
                <w:ilvl w:val="0"/>
                <w:numId w:val="1"/>
              </w:numPr>
              <w:rPr>
                <w:rFonts w:cstheme="minorHAnsi"/>
                <w:sz w:val="20"/>
                <w:szCs w:val="20"/>
              </w:rPr>
            </w:pPr>
            <w:r w:rsidRPr="00700993">
              <w:rPr>
                <w:rFonts w:cstheme="minorHAnsi"/>
                <w:sz w:val="20"/>
                <w:szCs w:val="20"/>
              </w:rPr>
              <w:t>Conclusiones y recomendaciones.</w:t>
            </w:r>
          </w:p>
        </w:tc>
      </w:tr>
    </w:tbl>
    <w:p w14:paraId="5D0053A4" w14:textId="77777777" w:rsidR="002E138A" w:rsidRPr="00700993" w:rsidRDefault="002E138A" w:rsidP="00B435D0">
      <w:pPr>
        <w:contextualSpacing/>
        <w:rPr>
          <w:rFonts w:cstheme="minorHAnsi"/>
          <w:sz w:val="20"/>
          <w:szCs w:val="20"/>
        </w:rPr>
      </w:pPr>
    </w:p>
    <w:tbl>
      <w:tblPr>
        <w:tblStyle w:val="Tablaconcuadrcula"/>
        <w:tblW w:w="0" w:type="auto"/>
        <w:tblLook w:val="04A0" w:firstRow="1" w:lastRow="0" w:firstColumn="1" w:lastColumn="0" w:noHBand="0" w:noVBand="1"/>
      </w:tblPr>
      <w:tblGrid>
        <w:gridCol w:w="8828"/>
      </w:tblGrid>
      <w:tr w:rsidR="00551129" w:rsidRPr="00700993" w14:paraId="374BA8F2" w14:textId="77777777" w:rsidTr="007C3855">
        <w:trPr>
          <w:trHeight w:val="372"/>
        </w:trPr>
        <w:tc>
          <w:tcPr>
            <w:tcW w:w="8978" w:type="dxa"/>
            <w:shd w:val="clear" w:color="auto" w:fill="D9D9D9" w:themeFill="background1" w:themeFillShade="D9"/>
            <w:vAlign w:val="center"/>
          </w:tcPr>
          <w:p w14:paraId="7095A0ED" w14:textId="77777777" w:rsidR="00551129" w:rsidRPr="00700993" w:rsidRDefault="00551129" w:rsidP="007C3855">
            <w:pPr>
              <w:contextualSpacing/>
              <w:jc w:val="center"/>
              <w:rPr>
                <w:rFonts w:cstheme="minorHAnsi"/>
                <w:b/>
                <w:sz w:val="20"/>
                <w:szCs w:val="20"/>
              </w:rPr>
            </w:pPr>
            <w:r w:rsidRPr="00700993">
              <w:rPr>
                <w:rFonts w:cstheme="minorHAnsi"/>
                <w:b/>
                <w:sz w:val="20"/>
                <w:szCs w:val="20"/>
              </w:rPr>
              <w:t>ESTADO DE APROBACIÓN DEL ACTA</w:t>
            </w:r>
            <w:r w:rsidR="00AD34E2" w:rsidRPr="00700993">
              <w:rPr>
                <w:rFonts w:cstheme="minorHAnsi"/>
                <w:b/>
                <w:sz w:val="20"/>
                <w:szCs w:val="20"/>
              </w:rPr>
              <w:t xml:space="preserve"> POR ASISTENTES</w:t>
            </w:r>
            <w:r w:rsidRPr="00700993">
              <w:rPr>
                <w:rFonts w:cstheme="minorHAnsi"/>
                <w:b/>
                <w:sz w:val="20"/>
                <w:szCs w:val="20"/>
              </w:rPr>
              <w:t>:</w:t>
            </w:r>
          </w:p>
        </w:tc>
      </w:tr>
      <w:tr w:rsidR="00551129" w:rsidRPr="00700993" w14:paraId="6408EB6C" w14:textId="77777777" w:rsidTr="007C3855">
        <w:trPr>
          <w:trHeight w:val="743"/>
        </w:trPr>
        <w:tc>
          <w:tcPr>
            <w:tcW w:w="8978" w:type="dxa"/>
            <w:vAlign w:val="center"/>
          </w:tcPr>
          <w:p w14:paraId="6C9D27B3" w14:textId="77777777" w:rsidR="00551129" w:rsidRPr="00700993" w:rsidRDefault="00C67B2D" w:rsidP="007C3855">
            <w:pPr>
              <w:contextualSpacing/>
              <w:rPr>
                <w:rFonts w:cstheme="minorHAnsi"/>
                <w:sz w:val="20"/>
                <w:szCs w:val="20"/>
              </w:rPr>
            </w:pPr>
            <w:r w:rsidRPr="00700993">
              <w:rPr>
                <w:rFonts w:cstheme="minorHAnsi"/>
                <w:sz w:val="20"/>
                <w:szCs w:val="20"/>
              </w:rPr>
              <w:t>Se aprueba con la publicación en página WEB</w:t>
            </w:r>
          </w:p>
        </w:tc>
      </w:tr>
    </w:tbl>
    <w:p w14:paraId="453C6F91" w14:textId="77777777" w:rsidR="00551129" w:rsidRPr="00700993" w:rsidRDefault="00551129" w:rsidP="00B435D0">
      <w:pPr>
        <w:contextualSpacing/>
        <w:rPr>
          <w:rFonts w:cstheme="minorHAnsi"/>
          <w:sz w:val="20"/>
          <w:szCs w:val="20"/>
        </w:rPr>
      </w:pPr>
    </w:p>
    <w:tbl>
      <w:tblPr>
        <w:tblStyle w:val="Tablaconcuadrcula"/>
        <w:tblW w:w="0" w:type="auto"/>
        <w:tblLook w:val="04A0" w:firstRow="1" w:lastRow="0" w:firstColumn="1" w:lastColumn="0" w:noHBand="0" w:noVBand="1"/>
      </w:tblPr>
      <w:tblGrid>
        <w:gridCol w:w="2338"/>
        <w:gridCol w:w="3340"/>
        <w:gridCol w:w="3150"/>
      </w:tblGrid>
      <w:tr w:rsidR="00AD34E2" w:rsidRPr="00700993" w14:paraId="63C6A7DB" w14:textId="77777777" w:rsidTr="003D630B">
        <w:trPr>
          <w:trHeight w:val="344"/>
        </w:trPr>
        <w:tc>
          <w:tcPr>
            <w:tcW w:w="8828" w:type="dxa"/>
            <w:gridSpan w:val="3"/>
            <w:shd w:val="clear" w:color="auto" w:fill="D9D9D9" w:themeFill="background1" w:themeFillShade="D9"/>
            <w:vAlign w:val="center"/>
          </w:tcPr>
          <w:p w14:paraId="3A90E5A4" w14:textId="77777777" w:rsidR="00AD34E2" w:rsidRPr="00700993" w:rsidRDefault="00AD34E2" w:rsidP="007C3855">
            <w:pPr>
              <w:contextualSpacing/>
              <w:jc w:val="center"/>
              <w:rPr>
                <w:rFonts w:cstheme="minorHAnsi"/>
                <w:b/>
                <w:sz w:val="20"/>
                <w:szCs w:val="20"/>
              </w:rPr>
            </w:pPr>
            <w:r w:rsidRPr="00700993">
              <w:rPr>
                <w:rFonts w:cstheme="minorHAnsi"/>
                <w:b/>
                <w:sz w:val="20"/>
                <w:szCs w:val="20"/>
              </w:rPr>
              <w:t>INVITADOS EXTERNOS A LA REUNIÓN:</w:t>
            </w:r>
          </w:p>
        </w:tc>
      </w:tr>
      <w:tr w:rsidR="00AD34E2" w:rsidRPr="00700993" w14:paraId="4D42B18C" w14:textId="77777777" w:rsidTr="003D630B">
        <w:trPr>
          <w:trHeight w:val="420"/>
        </w:trPr>
        <w:tc>
          <w:tcPr>
            <w:tcW w:w="2338" w:type="dxa"/>
            <w:tcBorders>
              <w:right w:val="single" w:sz="4" w:space="0" w:color="auto"/>
            </w:tcBorders>
            <w:shd w:val="clear" w:color="auto" w:fill="auto"/>
            <w:vAlign w:val="center"/>
          </w:tcPr>
          <w:p w14:paraId="5722703F" w14:textId="77777777" w:rsidR="00AD34E2" w:rsidRPr="00700993" w:rsidRDefault="00AD34E2" w:rsidP="007C3855">
            <w:pPr>
              <w:contextualSpacing/>
              <w:jc w:val="center"/>
              <w:rPr>
                <w:rFonts w:cstheme="minorHAnsi"/>
                <w:b/>
                <w:sz w:val="20"/>
                <w:szCs w:val="20"/>
              </w:rPr>
            </w:pPr>
            <w:r w:rsidRPr="00700993">
              <w:rPr>
                <w:rFonts w:cstheme="minorHAnsi"/>
                <w:b/>
                <w:sz w:val="20"/>
                <w:szCs w:val="20"/>
              </w:rPr>
              <w:t>ENTIDAD</w:t>
            </w:r>
          </w:p>
        </w:tc>
        <w:tc>
          <w:tcPr>
            <w:tcW w:w="3340" w:type="dxa"/>
            <w:tcBorders>
              <w:left w:val="single" w:sz="4" w:space="0" w:color="auto"/>
              <w:right w:val="single" w:sz="4" w:space="0" w:color="auto"/>
            </w:tcBorders>
            <w:shd w:val="clear" w:color="auto" w:fill="auto"/>
            <w:vAlign w:val="center"/>
          </w:tcPr>
          <w:p w14:paraId="5F390C1C" w14:textId="77777777" w:rsidR="00AD34E2" w:rsidRPr="00700993" w:rsidRDefault="00AD34E2" w:rsidP="007C3855">
            <w:pPr>
              <w:contextualSpacing/>
              <w:jc w:val="center"/>
              <w:rPr>
                <w:rFonts w:cstheme="minorHAnsi"/>
                <w:b/>
                <w:sz w:val="20"/>
                <w:szCs w:val="20"/>
              </w:rPr>
            </w:pPr>
            <w:r w:rsidRPr="00700993">
              <w:rPr>
                <w:rFonts w:cstheme="minorHAnsi"/>
                <w:b/>
                <w:sz w:val="20"/>
                <w:szCs w:val="20"/>
              </w:rPr>
              <w:t>NOMBRE</w:t>
            </w:r>
            <w:r w:rsidR="00B435D0" w:rsidRPr="00700993">
              <w:rPr>
                <w:rFonts w:cstheme="minorHAnsi"/>
                <w:b/>
                <w:sz w:val="20"/>
                <w:szCs w:val="20"/>
              </w:rPr>
              <w:t>S</w:t>
            </w:r>
            <w:r w:rsidRPr="00700993">
              <w:rPr>
                <w:rFonts w:cstheme="minorHAnsi"/>
                <w:b/>
                <w:sz w:val="20"/>
                <w:szCs w:val="20"/>
              </w:rPr>
              <w:t xml:space="preserve"> - APELLIDOS</w:t>
            </w:r>
          </w:p>
        </w:tc>
        <w:tc>
          <w:tcPr>
            <w:tcW w:w="3150" w:type="dxa"/>
            <w:tcBorders>
              <w:left w:val="single" w:sz="4" w:space="0" w:color="auto"/>
            </w:tcBorders>
            <w:shd w:val="clear" w:color="auto" w:fill="auto"/>
            <w:vAlign w:val="center"/>
          </w:tcPr>
          <w:p w14:paraId="2A92653D" w14:textId="77777777" w:rsidR="00AD34E2" w:rsidRPr="00700993" w:rsidRDefault="00AD34E2" w:rsidP="007C3855">
            <w:pPr>
              <w:contextualSpacing/>
              <w:jc w:val="center"/>
              <w:rPr>
                <w:rFonts w:cstheme="minorHAnsi"/>
                <w:b/>
                <w:sz w:val="20"/>
                <w:szCs w:val="20"/>
              </w:rPr>
            </w:pPr>
            <w:r w:rsidRPr="00700993">
              <w:rPr>
                <w:rFonts w:cstheme="minorHAnsi"/>
                <w:b/>
                <w:sz w:val="20"/>
                <w:szCs w:val="20"/>
              </w:rPr>
              <w:t>CORREO ELECTRÓNICO</w:t>
            </w:r>
          </w:p>
        </w:tc>
      </w:tr>
      <w:tr w:rsidR="00AD34E2" w:rsidRPr="00700993" w14:paraId="498AC865" w14:textId="77777777" w:rsidTr="003D630B">
        <w:trPr>
          <w:trHeight w:val="412"/>
        </w:trPr>
        <w:tc>
          <w:tcPr>
            <w:tcW w:w="2338" w:type="dxa"/>
            <w:tcBorders>
              <w:right w:val="single" w:sz="4" w:space="0" w:color="auto"/>
            </w:tcBorders>
            <w:shd w:val="clear" w:color="auto" w:fill="auto"/>
            <w:vAlign w:val="center"/>
          </w:tcPr>
          <w:p w14:paraId="12A22047" w14:textId="77777777" w:rsidR="00AD34E2" w:rsidRPr="00700993" w:rsidRDefault="003D630B" w:rsidP="007C3855">
            <w:pPr>
              <w:contextualSpacing/>
              <w:jc w:val="center"/>
              <w:rPr>
                <w:rFonts w:cstheme="minorHAnsi"/>
                <w:sz w:val="20"/>
                <w:szCs w:val="20"/>
              </w:rPr>
            </w:pPr>
            <w:proofErr w:type="spellStart"/>
            <w:r w:rsidRPr="00700993">
              <w:rPr>
                <w:rFonts w:cstheme="minorHAnsi"/>
                <w:sz w:val="20"/>
                <w:szCs w:val="20"/>
              </w:rPr>
              <w:t>n.a</w:t>
            </w:r>
            <w:proofErr w:type="spellEnd"/>
            <w:r w:rsidRPr="00700993">
              <w:rPr>
                <w:rFonts w:cstheme="minorHAnsi"/>
                <w:sz w:val="20"/>
                <w:szCs w:val="20"/>
              </w:rPr>
              <w:t>.</w:t>
            </w:r>
          </w:p>
        </w:tc>
        <w:tc>
          <w:tcPr>
            <w:tcW w:w="3340" w:type="dxa"/>
            <w:tcBorders>
              <w:left w:val="single" w:sz="4" w:space="0" w:color="auto"/>
              <w:right w:val="single" w:sz="4" w:space="0" w:color="auto"/>
            </w:tcBorders>
            <w:shd w:val="clear" w:color="auto" w:fill="auto"/>
            <w:vAlign w:val="center"/>
          </w:tcPr>
          <w:p w14:paraId="70BD0427" w14:textId="77777777" w:rsidR="00AD34E2" w:rsidRPr="00700993" w:rsidRDefault="003D630B" w:rsidP="007C3855">
            <w:pPr>
              <w:contextualSpacing/>
              <w:jc w:val="center"/>
              <w:rPr>
                <w:rFonts w:cstheme="minorHAnsi"/>
                <w:sz w:val="20"/>
                <w:szCs w:val="20"/>
              </w:rPr>
            </w:pPr>
            <w:proofErr w:type="spellStart"/>
            <w:r w:rsidRPr="00700993">
              <w:rPr>
                <w:rFonts w:cstheme="minorHAnsi"/>
                <w:sz w:val="20"/>
                <w:szCs w:val="20"/>
              </w:rPr>
              <w:t>n.a</w:t>
            </w:r>
            <w:proofErr w:type="spellEnd"/>
            <w:r w:rsidRPr="00700993">
              <w:rPr>
                <w:rFonts w:cstheme="minorHAnsi"/>
                <w:sz w:val="20"/>
                <w:szCs w:val="20"/>
              </w:rPr>
              <w:t>.</w:t>
            </w:r>
          </w:p>
        </w:tc>
        <w:tc>
          <w:tcPr>
            <w:tcW w:w="3150" w:type="dxa"/>
            <w:tcBorders>
              <w:left w:val="single" w:sz="4" w:space="0" w:color="auto"/>
            </w:tcBorders>
            <w:shd w:val="clear" w:color="auto" w:fill="auto"/>
            <w:vAlign w:val="center"/>
          </w:tcPr>
          <w:p w14:paraId="1E554D7F" w14:textId="77777777" w:rsidR="00AD34E2" w:rsidRPr="00700993" w:rsidRDefault="003D630B" w:rsidP="007C3855">
            <w:pPr>
              <w:contextualSpacing/>
              <w:jc w:val="center"/>
              <w:rPr>
                <w:rFonts w:cstheme="minorHAnsi"/>
                <w:sz w:val="20"/>
                <w:szCs w:val="20"/>
              </w:rPr>
            </w:pPr>
            <w:proofErr w:type="spellStart"/>
            <w:r w:rsidRPr="00700993">
              <w:rPr>
                <w:rFonts w:cstheme="minorHAnsi"/>
                <w:sz w:val="20"/>
                <w:szCs w:val="20"/>
              </w:rPr>
              <w:t>n.a</w:t>
            </w:r>
            <w:proofErr w:type="spellEnd"/>
            <w:r w:rsidRPr="00700993">
              <w:rPr>
                <w:rFonts w:cstheme="minorHAnsi"/>
                <w:sz w:val="20"/>
                <w:szCs w:val="20"/>
              </w:rPr>
              <w:t>.</w:t>
            </w:r>
          </w:p>
        </w:tc>
      </w:tr>
    </w:tbl>
    <w:p w14:paraId="6C369A90" w14:textId="77777777" w:rsidR="00AD34E2" w:rsidRPr="00700993" w:rsidRDefault="00AD34E2" w:rsidP="00B435D0">
      <w:pPr>
        <w:contextualSpacing/>
        <w:jc w:val="center"/>
        <w:rPr>
          <w:rFonts w:cstheme="minorHAnsi"/>
          <w:b/>
          <w:sz w:val="20"/>
          <w:szCs w:val="20"/>
        </w:rPr>
      </w:pPr>
    </w:p>
    <w:p w14:paraId="05D47848" w14:textId="77777777" w:rsidR="006D137E" w:rsidRPr="00700993" w:rsidRDefault="006D137E" w:rsidP="00B435D0">
      <w:pPr>
        <w:contextualSpacing/>
        <w:jc w:val="center"/>
        <w:rPr>
          <w:rFonts w:cstheme="minorHAnsi"/>
          <w:b/>
          <w:sz w:val="20"/>
          <w:szCs w:val="20"/>
        </w:rPr>
      </w:pPr>
    </w:p>
    <w:tbl>
      <w:tblPr>
        <w:tblStyle w:val="Tablaconcuadrcula"/>
        <w:tblW w:w="0" w:type="auto"/>
        <w:tblLook w:val="04A0" w:firstRow="1" w:lastRow="0" w:firstColumn="1" w:lastColumn="0" w:noHBand="0" w:noVBand="1"/>
      </w:tblPr>
      <w:tblGrid>
        <w:gridCol w:w="2485"/>
        <w:gridCol w:w="6343"/>
      </w:tblGrid>
      <w:tr w:rsidR="00AD34E2" w:rsidRPr="00700993" w14:paraId="693DE728" w14:textId="77777777" w:rsidTr="00753E17">
        <w:trPr>
          <w:trHeight w:val="400"/>
        </w:trPr>
        <w:tc>
          <w:tcPr>
            <w:tcW w:w="8828" w:type="dxa"/>
            <w:gridSpan w:val="2"/>
            <w:shd w:val="clear" w:color="auto" w:fill="D9D9D9" w:themeFill="background1" w:themeFillShade="D9"/>
            <w:vAlign w:val="center"/>
          </w:tcPr>
          <w:p w14:paraId="43172046" w14:textId="77777777" w:rsidR="00AD34E2" w:rsidRPr="00700993" w:rsidRDefault="00AD34E2" w:rsidP="007C3855">
            <w:pPr>
              <w:contextualSpacing/>
              <w:jc w:val="center"/>
              <w:rPr>
                <w:rFonts w:cstheme="minorHAnsi"/>
                <w:b/>
                <w:sz w:val="20"/>
                <w:szCs w:val="20"/>
              </w:rPr>
            </w:pPr>
            <w:r w:rsidRPr="00700993">
              <w:rPr>
                <w:rFonts w:cstheme="minorHAnsi"/>
                <w:b/>
                <w:sz w:val="20"/>
                <w:szCs w:val="20"/>
              </w:rPr>
              <w:t>DESARROLLO DEL ORDEN DEL DÍA</w:t>
            </w:r>
          </w:p>
        </w:tc>
      </w:tr>
      <w:tr w:rsidR="00AD34E2" w:rsidRPr="00700993" w14:paraId="12589C5B" w14:textId="77777777" w:rsidTr="00753E17">
        <w:trPr>
          <w:trHeight w:val="342"/>
        </w:trPr>
        <w:tc>
          <w:tcPr>
            <w:tcW w:w="2485" w:type="dxa"/>
            <w:tcBorders>
              <w:right w:val="single" w:sz="4" w:space="0" w:color="auto"/>
            </w:tcBorders>
            <w:vAlign w:val="center"/>
          </w:tcPr>
          <w:p w14:paraId="06D9DF8C" w14:textId="77777777" w:rsidR="00AD34E2" w:rsidRPr="00700993" w:rsidRDefault="00AD34E2" w:rsidP="007C3855">
            <w:pPr>
              <w:contextualSpacing/>
              <w:jc w:val="center"/>
              <w:rPr>
                <w:rFonts w:cstheme="minorHAnsi"/>
                <w:b/>
                <w:sz w:val="20"/>
                <w:szCs w:val="20"/>
              </w:rPr>
            </w:pPr>
            <w:r w:rsidRPr="00700993">
              <w:rPr>
                <w:rFonts w:cstheme="minorHAnsi"/>
                <w:b/>
                <w:sz w:val="20"/>
                <w:szCs w:val="20"/>
              </w:rPr>
              <w:t>ORDEN DEL DÍA</w:t>
            </w:r>
          </w:p>
        </w:tc>
        <w:tc>
          <w:tcPr>
            <w:tcW w:w="6343" w:type="dxa"/>
            <w:tcBorders>
              <w:left w:val="single" w:sz="4" w:space="0" w:color="auto"/>
            </w:tcBorders>
            <w:vAlign w:val="center"/>
          </w:tcPr>
          <w:p w14:paraId="6F61B48E" w14:textId="77777777" w:rsidR="00AD34E2" w:rsidRPr="00700993" w:rsidRDefault="00AD34E2" w:rsidP="007C3855">
            <w:pPr>
              <w:contextualSpacing/>
              <w:jc w:val="center"/>
              <w:rPr>
                <w:rFonts w:cstheme="minorHAnsi"/>
                <w:b/>
                <w:sz w:val="20"/>
                <w:szCs w:val="20"/>
              </w:rPr>
            </w:pPr>
            <w:r w:rsidRPr="00700993">
              <w:rPr>
                <w:rFonts w:cstheme="minorHAnsi"/>
                <w:b/>
                <w:sz w:val="20"/>
                <w:szCs w:val="20"/>
              </w:rPr>
              <w:t>ANÁLISIS Y CONCLUSIONES</w:t>
            </w:r>
          </w:p>
        </w:tc>
      </w:tr>
      <w:tr w:rsidR="00753E17" w:rsidRPr="00700993" w14:paraId="2F48A1AF" w14:textId="77777777" w:rsidTr="00753E17">
        <w:trPr>
          <w:trHeight w:val="417"/>
        </w:trPr>
        <w:tc>
          <w:tcPr>
            <w:tcW w:w="2485" w:type="dxa"/>
            <w:tcBorders>
              <w:right w:val="single" w:sz="4" w:space="0" w:color="auto"/>
            </w:tcBorders>
            <w:vAlign w:val="center"/>
          </w:tcPr>
          <w:p w14:paraId="6C7310C5" w14:textId="313986C0" w:rsidR="00753E17" w:rsidRPr="00700993" w:rsidRDefault="000E62A0" w:rsidP="00753E17">
            <w:pPr>
              <w:contextualSpacing/>
              <w:jc w:val="both"/>
              <w:rPr>
                <w:rFonts w:cstheme="minorHAnsi"/>
                <w:sz w:val="20"/>
                <w:szCs w:val="20"/>
              </w:rPr>
            </w:pPr>
            <w:r w:rsidRPr="00700993">
              <w:rPr>
                <w:rFonts w:cstheme="minorHAnsi"/>
                <w:sz w:val="20"/>
                <w:szCs w:val="20"/>
              </w:rPr>
              <w:t>Revisión de las actividades realizadas en desarrollo de la estrate</w:t>
            </w:r>
            <w:r w:rsidR="007662D5">
              <w:rPr>
                <w:rFonts w:cstheme="minorHAnsi"/>
                <w:sz w:val="20"/>
                <w:szCs w:val="20"/>
              </w:rPr>
              <w:t xml:space="preserve">gia de Rendición de </w:t>
            </w:r>
            <w:r w:rsidR="007662D5" w:rsidRPr="00462A62">
              <w:rPr>
                <w:rFonts w:cstheme="minorHAnsi"/>
                <w:sz w:val="20"/>
                <w:szCs w:val="20"/>
              </w:rPr>
              <w:t>Cuentas 201</w:t>
            </w:r>
            <w:r w:rsidR="00D337CD" w:rsidRPr="00462A62">
              <w:rPr>
                <w:rFonts w:cstheme="minorHAnsi"/>
                <w:sz w:val="20"/>
                <w:szCs w:val="20"/>
              </w:rPr>
              <w:t>9</w:t>
            </w:r>
          </w:p>
        </w:tc>
        <w:tc>
          <w:tcPr>
            <w:tcW w:w="6343" w:type="dxa"/>
            <w:tcBorders>
              <w:left w:val="single" w:sz="4" w:space="0" w:color="auto"/>
            </w:tcBorders>
            <w:vAlign w:val="center"/>
          </w:tcPr>
          <w:p w14:paraId="15573ADF" w14:textId="77777777" w:rsidR="00D72E24" w:rsidRPr="00700993" w:rsidRDefault="00EB2D19" w:rsidP="00753E17">
            <w:pPr>
              <w:contextualSpacing/>
              <w:jc w:val="both"/>
              <w:rPr>
                <w:rFonts w:cstheme="minorHAnsi"/>
                <w:sz w:val="20"/>
                <w:szCs w:val="20"/>
              </w:rPr>
            </w:pPr>
            <w:r w:rsidRPr="00700993">
              <w:rPr>
                <w:rFonts w:cstheme="minorHAnsi"/>
                <w:sz w:val="20"/>
                <w:szCs w:val="20"/>
              </w:rPr>
              <w:t>La estrategia formulada en la vigencia se desarrolló a través de l</w:t>
            </w:r>
            <w:r w:rsidR="00D66286" w:rsidRPr="00700993">
              <w:rPr>
                <w:rFonts w:cstheme="minorHAnsi"/>
                <w:sz w:val="20"/>
                <w:szCs w:val="20"/>
              </w:rPr>
              <w:t>a</w:t>
            </w:r>
            <w:r w:rsidRPr="00700993">
              <w:rPr>
                <w:rFonts w:cstheme="minorHAnsi"/>
                <w:sz w:val="20"/>
                <w:szCs w:val="20"/>
              </w:rPr>
              <w:t>s siguiente</w:t>
            </w:r>
            <w:r w:rsidR="00D66286" w:rsidRPr="00700993">
              <w:rPr>
                <w:rFonts w:cstheme="minorHAnsi"/>
                <w:sz w:val="20"/>
                <w:szCs w:val="20"/>
              </w:rPr>
              <w:t>s actividades</w:t>
            </w:r>
            <w:r w:rsidRPr="00700993">
              <w:rPr>
                <w:rFonts w:cstheme="minorHAnsi"/>
                <w:sz w:val="20"/>
                <w:szCs w:val="20"/>
              </w:rPr>
              <w:t>:</w:t>
            </w:r>
          </w:p>
          <w:p w14:paraId="5E539C8D" w14:textId="40C89FFF" w:rsidR="00C8293D" w:rsidRDefault="00D66286" w:rsidP="00D66286">
            <w:pPr>
              <w:pStyle w:val="Prrafodelista"/>
              <w:numPr>
                <w:ilvl w:val="0"/>
                <w:numId w:val="5"/>
              </w:numPr>
              <w:jc w:val="both"/>
              <w:rPr>
                <w:rFonts w:cstheme="minorHAnsi"/>
                <w:sz w:val="20"/>
                <w:szCs w:val="20"/>
              </w:rPr>
            </w:pPr>
            <w:r w:rsidRPr="00700993">
              <w:rPr>
                <w:rFonts w:cstheme="minorHAnsi"/>
                <w:i/>
                <w:sz w:val="20"/>
                <w:szCs w:val="20"/>
                <w:u w:val="single"/>
              </w:rPr>
              <w:t>Realización de Audiencias Públicas Virtuales de Rendición de Cuentas</w:t>
            </w:r>
            <w:r w:rsidR="007662D5">
              <w:rPr>
                <w:rFonts w:cstheme="minorHAnsi"/>
                <w:sz w:val="20"/>
                <w:szCs w:val="20"/>
              </w:rPr>
              <w:t>. En la vigencia 201</w:t>
            </w:r>
            <w:r w:rsidR="007F0FF3">
              <w:rPr>
                <w:rFonts w:cstheme="minorHAnsi"/>
                <w:sz w:val="20"/>
                <w:szCs w:val="20"/>
              </w:rPr>
              <w:t>9</w:t>
            </w:r>
            <w:r w:rsidRPr="00700993">
              <w:rPr>
                <w:rFonts w:cstheme="minorHAnsi"/>
                <w:sz w:val="20"/>
                <w:szCs w:val="20"/>
              </w:rPr>
              <w:t xml:space="preserve"> se programó la realización de 1 audiencia, la cual se realizó en el </w:t>
            </w:r>
            <w:r w:rsidR="00BB1673">
              <w:rPr>
                <w:rFonts w:cstheme="minorHAnsi"/>
                <w:sz w:val="20"/>
                <w:szCs w:val="20"/>
              </w:rPr>
              <w:t xml:space="preserve">11 </w:t>
            </w:r>
            <w:r w:rsidRPr="00700993">
              <w:rPr>
                <w:rFonts w:cstheme="minorHAnsi"/>
                <w:sz w:val="20"/>
                <w:szCs w:val="20"/>
              </w:rPr>
              <w:t xml:space="preserve">de </w:t>
            </w:r>
            <w:r w:rsidR="00BB1673">
              <w:rPr>
                <w:rFonts w:cstheme="minorHAnsi"/>
                <w:sz w:val="20"/>
                <w:szCs w:val="20"/>
              </w:rPr>
              <w:t>septiem</w:t>
            </w:r>
            <w:r w:rsidR="007662D5">
              <w:rPr>
                <w:rFonts w:cstheme="minorHAnsi"/>
                <w:sz w:val="20"/>
                <w:szCs w:val="20"/>
              </w:rPr>
              <w:t>bre</w:t>
            </w:r>
            <w:r w:rsidRPr="00700993">
              <w:rPr>
                <w:rFonts w:cstheme="minorHAnsi"/>
                <w:sz w:val="20"/>
                <w:szCs w:val="20"/>
              </w:rPr>
              <w:t xml:space="preserve">, en desarrollo de </w:t>
            </w:r>
            <w:r w:rsidR="00C8293D">
              <w:rPr>
                <w:rFonts w:cstheme="minorHAnsi"/>
                <w:sz w:val="20"/>
                <w:szCs w:val="20"/>
              </w:rPr>
              <w:t>esta</w:t>
            </w:r>
            <w:r w:rsidRPr="00700993">
              <w:rPr>
                <w:rFonts w:cstheme="minorHAnsi"/>
                <w:sz w:val="20"/>
                <w:szCs w:val="20"/>
              </w:rPr>
              <w:t xml:space="preserve">, se tuvo la oportunidad de presentar ante la ciudadanía </w:t>
            </w:r>
            <w:r w:rsidR="00C8293D">
              <w:rPr>
                <w:rFonts w:cstheme="minorHAnsi"/>
                <w:sz w:val="20"/>
                <w:szCs w:val="20"/>
              </w:rPr>
              <w:t xml:space="preserve">las actividades realizadas </w:t>
            </w:r>
            <w:r w:rsidR="00BB1673">
              <w:rPr>
                <w:rFonts w:cstheme="minorHAnsi"/>
                <w:sz w:val="20"/>
                <w:szCs w:val="20"/>
              </w:rPr>
              <w:t>en el periodo enero – septiembre.</w:t>
            </w:r>
          </w:p>
          <w:p w14:paraId="43F5D6CD" w14:textId="2D4EBED5" w:rsidR="00E50B2F" w:rsidRPr="00700993" w:rsidRDefault="00BB1673" w:rsidP="00E50B2F">
            <w:pPr>
              <w:pStyle w:val="Prrafodelista"/>
              <w:jc w:val="both"/>
              <w:rPr>
                <w:rFonts w:cstheme="minorHAnsi"/>
                <w:sz w:val="20"/>
                <w:szCs w:val="20"/>
              </w:rPr>
            </w:pPr>
            <w:r>
              <w:rPr>
                <w:rFonts w:cstheme="minorHAnsi"/>
                <w:sz w:val="20"/>
                <w:szCs w:val="20"/>
              </w:rPr>
              <w:t>E</w:t>
            </w:r>
            <w:r w:rsidR="003034B6" w:rsidRPr="00700993">
              <w:rPr>
                <w:rFonts w:cstheme="minorHAnsi"/>
                <w:sz w:val="20"/>
                <w:szCs w:val="20"/>
              </w:rPr>
              <w:t>n est</w:t>
            </w:r>
            <w:r>
              <w:rPr>
                <w:rFonts w:cstheme="minorHAnsi"/>
                <w:sz w:val="20"/>
                <w:szCs w:val="20"/>
              </w:rPr>
              <w:t>e</w:t>
            </w:r>
            <w:r w:rsidR="003034B6" w:rsidRPr="00700993">
              <w:rPr>
                <w:rFonts w:cstheme="minorHAnsi"/>
                <w:sz w:val="20"/>
                <w:szCs w:val="20"/>
              </w:rPr>
              <w:t xml:space="preserve"> espacio, la ciudadanía tuvo la oportunidad de interactuar con los directivos y presentar sus inquietudes, las cuales fueron respondidas </w:t>
            </w:r>
            <w:r w:rsidR="008252DD" w:rsidRPr="00700993">
              <w:rPr>
                <w:rFonts w:cstheme="minorHAnsi"/>
                <w:sz w:val="20"/>
                <w:szCs w:val="20"/>
              </w:rPr>
              <w:t xml:space="preserve">oportunamente, copia de </w:t>
            </w:r>
            <w:r w:rsidR="002B6614" w:rsidRPr="00700993">
              <w:rPr>
                <w:rFonts w:cstheme="minorHAnsi"/>
                <w:sz w:val="20"/>
                <w:szCs w:val="20"/>
              </w:rPr>
              <w:t>estas</w:t>
            </w:r>
            <w:r w:rsidR="008252DD" w:rsidRPr="00700993">
              <w:rPr>
                <w:rFonts w:cstheme="minorHAnsi"/>
                <w:sz w:val="20"/>
                <w:szCs w:val="20"/>
              </w:rPr>
              <w:t xml:space="preserve"> reposan en el respectivo link de nuestra página WEB.</w:t>
            </w:r>
          </w:p>
          <w:p w14:paraId="77B5920F" w14:textId="5BFBBF1A" w:rsidR="008252DD" w:rsidRPr="00700993" w:rsidRDefault="00C8293D" w:rsidP="00E50B2F">
            <w:pPr>
              <w:pStyle w:val="Prrafodelista"/>
              <w:jc w:val="both"/>
              <w:rPr>
                <w:rFonts w:cstheme="minorHAnsi"/>
                <w:sz w:val="20"/>
                <w:szCs w:val="20"/>
              </w:rPr>
            </w:pPr>
            <w:r>
              <w:rPr>
                <w:rFonts w:cstheme="minorHAnsi"/>
                <w:sz w:val="20"/>
                <w:szCs w:val="20"/>
              </w:rPr>
              <w:t xml:space="preserve">Para esta audiencia </w:t>
            </w:r>
            <w:r w:rsidR="00BB1673">
              <w:rPr>
                <w:rFonts w:cstheme="minorHAnsi"/>
                <w:sz w:val="20"/>
                <w:szCs w:val="20"/>
              </w:rPr>
              <w:t xml:space="preserve">se </w:t>
            </w:r>
            <w:r w:rsidR="002B6614">
              <w:rPr>
                <w:rFonts w:cstheme="minorHAnsi"/>
                <w:sz w:val="20"/>
                <w:szCs w:val="20"/>
              </w:rPr>
              <w:t xml:space="preserve">activaron diferentes canales para la recepción de inquietudes, siendo el </w:t>
            </w:r>
            <w:proofErr w:type="spellStart"/>
            <w:r w:rsidR="002B6614">
              <w:rPr>
                <w:rFonts w:cstheme="minorHAnsi"/>
                <w:sz w:val="20"/>
                <w:szCs w:val="20"/>
              </w:rPr>
              <w:t>Whatsapp</w:t>
            </w:r>
            <w:proofErr w:type="spellEnd"/>
            <w:r w:rsidR="002B6614">
              <w:rPr>
                <w:rFonts w:cstheme="minorHAnsi"/>
                <w:sz w:val="20"/>
                <w:szCs w:val="20"/>
              </w:rPr>
              <w:t xml:space="preserve"> la nueva herramienta utilizada, y que brindó agilidad en la recepción y entrega de respuestas a la ciudadanía; de igual manera, se recibieron preguntas a través de videos, las cuales fueron respondidas en su totalidad, de igual manera se contó con el correo electrónico.</w:t>
            </w:r>
          </w:p>
          <w:p w14:paraId="0BB134FA" w14:textId="3257F571" w:rsidR="00BE4222" w:rsidRPr="00700993" w:rsidRDefault="00BE4222" w:rsidP="00BE4222">
            <w:pPr>
              <w:pStyle w:val="Prrafodelista"/>
              <w:numPr>
                <w:ilvl w:val="0"/>
                <w:numId w:val="5"/>
              </w:numPr>
              <w:jc w:val="both"/>
              <w:rPr>
                <w:rFonts w:cstheme="minorHAnsi"/>
                <w:sz w:val="20"/>
                <w:szCs w:val="20"/>
              </w:rPr>
            </w:pPr>
            <w:r w:rsidRPr="00700993">
              <w:rPr>
                <w:rFonts w:cstheme="minorHAnsi"/>
                <w:i/>
                <w:sz w:val="20"/>
                <w:szCs w:val="20"/>
                <w:u w:val="single"/>
              </w:rPr>
              <w:t>Participación en la Audiencia Pública Sectorial</w:t>
            </w:r>
            <w:r w:rsidRPr="00700993">
              <w:rPr>
                <w:rFonts w:cstheme="minorHAnsi"/>
                <w:sz w:val="20"/>
                <w:szCs w:val="20"/>
              </w:rPr>
              <w:t xml:space="preserve">. </w:t>
            </w:r>
            <w:r w:rsidR="0002122E" w:rsidRPr="00700993">
              <w:rPr>
                <w:rFonts w:cstheme="minorHAnsi"/>
                <w:sz w:val="20"/>
                <w:szCs w:val="20"/>
              </w:rPr>
              <w:t>Este evento corresponde a la Audiencia Sectorial</w:t>
            </w:r>
            <w:r w:rsidR="00877503" w:rsidRPr="00700993">
              <w:rPr>
                <w:rFonts w:cstheme="minorHAnsi"/>
                <w:sz w:val="20"/>
                <w:szCs w:val="20"/>
              </w:rPr>
              <w:t xml:space="preserve"> que realiza el Ministerio de Transporte</w:t>
            </w:r>
            <w:r w:rsidR="00310D9C" w:rsidRPr="00700993">
              <w:rPr>
                <w:rFonts w:cstheme="minorHAnsi"/>
                <w:sz w:val="20"/>
                <w:szCs w:val="20"/>
              </w:rPr>
              <w:t xml:space="preserve">. Dicho evento se realizó el </w:t>
            </w:r>
            <w:r w:rsidR="002B6614">
              <w:rPr>
                <w:rFonts w:cstheme="minorHAnsi"/>
                <w:sz w:val="20"/>
                <w:szCs w:val="20"/>
              </w:rPr>
              <w:t>13</w:t>
            </w:r>
            <w:r w:rsidR="00310D9C" w:rsidRPr="00700993">
              <w:rPr>
                <w:rFonts w:cstheme="minorHAnsi"/>
                <w:sz w:val="20"/>
                <w:szCs w:val="20"/>
              </w:rPr>
              <w:t xml:space="preserve"> de diciembre, este fue coordinado y realizado por la Oficina de Planeación del Ministerio y en desarrollo </w:t>
            </w:r>
            <w:r w:rsidR="00507EE7" w:rsidRPr="00700993">
              <w:rPr>
                <w:rFonts w:cstheme="minorHAnsi"/>
                <w:sz w:val="20"/>
                <w:szCs w:val="20"/>
              </w:rPr>
              <w:t>de este</w:t>
            </w:r>
            <w:r w:rsidR="00310D9C" w:rsidRPr="00700993">
              <w:rPr>
                <w:rFonts w:cstheme="minorHAnsi"/>
                <w:sz w:val="20"/>
                <w:szCs w:val="20"/>
              </w:rPr>
              <w:t>, la Agencia presentó su gestión en la vigencia.</w:t>
            </w:r>
          </w:p>
          <w:p w14:paraId="284A011C" w14:textId="452152B8" w:rsidR="00310D9C" w:rsidRDefault="003E76BE" w:rsidP="00310D9C">
            <w:pPr>
              <w:pStyle w:val="Prrafodelista"/>
              <w:jc w:val="both"/>
              <w:rPr>
                <w:rFonts w:cstheme="minorHAnsi"/>
                <w:sz w:val="20"/>
                <w:szCs w:val="20"/>
              </w:rPr>
            </w:pPr>
            <w:r w:rsidRPr="00700993">
              <w:rPr>
                <w:rFonts w:cstheme="minorHAnsi"/>
                <w:sz w:val="20"/>
                <w:szCs w:val="20"/>
              </w:rPr>
              <w:t>Para la realización del evento, se cumplieron los pasos establecidos en el Manual para la realización de las Audiencias, en cuanto a la convocatoria a ciudadanos y partes interesadas, la divulgación oportuna de la información, e</w:t>
            </w:r>
            <w:r w:rsidR="002B6614">
              <w:rPr>
                <w:rFonts w:cstheme="minorHAnsi"/>
                <w:sz w:val="20"/>
                <w:szCs w:val="20"/>
              </w:rPr>
              <w:t>l evento se desarrolló en la ciudad de</w:t>
            </w:r>
            <w:r w:rsidR="00115FAC">
              <w:rPr>
                <w:rFonts w:cstheme="minorHAnsi"/>
                <w:sz w:val="20"/>
                <w:szCs w:val="20"/>
              </w:rPr>
              <w:t xml:space="preserve"> Bucaramanga, lo anterior en desarrollo de la estrategia de descentralización establecida desde el Ministerio.</w:t>
            </w:r>
            <w:r w:rsidR="002B6614">
              <w:rPr>
                <w:rFonts w:cstheme="minorHAnsi"/>
                <w:sz w:val="20"/>
                <w:szCs w:val="20"/>
              </w:rPr>
              <w:t xml:space="preserve"> </w:t>
            </w:r>
          </w:p>
          <w:p w14:paraId="5B5B5186" w14:textId="77777777" w:rsidR="002B6614" w:rsidRPr="00700993" w:rsidRDefault="002B6614" w:rsidP="00310D9C">
            <w:pPr>
              <w:pStyle w:val="Prrafodelista"/>
              <w:jc w:val="both"/>
              <w:rPr>
                <w:rFonts w:cstheme="minorHAnsi"/>
                <w:sz w:val="20"/>
                <w:szCs w:val="20"/>
              </w:rPr>
            </w:pPr>
          </w:p>
          <w:p w14:paraId="3A19620B" w14:textId="77777777" w:rsidR="005B3ED2" w:rsidRPr="00700993" w:rsidRDefault="005B3ED2" w:rsidP="00802E9B">
            <w:pPr>
              <w:pStyle w:val="Prrafodelista"/>
              <w:numPr>
                <w:ilvl w:val="0"/>
                <w:numId w:val="5"/>
              </w:numPr>
              <w:jc w:val="both"/>
              <w:rPr>
                <w:rFonts w:cstheme="minorHAnsi"/>
                <w:sz w:val="20"/>
                <w:szCs w:val="20"/>
              </w:rPr>
            </w:pPr>
            <w:r w:rsidRPr="00700993">
              <w:rPr>
                <w:rFonts w:cstheme="minorHAnsi"/>
                <w:i/>
                <w:sz w:val="20"/>
                <w:szCs w:val="20"/>
                <w:u w:val="single"/>
              </w:rPr>
              <w:t>Publicar en la Página WEB de la Agencia la información relevante y pertinente.</w:t>
            </w:r>
            <w:r w:rsidRPr="00700993">
              <w:rPr>
                <w:rFonts w:cstheme="minorHAnsi"/>
                <w:sz w:val="20"/>
                <w:szCs w:val="20"/>
              </w:rPr>
              <w:t xml:space="preserve"> Para el desarrollo de esta actividad, se trabajó a través de un equipo interdisciplinario, el cual identificó los principales elementos y los responsables de publicar la información en la página WEB, dicha información corresponde al esquema de publicación de la Agencia. Posteriormente, cada uno de los responsables de la información de acuerdo con la periodicidad establecida procedió a la actualización de las secciones de la página. </w:t>
            </w:r>
          </w:p>
          <w:p w14:paraId="51767DCD" w14:textId="77777777" w:rsidR="00786907" w:rsidRPr="00700993" w:rsidRDefault="00786907" w:rsidP="005B3ED2">
            <w:pPr>
              <w:pStyle w:val="Prrafodelista"/>
              <w:jc w:val="both"/>
              <w:rPr>
                <w:rFonts w:cstheme="minorHAnsi"/>
                <w:sz w:val="20"/>
                <w:szCs w:val="20"/>
              </w:rPr>
            </w:pPr>
          </w:p>
          <w:p w14:paraId="2D3BE5CE" w14:textId="77777777" w:rsidR="00123A9E" w:rsidRPr="00700993" w:rsidRDefault="00123A9E" w:rsidP="00123A9E">
            <w:pPr>
              <w:pStyle w:val="Prrafodelista"/>
              <w:numPr>
                <w:ilvl w:val="0"/>
                <w:numId w:val="5"/>
              </w:numPr>
              <w:jc w:val="both"/>
              <w:rPr>
                <w:rFonts w:cstheme="minorHAnsi"/>
                <w:sz w:val="20"/>
                <w:szCs w:val="20"/>
              </w:rPr>
            </w:pPr>
            <w:r w:rsidRPr="00115FAC">
              <w:rPr>
                <w:rFonts w:cstheme="minorHAnsi"/>
                <w:i/>
                <w:sz w:val="20"/>
                <w:szCs w:val="20"/>
                <w:u w:val="single"/>
              </w:rPr>
              <w:t>Participar en otros espacios de rendición de cuentas</w:t>
            </w:r>
            <w:r w:rsidRPr="00115FAC">
              <w:rPr>
                <w:rFonts w:cstheme="minorHAnsi"/>
                <w:sz w:val="20"/>
                <w:szCs w:val="20"/>
              </w:rPr>
              <w:t xml:space="preserve">. En desarrollo de esta actividad, el equipo técnico y directivo de la Agencia tuvo la oportunidad de asistir a eventos en los cuales se tuvo la oportunidad de presentar ante las comunidades y partes interesadas los avances de la gestión y la coordinación de actividades para el desarrollo de proyectos, algunos de los eventos en los cuales se participó fueron: </w:t>
            </w:r>
          </w:p>
          <w:p w14:paraId="20A00B8B" w14:textId="77777777" w:rsidR="000D1F76" w:rsidRPr="000D1F76" w:rsidRDefault="000D1F76" w:rsidP="000D1F76">
            <w:pPr>
              <w:pStyle w:val="Prrafodelista"/>
              <w:rPr>
                <w:rFonts w:cstheme="minorHAnsi"/>
                <w:sz w:val="20"/>
                <w:szCs w:val="20"/>
              </w:rPr>
            </w:pPr>
          </w:p>
          <w:p w14:paraId="537A7144" w14:textId="77777777" w:rsidR="000D1F76" w:rsidRDefault="000D1F76" w:rsidP="000D1F76">
            <w:pPr>
              <w:pStyle w:val="Prrafodelista"/>
              <w:numPr>
                <w:ilvl w:val="0"/>
                <w:numId w:val="6"/>
              </w:numPr>
              <w:jc w:val="both"/>
              <w:rPr>
                <w:rFonts w:cstheme="minorHAnsi"/>
                <w:sz w:val="20"/>
                <w:szCs w:val="20"/>
              </w:rPr>
            </w:pPr>
            <w:r w:rsidRPr="000D1F76">
              <w:rPr>
                <w:rFonts w:cstheme="minorHAnsi"/>
                <w:sz w:val="20"/>
                <w:szCs w:val="20"/>
              </w:rPr>
              <w:t xml:space="preserve">Reunión con el gobernador y la comunidad del Casanare, respecto del proyecto Villavicencio-Yopal, mes de abril. </w:t>
            </w:r>
          </w:p>
          <w:p w14:paraId="68A5C1EF" w14:textId="77777777" w:rsidR="000D1F76" w:rsidRDefault="000D1F76" w:rsidP="000D1F76">
            <w:pPr>
              <w:pStyle w:val="Prrafodelista"/>
              <w:numPr>
                <w:ilvl w:val="0"/>
                <w:numId w:val="6"/>
              </w:numPr>
              <w:jc w:val="both"/>
              <w:rPr>
                <w:rFonts w:cstheme="minorHAnsi"/>
                <w:sz w:val="20"/>
                <w:szCs w:val="20"/>
              </w:rPr>
            </w:pPr>
            <w:r w:rsidRPr="000D1F76">
              <w:rPr>
                <w:rFonts w:cstheme="minorHAnsi"/>
                <w:sz w:val="20"/>
                <w:szCs w:val="20"/>
              </w:rPr>
              <w:t xml:space="preserve">Reunión de seguimiento veeduría ciudadana ciudad de Neiva </w:t>
            </w:r>
          </w:p>
          <w:p w14:paraId="2257587B" w14:textId="77777777" w:rsidR="000D1F76" w:rsidRDefault="000D1F76" w:rsidP="000D1F76">
            <w:pPr>
              <w:pStyle w:val="Prrafodelista"/>
              <w:numPr>
                <w:ilvl w:val="0"/>
                <w:numId w:val="6"/>
              </w:numPr>
              <w:jc w:val="both"/>
              <w:rPr>
                <w:rFonts w:cstheme="minorHAnsi"/>
                <w:sz w:val="20"/>
                <w:szCs w:val="20"/>
              </w:rPr>
            </w:pPr>
            <w:r w:rsidRPr="000D1F76">
              <w:rPr>
                <w:rFonts w:cstheme="minorHAnsi"/>
                <w:sz w:val="20"/>
                <w:szCs w:val="20"/>
              </w:rPr>
              <w:t xml:space="preserve">Participación en la sesión del Concejo de Ipiales </w:t>
            </w:r>
          </w:p>
          <w:p w14:paraId="64E4A57C" w14:textId="77777777" w:rsidR="000D1F76" w:rsidRDefault="000D1F76" w:rsidP="000D1F76">
            <w:pPr>
              <w:pStyle w:val="Prrafodelista"/>
              <w:numPr>
                <w:ilvl w:val="0"/>
                <w:numId w:val="6"/>
              </w:numPr>
              <w:jc w:val="both"/>
              <w:rPr>
                <w:rFonts w:cstheme="minorHAnsi"/>
                <w:sz w:val="20"/>
                <w:szCs w:val="20"/>
              </w:rPr>
            </w:pPr>
            <w:r w:rsidRPr="000D1F76">
              <w:rPr>
                <w:rFonts w:cstheme="minorHAnsi"/>
                <w:sz w:val="20"/>
                <w:szCs w:val="20"/>
              </w:rPr>
              <w:t xml:space="preserve">Visita a CONTECAR con veeduría ciudadana </w:t>
            </w:r>
          </w:p>
          <w:p w14:paraId="6EB948E7" w14:textId="06F34D72" w:rsidR="000D1F76" w:rsidRDefault="000D1F76" w:rsidP="000D1F76">
            <w:pPr>
              <w:pStyle w:val="Prrafodelista"/>
              <w:numPr>
                <w:ilvl w:val="0"/>
                <w:numId w:val="6"/>
              </w:numPr>
              <w:jc w:val="both"/>
              <w:rPr>
                <w:rFonts w:cstheme="minorHAnsi"/>
                <w:sz w:val="20"/>
                <w:szCs w:val="20"/>
              </w:rPr>
            </w:pPr>
            <w:r w:rsidRPr="000D1F76">
              <w:rPr>
                <w:rFonts w:cstheme="minorHAnsi"/>
                <w:sz w:val="20"/>
                <w:szCs w:val="20"/>
              </w:rPr>
              <w:t xml:space="preserve">Mesa de Trabajo en Cartagena sobre el Canal del </w:t>
            </w:r>
            <w:proofErr w:type="gramStart"/>
            <w:r w:rsidRPr="000D1F76">
              <w:rPr>
                <w:rFonts w:cstheme="minorHAnsi"/>
                <w:sz w:val="20"/>
                <w:szCs w:val="20"/>
              </w:rPr>
              <w:t>Dique</w:t>
            </w:r>
            <w:r w:rsidR="00D337CD">
              <w:rPr>
                <w:rFonts w:cstheme="minorHAnsi"/>
                <w:sz w:val="20"/>
                <w:szCs w:val="20"/>
              </w:rPr>
              <w:t>,</w:t>
            </w:r>
            <w:r w:rsidRPr="000D1F76">
              <w:rPr>
                <w:rFonts w:cstheme="minorHAnsi"/>
                <w:sz w:val="20"/>
                <w:szCs w:val="20"/>
              </w:rPr>
              <w:t xml:space="preserve">  participación</w:t>
            </w:r>
            <w:proofErr w:type="gramEnd"/>
            <w:r w:rsidRPr="000D1F76">
              <w:rPr>
                <w:rFonts w:cstheme="minorHAnsi"/>
                <w:sz w:val="20"/>
                <w:szCs w:val="20"/>
              </w:rPr>
              <w:t xml:space="preserve"> en el foro organizado por el Diario La República sobre "Obras que mejoran la competitividad"</w:t>
            </w:r>
          </w:p>
          <w:p w14:paraId="6980FAAC" w14:textId="77777777" w:rsidR="000D1F76" w:rsidRDefault="000D1F76" w:rsidP="000D1F76">
            <w:pPr>
              <w:pStyle w:val="Prrafodelista"/>
              <w:numPr>
                <w:ilvl w:val="0"/>
                <w:numId w:val="6"/>
              </w:numPr>
              <w:jc w:val="both"/>
              <w:rPr>
                <w:rFonts w:cstheme="minorHAnsi"/>
                <w:sz w:val="20"/>
                <w:szCs w:val="20"/>
              </w:rPr>
            </w:pPr>
            <w:r w:rsidRPr="000D1F76">
              <w:rPr>
                <w:rFonts w:cstheme="minorHAnsi"/>
                <w:sz w:val="20"/>
                <w:szCs w:val="20"/>
              </w:rPr>
              <w:t xml:space="preserve">Asistencia al debate de control político sobre el estado de la vía Bogotá – Villavicencio </w:t>
            </w:r>
          </w:p>
          <w:p w14:paraId="60E83C2D" w14:textId="77777777" w:rsidR="000D1F76" w:rsidRDefault="000D1F76" w:rsidP="000D1F76">
            <w:pPr>
              <w:pStyle w:val="Prrafodelista"/>
              <w:numPr>
                <w:ilvl w:val="0"/>
                <w:numId w:val="6"/>
              </w:numPr>
              <w:jc w:val="both"/>
              <w:rPr>
                <w:rFonts w:cstheme="minorHAnsi"/>
                <w:sz w:val="20"/>
                <w:szCs w:val="20"/>
              </w:rPr>
            </w:pPr>
            <w:r w:rsidRPr="000D1F76">
              <w:rPr>
                <w:rFonts w:cstheme="minorHAnsi"/>
                <w:sz w:val="20"/>
                <w:szCs w:val="20"/>
              </w:rPr>
              <w:t xml:space="preserve">Asistencia a la comisión VI para exponer el estado de la vía Bogotá – Tunja – Sogamoso </w:t>
            </w:r>
          </w:p>
          <w:p w14:paraId="651F5604" w14:textId="77777777" w:rsidR="000D1F76" w:rsidRPr="000D1F76" w:rsidRDefault="000D1F76" w:rsidP="000D1F76">
            <w:pPr>
              <w:pStyle w:val="Prrafodelista"/>
              <w:numPr>
                <w:ilvl w:val="0"/>
                <w:numId w:val="6"/>
              </w:numPr>
              <w:jc w:val="both"/>
              <w:rPr>
                <w:rFonts w:eastAsia="Times New Roman" w:cstheme="minorHAnsi"/>
                <w:color w:val="000000"/>
                <w:sz w:val="24"/>
                <w:szCs w:val="24"/>
                <w:lang w:eastAsia="es-CO"/>
              </w:rPr>
            </w:pPr>
            <w:r w:rsidRPr="000D1F76">
              <w:rPr>
                <w:rFonts w:cstheme="minorHAnsi"/>
                <w:sz w:val="20"/>
                <w:szCs w:val="20"/>
              </w:rPr>
              <w:t xml:space="preserve">Reunión con Gobernación del Quindío y representantes de la Cámara de Comercio de Armenia, para revisar el proyecto de Aeropuerto del Suroccidente </w:t>
            </w:r>
          </w:p>
          <w:p w14:paraId="6E3F72E7" w14:textId="54135731" w:rsidR="00281158" w:rsidRPr="003043E8" w:rsidRDefault="000D1F76" w:rsidP="000D1F76">
            <w:pPr>
              <w:pStyle w:val="Prrafodelista"/>
              <w:numPr>
                <w:ilvl w:val="0"/>
                <w:numId w:val="6"/>
              </w:numPr>
              <w:jc w:val="both"/>
              <w:rPr>
                <w:rFonts w:eastAsia="Times New Roman" w:cstheme="minorHAnsi"/>
                <w:color w:val="000000"/>
                <w:sz w:val="24"/>
                <w:szCs w:val="24"/>
                <w:lang w:eastAsia="es-CO"/>
              </w:rPr>
            </w:pPr>
            <w:r w:rsidRPr="000D1F76">
              <w:rPr>
                <w:rFonts w:cstheme="minorHAnsi"/>
                <w:sz w:val="20"/>
                <w:szCs w:val="20"/>
              </w:rPr>
              <w:t>Asistencia a la Comisión VI del Senado para presentar informe sobre presupuesto de rentas y apropiaciones del sector transporte.</w:t>
            </w:r>
          </w:p>
          <w:p w14:paraId="3AC17F89" w14:textId="3E6B882E" w:rsidR="003043E8" w:rsidRDefault="003043E8" w:rsidP="003043E8">
            <w:pPr>
              <w:pStyle w:val="Prrafodelista"/>
              <w:numPr>
                <w:ilvl w:val="0"/>
                <w:numId w:val="5"/>
              </w:numPr>
              <w:jc w:val="both"/>
              <w:rPr>
                <w:rFonts w:cstheme="minorHAnsi"/>
                <w:sz w:val="20"/>
                <w:szCs w:val="20"/>
              </w:rPr>
            </w:pPr>
            <w:r w:rsidRPr="003043E8">
              <w:rPr>
                <w:rFonts w:cstheme="minorHAnsi"/>
                <w:i/>
                <w:sz w:val="20"/>
                <w:szCs w:val="20"/>
                <w:u w:val="single"/>
              </w:rPr>
              <w:t>Eventos de fortalecimiento en los cuales las comunidades aporten a la planeación y desarrollo de los proyectos.</w:t>
            </w:r>
            <w:r w:rsidRPr="003043E8">
              <w:rPr>
                <w:rFonts w:cstheme="minorHAnsi"/>
                <w:sz w:val="20"/>
                <w:szCs w:val="20"/>
              </w:rPr>
              <w:t xml:space="preserve"> Durante la vigencia 2019, desde el equipo Social del a VPRE, se programó la asistencia a 6 eventos en los cuales la Agencia rindió cuentas a la ciudadanía y partes interesadas, estos eventos se desarrollaron en diferentes zonas del país, Las sociali</w:t>
            </w:r>
            <w:r>
              <w:rPr>
                <w:rFonts w:cstheme="minorHAnsi"/>
                <w:sz w:val="20"/>
                <w:szCs w:val="20"/>
              </w:rPr>
              <w:t>za</w:t>
            </w:r>
            <w:r w:rsidRPr="003043E8">
              <w:rPr>
                <w:rFonts w:cstheme="minorHAnsi"/>
                <w:sz w:val="20"/>
                <w:szCs w:val="20"/>
              </w:rPr>
              <w:t>ciones se realizaron en los proyectos</w:t>
            </w:r>
            <w:r>
              <w:rPr>
                <w:rFonts w:cstheme="minorHAnsi"/>
                <w:sz w:val="20"/>
                <w:szCs w:val="20"/>
              </w:rPr>
              <w:t>:</w:t>
            </w:r>
          </w:p>
          <w:p w14:paraId="59AA1B0D" w14:textId="18377320" w:rsidR="003043E8" w:rsidRPr="003043E8" w:rsidRDefault="003043E8" w:rsidP="003043E8">
            <w:pPr>
              <w:pStyle w:val="Prrafodelista"/>
              <w:numPr>
                <w:ilvl w:val="0"/>
                <w:numId w:val="6"/>
              </w:numPr>
              <w:jc w:val="both"/>
              <w:rPr>
                <w:rFonts w:cstheme="minorHAnsi"/>
                <w:sz w:val="20"/>
                <w:szCs w:val="20"/>
              </w:rPr>
            </w:pPr>
            <w:r w:rsidRPr="003043E8">
              <w:rPr>
                <w:rFonts w:cstheme="minorHAnsi"/>
                <w:sz w:val="20"/>
                <w:szCs w:val="20"/>
              </w:rPr>
              <w:t xml:space="preserve">Pacífico 3 </w:t>
            </w:r>
          </w:p>
          <w:p w14:paraId="287CA4CB" w14:textId="0D3ABC15" w:rsidR="003043E8" w:rsidRPr="003043E8" w:rsidRDefault="003043E8" w:rsidP="003043E8">
            <w:pPr>
              <w:pStyle w:val="Prrafodelista"/>
              <w:numPr>
                <w:ilvl w:val="0"/>
                <w:numId w:val="6"/>
              </w:numPr>
              <w:jc w:val="both"/>
              <w:rPr>
                <w:rFonts w:cstheme="minorHAnsi"/>
                <w:sz w:val="20"/>
                <w:szCs w:val="20"/>
              </w:rPr>
            </w:pPr>
            <w:r w:rsidRPr="003043E8">
              <w:rPr>
                <w:rFonts w:cstheme="minorHAnsi"/>
                <w:sz w:val="20"/>
                <w:szCs w:val="20"/>
              </w:rPr>
              <w:t xml:space="preserve">Cúcuta </w:t>
            </w:r>
            <w:r>
              <w:rPr>
                <w:rFonts w:cstheme="minorHAnsi"/>
                <w:sz w:val="20"/>
                <w:szCs w:val="20"/>
              </w:rPr>
              <w:t>–</w:t>
            </w:r>
            <w:r w:rsidRPr="003043E8">
              <w:rPr>
                <w:rFonts w:cstheme="minorHAnsi"/>
                <w:sz w:val="20"/>
                <w:szCs w:val="20"/>
              </w:rPr>
              <w:t xml:space="preserve"> Pamplona</w:t>
            </w:r>
          </w:p>
          <w:p w14:paraId="50CACE0C" w14:textId="58CA61DB" w:rsidR="003043E8" w:rsidRPr="003043E8" w:rsidRDefault="003043E8" w:rsidP="003043E8">
            <w:pPr>
              <w:pStyle w:val="Prrafodelista"/>
              <w:numPr>
                <w:ilvl w:val="0"/>
                <w:numId w:val="6"/>
              </w:numPr>
              <w:jc w:val="both"/>
              <w:rPr>
                <w:rFonts w:cstheme="minorHAnsi"/>
                <w:sz w:val="20"/>
                <w:szCs w:val="20"/>
              </w:rPr>
            </w:pPr>
            <w:r w:rsidRPr="003043E8">
              <w:rPr>
                <w:rFonts w:cstheme="minorHAnsi"/>
                <w:sz w:val="20"/>
                <w:szCs w:val="20"/>
              </w:rPr>
              <w:t xml:space="preserve">Villavicencio </w:t>
            </w:r>
            <w:r>
              <w:rPr>
                <w:rFonts w:cstheme="minorHAnsi"/>
                <w:sz w:val="20"/>
                <w:szCs w:val="20"/>
              </w:rPr>
              <w:t>–</w:t>
            </w:r>
            <w:r w:rsidRPr="003043E8">
              <w:rPr>
                <w:rFonts w:cstheme="minorHAnsi"/>
                <w:sz w:val="20"/>
                <w:szCs w:val="20"/>
              </w:rPr>
              <w:t xml:space="preserve"> Yopal</w:t>
            </w:r>
          </w:p>
          <w:p w14:paraId="0F4F7515" w14:textId="7A0DD933" w:rsidR="003043E8" w:rsidRPr="003043E8" w:rsidRDefault="003043E8" w:rsidP="003043E8">
            <w:pPr>
              <w:pStyle w:val="Prrafodelista"/>
              <w:numPr>
                <w:ilvl w:val="0"/>
                <w:numId w:val="6"/>
              </w:numPr>
              <w:jc w:val="both"/>
              <w:rPr>
                <w:rFonts w:cstheme="minorHAnsi"/>
                <w:sz w:val="20"/>
                <w:szCs w:val="20"/>
              </w:rPr>
            </w:pPr>
            <w:r w:rsidRPr="003043E8">
              <w:rPr>
                <w:rFonts w:cstheme="minorHAnsi"/>
                <w:sz w:val="20"/>
                <w:szCs w:val="20"/>
              </w:rPr>
              <w:t xml:space="preserve">Tunja - Moniquirá </w:t>
            </w:r>
            <w:r>
              <w:rPr>
                <w:rFonts w:cstheme="minorHAnsi"/>
                <w:sz w:val="20"/>
                <w:szCs w:val="20"/>
              </w:rPr>
              <w:t>–</w:t>
            </w:r>
            <w:r w:rsidRPr="003043E8">
              <w:rPr>
                <w:rFonts w:cstheme="minorHAnsi"/>
                <w:sz w:val="20"/>
                <w:szCs w:val="20"/>
              </w:rPr>
              <w:t xml:space="preserve"> Barbosa</w:t>
            </w:r>
          </w:p>
          <w:p w14:paraId="764B6E7B" w14:textId="13BE7A8C" w:rsidR="003043E8" w:rsidRPr="003043E8" w:rsidRDefault="003043E8" w:rsidP="003043E8">
            <w:pPr>
              <w:pStyle w:val="Prrafodelista"/>
              <w:numPr>
                <w:ilvl w:val="0"/>
                <w:numId w:val="6"/>
              </w:numPr>
              <w:jc w:val="both"/>
              <w:rPr>
                <w:rFonts w:cstheme="minorHAnsi"/>
                <w:sz w:val="20"/>
                <w:szCs w:val="20"/>
              </w:rPr>
            </w:pPr>
            <w:r w:rsidRPr="003043E8">
              <w:rPr>
                <w:rFonts w:cstheme="minorHAnsi"/>
                <w:sz w:val="20"/>
                <w:szCs w:val="20"/>
              </w:rPr>
              <w:t xml:space="preserve">Bucaramanga - Barrancabermeja </w:t>
            </w:r>
            <w:r>
              <w:rPr>
                <w:rFonts w:cstheme="minorHAnsi"/>
                <w:sz w:val="20"/>
                <w:szCs w:val="20"/>
              </w:rPr>
              <w:t>–</w:t>
            </w:r>
            <w:r w:rsidRPr="003043E8">
              <w:rPr>
                <w:rFonts w:cstheme="minorHAnsi"/>
                <w:sz w:val="20"/>
                <w:szCs w:val="20"/>
              </w:rPr>
              <w:t xml:space="preserve"> Yondó</w:t>
            </w:r>
          </w:p>
          <w:p w14:paraId="0504CBF8" w14:textId="1A08CFA2" w:rsidR="003043E8" w:rsidRPr="003043E8" w:rsidRDefault="003043E8" w:rsidP="003043E8">
            <w:pPr>
              <w:pStyle w:val="Prrafodelista"/>
              <w:numPr>
                <w:ilvl w:val="0"/>
                <w:numId w:val="6"/>
              </w:numPr>
              <w:jc w:val="both"/>
              <w:rPr>
                <w:rFonts w:cstheme="minorHAnsi"/>
                <w:i/>
                <w:sz w:val="20"/>
                <w:szCs w:val="20"/>
                <w:u w:val="single"/>
              </w:rPr>
            </w:pPr>
            <w:r w:rsidRPr="003043E8">
              <w:rPr>
                <w:rFonts w:cstheme="minorHAnsi"/>
                <w:sz w:val="20"/>
                <w:szCs w:val="20"/>
              </w:rPr>
              <w:t>Proyecto Mar 1</w:t>
            </w:r>
          </w:p>
          <w:p w14:paraId="212AF027" w14:textId="77777777" w:rsidR="000D1F76" w:rsidRDefault="000D1F76" w:rsidP="00057433">
            <w:pPr>
              <w:pStyle w:val="Prrafodelista"/>
              <w:jc w:val="both"/>
              <w:rPr>
                <w:rFonts w:cstheme="minorHAnsi"/>
                <w:sz w:val="20"/>
                <w:szCs w:val="20"/>
              </w:rPr>
            </w:pPr>
          </w:p>
          <w:p w14:paraId="0E20D8D9" w14:textId="7E33B81B" w:rsidR="001D5FD6" w:rsidRPr="00115FAC" w:rsidRDefault="001D5FD6" w:rsidP="00057433">
            <w:pPr>
              <w:pStyle w:val="Prrafodelista"/>
              <w:jc w:val="both"/>
              <w:rPr>
                <w:rFonts w:cstheme="minorHAnsi"/>
                <w:sz w:val="20"/>
                <w:szCs w:val="20"/>
              </w:rPr>
            </w:pPr>
            <w:r w:rsidRPr="00115FAC">
              <w:rPr>
                <w:rFonts w:cstheme="minorHAnsi"/>
                <w:sz w:val="20"/>
                <w:szCs w:val="20"/>
              </w:rPr>
              <w:t>Estos espacios se han constituido en un mecanismo para que la Agencia, se acerque a la ciudadanía, reciba sus inquietudes, presente sus propuestas y haga concertación con las comunidades.</w:t>
            </w:r>
          </w:p>
          <w:p w14:paraId="1D2BAAEA" w14:textId="77777777" w:rsidR="001D5FD6" w:rsidRPr="00700993" w:rsidRDefault="001D5FD6" w:rsidP="001D5FD6">
            <w:pPr>
              <w:ind w:left="360"/>
              <w:jc w:val="both"/>
              <w:rPr>
                <w:rFonts w:cstheme="minorHAnsi"/>
                <w:sz w:val="20"/>
                <w:szCs w:val="20"/>
              </w:rPr>
            </w:pPr>
          </w:p>
        </w:tc>
      </w:tr>
      <w:tr w:rsidR="00753E17" w:rsidRPr="00700993" w14:paraId="25A08C9D" w14:textId="77777777" w:rsidTr="00753E17">
        <w:trPr>
          <w:trHeight w:val="410"/>
        </w:trPr>
        <w:tc>
          <w:tcPr>
            <w:tcW w:w="2485" w:type="dxa"/>
            <w:tcBorders>
              <w:right w:val="single" w:sz="4" w:space="0" w:color="auto"/>
            </w:tcBorders>
            <w:vAlign w:val="center"/>
          </w:tcPr>
          <w:p w14:paraId="106F85C7" w14:textId="77777777" w:rsidR="00753E17" w:rsidRPr="00700993" w:rsidRDefault="00622F3C" w:rsidP="00753E17">
            <w:pPr>
              <w:contextualSpacing/>
              <w:jc w:val="both"/>
              <w:rPr>
                <w:rFonts w:cstheme="minorHAnsi"/>
                <w:sz w:val="20"/>
                <w:szCs w:val="20"/>
              </w:rPr>
            </w:pPr>
            <w:r w:rsidRPr="00700993">
              <w:rPr>
                <w:rFonts w:cstheme="minorHAnsi"/>
                <w:sz w:val="20"/>
                <w:szCs w:val="20"/>
              </w:rPr>
              <w:t>Conclusiones y recomendaciones.</w:t>
            </w:r>
          </w:p>
        </w:tc>
        <w:tc>
          <w:tcPr>
            <w:tcW w:w="6343" w:type="dxa"/>
            <w:tcBorders>
              <w:left w:val="single" w:sz="4" w:space="0" w:color="auto"/>
            </w:tcBorders>
            <w:vAlign w:val="center"/>
          </w:tcPr>
          <w:p w14:paraId="140C8AD4" w14:textId="77777777" w:rsidR="00782515" w:rsidRPr="007F67D6" w:rsidRDefault="0097216D" w:rsidP="00753E17">
            <w:pPr>
              <w:contextualSpacing/>
              <w:jc w:val="both"/>
              <w:rPr>
                <w:rFonts w:cstheme="minorHAnsi"/>
                <w:sz w:val="20"/>
                <w:szCs w:val="20"/>
              </w:rPr>
            </w:pPr>
            <w:r w:rsidRPr="007F67D6">
              <w:rPr>
                <w:rFonts w:cstheme="minorHAnsi"/>
                <w:sz w:val="20"/>
                <w:szCs w:val="20"/>
              </w:rPr>
              <w:t>Una vez revisados los avances en el desarrollo de las actividades propuestas en la estrategia de rendición de cuentas, se observó que estas cumplieron con el objetivo para el cual fueron programadas, es decir, se logró acercar la Agencia a la ciudadanía y partes interesa</w:t>
            </w:r>
            <w:r w:rsidR="00281648" w:rsidRPr="007F67D6">
              <w:rPr>
                <w:rFonts w:cstheme="minorHAnsi"/>
                <w:sz w:val="20"/>
                <w:szCs w:val="20"/>
              </w:rPr>
              <w:t xml:space="preserve">das, y en desarrollo de ese encuentro lograr la interlocución entre las partes con el fin de recibir de primera mano las expectativas y necesidades de la población. </w:t>
            </w:r>
          </w:p>
          <w:p w14:paraId="09A96742" w14:textId="77777777" w:rsidR="00782515" w:rsidRPr="007F67D6" w:rsidRDefault="00782515" w:rsidP="00753E17">
            <w:pPr>
              <w:contextualSpacing/>
              <w:jc w:val="both"/>
              <w:rPr>
                <w:rFonts w:cstheme="minorHAnsi"/>
                <w:sz w:val="20"/>
                <w:szCs w:val="20"/>
              </w:rPr>
            </w:pPr>
          </w:p>
          <w:p w14:paraId="216BD68C" w14:textId="19987AC6" w:rsidR="004D0D63" w:rsidRDefault="00456EC9" w:rsidP="004D0D63">
            <w:pPr>
              <w:contextualSpacing/>
              <w:jc w:val="both"/>
              <w:rPr>
                <w:rFonts w:cstheme="minorHAnsi"/>
                <w:sz w:val="20"/>
                <w:szCs w:val="20"/>
              </w:rPr>
            </w:pPr>
            <w:r>
              <w:rPr>
                <w:rFonts w:cstheme="minorHAnsi"/>
                <w:sz w:val="20"/>
                <w:szCs w:val="20"/>
              </w:rPr>
              <w:t xml:space="preserve">Una vez revisados los logros y actividades desarrolladas en la vigencia, se </w:t>
            </w:r>
            <w:r w:rsidR="00A226B5">
              <w:rPr>
                <w:rFonts w:cstheme="minorHAnsi"/>
                <w:sz w:val="20"/>
                <w:szCs w:val="20"/>
              </w:rPr>
              <w:t>identificaron las siguientes mejoras:</w:t>
            </w:r>
          </w:p>
          <w:p w14:paraId="09AAAB6A" w14:textId="737EBECC" w:rsidR="00A226B5" w:rsidRDefault="00A226B5" w:rsidP="004D0D63">
            <w:pPr>
              <w:contextualSpacing/>
              <w:jc w:val="both"/>
              <w:rPr>
                <w:rFonts w:cstheme="minorHAnsi"/>
                <w:sz w:val="20"/>
                <w:szCs w:val="20"/>
              </w:rPr>
            </w:pPr>
          </w:p>
          <w:p w14:paraId="18EE731D" w14:textId="489B469F" w:rsidR="00A226B5" w:rsidRPr="00D337CD" w:rsidRDefault="00A226B5" w:rsidP="00A226B5">
            <w:pPr>
              <w:pStyle w:val="Prrafodelista"/>
              <w:numPr>
                <w:ilvl w:val="0"/>
                <w:numId w:val="6"/>
              </w:numPr>
              <w:contextualSpacing w:val="0"/>
              <w:rPr>
                <w:rFonts w:eastAsia="Times New Roman"/>
                <w:sz w:val="20"/>
                <w:szCs w:val="20"/>
              </w:rPr>
            </w:pPr>
            <w:r w:rsidRPr="00D337CD">
              <w:rPr>
                <w:rFonts w:eastAsia="Times New Roman"/>
                <w:sz w:val="20"/>
                <w:szCs w:val="20"/>
              </w:rPr>
              <w:t>Se debe realizar una revisión a las preguntas planteadas por la ciudadanía con el fin de poder identificar cuales son los asuntos más sensibles y que acciones puede adelantar la Agencia para atender estas inquietudes.</w:t>
            </w:r>
          </w:p>
          <w:p w14:paraId="606A8846" w14:textId="31A14D0F" w:rsidR="00A226B5" w:rsidRPr="00D337CD" w:rsidRDefault="00A226B5" w:rsidP="00A226B5">
            <w:pPr>
              <w:pStyle w:val="Prrafodelista"/>
              <w:numPr>
                <w:ilvl w:val="0"/>
                <w:numId w:val="6"/>
              </w:numPr>
              <w:jc w:val="both"/>
              <w:rPr>
                <w:rFonts w:cstheme="minorHAnsi"/>
                <w:sz w:val="20"/>
                <w:szCs w:val="20"/>
              </w:rPr>
            </w:pPr>
            <w:r w:rsidRPr="00D337CD">
              <w:rPr>
                <w:rFonts w:cstheme="minorHAnsi"/>
                <w:sz w:val="20"/>
                <w:szCs w:val="20"/>
              </w:rPr>
              <w:t>Se deben implementar nuevos espacios de rendición de cuentas, los cuales sean innovadores y que empoderen a la ciudadanía.</w:t>
            </w:r>
          </w:p>
          <w:p w14:paraId="141611D7" w14:textId="0A8F9F77" w:rsidR="00A226B5" w:rsidRPr="00D337CD" w:rsidRDefault="00A226B5" w:rsidP="00A226B5">
            <w:pPr>
              <w:pStyle w:val="Prrafodelista"/>
              <w:numPr>
                <w:ilvl w:val="0"/>
                <w:numId w:val="6"/>
              </w:numPr>
              <w:jc w:val="both"/>
              <w:rPr>
                <w:rFonts w:cstheme="minorHAnsi"/>
                <w:sz w:val="20"/>
                <w:szCs w:val="20"/>
              </w:rPr>
            </w:pPr>
            <w:r w:rsidRPr="00D337CD">
              <w:rPr>
                <w:rFonts w:cstheme="minorHAnsi"/>
                <w:sz w:val="20"/>
                <w:szCs w:val="20"/>
              </w:rPr>
              <w:t>La Agencia, debe acercar su gestión a las regiones, para tal fin se pueden desarrollar mesas temáticas a nivel local en las cuales la Entidad se apoye en los concesionarios para profundizar la relación con la ciudadanía.</w:t>
            </w:r>
          </w:p>
          <w:p w14:paraId="42E53F91" w14:textId="25CF7640" w:rsidR="00A226B5" w:rsidRPr="00A226B5" w:rsidRDefault="00A226B5" w:rsidP="00A226B5">
            <w:pPr>
              <w:pStyle w:val="Prrafodelista"/>
              <w:numPr>
                <w:ilvl w:val="0"/>
                <w:numId w:val="6"/>
              </w:numPr>
              <w:jc w:val="both"/>
              <w:rPr>
                <w:rFonts w:cstheme="minorHAnsi"/>
                <w:sz w:val="20"/>
                <w:szCs w:val="20"/>
              </w:rPr>
            </w:pPr>
            <w:r w:rsidRPr="00D337CD">
              <w:rPr>
                <w:rFonts w:eastAsia="Times New Roman"/>
                <w:sz w:val="20"/>
                <w:szCs w:val="20"/>
              </w:rPr>
              <w:t>Se debe reforzar la gestión transparente de la Agencia, volviendo costumbre en todos informar, comunicar, difundir y compartir lo que se hace</w:t>
            </w:r>
            <w:r>
              <w:rPr>
                <w:rFonts w:eastAsia="Times New Roman"/>
              </w:rPr>
              <w:t>.</w:t>
            </w:r>
          </w:p>
          <w:p w14:paraId="22F82AFA" w14:textId="040A56F4" w:rsidR="00A226B5" w:rsidRDefault="00A226B5" w:rsidP="00A226B5">
            <w:pPr>
              <w:pStyle w:val="Prrafodelista"/>
              <w:numPr>
                <w:ilvl w:val="0"/>
                <w:numId w:val="6"/>
              </w:numPr>
              <w:jc w:val="both"/>
              <w:rPr>
                <w:rFonts w:cstheme="minorHAnsi"/>
                <w:sz w:val="20"/>
                <w:szCs w:val="20"/>
              </w:rPr>
            </w:pPr>
            <w:r>
              <w:rPr>
                <w:rFonts w:cstheme="minorHAnsi"/>
                <w:sz w:val="20"/>
                <w:szCs w:val="20"/>
              </w:rPr>
              <w:t>ANISCOPIO debe convertirse en una herramienta central de la estrategia, a través de la cual la entidad brinde información clara, oportuna y confiable respecto de los proyectos a cargo.</w:t>
            </w:r>
          </w:p>
          <w:p w14:paraId="1BB67B27" w14:textId="589288FB" w:rsidR="00C51AE0" w:rsidRDefault="006018FD" w:rsidP="00A226B5">
            <w:pPr>
              <w:pStyle w:val="Prrafodelista"/>
              <w:numPr>
                <w:ilvl w:val="0"/>
                <w:numId w:val="6"/>
              </w:numPr>
              <w:jc w:val="both"/>
              <w:rPr>
                <w:rFonts w:cstheme="minorHAnsi"/>
                <w:sz w:val="20"/>
                <w:szCs w:val="20"/>
              </w:rPr>
            </w:pPr>
            <w:r>
              <w:rPr>
                <w:rFonts w:cstheme="minorHAnsi"/>
                <w:sz w:val="20"/>
                <w:szCs w:val="20"/>
              </w:rPr>
              <w:t>En la formulación de las acciones, se deben incluir un numero mayor de actividades que vinculen directamente a las comunidades en la gestión de la entidad.</w:t>
            </w:r>
          </w:p>
          <w:p w14:paraId="7193BEED" w14:textId="77777777" w:rsidR="00C51AE0" w:rsidRDefault="00452451" w:rsidP="00A226B5">
            <w:pPr>
              <w:pStyle w:val="Prrafodelista"/>
              <w:numPr>
                <w:ilvl w:val="0"/>
                <w:numId w:val="6"/>
              </w:numPr>
              <w:jc w:val="both"/>
              <w:rPr>
                <w:rFonts w:cstheme="minorHAnsi"/>
                <w:sz w:val="20"/>
                <w:szCs w:val="20"/>
              </w:rPr>
            </w:pPr>
            <w:r>
              <w:rPr>
                <w:rFonts w:cstheme="minorHAnsi"/>
                <w:sz w:val="20"/>
                <w:szCs w:val="20"/>
              </w:rPr>
              <w:t>En la realización de las audiencias de rendición de cuentas se debe incluir la perspectiva de ODS en nuestra gestión.</w:t>
            </w:r>
          </w:p>
          <w:p w14:paraId="6C05627F" w14:textId="029BF9B9" w:rsidR="00775A5D" w:rsidRPr="00700993" w:rsidRDefault="00C51AE0" w:rsidP="00D337CD">
            <w:pPr>
              <w:pStyle w:val="Prrafodelista"/>
              <w:numPr>
                <w:ilvl w:val="0"/>
                <w:numId w:val="6"/>
              </w:numPr>
              <w:jc w:val="both"/>
              <w:rPr>
                <w:rFonts w:cstheme="minorHAnsi"/>
                <w:sz w:val="20"/>
                <w:szCs w:val="20"/>
              </w:rPr>
            </w:pPr>
            <w:r>
              <w:rPr>
                <w:rFonts w:cstheme="minorHAnsi"/>
                <w:sz w:val="20"/>
                <w:szCs w:val="20"/>
              </w:rPr>
              <w:t>Se deben mantener los recursos destinados al desarrollo de la estrategia.</w:t>
            </w:r>
          </w:p>
        </w:tc>
      </w:tr>
    </w:tbl>
    <w:p w14:paraId="1B3F1ADC" w14:textId="77777777" w:rsidR="00AD34E2" w:rsidRPr="00700993" w:rsidRDefault="00AD34E2" w:rsidP="00B435D0">
      <w:pPr>
        <w:contextualSpacing/>
        <w:jc w:val="center"/>
        <w:rPr>
          <w:rFonts w:cstheme="minorHAnsi"/>
          <w:b/>
          <w:sz w:val="20"/>
          <w:szCs w:val="20"/>
        </w:rPr>
      </w:pPr>
    </w:p>
    <w:tbl>
      <w:tblPr>
        <w:tblStyle w:val="Tablaconcuadrcula"/>
        <w:tblW w:w="0" w:type="auto"/>
        <w:tblLook w:val="04A0" w:firstRow="1" w:lastRow="0" w:firstColumn="1" w:lastColumn="0" w:noHBand="0" w:noVBand="1"/>
      </w:tblPr>
      <w:tblGrid>
        <w:gridCol w:w="3061"/>
        <w:gridCol w:w="2883"/>
        <w:gridCol w:w="1810"/>
        <w:gridCol w:w="1074"/>
      </w:tblGrid>
      <w:tr w:rsidR="00AD34E2" w:rsidRPr="00700993" w14:paraId="24ACEE64" w14:textId="77777777" w:rsidTr="002A7CBC">
        <w:trPr>
          <w:trHeight w:val="411"/>
        </w:trPr>
        <w:tc>
          <w:tcPr>
            <w:tcW w:w="8828" w:type="dxa"/>
            <w:gridSpan w:val="4"/>
            <w:shd w:val="clear" w:color="auto" w:fill="D9D9D9" w:themeFill="background1" w:themeFillShade="D9"/>
            <w:vAlign w:val="center"/>
          </w:tcPr>
          <w:p w14:paraId="5EF629C2" w14:textId="77777777" w:rsidR="00AD34E2" w:rsidRPr="00700993" w:rsidRDefault="00AD34E2" w:rsidP="007C3855">
            <w:pPr>
              <w:contextualSpacing/>
              <w:jc w:val="center"/>
              <w:rPr>
                <w:rFonts w:cstheme="minorHAnsi"/>
                <w:b/>
                <w:sz w:val="20"/>
                <w:szCs w:val="20"/>
              </w:rPr>
            </w:pPr>
            <w:r w:rsidRPr="00700993">
              <w:rPr>
                <w:rFonts w:cstheme="minorHAnsi"/>
                <w:b/>
                <w:sz w:val="20"/>
                <w:szCs w:val="20"/>
              </w:rPr>
              <w:t>COMPROMISOS</w:t>
            </w:r>
          </w:p>
        </w:tc>
      </w:tr>
      <w:tr w:rsidR="00AD34E2" w:rsidRPr="00700993" w14:paraId="4C1CA0B1" w14:textId="77777777" w:rsidTr="002A7CBC">
        <w:trPr>
          <w:trHeight w:val="418"/>
        </w:trPr>
        <w:tc>
          <w:tcPr>
            <w:tcW w:w="3061" w:type="dxa"/>
            <w:tcBorders>
              <w:right w:val="single" w:sz="4" w:space="0" w:color="auto"/>
            </w:tcBorders>
            <w:vAlign w:val="center"/>
          </w:tcPr>
          <w:p w14:paraId="19422FEC" w14:textId="77777777" w:rsidR="00AD34E2" w:rsidRPr="00700993" w:rsidRDefault="00AD34E2" w:rsidP="007C3855">
            <w:pPr>
              <w:contextualSpacing/>
              <w:jc w:val="center"/>
              <w:rPr>
                <w:rFonts w:cstheme="minorHAnsi"/>
                <w:b/>
                <w:sz w:val="20"/>
                <w:szCs w:val="20"/>
              </w:rPr>
            </w:pPr>
            <w:r w:rsidRPr="00700993">
              <w:rPr>
                <w:rFonts w:cstheme="minorHAnsi"/>
                <w:b/>
                <w:sz w:val="20"/>
                <w:szCs w:val="20"/>
              </w:rPr>
              <w:t>COMPROMISO</w:t>
            </w:r>
          </w:p>
        </w:tc>
        <w:tc>
          <w:tcPr>
            <w:tcW w:w="2883" w:type="dxa"/>
            <w:tcBorders>
              <w:right w:val="single" w:sz="4" w:space="0" w:color="auto"/>
            </w:tcBorders>
            <w:vAlign w:val="center"/>
          </w:tcPr>
          <w:p w14:paraId="1B35300D" w14:textId="77777777" w:rsidR="00AD34E2" w:rsidRPr="00700993" w:rsidRDefault="00AD34E2" w:rsidP="007C3855">
            <w:pPr>
              <w:contextualSpacing/>
              <w:jc w:val="center"/>
              <w:rPr>
                <w:rFonts w:cstheme="minorHAnsi"/>
                <w:b/>
                <w:sz w:val="20"/>
                <w:szCs w:val="20"/>
              </w:rPr>
            </w:pPr>
            <w:r w:rsidRPr="00700993">
              <w:rPr>
                <w:rFonts w:cstheme="minorHAnsi"/>
                <w:b/>
                <w:sz w:val="20"/>
                <w:szCs w:val="20"/>
              </w:rPr>
              <w:t>RESPONSABLE</w:t>
            </w:r>
          </w:p>
        </w:tc>
        <w:tc>
          <w:tcPr>
            <w:tcW w:w="1810" w:type="dxa"/>
            <w:tcBorders>
              <w:right w:val="single" w:sz="4" w:space="0" w:color="auto"/>
            </w:tcBorders>
            <w:vAlign w:val="center"/>
          </w:tcPr>
          <w:p w14:paraId="628128DB" w14:textId="77777777" w:rsidR="00AD34E2" w:rsidRPr="00700993" w:rsidRDefault="00AD34E2" w:rsidP="007C3855">
            <w:pPr>
              <w:contextualSpacing/>
              <w:jc w:val="center"/>
              <w:rPr>
                <w:rFonts w:cstheme="minorHAnsi"/>
                <w:b/>
                <w:sz w:val="20"/>
                <w:szCs w:val="20"/>
              </w:rPr>
            </w:pPr>
            <w:r w:rsidRPr="00700993">
              <w:rPr>
                <w:rFonts w:cstheme="minorHAnsi"/>
                <w:b/>
                <w:sz w:val="20"/>
                <w:szCs w:val="20"/>
              </w:rPr>
              <w:t>FECHA ENTREGA</w:t>
            </w:r>
          </w:p>
        </w:tc>
        <w:tc>
          <w:tcPr>
            <w:tcW w:w="1074" w:type="dxa"/>
            <w:tcBorders>
              <w:left w:val="single" w:sz="4" w:space="0" w:color="auto"/>
            </w:tcBorders>
            <w:vAlign w:val="center"/>
          </w:tcPr>
          <w:p w14:paraId="10093400" w14:textId="77777777" w:rsidR="00AD34E2" w:rsidRPr="00700993" w:rsidRDefault="00AD34E2" w:rsidP="007C3855">
            <w:pPr>
              <w:contextualSpacing/>
              <w:jc w:val="center"/>
              <w:rPr>
                <w:rFonts w:cstheme="minorHAnsi"/>
                <w:b/>
                <w:sz w:val="20"/>
                <w:szCs w:val="20"/>
              </w:rPr>
            </w:pPr>
            <w:r w:rsidRPr="00700993">
              <w:rPr>
                <w:rFonts w:cstheme="minorHAnsi"/>
                <w:b/>
                <w:sz w:val="20"/>
                <w:szCs w:val="20"/>
              </w:rPr>
              <w:t>%AVANCE</w:t>
            </w:r>
          </w:p>
        </w:tc>
      </w:tr>
      <w:tr w:rsidR="002A1906" w:rsidRPr="00700993" w14:paraId="0CD92A8E" w14:textId="77777777" w:rsidTr="002A7CBC">
        <w:trPr>
          <w:trHeight w:val="424"/>
        </w:trPr>
        <w:tc>
          <w:tcPr>
            <w:tcW w:w="3061" w:type="dxa"/>
            <w:tcBorders>
              <w:right w:val="single" w:sz="4" w:space="0" w:color="auto"/>
            </w:tcBorders>
            <w:vAlign w:val="center"/>
          </w:tcPr>
          <w:p w14:paraId="014D8517" w14:textId="77777777" w:rsidR="002A1906" w:rsidRPr="00700993" w:rsidRDefault="002A1906" w:rsidP="002A7CBC">
            <w:pPr>
              <w:contextualSpacing/>
              <w:jc w:val="both"/>
              <w:rPr>
                <w:rFonts w:cstheme="minorHAnsi"/>
                <w:sz w:val="20"/>
                <w:szCs w:val="20"/>
              </w:rPr>
            </w:pPr>
          </w:p>
        </w:tc>
        <w:tc>
          <w:tcPr>
            <w:tcW w:w="2883" w:type="dxa"/>
            <w:tcBorders>
              <w:right w:val="single" w:sz="4" w:space="0" w:color="auto"/>
            </w:tcBorders>
            <w:vAlign w:val="center"/>
          </w:tcPr>
          <w:p w14:paraId="15F76E38" w14:textId="77777777" w:rsidR="002A1906" w:rsidRPr="00700993" w:rsidRDefault="002A1906" w:rsidP="007C3855">
            <w:pPr>
              <w:contextualSpacing/>
              <w:jc w:val="center"/>
              <w:rPr>
                <w:rFonts w:cstheme="minorHAnsi"/>
                <w:sz w:val="20"/>
                <w:szCs w:val="20"/>
              </w:rPr>
            </w:pPr>
          </w:p>
        </w:tc>
        <w:tc>
          <w:tcPr>
            <w:tcW w:w="1810" w:type="dxa"/>
            <w:tcBorders>
              <w:right w:val="single" w:sz="4" w:space="0" w:color="auto"/>
            </w:tcBorders>
            <w:vAlign w:val="center"/>
          </w:tcPr>
          <w:p w14:paraId="504C09EC" w14:textId="77777777" w:rsidR="002A1906" w:rsidRPr="00700993" w:rsidRDefault="002A1906" w:rsidP="007C3855">
            <w:pPr>
              <w:contextualSpacing/>
              <w:jc w:val="center"/>
              <w:rPr>
                <w:rFonts w:cstheme="minorHAnsi"/>
                <w:sz w:val="20"/>
                <w:szCs w:val="20"/>
              </w:rPr>
            </w:pPr>
          </w:p>
        </w:tc>
        <w:tc>
          <w:tcPr>
            <w:tcW w:w="1074" w:type="dxa"/>
            <w:tcBorders>
              <w:left w:val="single" w:sz="4" w:space="0" w:color="auto"/>
            </w:tcBorders>
            <w:vAlign w:val="center"/>
          </w:tcPr>
          <w:p w14:paraId="10259531" w14:textId="77777777" w:rsidR="002A1906" w:rsidRPr="00700993" w:rsidRDefault="002A1906" w:rsidP="007C3855">
            <w:pPr>
              <w:contextualSpacing/>
              <w:jc w:val="center"/>
              <w:rPr>
                <w:rFonts w:cstheme="minorHAnsi"/>
                <w:sz w:val="20"/>
                <w:szCs w:val="20"/>
              </w:rPr>
            </w:pPr>
          </w:p>
        </w:tc>
      </w:tr>
      <w:tr w:rsidR="002A1906" w:rsidRPr="00700993" w14:paraId="60728C2F" w14:textId="77777777" w:rsidTr="002A7CBC">
        <w:trPr>
          <w:trHeight w:val="402"/>
        </w:trPr>
        <w:tc>
          <w:tcPr>
            <w:tcW w:w="3061" w:type="dxa"/>
            <w:tcBorders>
              <w:right w:val="single" w:sz="4" w:space="0" w:color="auto"/>
            </w:tcBorders>
            <w:vAlign w:val="center"/>
          </w:tcPr>
          <w:p w14:paraId="02425472" w14:textId="77777777" w:rsidR="002A1906" w:rsidRPr="00700993" w:rsidRDefault="002A1906" w:rsidP="002A7CBC">
            <w:pPr>
              <w:contextualSpacing/>
              <w:jc w:val="both"/>
              <w:rPr>
                <w:rFonts w:cstheme="minorHAnsi"/>
                <w:sz w:val="20"/>
                <w:szCs w:val="20"/>
              </w:rPr>
            </w:pPr>
          </w:p>
        </w:tc>
        <w:tc>
          <w:tcPr>
            <w:tcW w:w="2883" w:type="dxa"/>
            <w:tcBorders>
              <w:right w:val="single" w:sz="4" w:space="0" w:color="auto"/>
            </w:tcBorders>
            <w:vAlign w:val="center"/>
          </w:tcPr>
          <w:p w14:paraId="45AE3822" w14:textId="77777777" w:rsidR="002A1906" w:rsidRPr="00700993" w:rsidRDefault="002A1906" w:rsidP="007C3855">
            <w:pPr>
              <w:contextualSpacing/>
              <w:jc w:val="center"/>
              <w:rPr>
                <w:rFonts w:cstheme="minorHAnsi"/>
                <w:sz w:val="20"/>
                <w:szCs w:val="20"/>
              </w:rPr>
            </w:pPr>
          </w:p>
        </w:tc>
        <w:tc>
          <w:tcPr>
            <w:tcW w:w="1810" w:type="dxa"/>
            <w:tcBorders>
              <w:right w:val="single" w:sz="4" w:space="0" w:color="auto"/>
            </w:tcBorders>
            <w:vAlign w:val="center"/>
          </w:tcPr>
          <w:p w14:paraId="47AC5C53" w14:textId="77777777" w:rsidR="002A1906" w:rsidRPr="00700993" w:rsidRDefault="002A1906" w:rsidP="007C3855">
            <w:pPr>
              <w:contextualSpacing/>
              <w:jc w:val="center"/>
              <w:rPr>
                <w:rFonts w:cstheme="minorHAnsi"/>
                <w:sz w:val="20"/>
                <w:szCs w:val="20"/>
              </w:rPr>
            </w:pPr>
          </w:p>
        </w:tc>
        <w:tc>
          <w:tcPr>
            <w:tcW w:w="1074" w:type="dxa"/>
            <w:tcBorders>
              <w:left w:val="single" w:sz="4" w:space="0" w:color="auto"/>
            </w:tcBorders>
            <w:vAlign w:val="center"/>
          </w:tcPr>
          <w:p w14:paraId="3A5EC32E" w14:textId="77777777" w:rsidR="002A1906" w:rsidRPr="00700993" w:rsidRDefault="002A1906" w:rsidP="007C3855">
            <w:pPr>
              <w:contextualSpacing/>
              <w:jc w:val="center"/>
              <w:rPr>
                <w:rFonts w:cstheme="minorHAnsi"/>
                <w:sz w:val="20"/>
                <w:szCs w:val="20"/>
              </w:rPr>
            </w:pPr>
          </w:p>
        </w:tc>
      </w:tr>
      <w:tr w:rsidR="002A7CBC" w:rsidRPr="00700993" w14:paraId="662B493C" w14:textId="77777777" w:rsidTr="002A7CBC">
        <w:trPr>
          <w:trHeight w:val="402"/>
        </w:trPr>
        <w:tc>
          <w:tcPr>
            <w:tcW w:w="3061" w:type="dxa"/>
            <w:tcBorders>
              <w:right w:val="single" w:sz="4" w:space="0" w:color="auto"/>
            </w:tcBorders>
            <w:vAlign w:val="center"/>
          </w:tcPr>
          <w:p w14:paraId="2578C410" w14:textId="77777777" w:rsidR="002A7CBC" w:rsidRPr="00700993" w:rsidRDefault="002A7CBC" w:rsidP="002A7CBC">
            <w:pPr>
              <w:contextualSpacing/>
              <w:jc w:val="both"/>
              <w:rPr>
                <w:rFonts w:cstheme="minorHAnsi"/>
                <w:sz w:val="20"/>
                <w:szCs w:val="20"/>
              </w:rPr>
            </w:pPr>
          </w:p>
        </w:tc>
        <w:tc>
          <w:tcPr>
            <w:tcW w:w="2883" w:type="dxa"/>
            <w:tcBorders>
              <w:right w:val="single" w:sz="4" w:space="0" w:color="auto"/>
            </w:tcBorders>
            <w:vAlign w:val="center"/>
          </w:tcPr>
          <w:p w14:paraId="25065D40" w14:textId="77777777" w:rsidR="002A7CBC" w:rsidRPr="00700993" w:rsidRDefault="002A7CBC" w:rsidP="007C3855">
            <w:pPr>
              <w:contextualSpacing/>
              <w:jc w:val="center"/>
              <w:rPr>
                <w:rFonts w:cstheme="minorHAnsi"/>
                <w:sz w:val="20"/>
                <w:szCs w:val="20"/>
              </w:rPr>
            </w:pPr>
          </w:p>
        </w:tc>
        <w:tc>
          <w:tcPr>
            <w:tcW w:w="1810" w:type="dxa"/>
            <w:tcBorders>
              <w:right w:val="single" w:sz="4" w:space="0" w:color="auto"/>
            </w:tcBorders>
            <w:vAlign w:val="center"/>
          </w:tcPr>
          <w:p w14:paraId="00342603" w14:textId="77777777" w:rsidR="002A7CBC" w:rsidRPr="00700993" w:rsidRDefault="002A7CBC" w:rsidP="007C3855">
            <w:pPr>
              <w:contextualSpacing/>
              <w:jc w:val="center"/>
              <w:rPr>
                <w:rFonts w:cstheme="minorHAnsi"/>
                <w:sz w:val="20"/>
                <w:szCs w:val="20"/>
              </w:rPr>
            </w:pPr>
          </w:p>
        </w:tc>
        <w:tc>
          <w:tcPr>
            <w:tcW w:w="1074" w:type="dxa"/>
            <w:tcBorders>
              <w:left w:val="single" w:sz="4" w:space="0" w:color="auto"/>
            </w:tcBorders>
            <w:vAlign w:val="center"/>
          </w:tcPr>
          <w:p w14:paraId="6BA2F8AF" w14:textId="77777777" w:rsidR="002A7CBC" w:rsidRPr="00700993" w:rsidRDefault="002A7CBC" w:rsidP="007C3855">
            <w:pPr>
              <w:contextualSpacing/>
              <w:jc w:val="center"/>
              <w:rPr>
                <w:rFonts w:cstheme="minorHAnsi"/>
                <w:sz w:val="20"/>
                <w:szCs w:val="20"/>
              </w:rPr>
            </w:pPr>
          </w:p>
        </w:tc>
      </w:tr>
    </w:tbl>
    <w:p w14:paraId="25A56E2C" w14:textId="77777777" w:rsidR="00AD34E2" w:rsidRPr="00700993" w:rsidRDefault="00AD34E2" w:rsidP="00B435D0">
      <w:pPr>
        <w:contextualSpacing/>
        <w:jc w:val="center"/>
        <w:rPr>
          <w:rFonts w:cstheme="minorHAnsi"/>
          <w:b/>
          <w:sz w:val="20"/>
          <w:szCs w:val="20"/>
        </w:rPr>
      </w:pPr>
    </w:p>
    <w:tbl>
      <w:tblPr>
        <w:tblStyle w:val="Tablaconcuadrcula"/>
        <w:tblW w:w="0" w:type="auto"/>
        <w:tblLook w:val="04A0" w:firstRow="1" w:lastRow="0" w:firstColumn="1" w:lastColumn="0" w:noHBand="0" w:noVBand="1"/>
      </w:tblPr>
      <w:tblGrid>
        <w:gridCol w:w="4427"/>
        <w:gridCol w:w="4401"/>
      </w:tblGrid>
      <w:tr w:rsidR="002A1906" w:rsidRPr="00700993" w14:paraId="44E1B23B" w14:textId="77777777" w:rsidTr="007C3855">
        <w:trPr>
          <w:trHeight w:val="417"/>
        </w:trPr>
        <w:tc>
          <w:tcPr>
            <w:tcW w:w="4489" w:type="dxa"/>
            <w:shd w:val="clear" w:color="auto" w:fill="D9D9D9" w:themeFill="background1" w:themeFillShade="D9"/>
            <w:vAlign w:val="center"/>
          </w:tcPr>
          <w:p w14:paraId="56804CA0" w14:textId="77777777" w:rsidR="002A1906" w:rsidRPr="00700993" w:rsidRDefault="002A1906" w:rsidP="007C3855">
            <w:pPr>
              <w:contextualSpacing/>
              <w:jc w:val="center"/>
              <w:rPr>
                <w:rFonts w:cstheme="minorHAnsi"/>
                <w:b/>
                <w:sz w:val="20"/>
                <w:szCs w:val="20"/>
              </w:rPr>
            </w:pPr>
            <w:r w:rsidRPr="00700993">
              <w:rPr>
                <w:rFonts w:cstheme="minorHAnsi"/>
                <w:b/>
                <w:sz w:val="20"/>
                <w:szCs w:val="20"/>
              </w:rPr>
              <w:t>COMENTARIO FINAL DEL SEGUIMIENTO:</w:t>
            </w:r>
          </w:p>
        </w:tc>
        <w:tc>
          <w:tcPr>
            <w:tcW w:w="4489" w:type="dxa"/>
            <w:vAlign w:val="center"/>
          </w:tcPr>
          <w:p w14:paraId="13086A46" w14:textId="77777777" w:rsidR="002A1906" w:rsidRPr="00700993" w:rsidRDefault="002A1906" w:rsidP="007C3855">
            <w:pPr>
              <w:contextualSpacing/>
              <w:jc w:val="center"/>
              <w:rPr>
                <w:rFonts w:cstheme="minorHAnsi"/>
                <w:sz w:val="20"/>
                <w:szCs w:val="20"/>
              </w:rPr>
            </w:pPr>
          </w:p>
        </w:tc>
      </w:tr>
    </w:tbl>
    <w:p w14:paraId="217F611F" w14:textId="77777777" w:rsidR="002A1906" w:rsidRPr="00700993" w:rsidRDefault="002A1906" w:rsidP="00B435D0">
      <w:pPr>
        <w:contextualSpacing/>
        <w:jc w:val="center"/>
        <w:rPr>
          <w:rFonts w:cstheme="minorHAnsi"/>
          <w:b/>
          <w:sz w:val="20"/>
          <w:szCs w:val="20"/>
        </w:rPr>
      </w:pPr>
    </w:p>
    <w:p w14:paraId="20B84819" w14:textId="77777777" w:rsidR="00B435D0" w:rsidRPr="00700993" w:rsidRDefault="00B435D0" w:rsidP="00AD34E2">
      <w:pPr>
        <w:jc w:val="center"/>
        <w:rPr>
          <w:rFonts w:cstheme="minorHAnsi"/>
          <w:b/>
          <w:sz w:val="20"/>
          <w:szCs w:val="20"/>
        </w:rPr>
      </w:pPr>
    </w:p>
    <w:sectPr w:rsidR="00B435D0" w:rsidRPr="00700993" w:rsidSect="00F9749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66949" w14:textId="77777777" w:rsidR="0057571C" w:rsidRDefault="0057571C" w:rsidP="00150E89">
      <w:pPr>
        <w:spacing w:after="0" w:line="240" w:lineRule="auto"/>
      </w:pPr>
      <w:r>
        <w:separator/>
      </w:r>
    </w:p>
  </w:endnote>
  <w:endnote w:type="continuationSeparator" w:id="0">
    <w:p w14:paraId="121BBFF2" w14:textId="77777777" w:rsidR="0057571C" w:rsidRDefault="0057571C" w:rsidP="0015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094394526"/>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7FA9967B" w14:textId="4D1D2F5E" w:rsidR="0002122E" w:rsidRPr="007C3855" w:rsidRDefault="0002122E">
            <w:pPr>
              <w:pStyle w:val="Piedepgina"/>
              <w:jc w:val="center"/>
              <w:rPr>
                <w:sz w:val="20"/>
                <w:szCs w:val="20"/>
              </w:rPr>
            </w:pPr>
            <w:r w:rsidRPr="007C3855">
              <w:rPr>
                <w:sz w:val="20"/>
                <w:szCs w:val="20"/>
                <w:lang w:val="es-ES"/>
              </w:rPr>
              <w:t xml:space="preserve">Página </w:t>
            </w:r>
            <w:r w:rsidRPr="007C3855">
              <w:rPr>
                <w:b/>
                <w:bCs/>
                <w:sz w:val="20"/>
                <w:szCs w:val="20"/>
              </w:rPr>
              <w:fldChar w:fldCharType="begin"/>
            </w:r>
            <w:r w:rsidRPr="007C3855">
              <w:rPr>
                <w:b/>
                <w:bCs/>
                <w:sz w:val="20"/>
                <w:szCs w:val="20"/>
              </w:rPr>
              <w:instrText>PAGE</w:instrText>
            </w:r>
            <w:r w:rsidRPr="007C3855">
              <w:rPr>
                <w:b/>
                <w:bCs/>
                <w:sz w:val="20"/>
                <w:szCs w:val="20"/>
              </w:rPr>
              <w:fldChar w:fldCharType="separate"/>
            </w:r>
            <w:r w:rsidR="00A26C3E">
              <w:rPr>
                <w:b/>
                <w:bCs/>
                <w:noProof/>
                <w:sz w:val="20"/>
                <w:szCs w:val="20"/>
              </w:rPr>
              <w:t>4</w:t>
            </w:r>
            <w:r w:rsidRPr="007C3855">
              <w:rPr>
                <w:b/>
                <w:bCs/>
                <w:sz w:val="20"/>
                <w:szCs w:val="20"/>
              </w:rPr>
              <w:fldChar w:fldCharType="end"/>
            </w:r>
            <w:r w:rsidRPr="007C3855">
              <w:rPr>
                <w:sz w:val="20"/>
                <w:szCs w:val="20"/>
                <w:lang w:val="es-ES"/>
              </w:rPr>
              <w:t xml:space="preserve"> de </w:t>
            </w:r>
            <w:r w:rsidRPr="007C3855">
              <w:rPr>
                <w:b/>
                <w:bCs/>
                <w:sz w:val="20"/>
                <w:szCs w:val="20"/>
              </w:rPr>
              <w:fldChar w:fldCharType="begin"/>
            </w:r>
            <w:r w:rsidRPr="007C3855">
              <w:rPr>
                <w:b/>
                <w:bCs/>
                <w:sz w:val="20"/>
                <w:szCs w:val="20"/>
              </w:rPr>
              <w:instrText>NUMPAGES</w:instrText>
            </w:r>
            <w:r w:rsidRPr="007C3855">
              <w:rPr>
                <w:b/>
                <w:bCs/>
                <w:sz w:val="20"/>
                <w:szCs w:val="20"/>
              </w:rPr>
              <w:fldChar w:fldCharType="separate"/>
            </w:r>
            <w:r w:rsidR="00A26C3E">
              <w:rPr>
                <w:b/>
                <w:bCs/>
                <w:noProof/>
                <w:sz w:val="20"/>
                <w:szCs w:val="20"/>
              </w:rPr>
              <w:t>5</w:t>
            </w:r>
            <w:r w:rsidRPr="007C3855">
              <w:rPr>
                <w:b/>
                <w:bCs/>
                <w:sz w:val="20"/>
                <w:szCs w:val="20"/>
              </w:rPr>
              <w:fldChar w:fldCharType="end"/>
            </w:r>
          </w:p>
        </w:sdtContent>
      </w:sdt>
    </w:sdtContent>
  </w:sdt>
  <w:p w14:paraId="27FEF6A1" w14:textId="77777777" w:rsidR="0002122E" w:rsidRDefault="000212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6CD34" w14:textId="77777777" w:rsidR="0057571C" w:rsidRDefault="0057571C" w:rsidP="00150E89">
      <w:pPr>
        <w:spacing w:after="0" w:line="240" w:lineRule="auto"/>
      </w:pPr>
      <w:r>
        <w:separator/>
      </w:r>
    </w:p>
  </w:footnote>
  <w:footnote w:type="continuationSeparator" w:id="0">
    <w:p w14:paraId="2C685E7B" w14:textId="77777777" w:rsidR="0057571C" w:rsidRDefault="0057571C" w:rsidP="0015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1316"/>
      <w:gridCol w:w="3543"/>
      <w:gridCol w:w="2268"/>
    </w:tblGrid>
    <w:tr w:rsidR="0002122E" w:rsidRPr="00E66D96" w14:paraId="01AE78BD" w14:textId="77777777" w:rsidTr="00D66286">
      <w:trPr>
        <w:trHeight w:val="493"/>
        <w:jc w:val="center"/>
      </w:trPr>
      <w:tc>
        <w:tcPr>
          <w:tcW w:w="25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8813F2" w14:textId="77777777" w:rsidR="0002122E" w:rsidRPr="00E66D96" w:rsidRDefault="0002122E" w:rsidP="00D66286">
          <w:pPr>
            <w:jc w:val="center"/>
            <w:rPr>
              <w:rFonts w:cs="Tahoma"/>
              <w:b/>
              <w:sz w:val="24"/>
              <w:szCs w:val="24"/>
              <w:lang w:val="es-ES_tradnl" w:eastAsia="es-ES"/>
            </w:rPr>
          </w:pPr>
          <w:r>
            <w:rPr>
              <w:rFonts w:cs="Tahoma"/>
              <w:noProof/>
              <w:sz w:val="24"/>
              <w:szCs w:val="24"/>
              <w:lang w:eastAsia="es-CO"/>
            </w:rPr>
            <w:drawing>
              <wp:inline distT="0" distB="0" distL="0" distR="0" wp14:anchorId="45595849" wp14:editId="0F9CB733">
                <wp:extent cx="1285875" cy="857250"/>
                <wp:effectExtent l="19050" t="0" r="9525" b="0"/>
                <wp:docPr id="1" name="89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 Imagen"/>
                        <pic:cNvPicPr>
                          <a:picLocks noChangeAspect="1" noChangeArrowheads="1"/>
                        </pic:cNvPicPr>
                      </pic:nvPicPr>
                      <pic:blipFill>
                        <a:blip r:embed="rId1"/>
                        <a:srcRect/>
                        <a:stretch>
                          <a:fillRect/>
                        </a:stretch>
                      </pic:blipFill>
                      <pic:spPr bwMode="auto">
                        <a:xfrm>
                          <a:off x="0" y="0"/>
                          <a:ext cx="1285875" cy="857250"/>
                        </a:xfrm>
                        <a:prstGeom prst="rect">
                          <a:avLst/>
                        </a:prstGeom>
                        <a:noFill/>
                        <a:ln w="9525">
                          <a:noFill/>
                          <a:miter lim="800000"/>
                          <a:headEnd/>
                          <a:tailEnd/>
                        </a:ln>
                      </pic:spPr>
                    </pic:pic>
                  </a:graphicData>
                </a:graphic>
              </wp:inline>
            </w:drawing>
          </w:r>
        </w:p>
      </w:tc>
      <w:tc>
        <w:tcPr>
          <w:tcW w:w="48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71DED6" w14:textId="77777777" w:rsidR="0002122E" w:rsidRPr="00E66D96" w:rsidRDefault="0002122E" w:rsidP="00D66286">
          <w:pPr>
            <w:jc w:val="center"/>
            <w:rPr>
              <w:rFonts w:cs="Tahoma"/>
              <w:b/>
              <w:sz w:val="24"/>
              <w:szCs w:val="24"/>
              <w:lang w:val="es-ES_tradnl" w:eastAsia="es-ES"/>
            </w:rPr>
          </w:pPr>
          <w:r w:rsidRPr="00E66D96">
            <w:rPr>
              <w:rFonts w:cs="Tahoma"/>
              <w:b/>
              <w:sz w:val="24"/>
              <w:szCs w:val="24"/>
              <w:lang w:val="es-ES_tradnl" w:eastAsia="es-ES"/>
            </w:rPr>
            <w:t>SISTEMA INTEGRADO DE GESTIÓN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EB339" w14:textId="77777777" w:rsidR="0002122E" w:rsidRPr="00201D46" w:rsidRDefault="0002122E" w:rsidP="00D66286">
          <w:pPr>
            <w:rPr>
              <w:rFonts w:cs="Tahoma"/>
              <w:sz w:val="24"/>
              <w:szCs w:val="24"/>
              <w:lang w:val="es-ES_tradnl" w:eastAsia="es-ES"/>
            </w:rPr>
          </w:pPr>
          <w:r w:rsidRPr="00E66D96">
            <w:rPr>
              <w:rFonts w:cs="Tahoma"/>
              <w:b/>
              <w:sz w:val="24"/>
              <w:szCs w:val="24"/>
              <w:lang w:val="es-ES_tradnl" w:eastAsia="es-ES"/>
            </w:rPr>
            <w:t xml:space="preserve">Código:   </w:t>
          </w:r>
          <w:r>
            <w:rPr>
              <w:rFonts w:cs="Tahoma"/>
              <w:sz w:val="24"/>
              <w:szCs w:val="24"/>
              <w:lang w:val="es-ES_tradnl" w:eastAsia="es-ES"/>
            </w:rPr>
            <w:t>SEPG-F-027</w:t>
          </w:r>
        </w:p>
      </w:tc>
    </w:tr>
    <w:tr w:rsidR="0002122E" w:rsidRPr="00E66D96" w14:paraId="335828F4" w14:textId="77777777" w:rsidTr="00D66286">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5A94D9" w14:textId="77777777" w:rsidR="0002122E" w:rsidRPr="00E66D96" w:rsidRDefault="0002122E" w:rsidP="00D66286">
          <w:pPr>
            <w:rPr>
              <w:rFonts w:cs="Tahoma"/>
              <w:b/>
              <w:sz w:val="24"/>
              <w:szCs w:val="24"/>
              <w:lang w:val="es-ES_tradnl" w:eastAsia="es-ES"/>
            </w:rP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D066D" w14:textId="77777777" w:rsidR="0002122E" w:rsidRPr="00E66D96" w:rsidRDefault="0002122E" w:rsidP="00D66286">
          <w:pPr>
            <w:rPr>
              <w:rFonts w:cs="Tahoma"/>
              <w:b/>
              <w:sz w:val="24"/>
              <w:szCs w:val="24"/>
              <w:lang w:val="es-ES_tradnl" w:eastAsia="es-ES"/>
            </w:rPr>
          </w:pPr>
          <w:r w:rsidRPr="00E66D96">
            <w:rPr>
              <w:rFonts w:cs="Tahoma"/>
              <w:b/>
              <w:sz w:val="24"/>
              <w:szCs w:val="24"/>
              <w:lang w:val="es-ES_tradnl" w:eastAsia="es-ES"/>
            </w:rPr>
            <w:t>PROCESO</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C59EB" w14:textId="77777777" w:rsidR="0002122E" w:rsidRPr="00E66D96" w:rsidRDefault="0002122E" w:rsidP="00D66286">
          <w:pPr>
            <w:jc w:val="center"/>
            <w:rPr>
              <w:rFonts w:cs="Tahoma"/>
              <w:sz w:val="24"/>
              <w:szCs w:val="24"/>
              <w:lang w:val="es-ES_tradnl" w:eastAsia="es-ES"/>
            </w:rPr>
          </w:pPr>
          <w:r w:rsidRPr="00E66D96">
            <w:rPr>
              <w:rFonts w:eastAsia="Times New Roman"/>
              <w:color w:val="000000"/>
              <w:sz w:val="24"/>
              <w:szCs w:val="24"/>
              <w:lang w:eastAsia="es-CO"/>
            </w:rPr>
            <w:t>SISTE</w:t>
          </w:r>
          <w:r w:rsidR="003E76BE">
            <w:rPr>
              <w:rFonts w:eastAsia="Times New Roman"/>
              <w:color w:val="000000"/>
              <w:sz w:val="24"/>
              <w:szCs w:val="24"/>
              <w:lang w:eastAsia="es-CO"/>
            </w:rPr>
            <w:t xml:space="preserve">MA ESTRATÉGICO DE PLANEACIÓN Y </w:t>
          </w:r>
          <w:r w:rsidRPr="00E66D96">
            <w:rPr>
              <w:rFonts w:eastAsia="Times New Roman"/>
              <w:color w:val="000000"/>
              <w:sz w:val="24"/>
              <w:szCs w:val="24"/>
              <w:lang w:eastAsia="es-CO"/>
            </w:rPr>
            <w:t>GESTIÓN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24971" w14:textId="77777777" w:rsidR="0002122E" w:rsidRPr="007C3855" w:rsidRDefault="0002122E" w:rsidP="00D66286">
          <w:pPr>
            <w:rPr>
              <w:rFonts w:cs="Tahoma"/>
              <w:b/>
              <w:sz w:val="24"/>
              <w:szCs w:val="24"/>
              <w:lang w:val="es-ES_tradnl" w:eastAsia="es-ES"/>
            </w:rPr>
          </w:pPr>
          <w:r w:rsidRPr="007C3855">
            <w:rPr>
              <w:rFonts w:cs="Tahoma"/>
              <w:b/>
              <w:sz w:val="24"/>
              <w:szCs w:val="24"/>
              <w:lang w:val="es-ES_tradnl" w:eastAsia="es-ES"/>
            </w:rPr>
            <w:t xml:space="preserve">Versión: </w:t>
          </w:r>
          <w:r w:rsidRPr="007C3855">
            <w:rPr>
              <w:rFonts w:cs="Tahoma"/>
              <w:sz w:val="24"/>
              <w:szCs w:val="24"/>
              <w:lang w:val="es-ES_tradnl" w:eastAsia="es-ES"/>
            </w:rPr>
            <w:t xml:space="preserve"> 003</w:t>
          </w:r>
        </w:p>
      </w:tc>
    </w:tr>
    <w:tr w:rsidR="0002122E" w:rsidRPr="00E66D96" w14:paraId="2758A836" w14:textId="77777777" w:rsidTr="00D66286">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27D542" w14:textId="77777777" w:rsidR="0002122E" w:rsidRPr="00E66D96" w:rsidRDefault="0002122E" w:rsidP="00D66286">
          <w:pPr>
            <w:rPr>
              <w:rFonts w:cs="Tahoma"/>
              <w:b/>
              <w:sz w:val="24"/>
              <w:szCs w:val="24"/>
              <w:lang w:val="es-ES_tradnl" w:eastAsia="es-ES"/>
            </w:rP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D1CCC" w14:textId="77777777" w:rsidR="0002122E" w:rsidRPr="00E66D96" w:rsidRDefault="0002122E" w:rsidP="00D66286">
          <w:pPr>
            <w:rPr>
              <w:rFonts w:cs="Tahoma"/>
              <w:b/>
              <w:sz w:val="24"/>
              <w:szCs w:val="24"/>
              <w:lang w:val="es-ES_tradnl" w:eastAsia="es-ES"/>
            </w:rPr>
          </w:pPr>
          <w:r w:rsidRPr="00E66D96">
            <w:rPr>
              <w:rFonts w:cs="Tahoma"/>
              <w:b/>
              <w:sz w:val="24"/>
              <w:szCs w:val="24"/>
              <w:lang w:val="es-ES_tradnl" w:eastAsia="es-ES"/>
            </w:rPr>
            <w:t>FORMATO</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CB66D17" w14:textId="77777777" w:rsidR="0002122E" w:rsidRPr="00E66D96" w:rsidRDefault="0002122E" w:rsidP="00D66286">
          <w:pPr>
            <w:jc w:val="center"/>
            <w:rPr>
              <w:rFonts w:cs="Tahoma"/>
              <w:sz w:val="24"/>
              <w:szCs w:val="24"/>
              <w:lang w:val="es-ES_tradnl" w:eastAsia="es-ES"/>
            </w:rPr>
          </w:pPr>
          <w:r w:rsidRPr="00E66D96">
            <w:rPr>
              <w:rFonts w:eastAsia="Times New Roman"/>
              <w:color w:val="000000"/>
              <w:sz w:val="24"/>
              <w:szCs w:val="24"/>
              <w:lang w:eastAsia="es-CO"/>
            </w:rPr>
            <w:t>ACTA DE REUNIÓN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3E0EC" w14:textId="77777777" w:rsidR="0002122E" w:rsidRPr="00201D46" w:rsidRDefault="0002122E" w:rsidP="007C3855">
          <w:pPr>
            <w:rPr>
              <w:rFonts w:cs="Tahoma"/>
              <w:sz w:val="24"/>
              <w:szCs w:val="24"/>
              <w:lang w:val="es-ES_tradnl" w:eastAsia="es-ES"/>
            </w:rPr>
          </w:pPr>
          <w:r w:rsidRPr="00E66D96">
            <w:rPr>
              <w:rFonts w:cs="Tahoma"/>
              <w:b/>
              <w:sz w:val="24"/>
              <w:szCs w:val="24"/>
              <w:lang w:val="es-ES_tradnl" w:eastAsia="es-ES"/>
            </w:rPr>
            <w:t xml:space="preserve">Fecha:  </w:t>
          </w:r>
          <w:r>
            <w:rPr>
              <w:rFonts w:cs="Tahoma"/>
              <w:sz w:val="24"/>
              <w:szCs w:val="24"/>
              <w:lang w:val="es-ES_tradnl" w:eastAsia="es-ES"/>
            </w:rPr>
            <w:t>21/10/2014</w:t>
          </w:r>
        </w:p>
      </w:tc>
    </w:tr>
  </w:tbl>
  <w:p w14:paraId="0F39D75E" w14:textId="77777777" w:rsidR="0002122E" w:rsidRDefault="000212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F6632"/>
    <w:multiLevelType w:val="hybridMultilevel"/>
    <w:tmpl w:val="DDD4CB1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1C371302"/>
    <w:multiLevelType w:val="hybridMultilevel"/>
    <w:tmpl w:val="43C4464C"/>
    <w:lvl w:ilvl="0" w:tplc="39B67F18">
      <w:start w:val="5"/>
      <w:numFmt w:val="bullet"/>
      <w:lvlText w:val="-"/>
      <w:lvlJc w:val="left"/>
      <w:pPr>
        <w:ind w:left="720" w:hanging="360"/>
      </w:pPr>
      <w:rPr>
        <w:rFonts w:ascii="Calibri" w:eastAsiaTheme="minorHAnsi" w:hAnsi="Calibri"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CA74719"/>
    <w:multiLevelType w:val="hybridMultilevel"/>
    <w:tmpl w:val="346C74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0967D6D"/>
    <w:multiLevelType w:val="hybridMultilevel"/>
    <w:tmpl w:val="82988DA0"/>
    <w:lvl w:ilvl="0" w:tplc="DE9246C0">
      <w:start w:val="1"/>
      <w:numFmt w:val="bullet"/>
      <w:lvlText w:val="-"/>
      <w:lvlJc w:val="left"/>
      <w:pPr>
        <w:ind w:left="720" w:hanging="360"/>
      </w:pPr>
      <w:rPr>
        <w:rFonts w:ascii="Calibri" w:eastAsiaTheme="minorHAnsi" w:hAnsi="Calibri"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37A640F"/>
    <w:multiLevelType w:val="hybridMultilevel"/>
    <w:tmpl w:val="A1E0A7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71529A6"/>
    <w:multiLevelType w:val="hybridMultilevel"/>
    <w:tmpl w:val="DDE2A982"/>
    <w:lvl w:ilvl="0" w:tplc="8E1C37A0">
      <w:start w:val="1"/>
      <w:numFmt w:val="decimal"/>
      <w:lvlText w:val="%1."/>
      <w:lvlJc w:val="left"/>
      <w:pPr>
        <w:ind w:left="720" w:hanging="360"/>
      </w:pPr>
      <w:rPr>
        <w:rFonts w:asciiTheme="minorHAnsi" w:eastAsiaTheme="minorHAnsi" w:hAnsiTheme="minorHAnsi" w:cstheme="minorHAns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8FB3F76"/>
    <w:multiLevelType w:val="hybridMultilevel"/>
    <w:tmpl w:val="E48EBB4E"/>
    <w:lvl w:ilvl="0" w:tplc="43AA38F0">
      <w:start w:val="1"/>
      <w:numFmt w:val="decimal"/>
      <w:lvlText w:val="%1."/>
      <w:lvlJc w:val="left"/>
      <w:pPr>
        <w:ind w:left="720" w:hanging="360"/>
      </w:pPr>
      <w:rPr>
        <w:rFonts w:asciiTheme="minorHAnsi" w:eastAsiaTheme="minorHAnsi" w:hAnsiTheme="minorHAnsi" w:cstheme="min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5"/>
  </w:num>
  <w:num w:numId="5">
    <w:abstractNumId w:val="2"/>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89"/>
    <w:rsid w:val="000034DB"/>
    <w:rsid w:val="0002122E"/>
    <w:rsid w:val="00052ECF"/>
    <w:rsid w:val="00057433"/>
    <w:rsid w:val="000D1F76"/>
    <w:rsid w:val="000E3AE8"/>
    <w:rsid w:val="000E62A0"/>
    <w:rsid w:val="00115FAC"/>
    <w:rsid w:val="00123A9E"/>
    <w:rsid w:val="0013054A"/>
    <w:rsid w:val="00150E89"/>
    <w:rsid w:val="00155886"/>
    <w:rsid w:val="00163095"/>
    <w:rsid w:val="00172328"/>
    <w:rsid w:val="001D5FD6"/>
    <w:rsid w:val="001F34E0"/>
    <w:rsid w:val="00270107"/>
    <w:rsid w:val="00281158"/>
    <w:rsid w:val="00281648"/>
    <w:rsid w:val="002A1906"/>
    <w:rsid w:val="002A7CBC"/>
    <w:rsid w:val="002B6614"/>
    <w:rsid w:val="002E138A"/>
    <w:rsid w:val="002F2ACC"/>
    <w:rsid w:val="002F4E04"/>
    <w:rsid w:val="003034B6"/>
    <w:rsid w:val="003043E8"/>
    <w:rsid w:val="00306B3B"/>
    <w:rsid w:val="00310D9C"/>
    <w:rsid w:val="00325FD1"/>
    <w:rsid w:val="003D630B"/>
    <w:rsid w:val="003E76BE"/>
    <w:rsid w:val="00452451"/>
    <w:rsid w:val="00456EC9"/>
    <w:rsid w:val="00462A62"/>
    <w:rsid w:val="004737B0"/>
    <w:rsid w:val="004D0D63"/>
    <w:rsid w:val="004E73EE"/>
    <w:rsid w:val="00507EE7"/>
    <w:rsid w:val="005144AA"/>
    <w:rsid w:val="0053313F"/>
    <w:rsid w:val="005455BF"/>
    <w:rsid w:val="00551129"/>
    <w:rsid w:val="0055195D"/>
    <w:rsid w:val="0057571C"/>
    <w:rsid w:val="005758FB"/>
    <w:rsid w:val="005B3ED2"/>
    <w:rsid w:val="005F2E3A"/>
    <w:rsid w:val="006018FD"/>
    <w:rsid w:val="00601CCE"/>
    <w:rsid w:val="00622F3C"/>
    <w:rsid w:val="006351DE"/>
    <w:rsid w:val="00646C8E"/>
    <w:rsid w:val="00661C05"/>
    <w:rsid w:val="00667A4A"/>
    <w:rsid w:val="006D137E"/>
    <w:rsid w:val="00700993"/>
    <w:rsid w:val="00737503"/>
    <w:rsid w:val="00753C98"/>
    <w:rsid w:val="00753E17"/>
    <w:rsid w:val="007662D5"/>
    <w:rsid w:val="00775A5D"/>
    <w:rsid w:val="00782515"/>
    <w:rsid w:val="00786907"/>
    <w:rsid w:val="007B653D"/>
    <w:rsid w:val="007C3855"/>
    <w:rsid w:val="007E37E9"/>
    <w:rsid w:val="007F0FF3"/>
    <w:rsid w:val="007F67D6"/>
    <w:rsid w:val="00802E9B"/>
    <w:rsid w:val="008252DD"/>
    <w:rsid w:val="00877503"/>
    <w:rsid w:val="008C600E"/>
    <w:rsid w:val="0095756A"/>
    <w:rsid w:val="0097216D"/>
    <w:rsid w:val="00991715"/>
    <w:rsid w:val="009E6973"/>
    <w:rsid w:val="00A226B5"/>
    <w:rsid w:val="00A26C3E"/>
    <w:rsid w:val="00A3439D"/>
    <w:rsid w:val="00A427F1"/>
    <w:rsid w:val="00AD34E2"/>
    <w:rsid w:val="00B435D0"/>
    <w:rsid w:val="00B632A5"/>
    <w:rsid w:val="00BB1673"/>
    <w:rsid w:val="00BE4222"/>
    <w:rsid w:val="00BF5794"/>
    <w:rsid w:val="00BF63DC"/>
    <w:rsid w:val="00C44FAD"/>
    <w:rsid w:val="00C51AE0"/>
    <w:rsid w:val="00C67B2D"/>
    <w:rsid w:val="00C8293D"/>
    <w:rsid w:val="00CD2625"/>
    <w:rsid w:val="00CE446C"/>
    <w:rsid w:val="00CF6B47"/>
    <w:rsid w:val="00D1223D"/>
    <w:rsid w:val="00D337CD"/>
    <w:rsid w:val="00D639F8"/>
    <w:rsid w:val="00D66286"/>
    <w:rsid w:val="00D72E24"/>
    <w:rsid w:val="00DA2B47"/>
    <w:rsid w:val="00DC3B06"/>
    <w:rsid w:val="00DD3807"/>
    <w:rsid w:val="00DF0E94"/>
    <w:rsid w:val="00E50B2F"/>
    <w:rsid w:val="00E8511A"/>
    <w:rsid w:val="00EB2D19"/>
    <w:rsid w:val="00EB6B05"/>
    <w:rsid w:val="00F22468"/>
    <w:rsid w:val="00F81C0C"/>
    <w:rsid w:val="00F97492"/>
    <w:rsid w:val="00FE3209"/>
    <w:rsid w:val="00FE4F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4A5E7"/>
  <w15:docId w15:val="{7EAB2781-E371-4F9A-B067-94BAB53D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74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0E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0E89"/>
    <w:rPr>
      <w:rFonts w:ascii="Tahoma" w:hAnsi="Tahoma" w:cs="Tahoma"/>
      <w:sz w:val="16"/>
      <w:szCs w:val="16"/>
    </w:rPr>
  </w:style>
  <w:style w:type="table" w:styleId="Tablaconcuadrcula">
    <w:name w:val="Table Grid"/>
    <w:basedOn w:val="Tablanormal"/>
    <w:uiPriority w:val="59"/>
    <w:rsid w:val="00150E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AD34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4E2"/>
  </w:style>
  <w:style w:type="paragraph" w:styleId="Piedepgina">
    <w:name w:val="footer"/>
    <w:basedOn w:val="Normal"/>
    <w:link w:val="PiedepginaCar"/>
    <w:uiPriority w:val="99"/>
    <w:unhideWhenUsed/>
    <w:rsid w:val="00AD34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4E2"/>
  </w:style>
  <w:style w:type="paragraph" w:styleId="Prrafodelista">
    <w:name w:val="List Paragraph"/>
    <w:basedOn w:val="Normal"/>
    <w:uiPriority w:val="34"/>
    <w:qFormat/>
    <w:rsid w:val="003D630B"/>
    <w:pPr>
      <w:ind w:left="720"/>
      <w:contextualSpacing/>
    </w:pPr>
  </w:style>
  <w:style w:type="character" w:styleId="Refdecomentario">
    <w:name w:val="annotation reference"/>
    <w:basedOn w:val="Fuentedeprrafopredeter"/>
    <w:uiPriority w:val="99"/>
    <w:semiHidden/>
    <w:unhideWhenUsed/>
    <w:rsid w:val="00601CCE"/>
    <w:rPr>
      <w:sz w:val="16"/>
      <w:szCs w:val="16"/>
    </w:rPr>
  </w:style>
  <w:style w:type="paragraph" w:styleId="Textocomentario">
    <w:name w:val="annotation text"/>
    <w:basedOn w:val="Normal"/>
    <w:link w:val="TextocomentarioCar"/>
    <w:uiPriority w:val="99"/>
    <w:semiHidden/>
    <w:unhideWhenUsed/>
    <w:rsid w:val="00601C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1CCE"/>
    <w:rPr>
      <w:sz w:val="20"/>
      <w:szCs w:val="20"/>
    </w:rPr>
  </w:style>
  <w:style w:type="paragraph" w:styleId="Asuntodelcomentario">
    <w:name w:val="annotation subject"/>
    <w:basedOn w:val="Textocomentario"/>
    <w:next w:val="Textocomentario"/>
    <w:link w:val="AsuntodelcomentarioCar"/>
    <w:uiPriority w:val="99"/>
    <w:semiHidden/>
    <w:unhideWhenUsed/>
    <w:rsid w:val="00601CCE"/>
    <w:rPr>
      <w:b/>
      <w:bCs/>
    </w:rPr>
  </w:style>
  <w:style w:type="character" w:customStyle="1" w:styleId="AsuntodelcomentarioCar">
    <w:name w:val="Asunto del comentario Car"/>
    <w:basedOn w:val="TextocomentarioCar"/>
    <w:link w:val="Asuntodelcomentario"/>
    <w:uiPriority w:val="99"/>
    <w:semiHidden/>
    <w:rsid w:val="00601C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81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8831C-DA4D-4725-83C8-DA886541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1115</Words>
  <Characters>6134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jcsanabria</dc:creator>
  <cp:lastModifiedBy>Ricardo Aguilera Wilches</cp:lastModifiedBy>
  <cp:revision>2</cp:revision>
  <cp:lastPrinted>2018-01-22T16:23:00Z</cp:lastPrinted>
  <dcterms:created xsi:type="dcterms:W3CDTF">2020-01-21T16:21:00Z</dcterms:created>
  <dcterms:modified xsi:type="dcterms:W3CDTF">2020-01-21T16:21:00Z</dcterms:modified>
</cp:coreProperties>
</file>