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F7E2" w14:textId="77777777" w:rsidR="00EB08C8" w:rsidRPr="00D4698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3BF7E3" w14:textId="1F6FDEC0" w:rsidR="00005223" w:rsidRPr="00D4698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6E7D43" w:rsidRPr="00D46986">
        <w:rPr>
          <w:rFonts w:asciiTheme="minorHAnsi" w:hAnsiTheme="minorHAnsi" w:cs="Arial"/>
          <w:sz w:val="22"/>
          <w:szCs w:val="22"/>
        </w:rPr>
        <w:t>la Agencia Nacional de Infraestructura</w:t>
      </w:r>
      <w:r w:rsidR="00050E8B" w:rsidRPr="00D46986">
        <w:rPr>
          <w:rFonts w:asciiTheme="minorHAnsi" w:hAnsiTheme="minorHAnsi" w:cs="Arial"/>
          <w:sz w:val="22"/>
          <w:szCs w:val="22"/>
        </w:rPr>
        <w:t>, bajo la gravedad de juramento, q</w:t>
      </w:r>
      <w:r w:rsidRPr="00D46986">
        <w:rPr>
          <w:rFonts w:asciiTheme="minorHAnsi" w:hAnsiTheme="minorHAnsi" w:cs="Arial"/>
          <w:sz w:val="22"/>
          <w:szCs w:val="22"/>
        </w:rPr>
        <w:t xml:space="preserve">ue </w:t>
      </w:r>
      <w:r w:rsidR="00005223" w:rsidRPr="00D46986">
        <w:rPr>
          <w:rFonts w:asciiTheme="minorHAnsi" w:hAnsiTheme="minorHAnsi" w:cs="Arial"/>
          <w:sz w:val="22"/>
          <w:szCs w:val="22"/>
        </w:rPr>
        <w:t>los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ingresos sumados de los miembros de la Unidad Social Res</w:t>
      </w:r>
      <w:bookmarkStart w:id="0" w:name="_GoBack"/>
      <w:bookmarkEnd w:id="0"/>
      <w:r w:rsidR="0087206E" w:rsidRPr="00D46986">
        <w:rPr>
          <w:rFonts w:asciiTheme="minorHAnsi" w:hAnsiTheme="minorHAnsi" w:cs="Arial"/>
          <w:sz w:val="22"/>
          <w:szCs w:val="22"/>
        </w:rPr>
        <w:t xml:space="preserve">idente </w:t>
      </w:r>
      <w:proofErr w:type="gramStart"/>
      <w:r w:rsidR="0087206E" w:rsidRPr="00D46986">
        <w:rPr>
          <w:rFonts w:asciiTheme="minorHAnsi" w:hAnsiTheme="minorHAnsi" w:cs="Arial"/>
          <w:sz w:val="22"/>
          <w:szCs w:val="22"/>
        </w:rPr>
        <w:t>(</w:t>
      </w:r>
      <w:r w:rsidR="0056484F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56484F">
        <w:rPr>
          <w:rFonts w:asciiTheme="minorHAnsi" w:hAnsiTheme="minorHAnsi" w:cs="Arial"/>
          <w:sz w:val="22"/>
          <w:szCs w:val="22"/>
        </w:rPr>
        <w:t xml:space="preserve"> 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) y/o la Unidad Social Productiva, no exceden los 3 </w:t>
      </w:r>
      <w:r w:rsidR="006D1198" w:rsidRPr="00D46986">
        <w:rPr>
          <w:rFonts w:asciiTheme="minorHAnsi" w:hAnsiTheme="minorHAnsi" w:cs="Arial"/>
          <w:sz w:val="22"/>
          <w:szCs w:val="22"/>
        </w:rPr>
        <w:t xml:space="preserve">(   ) o 6 (   ) </w:t>
      </w:r>
      <w:r w:rsidR="0087206E" w:rsidRPr="00D46986">
        <w:rPr>
          <w:rFonts w:asciiTheme="minorHAnsi" w:hAnsiTheme="minorHAnsi" w:cs="Arial"/>
          <w:sz w:val="22"/>
          <w:szCs w:val="22"/>
        </w:rPr>
        <w:t>salarios mínimos</w:t>
      </w:r>
      <w:r w:rsidR="00050E8B" w:rsidRPr="00D46986">
        <w:rPr>
          <w:rFonts w:asciiTheme="minorHAnsi" w:hAnsiTheme="minorHAnsi" w:cs="Arial"/>
          <w:sz w:val="22"/>
          <w:szCs w:val="22"/>
        </w:rPr>
        <w:t xml:space="preserve"> mensuales</w:t>
      </w:r>
      <w:r w:rsidR="0087206E" w:rsidRPr="00D46986">
        <w:rPr>
          <w:rFonts w:asciiTheme="minorHAnsi" w:hAnsiTheme="minorHAnsi" w:cs="Arial"/>
          <w:sz w:val="22"/>
          <w:szCs w:val="22"/>
        </w:rPr>
        <w:t xml:space="preserve"> legales vigentes SMMLV. </w:t>
      </w:r>
    </w:p>
    <w:p w14:paraId="463BF7E4" w14:textId="70CEA42D" w:rsidR="006A582E" w:rsidRPr="00D46986" w:rsidRDefault="00D023D0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Lo anterior de conformid</w:t>
      </w:r>
      <w:r w:rsidR="00051409">
        <w:rPr>
          <w:rFonts w:asciiTheme="minorHAnsi" w:hAnsiTheme="minorHAnsi" w:cs="Arial"/>
          <w:sz w:val="22"/>
          <w:szCs w:val="22"/>
        </w:rPr>
        <w:t>ad con lo establecido en el A</w:t>
      </w:r>
      <w:r w:rsidR="00051409" w:rsidRPr="0056484F">
        <w:rPr>
          <w:rFonts w:asciiTheme="minorHAnsi" w:hAnsiTheme="minorHAnsi" w:cs="Arial"/>
          <w:sz w:val="22"/>
          <w:szCs w:val="22"/>
        </w:rPr>
        <w:t>rtí</w:t>
      </w:r>
      <w:r w:rsidRPr="0056484F">
        <w:rPr>
          <w:rFonts w:asciiTheme="minorHAnsi" w:hAnsiTheme="minorHAnsi" w:cs="Arial"/>
          <w:sz w:val="22"/>
          <w:szCs w:val="22"/>
        </w:rPr>
        <w:t>culo</w:t>
      </w:r>
      <w:r w:rsidRPr="00D46986">
        <w:rPr>
          <w:rFonts w:asciiTheme="minorHAnsi" w:hAnsiTheme="minorHAnsi" w:cs="Arial"/>
          <w:sz w:val="22"/>
          <w:szCs w:val="22"/>
        </w:rPr>
        <w:t xml:space="preserve"> 7 de la Ley 0019 de 2012</w:t>
      </w:r>
      <w:r w:rsidR="006A582E" w:rsidRPr="00D46986">
        <w:rPr>
          <w:rFonts w:asciiTheme="minorHAnsi" w:hAnsiTheme="minorHAnsi" w:cs="Arial"/>
          <w:sz w:val="22"/>
          <w:szCs w:val="22"/>
        </w:rPr>
        <w:t xml:space="preserve">, mediante la cual se dictan disposiciones sobre racionalización de trámites y procedimientos administrativos de los organismos y entidades del Estado y para el cumplimiento de los requisitos establecidos en la </w:t>
      </w:r>
      <w:r w:rsidR="006A582E" w:rsidRPr="0088484B">
        <w:rPr>
          <w:rFonts w:asciiTheme="minorHAnsi" w:hAnsiTheme="minorHAnsi" w:cs="Arial"/>
          <w:sz w:val="22"/>
          <w:szCs w:val="22"/>
        </w:rPr>
        <w:t xml:space="preserve">Resolución INCO </w:t>
      </w:r>
      <w:r w:rsidR="00051409" w:rsidRPr="0088484B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="006A582E" w:rsidRPr="0088484B">
        <w:rPr>
          <w:rFonts w:asciiTheme="minorHAnsi" w:hAnsiTheme="minorHAnsi" w:cs="Arial"/>
          <w:sz w:val="22"/>
          <w:szCs w:val="22"/>
        </w:rPr>
        <w:t>545 de 2008</w:t>
      </w:r>
      <w:r w:rsidR="00C71421" w:rsidRPr="0088484B">
        <w:rPr>
          <w:rFonts w:asciiTheme="minorHAnsi" w:hAnsiTheme="minorHAnsi" w:cs="Arial"/>
          <w:sz w:val="22"/>
          <w:szCs w:val="22"/>
        </w:rPr>
        <w:t xml:space="preserve"> </w:t>
      </w:r>
      <w:r w:rsidR="00051409" w:rsidRPr="0088484B">
        <w:rPr>
          <w:rFonts w:asciiTheme="minorHAnsi" w:hAnsiTheme="minorHAnsi" w:cs="Arial"/>
          <w:sz w:val="22"/>
          <w:szCs w:val="22"/>
        </w:rPr>
        <w:t>y sus modificaciones</w:t>
      </w:r>
      <w:r w:rsidR="006A582E" w:rsidRPr="0088484B">
        <w:rPr>
          <w:rFonts w:asciiTheme="minorHAnsi" w:hAnsiTheme="minorHAnsi" w:cs="Arial"/>
          <w:sz w:val="22"/>
          <w:szCs w:val="22"/>
        </w:rPr>
        <w:t xml:space="preserve"> para la apli</w:t>
      </w:r>
      <w:r w:rsidR="006A582E" w:rsidRPr="00D46986">
        <w:rPr>
          <w:rFonts w:asciiTheme="minorHAnsi" w:hAnsiTheme="minorHAnsi" w:cs="Arial"/>
          <w:sz w:val="22"/>
          <w:szCs w:val="22"/>
        </w:rPr>
        <w:t>cación del Plan de Compensaciones Socioeconómicas.</w:t>
      </w:r>
    </w:p>
    <w:p w14:paraId="463BF7E6" w14:textId="33AD675A" w:rsidR="009A4788" w:rsidRPr="00D46986" w:rsidRDefault="00EB08C8" w:rsidP="003B1344">
      <w:pPr>
        <w:spacing w:before="100" w:beforeAutospacing="1" w:line="360" w:lineRule="auto"/>
        <w:jc w:val="both"/>
        <w:rPr>
          <w:rFonts w:asciiTheme="minorHAnsi" w:hAnsiTheme="minorHAnsi"/>
        </w:rPr>
      </w:pPr>
      <w:r w:rsidRPr="00D46986">
        <w:rPr>
          <w:rFonts w:asciiTheme="minorHAnsi" w:hAnsiTheme="minorHAnsi" w:cs="Arial"/>
          <w:sz w:val="22"/>
          <w:szCs w:val="22"/>
        </w:rPr>
        <w:t>Para constancia se firma la presente declaración</w:t>
      </w:r>
      <w:r w:rsidR="003B1344">
        <w:rPr>
          <w:rFonts w:asciiTheme="minorHAnsi" w:hAnsiTheme="minorHAnsi" w:cs="Arial"/>
          <w:sz w:val="22"/>
          <w:szCs w:val="22"/>
        </w:rPr>
        <w:t xml:space="preserve"> en _________________ a los </w:t>
      </w:r>
      <w:r w:rsidRPr="00D46986">
        <w:rPr>
          <w:rFonts w:asciiTheme="minorHAnsi" w:hAnsiTheme="minorHAnsi" w:cs="Arial"/>
          <w:sz w:val="22"/>
          <w:szCs w:val="22"/>
        </w:rPr>
        <w:t>días del mes de___________________ del año 20</w:t>
      </w:r>
      <w:r w:rsidR="00BC0D7C" w:rsidRPr="00D46986">
        <w:rPr>
          <w:rFonts w:asciiTheme="minorHAnsi" w:hAnsiTheme="minorHAnsi" w:cs="Arial"/>
          <w:sz w:val="22"/>
          <w:szCs w:val="22"/>
        </w:rPr>
        <w:t>_</w:t>
      </w:r>
      <w:r w:rsidR="0056484F">
        <w:rPr>
          <w:rFonts w:asciiTheme="minorHAnsi" w:hAnsiTheme="minorHAnsi" w:cs="Arial"/>
          <w:sz w:val="22"/>
          <w:szCs w:val="22"/>
        </w:rPr>
        <w:t>_</w:t>
      </w:r>
      <w:r w:rsidR="00BC0D7C" w:rsidRPr="00D46986">
        <w:rPr>
          <w:rFonts w:asciiTheme="minorHAnsi" w:hAnsiTheme="minorHAnsi" w:cs="Arial"/>
          <w:sz w:val="22"/>
          <w:szCs w:val="22"/>
        </w:rPr>
        <w:t>_</w:t>
      </w:r>
      <w:r w:rsidRPr="00D46986">
        <w:rPr>
          <w:rFonts w:asciiTheme="minorHAnsi" w:hAnsiTheme="minorHAnsi" w:cs="Arial"/>
          <w:sz w:val="22"/>
          <w:szCs w:val="22"/>
        </w:rPr>
        <w:t>.</w:t>
      </w:r>
    </w:p>
    <w:p w14:paraId="463BF7E7" w14:textId="77777777" w:rsidR="00EB08C8" w:rsidRPr="00D46986" w:rsidRDefault="00EB08C8">
      <w:pPr>
        <w:rPr>
          <w:rFonts w:asciiTheme="minorHAnsi" w:hAnsiTheme="minorHAnsi"/>
        </w:rPr>
      </w:pPr>
    </w:p>
    <w:p w14:paraId="463BF7E8" w14:textId="77777777" w:rsidR="0087206E" w:rsidRPr="00D46986" w:rsidRDefault="0087206E">
      <w:pPr>
        <w:rPr>
          <w:rFonts w:asciiTheme="minorHAnsi" w:hAnsiTheme="minorHAnsi"/>
        </w:rPr>
      </w:pPr>
    </w:p>
    <w:p w14:paraId="463BF7E9" w14:textId="77777777" w:rsidR="00EB08C8" w:rsidRPr="00D4698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715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3B1344" w:rsidRPr="00D46986" w14:paraId="57017665" w14:textId="77777777" w:rsidTr="003B1344">
        <w:trPr>
          <w:trHeight w:val="1608"/>
        </w:trPr>
        <w:tc>
          <w:tcPr>
            <w:tcW w:w="1320" w:type="dxa"/>
          </w:tcPr>
          <w:p w14:paraId="2EB0FDB3" w14:textId="77777777" w:rsidR="003B1344" w:rsidRPr="00D46986" w:rsidRDefault="003B1344" w:rsidP="003B1344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3BF7EC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463BF7ED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EE" w14:textId="77777777" w:rsidR="00EB08C8" w:rsidRPr="00D4698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ab/>
      </w:r>
    </w:p>
    <w:p w14:paraId="463BF7EF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D46986">
        <w:rPr>
          <w:rFonts w:asciiTheme="minorHAnsi" w:hAnsiTheme="minorHAnsi" w:cs="Arial"/>
          <w:sz w:val="22"/>
          <w:szCs w:val="22"/>
        </w:rPr>
        <w:t>______</w:t>
      </w:r>
      <w:r w:rsidRPr="00D46986">
        <w:rPr>
          <w:rFonts w:asciiTheme="minorHAnsi" w:hAnsiTheme="minorHAnsi" w:cs="Arial"/>
          <w:sz w:val="22"/>
          <w:szCs w:val="22"/>
        </w:rPr>
        <w:t>_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</w:p>
    <w:p w14:paraId="463BF7F0" w14:textId="77777777" w:rsidR="00EB08C8" w:rsidRPr="00D4698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D46986">
        <w:rPr>
          <w:rFonts w:asciiTheme="minorHAnsi" w:hAnsiTheme="minorHAnsi" w:cs="Arial"/>
          <w:sz w:val="22"/>
          <w:szCs w:val="22"/>
        </w:rPr>
        <w:t xml:space="preserve">      </w:t>
      </w:r>
      <w:r w:rsidRPr="00D46986">
        <w:rPr>
          <w:rFonts w:asciiTheme="minorHAnsi" w:hAnsiTheme="minorHAnsi" w:cs="Arial"/>
          <w:sz w:val="22"/>
          <w:szCs w:val="22"/>
        </w:rPr>
        <w:t xml:space="preserve">  </w:t>
      </w:r>
      <w:r w:rsidR="006E4C02" w:rsidRPr="00D46986">
        <w:rPr>
          <w:rFonts w:asciiTheme="minorHAnsi" w:hAnsiTheme="minorHAnsi" w:cs="Arial"/>
          <w:sz w:val="22"/>
          <w:szCs w:val="22"/>
        </w:rPr>
        <w:t xml:space="preserve">              </w:t>
      </w:r>
      <w:r w:rsidRPr="00D46986">
        <w:rPr>
          <w:rFonts w:asciiTheme="minorHAnsi" w:hAnsiTheme="minorHAnsi" w:cs="Arial"/>
          <w:sz w:val="22"/>
          <w:szCs w:val="22"/>
        </w:rPr>
        <w:t>Firma</w:t>
      </w:r>
      <w:r w:rsidR="006E4C02" w:rsidRPr="00D46986">
        <w:rPr>
          <w:rFonts w:asciiTheme="minorHAnsi" w:hAnsiTheme="minorHAnsi" w:cs="Arial"/>
          <w:sz w:val="22"/>
          <w:szCs w:val="22"/>
        </w:rPr>
        <w:t xml:space="preserve"> </w:t>
      </w:r>
    </w:p>
    <w:p w14:paraId="463BF7F1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F2" w14:textId="4CFA0AAD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C</w:t>
      </w:r>
      <w:r w:rsidR="000F35B5" w:rsidRPr="0088484B">
        <w:rPr>
          <w:rFonts w:asciiTheme="minorHAnsi" w:hAnsiTheme="minorHAnsi" w:cs="Arial"/>
          <w:sz w:val="22"/>
          <w:szCs w:val="22"/>
        </w:rPr>
        <w:t>é</w:t>
      </w:r>
      <w:r w:rsidRPr="0088484B">
        <w:rPr>
          <w:rFonts w:asciiTheme="minorHAnsi" w:hAnsiTheme="minorHAnsi" w:cs="Arial"/>
          <w:sz w:val="22"/>
          <w:szCs w:val="22"/>
        </w:rPr>
        <w:t>dul</w:t>
      </w:r>
      <w:r w:rsidRPr="00D46986">
        <w:rPr>
          <w:rFonts w:asciiTheme="minorHAnsi" w:hAnsiTheme="minorHAnsi" w:cs="Arial"/>
          <w:sz w:val="22"/>
          <w:szCs w:val="22"/>
        </w:rPr>
        <w:t>a: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="0056484F">
        <w:rPr>
          <w:rFonts w:asciiTheme="minorHAnsi" w:hAnsiTheme="minorHAnsi" w:cs="Arial"/>
          <w:sz w:val="22"/>
          <w:szCs w:val="22"/>
        </w:rPr>
        <w:t>____________________________</w:t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ab/>
      </w:r>
      <w:r w:rsidR="00FE711B" w:rsidRPr="00D46986">
        <w:rPr>
          <w:rFonts w:asciiTheme="minorHAnsi" w:hAnsiTheme="minorHAnsi" w:cs="Arial"/>
          <w:sz w:val="22"/>
          <w:szCs w:val="22"/>
        </w:rPr>
        <w:tab/>
      </w:r>
      <w:r w:rsidRPr="00D46986">
        <w:rPr>
          <w:rFonts w:asciiTheme="minorHAnsi" w:hAnsiTheme="minorHAnsi" w:cs="Arial"/>
          <w:sz w:val="22"/>
          <w:szCs w:val="22"/>
        </w:rPr>
        <w:t xml:space="preserve">   Huella Digital</w:t>
      </w:r>
    </w:p>
    <w:p w14:paraId="463BF7F3" w14:textId="6C9927CC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Teléfono:</w:t>
      </w:r>
      <w:r w:rsidR="0056484F">
        <w:rPr>
          <w:rFonts w:asciiTheme="minorHAnsi" w:hAnsiTheme="minorHAnsi" w:cs="Arial"/>
          <w:sz w:val="22"/>
          <w:szCs w:val="22"/>
        </w:rPr>
        <w:t xml:space="preserve"> __________________________</w:t>
      </w:r>
    </w:p>
    <w:p w14:paraId="463BF7F4" w14:textId="77777777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3BF7F5" w14:textId="7EB95FB9" w:rsidR="00EB08C8" w:rsidRPr="00D4698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D46986">
        <w:rPr>
          <w:rFonts w:asciiTheme="minorHAnsi" w:hAnsiTheme="minorHAnsi" w:cs="Arial"/>
          <w:sz w:val="22"/>
          <w:szCs w:val="22"/>
        </w:rPr>
        <w:t>Dirección:</w:t>
      </w:r>
      <w:r w:rsidR="0056484F">
        <w:rPr>
          <w:rFonts w:asciiTheme="minorHAnsi" w:hAnsiTheme="minorHAnsi" w:cs="Arial"/>
          <w:sz w:val="22"/>
          <w:szCs w:val="22"/>
        </w:rPr>
        <w:t xml:space="preserve"> _______________________________________</w:t>
      </w:r>
    </w:p>
    <w:p w14:paraId="463BF7F6" w14:textId="77777777" w:rsidR="00EB08C8" w:rsidRPr="00D46986" w:rsidRDefault="00EB08C8">
      <w:pPr>
        <w:rPr>
          <w:rFonts w:asciiTheme="minorHAnsi" w:hAnsiTheme="minorHAnsi"/>
        </w:rPr>
      </w:pPr>
    </w:p>
    <w:p w14:paraId="463BF7F7" w14:textId="77777777" w:rsidR="00243F5C" w:rsidRPr="00D46986" w:rsidRDefault="00243F5C">
      <w:pPr>
        <w:rPr>
          <w:rFonts w:asciiTheme="minorHAnsi" w:hAnsiTheme="minorHAnsi"/>
        </w:rPr>
      </w:pPr>
    </w:p>
    <w:p w14:paraId="463BF7F8" w14:textId="77777777" w:rsidR="00243F5C" w:rsidRPr="00D46986" w:rsidRDefault="00243F5C">
      <w:pPr>
        <w:rPr>
          <w:rFonts w:asciiTheme="minorHAnsi" w:hAnsiTheme="minorHAnsi"/>
        </w:rPr>
      </w:pPr>
    </w:p>
    <w:p w14:paraId="463BF7F9" w14:textId="77777777" w:rsidR="00EF73DB" w:rsidRPr="00D46986" w:rsidRDefault="00EF73DB">
      <w:pPr>
        <w:rPr>
          <w:rFonts w:asciiTheme="minorHAnsi" w:hAnsiTheme="minorHAnsi"/>
        </w:rPr>
      </w:pPr>
    </w:p>
    <w:sectPr w:rsidR="00EF73DB" w:rsidRPr="00D46986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2E25" w14:textId="77777777" w:rsidR="005346E2" w:rsidRDefault="005346E2">
      <w:r>
        <w:separator/>
      </w:r>
    </w:p>
  </w:endnote>
  <w:endnote w:type="continuationSeparator" w:id="0">
    <w:p w14:paraId="3C25D267" w14:textId="77777777" w:rsidR="005346E2" w:rsidRDefault="0053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468E" w14:textId="77777777" w:rsidR="00097C8A" w:rsidRPr="00A21280" w:rsidRDefault="00097C8A" w:rsidP="00097C8A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0036F82" w14:textId="77777777" w:rsidR="00097C8A" w:rsidRPr="00A21280" w:rsidRDefault="00097C8A" w:rsidP="00097C8A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463BF811" w14:textId="71EDBDCE" w:rsidR="00F8517A" w:rsidRPr="00097C8A" w:rsidRDefault="00097C8A" w:rsidP="00097C8A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6484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6484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10F4" w14:textId="77777777" w:rsidR="005346E2" w:rsidRDefault="005346E2">
      <w:r>
        <w:separator/>
      </w:r>
    </w:p>
  </w:footnote>
  <w:footnote w:type="continuationSeparator" w:id="0">
    <w:p w14:paraId="0238C016" w14:textId="77777777" w:rsidR="005346E2" w:rsidRDefault="0053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36"/>
      <w:gridCol w:w="4428"/>
      <w:gridCol w:w="2011"/>
    </w:tblGrid>
    <w:tr w:rsidR="008C1C8F" w:rsidRPr="008C1C8F" w14:paraId="463BF802" w14:textId="77777777" w:rsidTr="008C1C8F">
      <w:trPr>
        <w:trHeight w:val="552"/>
        <w:jc w:val="center"/>
      </w:trPr>
      <w:tc>
        <w:tcPr>
          <w:tcW w:w="2076" w:type="dxa"/>
          <w:vMerge w:val="restart"/>
          <w:vAlign w:val="center"/>
        </w:tcPr>
        <w:p w14:paraId="463BF7FF" w14:textId="77777777" w:rsidR="008C1C8F" w:rsidRPr="008C1C8F" w:rsidRDefault="00082A60" w:rsidP="008C1C8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C1C8F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463BF814" wp14:editId="463BF815">
                <wp:extent cx="1172210" cy="855980"/>
                <wp:effectExtent l="0" t="0" r="8890" b="127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463BF800" w14:textId="77777777" w:rsidR="00082A60" w:rsidRPr="008C1C8F" w:rsidRDefault="00082A60" w:rsidP="008C1C8F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8C1C8F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1" w:type="dxa"/>
          <w:vAlign w:val="center"/>
        </w:tcPr>
        <w:p w14:paraId="463BF801" w14:textId="77777777" w:rsidR="00082A60" w:rsidRPr="008C1C8F" w:rsidRDefault="00082A60" w:rsidP="008C1C8F">
          <w:pPr>
            <w:rPr>
              <w:rFonts w:ascii="Calibri" w:eastAsia="Calibri" w:hAnsi="Calibri" w:cs="Calibri"/>
              <w:sz w:val="22"/>
              <w:szCs w:val="22"/>
            </w:rPr>
          </w:pPr>
          <w:r w:rsidRPr="008C1C8F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8C1C8F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8C1C8F" w:rsidRPr="008C1C8F">
            <w:rPr>
              <w:rFonts w:ascii="Calibri" w:hAnsi="Calibri" w:cs="Calibri"/>
              <w:bCs/>
              <w:spacing w:val="-6"/>
              <w:sz w:val="22"/>
              <w:szCs w:val="22"/>
            </w:rPr>
            <w:t>GCSP-F-030</w:t>
          </w:r>
        </w:p>
      </w:tc>
    </w:tr>
    <w:tr w:rsidR="008C1C8F" w:rsidRPr="008C1C8F" w14:paraId="463BF807" w14:textId="77777777" w:rsidTr="008C1C8F">
      <w:trPr>
        <w:trHeight w:val="118"/>
        <w:jc w:val="center"/>
      </w:trPr>
      <w:tc>
        <w:tcPr>
          <w:tcW w:w="2076" w:type="dxa"/>
          <w:vMerge/>
          <w:vAlign w:val="center"/>
        </w:tcPr>
        <w:p w14:paraId="463BF803" w14:textId="77777777" w:rsidR="00082A60" w:rsidRPr="008C1C8F" w:rsidRDefault="00082A60" w:rsidP="008C1C8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463BF804" w14:textId="77777777" w:rsidR="00082A60" w:rsidRPr="008C1C8F" w:rsidRDefault="00082A60" w:rsidP="008C1C8F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8C1C8F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463BF805" w14:textId="30C7DBF8" w:rsidR="00082A60" w:rsidRPr="008C1C8F" w:rsidRDefault="00082A60" w:rsidP="008C1C8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C1C8F">
            <w:rPr>
              <w:rFonts w:ascii="Calibri" w:hAnsi="Calibri"/>
              <w:sz w:val="22"/>
              <w:szCs w:val="22"/>
            </w:rPr>
            <w:t>GESTIÓN CONTRACT</w:t>
          </w:r>
          <w:r w:rsidR="0088484B">
            <w:rPr>
              <w:rFonts w:ascii="Calibri" w:hAnsi="Calibri"/>
              <w:sz w:val="22"/>
              <w:szCs w:val="22"/>
            </w:rPr>
            <w:t xml:space="preserve">UAL Y SEGUIMIENTO DE PROYECTOS </w:t>
          </w:r>
          <w:r w:rsidRPr="008C1C8F">
            <w:rPr>
              <w:rFonts w:ascii="Calibri" w:hAnsi="Calibri"/>
              <w:sz w:val="22"/>
              <w:szCs w:val="22"/>
            </w:rPr>
            <w:t>DE INFRAESTRUCTURA DE TRANSPORTE</w:t>
          </w:r>
        </w:p>
      </w:tc>
      <w:tc>
        <w:tcPr>
          <w:tcW w:w="2011" w:type="dxa"/>
          <w:vAlign w:val="center"/>
        </w:tcPr>
        <w:p w14:paraId="463BF806" w14:textId="163307E2" w:rsidR="00082A60" w:rsidRPr="008C1C8F" w:rsidRDefault="00082A60" w:rsidP="008C1C8F">
          <w:pPr>
            <w:rPr>
              <w:rFonts w:ascii="Calibri" w:eastAsia="Calibri" w:hAnsi="Calibri" w:cs="Calibri"/>
              <w:sz w:val="22"/>
              <w:szCs w:val="22"/>
            </w:rPr>
          </w:pPr>
          <w:r w:rsidRPr="008C1C8F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8C1C8F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8C1C8F" w:rsidRPr="008C1C8F">
            <w:rPr>
              <w:rFonts w:ascii="Calibri" w:eastAsia="Calibri" w:hAnsi="Calibri" w:cs="Calibri"/>
              <w:sz w:val="22"/>
              <w:szCs w:val="22"/>
            </w:rPr>
            <w:t>00</w:t>
          </w:r>
          <w:r w:rsidR="0056484F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8C1C8F" w:rsidRPr="008C1C8F" w14:paraId="463BF80C" w14:textId="77777777" w:rsidTr="008C1C8F">
      <w:trPr>
        <w:trHeight w:val="582"/>
        <w:jc w:val="center"/>
      </w:trPr>
      <w:tc>
        <w:tcPr>
          <w:tcW w:w="2076" w:type="dxa"/>
          <w:vMerge/>
          <w:vAlign w:val="center"/>
        </w:tcPr>
        <w:p w14:paraId="463BF808" w14:textId="77777777" w:rsidR="00082A60" w:rsidRPr="008C1C8F" w:rsidRDefault="00082A60" w:rsidP="008C1C8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463BF809" w14:textId="77777777" w:rsidR="00082A60" w:rsidRPr="008C1C8F" w:rsidRDefault="00082A60" w:rsidP="008C1C8F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8C1C8F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463BF80A" w14:textId="77777777" w:rsidR="00082A60" w:rsidRPr="008C1C8F" w:rsidRDefault="00082A60" w:rsidP="008C1C8F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C1C8F">
            <w:rPr>
              <w:rFonts w:asciiTheme="minorHAnsi" w:hAnsiTheme="minorHAnsi" w:cstheme="minorHAnsi"/>
              <w:sz w:val="22"/>
              <w:szCs w:val="22"/>
            </w:rPr>
            <w:t>INGRESOS FAMILIARES</w:t>
          </w:r>
        </w:p>
      </w:tc>
      <w:tc>
        <w:tcPr>
          <w:tcW w:w="2011" w:type="dxa"/>
          <w:vAlign w:val="center"/>
        </w:tcPr>
        <w:p w14:paraId="463BF80B" w14:textId="6196DA40" w:rsidR="00082A60" w:rsidRPr="008C1C8F" w:rsidRDefault="00082A60" w:rsidP="008C1C8F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8C1C8F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8C1C8F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56484F">
            <w:rPr>
              <w:rFonts w:ascii="Calibri" w:eastAsia="Calibri" w:hAnsi="Calibri" w:cs="Calibri"/>
              <w:sz w:val="22"/>
              <w:szCs w:val="22"/>
            </w:rPr>
            <w:t>22</w:t>
          </w:r>
          <w:r w:rsidRPr="008C1C8F">
            <w:rPr>
              <w:rFonts w:ascii="Calibri" w:hAnsi="Calibri" w:cs="Calibri"/>
              <w:sz w:val="22"/>
              <w:szCs w:val="22"/>
            </w:rPr>
            <w:t>/1</w:t>
          </w:r>
          <w:r w:rsidR="0056484F">
            <w:rPr>
              <w:rFonts w:ascii="Calibri" w:hAnsi="Calibri" w:cs="Calibri"/>
              <w:sz w:val="22"/>
              <w:szCs w:val="22"/>
            </w:rPr>
            <w:t>2</w:t>
          </w:r>
          <w:r w:rsidRPr="008C1C8F">
            <w:rPr>
              <w:rFonts w:ascii="Calibri" w:hAnsi="Calibri" w:cs="Calibri"/>
              <w:sz w:val="22"/>
              <w:szCs w:val="22"/>
            </w:rPr>
            <w:t>/201</w:t>
          </w:r>
          <w:r w:rsidR="0056484F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463BF80D" w14:textId="77777777" w:rsidR="00082A60" w:rsidRDefault="00082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05223"/>
    <w:rsid w:val="00050E8B"/>
    <w:rsid w:val="00051409"/>
    <w:rsid w:val="00057EF4"/>
    <w:rsid w:val="00082A60"/>
    <w:rsid w:val="00097C8A"/>
    <w:rsid w:val="000F35B5"/>
    <w:rsid w:val="0010733B"/>
    <w:rsid w:val="0021427D"/>
    <w:rsid w:val="002166C2"/>
    <w:rsid w:val="00243F5C"/>
    <w:rsid w:val="00260BF1"/>
    <w:rsid w:val="0026139F"/>
    <w:rsid w:val="0028318A"/>
    <w:rsid w:val="00324F55"/>
    <w:rsid w:val="003A2AF8"/>
    <w:rsid w:val="003B1344"/>
    <w:rsid w:val="003E115A"/>
    <w:rsid w:val="00407F14"/>
    <w:rsid w:val="00422A01"/>
    <w:rsid w:val="00453F64"/>
    <w:rsid w:val="004F64FC"/>
    <w:rsid w:val="005346E2"/>
    <w:rsid w:val="0056484F"/>
    <w:rsid w:val="0062487F"/>
    <w:rsid w:val="006A582E"/>
    <w:rsid w:val="006D1198"/>
    <w:rsid w:val="006D56CA"/>
    <w:rsid w:val="006E4C02"/>
    <w:rsid w:val="006E7D43"/>
    <w:rsid w:val="007D182B"/>
    <w:rsid w:val="007F233E"/>
    <w:rsid w:val="00813CEB"/>
    <w:rsid w:val="008241D6"/>
    <w:rsid w:val="00865E1C"/>
    <w:rsid w:val="0087206E"/>
    <w:rsid w:val="0088484B"/>
    <w:rsid w:val="008C1C8F"/>
    <w:rsid w:val="0099165D"/>
    <w:rsid w:val="009A4788"/>
    <w:rsid w:val="00A56081"/>
    <w:rsid w:val="00A6153F"/>
    <w:rsid w:val="00AA4625"/>
    <w:rsid w:val="00AF529F"/>
    <w:rsid w:val="00B6643C"/>
    <w:rsid w:val="00B8283E"/>
    <w:rsid w:val="00BC0D7C"/>
    <w:rsid w:val="00BD10E8"/>
    <w:rsid w:val="00C2309F"/>
    <w:rsid w:val="00C32AB1"/>
    <w:rsid w:val="00C4093A"/>
    <w:rsid w:val="00C656A3"/>
    <w:rsid w:val="00C71421"/>
    <w:rsid w:val="00CF5373"/>
    <w:rsid w:val="00D023D0"/>
    <w:rsid w:val="00D46986"/>
    <w:rsid w:val="00D51C32"/>
    <w:rsid w:val="00E57573"/>
    <w:rsid w:val="00E877D4"/>
    <w:rsid w:val="00EB08C8"/>
    <w:rsid w:val="00EF73DB"/>
    <w:rsid w:val="00F00DDB"/>
    <w:rsid w:val="00F55822"/>
    <w:rsid w:val="00F8517A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63BF7E2"/>
  <w15:docId w15:val="{16F8A82D-D3A6-4795-8540-C28F41FA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243F5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46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6986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8C1C8F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C1C8F"/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C714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71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142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71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71421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1301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2011-07-06T14:58:00Z</cp:lastPrinted>
  <dcterms:created xsi:type="dcterms:W3CDTF">2017-12-27T16:57:00Z</dcterms:created>
  <dcterms:modified xsi:type="dcterms:W3CDTF">2017-12-27T16:57:00Z</dcterms:modified>
</cp:coreProperties>
</file>