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98" w:rsidRDefault="001F4036">
      <w:pPr>
        <w:jc w:val="center"/>
        <w:rPr>
          <w:rFonts w:ascii="Work Sans" w:hAnsi="Work Sans" w:cs="Times New Roman"/>
          <w:b/>
          <w:sz w:val="20"/>
          <w:szCs w:val="20"/>
          <w:lang w:val="es" w:eastAsia="es-ES"/>
        </w:rPr>
      </w:pPr>
      <w:r>
        <w:rPr>
          <w:rFonts w:ascii="Work Sans" w:hAnsi="Work Sans" w:cs="Times New Roman"/>
          <w:b/>
          <w:sz w:val="20"/>
          <w:szCs w:val="20"/>
          <w:lang w:val="es" w:eastAsia="es-ES"/>
        </w:rPr>
        <w:t>LA MINISTRA DE TRANSPORTE</w:t>
      </w:r>
    </w:p>
    <w:p w:rsidR="00EB2498" w:rsidRDefault="00EB2498">
      <w:pPr>
        <w:jc w:val="center"/>
        <w:rPr>
          <w:rFonts w:ascii="Work Sans" w:hAnsi="Work Sans" w:cs="Times New Roman"/>
          <w:b/>
          <w:sz w:val="20"/>
          <w:szCs w:val="20"/>
          <w:lang w:val="es" w:eastAsia="es-ES"/>
        </w:rPr>
      </w:pPr>
    </w:p>
    <w:p w:rsidR="00EB2498" w:rsidRDefault="001F4036">
      <w:pPr>
        <w:jc w:val="both"/>
      </w:pPr>
      <w:r>
        <w:rPr>
          <w:rFonts w:ascii="Work Sans" w:hAnsi="Work Sans" w:cs="Times New Roman"/>
          <w:sz w:val="20"/>
          <w:szCs w:val="20"/>
          <w:lang w:eastAsia="es-ES"/>
        </w:rPr>
        <w:t>En ejercicio de las facultades legales y en especial las conferidas por los artículos 21 y 30 de la Ley 105 de 1993, modificado por el artículo 1 de la Ley 787 de 2002 y el numeral 6.15 del artículo 6 del Decreto 087 de 2011, y</w:t>
      </w:r>
    </w:p>
    <w:p w:rsidR="00EB2498" w:rsidRDefault="00EB2498">
      <w:pPr>
        <w:jc w:val="center"/>
        <w:rPr>
          <w:rFonts w:ascii="Work Sans" w:hAnsi="Work Sans" w:cs="Times New Roman"/>
          <w:b/>
          <w:sz w:val="20"/>
          <w:szCs w:val="20"/>
          <w:lang w:val="es" w:eastAsia="es-ES"/>
        </w:rPr>
      </w:pPr>
    </w:p>
    <w:p w:rsidR="00EB2498" w:rsidRDefault="001F4036">
      <w:pPr>
        <w:jc w:val="center"/>
        <w:rPr>
          <w:rFonts w:ascii="Work Sans" w:hAnsi="Work Sans" w:cs="Times New Roman"/>
          <w:b/>
          <w:sz w:val="20"/>
          <w:szCs w:val="20"/>
          <w:lang w:val="es" w:eastAsia="es-ES"/>
        </w:rPr>
      </w:pPr>
      <w:r>
        <w:rPr>
          <w:rFonts w:ascii="Work Sans" w:hAnsi="Work Sans" w:cs="Times New Roman"/>
          <w:b/>
          <w:sz w:val="20"/>
          <w:szCs w:val="20"/>
          <w:lang w:val="es" w:eastAsia="es-ES"/>
        </w:rPr>
        <w:t>CONSIDERANDO</w:t>
      </w:r>
    </w:p>
    <w:p w:rsidR="00EB2498" w:rsidRDefault="00EB2498">
      <w:pPr>
        <w:jc w:val="both"/>
        <w:rPr>
          <w:rFonts w:ascii="Work Sans" w:hAnsi="Work Sans" w:cs="Times New Roman"/>
          <w:i/>
          <w:sz w:val="20"/>
          <w:szCs w:val="20"/>
          <w:lang w:val="es" w:eastAsia="es-ES"/>
        </w:rPr>
      </w:pPr>
    </w:p>
    <w:p w:rsidR="00EB2498" w:rsidRDefault="001F4036">
      <w:pPr>
        <w:widowControl/>
        <w:jc w:val="both"/>
        <w:textAlignment w:val="auto"/>
      </w:pPr>
      <w:r>
        <w:rPr>
          <w:rStyle w:val="Fuentedeprrafopredeter0"/>
          <w:rFonts w:ascii="Work Sans" w:hAnsi="Work Sans" w:cs="Arial"/>
          <w:kern w:val="0"/>
          <w:sz w:val="20"/>
          <w:szCs w:val="20"/>
          <w:lang w:val="es-CO" w:eastAsia="en-US" w:bidi="ar-SA"/>
        </w:rPr>
        <w:t>Que la Ley 105 de 1993, “</w:t>
      </w:r>
      <w:r>
        <w:rPr>
          <w:rStyle w:val="Fuentedeprrafopredeter0"/>
          <w:rFonts w:ascii="Work Sans" w:hAnsi="Work Sans" w:cs="Arial"/>
          <w:i/>
          <w:kern w:val="0"/>
          <w:sz w:val="20"/>
          <w:szCs w:val="20"/>
          <w:lang w:val="es-CO" w:eastAsia="en-US" w:bidi="ar-SA"/>
        </w:rPr>
        <w:t>Por la cual se dictan disposiciones básicas sobre el transporte, se redistribuyen competencias y recursos entre la Nación y las Entidades Territoriales, se reglamenta la planeación en el sector transporte y se dictan otras disposiciones</w:t>
      </w:r>
      <w:r>
        <w:rPr>
          <w:rStyle w:val="Fuentedeprrafopredeter0"/>
          <w:rFonts w:ascii="Work Sans" w:hAnsi="Work Sans" w:cs="Arial"/>
          <w:kern w:val="0"/>
          <w:sz w:val="20"/>
          <w:szCs w:val="20"/>
          <w:lang w:val="es-CO" w:eastAsia="en-US" w:bidi="ar-SA"/>
        </w:rPr>
        <w:t xml:space="preserve">” en su artículo 21  </w:t>
      </w:r>
      <w:r>
        <w:rPr>
          <w:rFonts w:ascii="Work Sans" w:hAnsi="Work Sans" w:cs="Arial"/>
          <w:kern w:val="0"/>
          <w:sz w:val="20"/>
          <w:szCs w:val="20"/>
          <w:lang w:val="es-CO" w:eastAsia="es-CO" w:bidi="ar-SA"/>
        </w:rPr>
        <w:t>modificado por el artículo 1° de la </w:t>
      </w:r>
      <w:hyperlink r:id="rId7" w:tooltip="Haga clic para abrir TODA la Ley 787 de 2002" w:history="1">
        <w:r>
          <w:rPr>
            <w:rFonts w:ascii="Work Sans" w:hAnsi="Work Sans" w:cs="Arial"/>
            <w:kern w:val="0"/>
            <w:sz w:val="20"/>
            <w:szCs w:val="20"/>
            <w:lang w:val="es-CO" w:eastAsia="es-CO" w:bidi="ar-SA"/>
          </w:rPr>
          <w:t>Ley 787 de 2002</w:t>
        </w:r>
      </w:hyperlink>
      <w:r>
        <w:rPr>
          <w:rFonts w:ascii="Work Sans" w:hAnsi="Work Sans" w:cs="Arial"/>
          <w:kern w:val="0"/>
          <w:sz w:val="20"/>
          <w:szCs w:val="20"/>
          <w:lang w:val="es-CO" w:eastAsia="es-CO" w:bidi="ar-SA"/>
        </w:rPr>
        <w:t>, establece lo siguiente:</w:t>
      </w:r>
    </w:p>
    <w:p w:rsidR="00EB2498" w:rsidRDefault="00EB2498">
      <w:pPr>
        <w:widowControl/>
        <w:jc w:val="both"/>
        <w:textAlignment w:val="auto"/>
        <w:rPr>
          <w:rFonts w:ascii="Work Sans" w:hAnsi="Work Sans" w:cs="Arial"/>
          <w:kern w:val="0"/>
          <w:sz w:val="20"/>
          <w:szCs w:val="20"/>
          <w:lang w:val="es-CO" w:eastAsia="en-US" w:bidi="ar-SA"/>
        </w:rPr>
      </w:pPr>
    </w:p>
    <w:p w:rsidR="00EB2498" w:rsidRPr="0087450A" w:rsidRDefault="001F4036">
      <w:pPr>
        <w:ind w:left="567" w:right="623"/>
        <w:jc w:val="both"/>
        <w:rPr>
          <w:sz w:val="18"/>
          <w:szCs w:val="18"/>
        </w:rPr>
      </w:pPr>
      <w:r w:rsidRPr="0087450A">
        <w:rPr>
          <w:rStyle w:val="Fuentedeprrafopredeter0"/>
          <w:rFonts w:ascii="Work Sans" w:hAnsi="Work Sans" w:cs="Arial"/>
          <w:i/>
          <w:kern w:val="0"/>
          <w:sz w:val="18"/>
          <w:szCs w:val="18"/>
          <w:lang w:val="es-CO" w:eastAsia="en-US" w:bidi="ar-SA"/>
        </w:rPr>
        <w:t>“</w:t>
      </w:r>
      <w:r w:rsidRPr="0087450A">
        <w:rPr>
          <w:rFonts w:ascii="Work Sans" w:hAnsi="Work Sans" w:cs="Times New Roman"/>
          <w:i/>
          <w:kern w:val="0"/>
          <w:sz w:val="18"/>
          <w:szCs w:val="18"/>
          <w:lang w:val="es-CO" w:eastAsia="es-CO" w:bidi="ar-SA"/>
        </w:rPr>
        <w:t>ARTICULO 21. </w:t>
      </w:r>
      <w:r w:rsidRPr="0087450A">
        <w:rPr>
          <w:rFonts w:ascii="Work Sans" w:hAnsi="Work Sans" w:cs="Times New Roman"/>
          <w:i/>
          <w:iCs/>
          <w:kern w:val="0"/>
          <w:sz w:val="18"/>
          <w:szCs w:val="18"/>
          <w:lang w:val="es-CO" w:eastAsia="es-CO" w:bidi="ar-SA"/>
        </w:rPr>
        <w:t>Tasas, tarifas y peajes en la infraestructura de transporte a cargo de la Nación.</w:t>
      </w:r>
      <w:r w:rsidRPr="0087450A">
        <w:rPr>
          <w:rFonts w:ascii="Work Sans" w:hAnsi="Work Sans" w:cs="Times New Roman"/>
          <w:i/>
          <w:kern w:val="0"/>
          <w:sz w:val="18"/>
          <w:szCs w:val="18"/>
          <w:lang w:val="es-CO" w:eastAsia="es-CO" w:bidi="ar-SA"/>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Para estos efectos, la Nación establecerá peajes, tarifas y tasas sobre el uso de la infraestructura nacional de transporte y los recursos provenientes de su cobro se usarán exclusivamente para ese modo de transporte.</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Todos los servicios que la Nación o sus entidades descentralizadas presten a los usuarios accesoriamente a la utilización de la infraestructura Nacional de Transporte, estarán sujetos al cobro de tasas o tarifas.</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Para la fijación y cobro de tasas, tarifas y peajes, se observarán los siguientes principios:</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a) Los ingresos provenientes de la utilización de la infraestructura de transporte, deberán garantizar su adecuado mantenimiento, operación y desarrollo;</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 </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d) Las tasas de peaje serán diferenciales, es decir, se fijarán en proporción a las distancias recorridas, las características vehiculares y sus respectivos costos de operación;</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e) Para la determinación del valor del peaje y de las tasas de valoración en las vías nacionales, se tendrá en cuenta un criterio de equidad fiscal.</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CO" w:eastAsia="es-CO" w:bidi="ar-SA"/>
        </w:rPr>
        <w:t xml:space="preserve">Parágrafo 2°. Para tener derecho a la exención contemplada en el literal b), es de carácter obligatorio que los vehículos allí relacionados, con excepción de las </w:t>
      </w:r>
      <w:r w:rsidRPr="0087450A">
        <w:rPr>
          <w:rFonts w:ascii="Work Sans" w:hAnsi="Work Sans" w:cs="Times New Roman"/>
          <w:i/>
          <w:kern w:val="0"/>
          <w:sz w:val="18"/>
          <w:szCs w:val="18"/>
          <w:lang w:val="es-CO" w:eastAsia="es-CO" w:bidi="ar-SA"/>
        </w:rPr>
        <w:lastRenderedPageBreak/>
        <w:t>bicicletas y motocicletas, estén plenamente identificados con los emblemas, colores y distintivos institucionales de cada una de las entidades y organismos a los cuales pertenecen. Para efectos de control, el Ministerio de Transporte reglamentará lo pertinente.</w:t>
      </w:r>
      <w:r w:rsidRPr="0087450A">
        <w:rPr>
          <w:rFonts w:ascii="Work Sans" w:hAnsi="Work Sans" w:cs="Times New Roman"/>
          <w:b/>
          <w:bCs/>
          <w:i/>
          <w:kern w:val="0"/>
          <w:sz w:val="18"/>
          <w:szCs w:val="18"/>
          <w:lang w:val="es-CO" w:eastAsia="es-CO" w:bidi="ar-SA"/>
        </w:rPr>
        <w:t> </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rFonts w:ascii="Work Sans" w:hAnsi="Work Sans" w:cs="Times New Roman"/>
          <w:i/>
          <w:kern w:val="0"/>
          <w:sz w:val="18"/>
          <w:szCs w:val="18"/>
          <w:lang w:val="es-CO" w:eastAsia="es-CO" w:bidi="ar-SA"/>
        </w:rPr>
      </w:pPr>
      <w:r w:rsidRPr="0087450A">
        <w:rPr>
          <w:rFonts w:ascii="Work Sans" w:hAnsi="Work Sans" w:cs="Times New Roman"/>
          <w:i/>
          <w:kern w:val="0"/>
          <w:sz w:val="18"/>
          <w:szCs w:val="18"/>
          <w:lang w:val="es-CO" w:eastAsia="es-CO" w:bidi="ar-SA"/>
        </w:rPr>
        <w:t>Parágrafo 3°. Facúltese a las Entidades Territoriales para decretar las exenciones contempladas en el literal b), del artículo 1°.</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MX" w:eastAsia="es-CO" w:bidi="ar-SA"/>
        </w:rPr>
        <w:t> </w:t>
      </w:r>
    </w:p>
    <w:p w:rsidR="00EB2498" w:rsidRPr="0087450A" w:rsidRDefault="001F4036">
      <w:pPr>
        <w:widowControl/>
        <w:ind w:left="567" w:right="623"/>
        <w:jc w:val="both"/>
        <w:textAlignment w:val="auto"/>
        <w:rPr>
          <w:sz w:val="18"/>
          <w:szCs w:val="18"/>
        </w:rPr>
      </w:pPr>
      <w:r w:rsidRPr="0087450A">
        <w:rPr>
          <w:rFonts w:ascii="Work Sans" w:hAnsi="Work Sans" w:cs="Times New Roman"/>
          <w:i/>
          <w:kern w:val="0"/>
          <w:sz w:val="18"/>
          <w:szCs w:val="18"/>
          <w:lang w:val="es-CO" w:eastAsia="es-CO" w:bidi="ar-SA"/>
        </w:rPr>
        <w:t>Parágrafo 4°. Se entiende también las vías “Concesionadas”</w:t>
      </w:r>
    </w:p>
    <w:p w:rsidR="00EB2498" w:rsidRDefault="00EB2498">
      <w:pPr>
        <w:widowControl/>
        <w:tabs>
          <w:tab w:val="left" w:pos="0"/>
        </w:tabs>
        <w:ind w:left="567" w:right="900"/>
        <w:jc w:val="both"/>
        <w:textAlignment w:val="auto"/>
        <w:rPr>
          <w:rFonts w:ascii="Work Sans" w:hAnsi="Work Sans" w:cs="Times New Roman"/>
          <w:i/>
          <w:kern w:val="0"/>
          <w:sz w:val="20"/>
          <w:szCs w:val="20"/>
          <w:lang w:val="es-CO" w:eastAsia="es-CO" w:bidi="ar-SA"/>
        </w:rPr>
      </w:pPr>
    </w:p>
    <w:p w:rsidR="00EB2498" w:rsidRDefault="001F4036">
      <w:pPr>
        <w:widowControl/>
        <w:jc w:val="both"/>
        <w:textAlignment w:val="auto"/>
        <w:rPr>
          <w:rFonts w:ascii="Work Sans" w:hAnsi="Work Sans" w:cs="Times New Roman"/>
          <w:kern w:val="0"/>
          <w:sz w:val="20"/>
          <w:szCs w:val="20"/>
          <w:lang w:val="es" w:eastAsia="es-ES" w:bidi="ar-SA"/>
        </w:rPr>
      </w:pPr>
      <w:r>
        <w:rPr>
          <w:rFonts w:ascii="Work Sans" w:hAnsi="Work Sans" w:cs="Times New Roman"/>
          <w:kern w:val="0"/>
          <w:sz w:val="20"/>
          <w:szCs w:val="20"/>
          <w:lang w:val="es" w:eastAsia="es-ES" w:bidi="ar-SA"/>
        </w:rPr>
        <w:t>Que la referida Ley en artículo 30 dispone sobre las obras en concesión lo siguiente:</w:t>
      </w:r>
    </w:p>
    <w:p w:rsidR="00EB2498" w:rsidRDefault="00EB2498">
      <w:pPr>
        <w:widowControl/>
        <w:jc w:val="both"/>
        <w:textAlignment w:val="auto"/>
        <w:rPr>
          <w:rFonts w:ascii="Work Sans" w:hAnsi="Work Sans" w:cs="Times New Roman"/>
          <w:kern w:val="0"/>
          <w:sz w:val="20"/>
          <w:szCs w:val="20"/>
          <w:lang w:val="es" w:eastAsia="es-ES" w:bidi="ar-SA"/>
        </w:rPr>
      </w:pP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“ARTICULO 30. Del Contrato de Concesión.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Para la recuperación de la inversión, la Nación, los departamentos, los distritos y los municipios podrán establecer peajes y/o valorización. El procedimiento para causar y distribuir la valorización, y la fijación de peajes se regula por las normas sobre la materia. La fórmula para la recuperación de la inversión quedará establecida en el contrato y será de obligatorio cumplimiento para las partes.</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La variación de estas reglas sin el consentimiento del concesionario, implicará responsabilidad civil para la entidad quien a su vez, podrá repetir contra el funcionario responsable.</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En los contratos que por concesión celebre el Instituto Nacional de Vías, se podrán incluir los accesos viales que hacen parte de la infraestructura distrital o municipal de transporte.</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PARAGRAFO 1. Los municipios, los departamentos, los distritos y la Nación podrán aportar partidas presupuestales para proyectos de infraestructura en los cuales de acuerdo con los estudios, los concesionarios no puedan recuperar su inversión en el tiempo esperado.</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PARAGRAFO 2. Los contratos a que se refiere el inciso 2° del artículo 81 de la </w:t>
      </w:r>
      <w:hyperlink r:id="rId8" w:tooltip="Haga clic para abrir TODA la Ley 80 de 1993" w:history="1">
        <w:r w:rsidRPr="0087450A">
          <w:rPr>
            <w:rStyle w:val="Hipervnculo"/>
            <w:rFonts w:ascii="Work Sans" w:hAnsi="Work Sans" w:cs="Arial Unicode MS"/>
            <w:i/>
            <w:sz w:val="18"/>
            <w:szCs w:val="20"/>
            <w:lang w:val="es-ES"/>
          </w:rPr>
          <w:t>Ley 80 de 1993</w:t>
        </w:r>
      </w:hyperlink>
      <w:r w:rsidRPr="0087450A">
        <w:rPr>
          <w:rFonts w:ascii="Work Sans" w:hAnsi="Work Sans" w:cs="Arial Unicode MS"/>
          <w:i/>
          <w:color w:val="000000"/>
          <w:sz w:val="18"/>
          <w:szCs w:val="20"/>
          <w:lang w:val="es-ES"/>
        </w:rPr>
        <w:t>, que a partir de la promulgación de esa Ley se celebren, se sujetarán en su formación a lo dispuesto en la misma. Sin embargo, estos no estarán sujetos a lo previsto en el numeral 4 del artículo 44 y el inciso 2° del artículo 45 de la citada ley. En el Pliego de Condiciones se señalarán los criterios de adjudicación.</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 </w:t>
      </w:r>
    </w:p>
    <w:p w:rsidR="00EB2498" w:rsidRPr="0087450A" w:rsidRDefault="001F4036">
      <w:pPr>
        <w:pStyle w:val="NormalWeb"/>
        <w:ind w:left="567" w:right="481"/>
        <w:jc w:val="both"/>
        <w:rPr>
          <w:sz w:val="22"/>
        </w:rPr>
      </w:pPr>
      <w:r w:rsidRPr="0087450A">
        <w:rPr>
          <w:rFonts w:ascii="Work Sans" w:hAnsi="Work Sans" w:cs="Arial Unicode MS"/>
          <w:i/>
          <w:color w:val="000000"/>
          <w:sz w:val="18"/>
          <w:szCs w:val="20"/>
          <w:lang w:val="es-ES"/>
        </w:rPr>
        <w:t>PARAGRAFO 3. Bajo el esquema de concesión, los ingresos que produzca la obra dada en concesión, serán asignados en su totalidad al concesionario privado, hasta tanto éste obtenga dentro del plazo estipulado en el contrato de concesión, el retorno al capital invertido. El Estado recuperará su inversión con los ingresos provenientes de la operación una vez culminado el período de concesión.”</w:t>
      </w:r>
    </w:p>
    <w:p w:rsidR="00EB2498" w:rsidRDefault="00EB2498">
      <w:pPr>
        <w:widowControl/>
        <w:jc w:val="both"/>
        <w:textAlignment w:val="auto"/>
        <w:rPr>
          <w:rFonts w:ascii="Work Sans" w:hAnsi="Work Sans" w:cs="Times New Roman"/>
          <w:kern w:val="0"/>
          <w:sz w:val="20"/>
          <w:szCs w:val="20"/>
          <w:lang w:val="es" w:eastAsia="es-ES" w:bidi="ar-SA"/>
        </w:rPr>
      </w:pPr>
    </w:p>
    <w:p w:rsidR="00EB2498" w:rsidRDefault="001F4036">
      <w:pPr>
        <w:widowControl/>
        <w:tabs>
          <w:tab w:val="left" w:pos="0"/>
        </w:tabs>
        <w:ind w:right="49"/>
        <w:jc w:val="both"/>
      </w:pPr>
      <w:r>
        <w:rPr>
          <w:rFonts w:ascii="Work Sans" w:hAnsi="Work Sans" w:cs="Work Sans"/>
          <w:sz w:val="20"/>
          <w:szCs w:val="20"/>
        </w:rPr>
        <w:t>Que el Decreto 087 de 2011 “</w:t>
      </w:r>
      <w:r>
        <w:rPr>
          <w:rFonts w:ascii="Work Sans" w:hAnsi="Work Sans" w:cs="Work Sans"/>
          <w:i/>
          <w:sz w:val="20"/>
          <w:szCs w:val="20"/>
        </w:rPr>
        <w:t>Por el cual se modifica la estructura del Ministerio de Transporte, y se determinan las funciones de sus dependencias</w:t>
      </w:r>
      <w:r>
        <w:rPr>
          <w:rFonts w:ascii="Work Sans" w:hAnsi="Work Sans" w:cs="Work Sans"/>
          <w:sz w:val="20"/>
          <w:szCs w:val="20"/>
        </w:rPr>
        <w:t>” establece:</w:t>
      </w:r>
    </w:p>
    <w:p w:rsidR="00EB2498" w:rsidRDefault="00EB2498">
      <w:pPr>
        <w:widowControl/>
        <w:tabs>
          <w:tab w:val="left" w:pos="0"/>
        </w:tabs>
        <w:ind w:left="709" w:right="709"/>
        <w:jc w:val="both"/>
        <w:rPr>
          <w:rFonts w:ascii="Work Sans" w:hAnsi="Work Sans" w:cs="Work Sans"/>
          <w:i/>
          <w:sz w:val="20"/>
          <w:szCs w:val="20"/>
        </w:rPr>
      </w:pPr>
    </w:p>
    <w:p w:rsidR="00EB2498" w:rsidRPr="0087450A" w:rsidRDefault="001F4036">
      <w:pPr>
        <w:ind w:left="567" w:right="616"/>
        <w:jc w:val="both"/>
        <w:rPr>
          <w:rFonts w:ascii="Work Sans" w:hAnsi="Work Sans" w:cs="Work Sans"/>
          <w:i/>
          <w:sz w:val="18"/>
          <w:szCs w:val="20"/>
        </w:rPr>
      </w:pPr>
      <w:r w:rsidRPr="0087450A">
        <w:rPr>
          <w:rFonts w:ascii="Work Sans" w:hAnsi="Work Sans" w:cs="Work Sans"/>
          <w:i/>
          <w:sz w:val="18"/>
          <w:szCs w:val="20"/>
        </w:rPr>
        <w:t xml:space="preserve">“Artículo 6°. Funciones del Despacho del Ministro de Transporte. Son funciones del </w:t>
      </w:r>
      <w:r w:rsidRPr="0087450A">
        <w:rPr>
          <w:rFonts w:ascii="Work Sans" w:hAnsi="Work Sans" w:cs="Work Sans"/>
          <w:i/>
          <w:sz w:val="18"/>
          <w:szCs w:val="20"/>
        </w:rPr>
        <w:lastRenderedPageBreak/>
        <w:t>Despacho del Ministro de Transporte, además de las señaladas por la Constitución Política y la ley, las siguientes:</w:t>
      </w:r>
    </w:p>
    <w:p w:rsidR="00EB2498" w:rsidRPr="0087450A" w:rsidRDefault="001F4036">
      <w:pPr>
        <w:ind w:left="567" w:right="616"/>
        <w:jc w:val="both"/>
        <w:rPr>
          <w:rFonts w:ascii="Work Sans" w:hAnsi="Work Sans" w:cs="Work Sans"/>
          <w:i/>
          <w:sz w:val="18"/>
          <w:szCs w:val="20"/>
        </w:rPr>
      </w:pPr>
      <w:r w:rsidRPr="0087450A">
        <w:rPr>
          <w:rFonts w:ascii="Work Sans" w:hAnsi="Work Sans" w:cs="Work Sans"/>
          <w:i/>
          <w:sz w:val="18"/>
          <w:szCs w:val="20"/>
        </w:rPr>
        <w:t xml:space="preserve"> </w:t>
      </w:r>
    </w:p>
    <w:p w:rsidR="00EB2498" w:rsidRPr="0087450A" w:rsidRDefault="001F4036">
      <w:pPr>
        <w:ind w:left="567" w:right="616"/>
        <w:jc w:val="both"/>
        <w:rPr>
          <w:rFonts w:ascii="Work Sans" w:hAnsi="Work Sans" w:cs="Work Sans"/>
          <w:i/>
          <w:sz w:val="18"/>
          <w:szCs w:val="20"/>
        </w:rPr>
      </w:pPr>
      <w:r w:rsidRPr="0087450A">
        <w:rPr>
          <w:rFonts w:ascii="Work Sans" w:hAnsi="Work Sans" w:cs="Work Sans"/>
          <w:i/>
          <w:sz w:val="18"/>
          <w:szCs w:val="20"/>
        </w:rPr>
        <w:t xml:space="preserve"> 6.15. Establecer los peajes, tarifas, tasas y derechos a cobrar por el uso de la   infraestructura de los modos de transporte, excepto el aéreo. (…)”</w:t>
      </w:r>
    </w:p>
    <w:p w:rsidR="00EB2498" w:rsidRDefault="00EB2498">
      <w:pPr>
        <w:widowControl/>
        <w:jc w:val="both"/>
        <w:textAlignment w:val="auto"/>
        <w:rPr>
          <w:rFonts w:ascii="Work Sans" w:hAnsi="Work Sans" w:cs="Times New Roman"/>
          <w:kern w:val="0"/>
          <w:sz w:val="20"/>
          <w:szCs w:val="20"/>
          <w:lang w:val="es" w:eastAsia="es-ES" w:bidi="ar-SA"/>
        </w:rPr>
      </w:pPr>
    </w:p>
    <w:p w:rsidR="00EB2498" w:rsidRDefault="001F4036">
      <w:pPr>
        <w:widowControl/>
        <w:jc w:val="both"/>
        <w:textAlignment w:val="auto"/>
      </w:pPr>
      <w:r>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EB2498" w:rsidRDefault="00EB2498">
      <w:pPr>
        <w:jc w:val="both"/>
        <w:rPr>
          <w:rFonts w:ascii="Work Sans" w:hAnsi="Work Sans" w:cs="Times New Roman"/>
          <w:b/>
          <w:sz w:val="20"/>
          <w:szCs w:val="20"/>
          <w:lang w:eastAsia="es-ES"/>
        </w:rPr>
      </w:pPr>
    </w:p>
    <w:p w:rsidR="00EB2498" w:rsidRDefault="001F4036">
      <w:pPr>
        <w:autoSpaceDE w:val="0"/>
        <w:jc w:val="both"/>
        <w:rPr>
          <w:rFonts w:ascii="Work Sans" w:hAnsi="Work Sans" w:cs="Times New Roman"/>
          <w:color w:val="000000"/>
          <w:sz w:val="20"/>
          <w:szCs w:val="20"/>
        </w:rPr>
      </w:pPr>
      <w:r>
        <w:rPr>
          <w:rFonts w:ascii="Work Sans" w:hAnsi="Work Sans" w:cs="Times New Roman"/>
          <w:sz w:val="20"/>
          <w:szCs w:val="20"/>
          <w:lang w:val="es" w:eastAsia="es-ES"/>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Pr>
          <w:rFonts w:ascii="Work Sans" w:hAnsi="Work Sans" w:cs="Times New Roman"/>
          <w:color w:val="000000"/>
          <w:sz w:val="20"/>
          <w:szCs w:val="20"/>
        </w:rPr>
        <w:t>; igualmente se contempla el derecho al recaudo de recursos de explotación económica del proyecto.</w:t>
      </w:r>
    </w:p>
    <w:p w:rsidR="00156ED7" w:rsidRDefault="00156ED7">
      <w:pPr>
        <w:autoSpaceDE w:val="0"/>
        <w:jc w:val="both"/>
        <w:rPr>
          <w:rFonts w:ascii="Work Sans" w:hAnsi="Work Sans" w:cs="Times New Roman"/>
          <w:color w:val="000000"/>
          <w:sz w:val="20"/>
          <w:szCs w:val="20"/>
        </w:rPr>
      </w:pPr>
    </w:p>
    <w:p w:rsidR="00156ED7" w:rsidRPr="00404772" w:rsidRDefault="00156ED7" w:rsidP="00156ED7">
      <w:pPr>
        <w:jc w:val="both"/>
        <w:rPr>
          <w:rFonts w:ascii="Work Sans" w:hAnsi="Work Sans"/>
          <w:sz w:val="20"/>
          <w:szCs w:val="20"/>
        </w:rPr>
      </w:pPr>
      <w:r w:rsidRPr="00404772">
        <w:rPr>
          <w:rFonts w:ascii="Work Sans" w:hAnsi="Work Sans"/>
          <w:sz w:val="20"/>
          <w:szCs w:val="20"/>
        </w:rPr>
        <w:t>Que el Instituto Nacional de Vías celebró el contrato de concesión número 664 de 1994 con la Unión Temporal DEVINORTE, para realizar los estudios y diseños definitivos, las obras de rehabilitación y de construcción, la operación, el mantenimiento y la administración fiduciaria del proyecto vial denominado “Desarrollo Vial Para El Norte De Bogotá” en el Departamento de Cundinamarca, que comprendía los sectores viales en “Santafé de Bogotá (Calle 236) – La Caro - Briceño de la Ruta 55, y Santafé de Bogotá (Calle 236) - La Caro – Cajicá y Cajicá - Zipaquirá de la Ruta 45A”.</w:t>
      </w:r>
    </w:p>
    <w:p w:rsidR="00EB2498" w:rsidRDefault="00EB2498">
      <w:pPr>
        <w:jc w:val="both"/>
        <w:rPr>
          <w:rFonts w:ascii="Work Sans" w:hAnsi="Work Sans"/>
          <w:sz w:val="20"/>
          <w:szCs w:val="20"/>
        </w:rPr>
      </w:pPr>
    </w:p>
    <w:p w:rsidR="00474E92" w:rsidRPr="00404772" w:rsidRDefault="00474E92" w:rsidP="00474E92">
      <w:pPr>
        <w:jc w:val="both"/>
      </w:pPr>
      <w:r w:rsidRPr="00404772">
        <w:rPr>
          <w:rFonts w:ascii="Work Sans" w:hAnsi="Work Sans"/>
          <w:sz w:val="20"/>
          <w:szCs w:val="20"/>
        </w:rPr>
        <w:t>Que mediante</w:t>
      </w:r>
      <w:r w:rsidRPr="00404772">
        <w:rPr>
          <w:rFonts w:ascii="Work Sans" w:hAnsi="Work Sans" w:cs="LiberationSansNarrow-Italic"/>
          <w:iCs/>
          <w:kern w:val="0"/>
          <w:sz w:val="20"/>
          <w:szCs w:val="20"/>
          <w:lang w:val="es-CO" w:eastAsia="es-CO" w:bidi="ar-SA"/>
        </w:rPr>
        <w:t xml:space="preserve"> </w:t>
      </w:r>
      <w:r>
        <w:rPr>
          <w:rFonts w:ascii="Work Sans" w:hAnsi="Work Sans" w:cs="LiberationSansNarrow-Italic"/>
          <w:iCs/>
          <w:kern w:val="0"/>
          <w:sz w:val="20"/>
          <w:szCs w:val="20"/>
          <w:lang w:val="es-CO" w:eastAsia="es-CO" w:bidi="ar-SA"/>
        </w:rPr>
        <w:t xml:space="preserve"> los</w:t>
      </w:r>
      <w:r w:rsidRPr="00404772">
        <w:rPr>
          <w:rFonts w:ascii="Work Sans" w:hAnsi="Work Sans" w:cs="LiberationSansNarrow-Italic"/>
          <w:iCs/>
          <w:kern w:val="0"/>
          <w:sz w:val="20"/>
          <w:szCs w:val="20"/>
          <w:lang w:val="es-CO" w:eastAsia="es-CO" w:bidi="ar-SA"/>
        </w:rPr>
        <w:t xml:space="preserve"> artículos 1 y 2</w:t>
      </w:r>
      <w:r>
        <w:rPr>
          <w:rFonts w:ascii="Work Sans" w:hAnsi="Work Sans" w:cs="LiberationSansNarrow-Italic"/>
          <w:iCs/>
          <w:kern w:val="0"/>
          <w:sz w:val="20"/>
          <w:szCs w:val="20"/>
          <w:lang w:val="es-CO" w:eastAsia="es-CO" w:bidi="ar-SA"/>
        </w:rPr>
        <w:t xml:space="preserve"> de</w:t>
      </w:r>
      <w:r w:rsidRPr="00404772">
        <w:rPr>
          <w:rFonts w:ascii="Work Sans" w:hAnsi="Work Sans"/>
          <w:sz w:val="20"/>
          <w:szCs w:val="20"/>
        </w:rPr>
        <w:t xml:space="preserve"> la Resolución </w:t>
      </w:r>
      <w:r w:rsidRPr="00404772">
        <w:rPr>
          <w:rFonts w:ascii="Work Sans" w:hAnsi="Work Sans" w:cs="LiberationSansNarrow"/>
          <w:kern w:val="0"/>
          <w:sz w:val="20"/>
          <w:szCs w:val="20"/>
          <w:lang w:val="es-CO" w:eastAsia="es-CO" w:bidi="ar-SA"/>
        </w:rPr>
        <w:t xml:space="preserve">937 del 12 de abril de 1994 </w:t>
      </w:r>
      <w:r w:rsidRPr="00404772">
        <w:rPr>
          <w:rFonts w:ascii="Work Sans" w:hAnsi="Work Sans" w:cs="LiberationSansNarrow-Italic"/>
          <w:i/>
          <w:iCs/>
          <w:kern w:val="0"/>
          <w:sz w:val="20"/>
          <w:szCs w:val="20"/>
          <w:lang w:val="es-CO" w:eastAsia="es-CO" w:bidi="ar-SA"/>
        </w:rPr>
        <w:t>“Por la cual se fijan tarifas de peaje y procedimientos de ajuste para la concesión de los sectores de carretera: Santafé de Bogotá (Calle 236) - La Caro - Briceño, de la ruta 55 y Santafé de Bogotá (Calle 236) - La Caro - Cajicá - Zipaquirá de la ruta 45A: en el Departamento de Cundinamarca”</w:t>
      </w:r>
      <w:r>
        <w:rPr>
          <w:rFonts w:ascii="Work Sans" w:hAnsi="Work Sans" w:cs="LiberationSansNarrow-Italic"/>
          <w:iCs/>
          <w:kern w:val="0"/>
          <w:sz w:val="20"/>
          <w:szCs w:val="20"/>
          <w:lang w:val="es-CO" w:eastAsia="es-CO" w:bidi="ar-SA"/>
        </w:rPr>
        <w:t xml:space="preserve"> del Ministerio de Transporte,</w:t>
      </w:r>
      <w:r w:rsidRPr="00404772">
        <w:rPr>
          <w:rFonts w:ascii="Work Sans" w:hAnsi="Work Sans" w:cs="LiberationSansNarrow-Italic"/>
          <w:iCs/>
          <w:kern w:val="0"/>
          <w:sz w:val="20"/>
          <w:szCs w:val="20"/>
          <w:lang w:val="es-CO" w:eastAsia="es-CO" w:bidi="ar-SA"/>
        </w:rPr>
        <w:t xml:space="preserve"> se establecieron </w:t>
      </w:r>
      <w:r w:rsidRPr="00404772">
        <w:rPr>
          <w:rFonts w:ascii="Work Sans" w:hAnsi="Work Sans" w:cs="LiberationSansNarrow"/>
          <w:kern w:val="0"/>
          <w:sz w:val="20"/>
          <w:szCs w:val="20"/>
          <w:lang w:val="es-CO" w:eastAsia="es-CO" w:bidi="ar-SA"/>
        </w:rPr>
        <w:t>las tarifas a cobrar en la estación de peaje “Los Andes”</w:t>
      </w:r>
      <w:r>
        <w:rPr>
          <w:rFonts w:ascii="Work Sans" w:hAnsi="Work Sans" w:cs="LiberationSansNarrow"/>
          <w:kern w:val="0"/>
          <w:sz w:val="20"/>
          <w:szCs w:val="20"/>
          <w:lang w:val="es-CO" w:eastAsia="es-CO" w:bidi="ar-SA"/>
        </w:rPr>
        <w:t xml:space="preserve"> ubicada </w:t>
      </w:r>
      <w:r w:rsidRPr="00404772">
        <w:rPr>
          <w:rFonts w:ascii="Work Sans" w:hAnsi="Work Sans" w:cs="LiberationSansNarrow"/>
          <w:kern w:val="0"/>
          <w:sz w:val="20"/>
          <w:szCs w:val="20"/>
          <w:lang w:val="es-CO" w:eastAsia="es-CO" w:bidi="ar-SA"/>
        </w:rPr>
        <w:t>en la Ruta 45A (sobre la Autopista Norte)</w:t>
      </w:r>
      <w:r>
        <w:rPr>
          <w:rFonts w:ascii="Work Sans" w:hAnsi="Work Sans" w:cs="LiberationSansNarrow"/>
          <w:kern w:val="0"/>
          <w:sz w:val="20"/>
          <w:szCs w:val="20"/>
          <w:lang w:val="es-CO" w:eastAsia="es-CO" w:bidi="ar-SA"/>
        </w:rPr>
        <w:t xml:space="preserve">. </w:t>
      </w:r>
      <w:r w:rsidRPr="00404772">
        <w:rPr>
          <w:rFonts w:ascii="Work Sans" w:hAnsi="Work Sans" w:cs="LiberationSansNarrow"/>
          <w:kern w:val="0"/>
          <w:sz w:val="20"/>
          <w:szCs w:val="20"/>
          <w:lang w:val="es-CO" w:eastAsia="es-CO" w:bidi="ar-SA"/>
        </w:rPr>
        <w:t>A su vez, los artículos 4 y 5</w:t>
      </w:r>
      <w:r>
        <w:rPr>
          <w:rFonts w:ascii="Work Sans" w:hAnsi="Work Sans" w:cs="LiberationSansNarrow"/>
          <w:kern w:val="0"/>
          <w:sz w:val="20"/>
          <w:szCs w:val="20"/>
          <w:lang w:val="es-CO" w:eastAsia="es-CO" w:bidi="ar-SA"/>
        </w:rPr>
        <w:t xml:space="preserve"> del precitado acto administrativo</w:t>
      </w:r>
      <w:r w:rsidRPr="00404772">
        <w:rPr>
          <w:rFonts w:ascii="Work Sans" w:hAnsi="Work Sans" w:cs="LiberationSansNarrow"/>
          <w:kern w:val="0"/>
          <w:sz w:val="20"/>
          <w:szCs w:val="20"/>
          <w:lang w:val="es-CO" w:eastAsia="es-CO" w:bidi="ar-SA"/>
        </w:rPr>
        <w:t xml:space="preserve"> establecieron como fórmula de ajuste “</w:t>
      </w:r>
      <w:r w:rsidRPr="00404772">
        <w:rPr>
          <w:rFonts w:ascii="Work Sans" w:hAnsi="Work Sans" w:cs="LiberationSansNarrow"/>
          <w:i/>
          <w:iCs/>
          <w:kern w:val="0"/>
          <w:sz w:val="20"/>
          <w:szCs w:val="20"/>
          <w:lang w:val="es-CO" w:eastAsia="es-CO" w:bidi="ar-SA"/>
        </w:rPr>
        <w:t>un incremento del índice de Precios al Consumidor certificado por el Departamento Administrativo Nacional de Estadística- DANE</w:t>
      </w:r>
      <w:r w:rsidRPr="00404772">
        <w:rPr>
          <w:rFonts w:ascii="Work Sans" w:hAnsi="Work Sans" w:cs="LiberationSansNarrow"/>
          <w:kern w:val="0"/>
          <w:sz w:val="20"/>
          <w:szCs w:val="20"/>
          <w:lang w:val="es-CO" w:eastAsia="es-CO" w:bidi="ar-SA"/>
        </w:rPr>
        <w:t xml:space="preserve">”. </w:t>
      </w:r>
    </w:p>
    <w:p w:rsidR="00474E92" w:rsidRDefault="00474E92">
      <w:pPr>
        <w:jc w:val="both"/>
        <w:rPr>
          <w:rFonts w:ascii="Work Sans" w:hAnsi="Work Sans"/>
          <w:sz w:val="20"/>
          <w:szCs w:val="20"/>
        </w:rPr>
      </w:pPr>
    </w:p>
    <w:p w:rsidR="00EB2498" w:rsidRDefault="001F4036">
      <w:pPr>
        <w:widowControl/>
        <w:autoSpaceDE w:val="0"/>
        <w:jc w:val="both"/>
        <w:textAlignment w:val="auto"/>
        <w:rPr>
          <w:rFonts w:ascii="Work Sans" w:hAnsi="Work Sans" w:cs="LiberationSansNarrow-Italic"/>
          <w:iCs/>
          <w:kern w:val="0"/>
          <w:sz w:val="20"/>
          <w:szCs w:val="20"/>
          <w:lang w:val="es-CO" w:eastAsia="es-CO" w:bidi="ar-SA"/>
        </w:rPr>
      </w:pPr>
      <w:r>
        <w:rPr>
          <w:rFonts w:ascii="Work Sans" w:hAnsi="Work Sans" w:cs="LiberationSansNarrow"/>
          <w:kern w:val="0"/>
          <w:sz w:val="20"/>
          <w:szCs w:val="20"/>
          <w:lang w:val="es-CO" w:eastAsia="es-CO" w:bidi="ar-SA"/>
        </w:rPr>
        <w:t>Que</w:t>
      </w:r>
      <w:r w:rsidR="00474E92">
        <w:rPr>
          <w:rFonts w:ascii="Work Sans" w:hAnsi="Work Sans" w:cs="LiberationSansNarrow"/>
          <w:kern w:val="0"/>
          <w:sz w:val="20"/>
          <w:szCs w:val="20"/>
          <w:lang w:val="es-CO" w:eastAsia="es-CO" w:bidi="ar-SA"/>
        </w:rPr>
        <w:t xml:space="preserve"> el artículo 1 de </w:t>
      </w:r>
      <w:r>
        <w:rPr>
          <w:rFonts w:ascii="Work Sans" w:hAnsi="Work Sans" w:cs="LiberationSansNarrow"/>
          <w:kern w:val="0"/>
          <w:sz w:val="20"/>
          <w:szCs w:val="20"/>
          <w:lang w:val="es-CO" w:eastAsia="es-CO" w:bidi="ar-SA"/>
        </w:rPr>
        <w:t xml:space="preserve">la Resolución 5640 del 04 de septiembre de 1996 </w:t>
      </w:r>
      <w:r>
        <w:rPr>
          <w:rFonts w:ascii="Work Sans" w:hAnsi="Work Sans" w:cs="LiberationSansNarrow-Italic"/>
          <w:i/>
          <w:iCs/>
          <w:kern w:val="0"/>
          <w:sz w:val="20"/>
          <w:szCs w:val="20"/>
          <w:lang w:val="es-CO" w:eastAsia="es-CO" w:bidi="ar-SA"/>
        </w:rPr>
        <w:t>“Por la cual se adiciona la resolución 000937 del 12 de abril de1994, mediante la cual se fijan las tarifas de peaje y procedimientos de ajustes para la concesión “Desarrollo Vial del Norte de Bogotá”</w:t>
      </w:r>
      <w:r>
        <w:rPr>
          <w:rFonts w:ascii="Work Sans" w:hAnsi="Work Sans" w:cs="LiberationSansNarrow"/>
          <w:kern w:val="0"/>
          <w:sz w:val="20"/>
          <w:szCs w:val="20"/>
          <w:lang w:val="es-CO" w:eastAsia="es-CO" w:bidi="ar-SA"/>
        </w:rPr>
        <w:t xml:space="preserve"> </w:t>
      </w:r>
      <w:r w:rsidR="00474E92">
        <w:rPr>
          <w:rFonts w:ascii="Work Sans" w:hAnsi="Work Sans" w:cs="LiberationSansNarrow"/>
          <w:kern w:val="0"/>
          <w:sz w:val="20"/>
          <w:szCs w:val="20"/>
          <w:lang w:val="es-CO" w:eastAsia="es-CO" w:bidi="ar-SA"/>
        </w:rPr>
        <w:t xml:space="preserve">del Ministerio de Transporte, señala que </w:t>
      </w:r>
      <w:r w:rsidR="00B77580">
        <w:rPr>
          <w:rFonts w:ascii="Work Sans" w:hAnsi="Work Sans" w:cs="LiberationSansNarrow"/>
          <w:kern w:val="0"/>
          <w:sz w:val="20"/>
          <w:szCs w:val="20"/>
          <w:lang w:val="es-CO" w:eastAsia="es-CO" w:bidi="ar-SA"/>
        </w:rPr>
        <w:t>en</w:t>
      </w:r>
      <w:r w:rsidR="00221E81">
        <w:rPr>
          <w:rFonts w:ascii="Work Sans" w:hAnsi="Work Sans" w:cs="LiberationSansNarrow"/>
          <w:kern w:val="0"/>
          <w:sz w:val="20"/>
          <w:szCs w:val="20"/>
          <w:lang w:val="es-CO" w:eastAsia="es-CO" w:bidi="ar-SA"/>
        </w:rPr>
        <w:t xml:space="preserve"> </w:t>
      </w:r>
      <w:r>
        <w:rPr>
          <w:rFonts w:ascii="Work Sans" w:hAnsi="Work Sans" w:cs="LiberationSansNarrow"/>
          <w:kern w:val="0"/>
          <w:sz w:val="20"/>
          <w:szCs w:val="20"/>
          <w:lang w:val="es-CO" w:eastAsia="es-CO" w:bidi="ar-SA"/>
        </w:rPr>
        <w:t>la estación de peaje fusca</w:t>
      </w:r>
      <w:r w:rsidR="00474E92">
        <w:rPr>
          <w:rFonts w:ascii="Work Sans" w:hAnsi="Work Sans" w:cs="LiberationSansNarrow"/>
          <w:kern w:val="0"/>
          <w:sz w:val="20"/>
          <w:szCs w:val="20"/>
          <w:lang w:val="es-CO" w:eastAsia="es-CO" w:bidi="ar-SA"/>
        </w:rPr>
        <w:t xml:space="preserve"> se cobraran</w:t>
      </w:r>
      <w:r>
        <w:rPr>
          <w:rFonts w:ascii="Work Sans" w:hAnsi="Work Sans" w:cs="LiberationSansNarrow"/>
          <w:kern w:val="0"/>
          <w:sz w:val="20"/>
          <w:szCs w:val="20"/>
          <w:lang w:val="es-CO" w:eastAsia="es-CO" w:bidi="ar-SA"/>
        </w:rPr>
        <w:t xml:space="preserve"> </w:t>
      </w:r>
      <w:r>
        <w:rPr>
          <w:rFonts w:ascii="Work Sans" w:hAnsi="Work Sans" w:cs="LiberationSansNarrow-Italic"/>
          <w:iCs/>
          <w:kern w:val="0"/>
          <w:sz w:val="20"/>
          <w:szCs w:val="20"/>
          <w:lang w:val="es-CO" w:eastAsia="es-CO" w:bidi="ar-SA"/>
        </w:rPr>
        <w:t>las mi</w:t>
      </w:r>
      <w:r w:rsidR="00474E92">
        <w:rPr>
          <w:rFonts w:ascii="Work Sans" w:hAnsi="Work Sans" w:cs="LiberationSansNarrow-Italic"/>
          <w:iCs/>
          <w:kern w:val="0"/>
          <w:sz w:val="20"/>
          <w:szCs w:val="20"/>
          <w:lang w:val="es-CO" w:eastAsia="es-CO" w:bidi="ar-SA"/>
        </w:rPr>
        <w:t>s</w:t>
      </w:r>
      <w:r>
        <w:rPr>
          <w:rFonts w:ascii="Work Sans" w:hAnsi="Work Sans" w:cs="LiberationSansNarrow-Italic"/>
          <w:iCs/>
          <w:kern w:val="0"/>
          <w:sz w:val="20"/>
          <w:szCs w:val="20"/>
          <w:lang w:val="es-CO" w:eastAsia="es-CO" w:bidi="ar-SA"/>
        </w:rPr>
        <w:t xml:space="preserve">mas tarifas </w:t>
      </w:r>
      <w:r w:rsidR="00B77580">
        <w:rPr>
          <w:rFonts w:ascii="Work Sans" w:hAnsi="Work Sans" w:cs="LiberationSansNarrow-Italic"/>
          <w:iCs/>
          <w:kern w:val="0"/>
          <w:sz w:val="20"/>
          <w:szCs w:val="20"/>
          <w:lang w:val="es-CO" w:eastAsia="es-CO" w:bidi="ar-SA"/>
        </w:rPr>
        <w:t xml:space="preserve">establecidas </w:t>
      </w:r>
      <w:r>
        <w:rPr>
          <w:rFonts w:ascii="Work Sans" w:hAnsi="Work Sans" w:cs="LiberationSansNarrow-Italic"/>
          <w:iCs/>
          <w:kern w:val="0"/>
          <w:sz w:val="20"/>
          <w:szCs w:val="20"/>
          <w:lang w:val="es-CO" w:eastAsia="es-CO" w:bidi="ar-SA"/>
        </w:rPr>
        <w:t>en el artículo primero de la</w:t>
      </w:r>
      <w:r w:rsidR="00B77580">
        <w:rPr>
          <w:rFonts w:ascii="Work Sans" w:hAnsi="Work Sans" w:cs="LiberationSansNarrow-Italic"/>
          <w:iCs/>
          <w:kern w:val="0"/>
          <w:sz w:val="20"/>
          <w:szCs w:val="20"/>
          <w:lang w:val="es-CO" w:eastAsia="es-CO" w:bidi="ar-SA"/>
        </w:rPr>
        <w:t xml:space="preserve"> citada</w:t>
      </w:r>
      <w:r>
        <w:rPr>
          <w:rFonts w:ascii="Work Sans" w:hAnsi="Work Sans" w:cs="LiberationSansNarrow-Italic"/>
          <w:iCs/>
          <w:kern w:val="0"/>
          <w:sz w:val="20"/>
          <w:szCs w:val="20"/>
          <w:lang w:val="es-CO" w:eastAsia="es-CO" w:bidi="ar-SA"/>
        </w:rPr>
        <w:t xml:space="preserve"> Resolución 937 de 1994 para la </w:t>
      </w:r>
      <w:r w:rsidR="00B77580">
        <w:rPr>
          <w:rFonts w:ascii="Work Sans" w:hAnsi="Work Sans" w:cs="LiberationSansNarrow-Italic"/>
          <w:iCs/>
          <w:kern w:val="0"/>
          <w:sz w:val="20"/>
          <w:szCs w:val="20"/>
          <w:lang w:val="es-CO" w:eastAsia="es-CO" w:bidi="ar-SA"/>
        </w:rPr>
        <w:t>estación</w:t>
      </w:r>
      <w:r>
        <w:rPr>
          <w:rFonts w:ascii="Work Sans" w:hAnsi="Work Sans" w:cs="LiberationSansNarrow-Italic"/>
          <w:iCs/>
          <w:kern w:val="0"/>
          <w:sz w:val="20"/>
          <w:szCs w:val="20"/>
          <w:lang w:val="es-CO" w:eastAsia="es-CO" w:bidi="ar-SA"/>
        </w:rPr>
        <w:t xml:space="preserve"> de peaje Andes.</w:t>
      </w:r>
    </w:p>
    <w:p w:rsidR="000543A7" w:rsidRDefault="000543A7">
      <w:pPr>
        <w:widowControl/>
        <w:autoSpaceDE w:val="0"/>
        <w:jc w:val="both"/>
        <w:textAlignment w:val="auto"/>
        <w:rPr>
          <w:rFonts w:ascii="Work Sans" w:hAnsi="Work Sans" w:cs="LiberationSansNarrow-Italic"/>
          <w:iCs/>
          <w:kern w:val="0"/>
          <w:sz w:val="20"/>
          <w:szCs w:val="20"/>
          <w:lang w:val="es-CO" w:eastAsia="es-CO" w:bidi="ar-SA"/>
        </w:rPr>
      </w:pPr>
    </w:p>
    <w:p w:rsidR="000543A7" w:rsidRPr="00404772" w:rsidRDefault="000543A7" w:rsidP="000543A7">
      <w:pPr>
        <w:widowControl/>
        <w:autoSpaceDE w:val="0"/>
        <w:jc w:val="both"/>
        <w:textAlignment w:val="auto"/>
        <w:rPr>
          <w:rFonts w:ascii="Work Sans" w:hAnsi="Work Sans" w:cs="LiberationSansNarrow-Italic"/>
          <w:iCs/>
          <w:kern w:val="0"/>
          <w:sz w:val="20"/>
          <w:szCs w:val="20"/>
          <w:lang w:val="es-CO" w:eastAsia="es-CO" w:bidi="ar-SA"/>
        </w:rPr>
      </w:pPr>
      <w:r w:rsidRPr="00404772">
        <w:rPr>
          <w:rFonts w:ascii="Work Sans" w:hAnsi="Work Sans" w:cs="LiberationSansNarrow"/>
          <w:kern w:val="0"/>
          <w:sz w:val="20"/>
          <w:szCs w:val="20"/>
          <w:lang w:val="es-CO" w:eastAsia="es-CO" w:bidi="ar-SA"/>
        </w:rPr>
        <w:t xml:space="preserve">Que </w:t>
      </w:r>
      <w:r w:rsidRPr="00404772">
        <w:rPr>
          <w:rFonts w:ascii="Work Sans" w:hAnsi="Work Sans" w:cs="LiberationSansNarrow"/>
          <w:kern w:val="0"/>
          <w:sz w:val="20"/>
          <w:szCs w:val="20"/>
          <w:lang w:val="es-CO" w:eastAsia="es-CO" w:bidi="ar-SA"/>
        </w:rPr>
        <w:t>mediante</w:t>
      </w:r>
      <w:r>
        <w:rPr>
          <w:rFonts w:ascii="Work Sans" w:hAnsi="Work Sans" w:cs="LiberationSansNarrow"/>
          <w:kern w:val="0"/>
          <w:sz w:val="20"/>
          <w:szCs w:val="20"/>
          <w:lang w:val="es-CO" w:eastAsia="es-CO" w:bidi="ar-SA"/>
        </w:rPr>
        <w:t xml:space="preserve"> </w:t>
      </w:r>
      <w:r w:rsidRPr="00404772">
        <w:rPr>
          <w:rFonts w:ascii="Work Sans" w:hAnsi="Work Sans" w:cs="LiberationSansNarrow-Italic"/>
          <w:iCs/>
          <w:kern w:val="0"/>
          <w:sz w:val="20"/>
          <w:szCs w:val="20"/>
          <w:lang w:val="es-CO" w:eastAsia="es-CO" w:bidi="ar-SA"/>
        </w:rPr>
        <w:t xml:space="preserve">los artículos 1 y 2 </w:t>
      </w:r>
      <w:r>
        <w:rPr>
          <w:rFonts w:ascii="Work Sans" w:hAnsi="Work Sans" w:cs="LiberationSansNarrow-Italic"/>
          <w:iCs/>
          <w:kern w:val="0"/>
          <w:sz w:val="20"/>
          <w:szCs w:val="20"/>
          <w:lang w:val="es-CO" w:eastAsia="es-CO" w:bidi="ar-SA"/>
        </w:rPr>
        <w:t>de</w:t>
      </w:r>
      <w:r w:rsidRPr="00404772">
        <w:rPr>
          <w:rFonts w:ascii="Work Sans" w:hAnsi="Work Sans" w:cs="LiberationSansNarrow"/>
          <w:kern w:val="0"/>
          <w:sz w:val="20"/>
          <w:szCs w:val="20"/>
          <w:lang w:val="es-CO" w:eastAsia="es-CO" w:bidi="ar-SA"/>
        </w:rPr>
        <w:t xml:space="preserve"> la Resolución 3084 del 25 de octubre de 2000</w:t>
      </w:r>
      <w:r>
        <w:rPr>
          <w:rFonts w:ascii="Work Sans" w:hAnsi="Work Sans" w:cs="LiberationSansNarrow"/>
          <w:kern w:val="0"/>
          <w:sz w:val="20"/>
          <w:szCs w:val="20"/>
          <w:lang w:val="es-CO" w:eastAsia="es-CO" w:bidi="ar-SA"/>
        </w:rPr>
        <w:t xml:space="preserve"> </w:t>
      </w:r>
      <w:r w:rsidRPr="00404772">
        <w:rPr>
          <w:rFonts w:ascii="Work Sans" w:hAnsi="Work Sans" w:cs="LiberationSansNarrow-Italic"/>
          <w:iCs/>
          <w:kern w:val="0"/>
          <w:sz w:val="20"/>
          <w:szCs w:val="20"/>
          <w:lang w:val="es-CO" w:eastAsia="es-CO" w:bidi="ar-SA"/>
        </w:rPr>
        <w:t>“</w:t>
      </w:r>
      <w:r w:rsidRPr="00404772">
        <w:rPr>
          <w:rFonts w:ascii="Work Sans" w:hAnsi="Work Sans" w:cs="LiberationSansNarrow-Italic"/>
          <w:i/>
          <w:kern w:val="0"/>
          <w:sz w:val="20"/>
          <w:szCs w:val="20"/>
          <w:lang w:val="es-CO" w:eastAsia="es-CO" w:bidi="ar-SA"/>
        </w:rPr>
        <w:t>Por la cual se autoriza un sitio de cobro de peaje en el proyecto de concesión denominado Desarrollo Vial para el Norte de Bogotá”</w:t>
      </w:r>
      <w:r>
        <w:rPr>
          <w:rFonts w:ascii="Work Sans" w:hAnsi="Work Sans" w:cs="LiberationSansNarrow-Italic"/>
          <w:iCs/>
          <w:kern w:val="0"/>
          <w:sz w:val="20"/>
          <w:szCs w:val="20"/>
          <w:lang w:val="es-CO" w:eastAsia="es-CO" w:bidi="ar-SA"/>
        </w:rPr>
        <w:t xml:space="preserve"> del Ministerio de Transporte,</w:t>
      </w:r>
      <w:r w:rsidRPr="00404772">
        <w:rPr>
          <w:rFonts w:ascii="Work Sans" w:hAnsi="Work Sans" w:cs="LiberationSansNarrow-Italic"/>
          <w:iCs/>
          <w:kern w:val="0"/>
          <w:sz w:val="20"/>
          <w:szCs w:val="20"/>
          <w:lang w:val="es-CO" w:eastAsia="es-CO" w:bidi="ar-SA"/>
        </w:rPr>
        <w:t xml:space="preserve"> se autorizó un sitio de cobro de peaje en el acceso al Puente Curvo de Teletón, </w:t>
      </w:r>
      <w:r w:rsidR="005818A7">
        <w:rPr>
          <w:rFonts w:ascii="Work Sans" w:hAnsi="Work Sans" w:cs="LiberationSansNarrow-Italic"/>
          <w:iCs/>
          <w:kern w:val="0"/>
          <w:sz w:val="20"/>
          <w:szCs w:val="20"/>
          <w:lang w:val="es-CO" w:eastAsia="es-CO" w:bidi="ar-SA"/>
        </w:rPr>
        <w:t xml:space="preserve">para el recaudo de peaje de los vehículos de las </w:t>
      </w:r>
      <w:r w:rsidRPr="00404772">
        <w:rPr>
          <w:rFonts w:ascii="Work Sans" w:hAnsi="Work Sans" w:cs="LiberationSansNarrow-Italic"/>
          <w:iCs/>
          <w:kern w:val="0"/>
          <w:sz w:val="20"/>
          <w:szCs w:val="20"/>
          <w:lang w:val="es-CO" w:eastAsia="es-CO" w:bidi="ar-SA"/>
        </w:rPr>
        <w:t xml:space="preserve">categorías V, VI, y VII; y estableciendo como tarifa las mismas previstas para el peaje Andes sobre la Autopista Norte. </w:t>
      </w:r>
    </w:p>
    <w:p w:rsidR="007B085A" w:rsidRDefault="000543A7" w:rsidP="007B085A">
      <w:pPr>
        <w:pStyle w:val="Textocomentario"/>
        <w:jc w:val="both"/>
      </w:pPr>
      <w:r w:rsidRPr="007B085A">
        <w:rPr>
          <w:rFonts w:ascii="Work Sans" w:hAnsi="Work Sans"/>
        </w:rPr>
        <w:lastRenderedPageBreak/>
        <w:t>Que el 10 de enero de 2017, se suscribió entre la ANI y la sociedad concesionaria ACCESOS NORTE DE BOGOTÁ S.A.S. - ACCENORTE S.A.S. el contrato de concesión bajo el esquema de APP No. 001 de 2017</w:t>
      </w:r>
      <w:r w:rsidR="000E6BCE">
        <w:rPr>
          <w:rFonts w:ascii="Work Sans" w:hAnsi="Work Sans"/>
        </w:rPr>
        <w:t>,</w:t>
      </w:r>
      <w:r w:rsidRPr="007B085A">
        <w:rPr>
          <w:rFonts w:ascii="Work Sans" w:hAnsi="Work Sans"/>
        </w:rPr>
        <w:t xml:space="preserve"> cuyo objeto </w:t>
      </w:r>
      <w:r w:rsidR="000E6BCE">
        <w:rPr>
          <w:rFonts w:ascii="Work Sans" w:hAnsi="Work Sans"/>
        </w:rPr>
        <w:t>es</w:t>
      </w:r>
      <w:r w:rsidR="007B085A" w:rsidRPr="007B085A">
        <w:rPr>
          <w:rFonts w:ascii="Work Sans" w:hAnsi="Work Sans"/>
          <w:i/>
          <w:iCs/>
        </w:rPr>
        <w:t xml:space="preserve">“el otorgamiento de una concesión para que </w:t>
      </w:r>
      <w:r w:rsidR="007B085A" w:rsidRPr="007B085A">
        <w:rPr>
          <w:rFonts w:ascii="Work Sans" w:hAnsi="Work Sans"/>
          <w:i/>
          <w:iCs/>
        </w:rPr>
        <w:t>de conformidad con lo previsto en este Contrato, el Concesionario, por su cuenta y riesgo, lleve a cabo el Proyecto. El alcance físico del proyecto se describe en la Parte Especial y en el Apéndice Técnico 1”,</w:t>
      </w:r>
      <w:r w:rsidR="007B085A" w:rsidRPr="007B085A">
        <w:rPr>
          <w:rFonts w:ascii="Work Sans" w:hAnsi="Work Sans"/>
        </w:rPr>
        <w:t xml:space="preserve"> y su alcance conforme a la Sección 3.2 de la Parte Especial</w:t>
      </w:r>
      <w:r w:rsidR="007B085A" w:rsidRPr="007B085A" w:rsidDel="002304BB">
        <w:rPr>
          <w:rFonts w:ascii="Work Sans" w:hAnsi="Work Sans"/>
        </w:rPr>
        <w:t xml:space="preserve"> </w:t>
      </w:r>
      <w:r w:rsidR="007B085A" w:rsidRPr="007B085A">
        <w:rPr>
          <w:rFonts w:ascii="Work Sans" w:hAnsi="Work Sans"/>
        </w:rPr>
        <w:t>es</w:t>
      </w:r>
      <w:r w:rsidR="00221E81">
        <w:rPr>
          <w:rFonts w:ascii="Work Sans" w:hAnsi="Work Sans"/>
        </w:rPr>
        <w:t xml:space="preserve"> </w:t>
      </w:r>
      <w:r w:rsidR="007B085A" w:rsidRPr="007B085A">
        <w:rPr>
          <w:rFonts w:ascii="Work Sans" w:hAnsi="Work Sans"/>
          <w:i/>
        </w:rPr>
        <w:t>“la financiación, los estudios, diseños, construcción, operación, mantenimiento, gestión social, predial y ambiental de los accesos norte a la ciudad de Bogotá D.C.””</w:t>
      </w:r>
    </w:p>
    <w:p w:rsidR="000543A7" w:rsidRDefault="000543A7" w:rsidP="000543A7">
      <w:pPr>
        <w:jc w:val="both"/>
        <w:rPr>
          <w:rFonts w:ascii="Work Sans" w:hAnsi="Work Sans"/>
          <w:sz w:val="20"/>
          <w:szCs w:val="20"/>
        </w:rPr>
      </w:pPr>
    </w:p>
    <w:p w:rsidR="00EB2498" w:rsidRPr="001174C6" w:rsidRDefault="001F4036" w:rsidP="00A6413C">
      <w:pPr>
        <w:autoSpaceDE w:val="0"/>
        <w:jc w:val="both"/>
        <w:rPr>
          <w:rFonts w:ascii="Work Sans" w:hAnsi="Work Sans"/>
          <w:bCs/>
          <w:spacing w:val="-3"/>
          <w:sz w:val="20"/>
          <w:szCs w:val="20"/>
          <w:lang w:val="es-MX" w:eastAsia="es-MX"/>
        </w:rPr>
      </w:pPr>
      <w:r w:rsidRPr="001174C6">
        <w:rPr>
          <w:rFonts w:ascii="Work Sans" w:hAnsi="Work Sans" w:cs="Times New Roman"/>
          <w:sz w:val="20"/>
          <w:szCs w:val="20"/>
        </w:rPr>
        <w:t xml:space="preserve">Que mediante oficio con </w:t>
      </w:r>
      <w:r w:rsidR="00BB6956" w:rsidRPr="001174C6">
        <w:rPr>
          <w:rFonts w:ascii="Work Sans" w:hAnsi="Work Sans" w:cs="Times New Roman"/>
          <w:sz w:val="20"/>
          <w:szCs w:val="20"/>
        </w:rPr>
        <w:t>número</w:t>
      </w:r>
      <w:r w:rsidR="001174C6">
        <w:rPr>
          <w:rFonts w:ascii="Work Sans" w:hAnsi="Work Sans" w:cs="Times New Roman"/>
          <w:sz w:val="20"/>
          <w:szCs w:val="20"/>
        </w:rPr>
        <w:t xml:space="preserve"> de r</w:t>
      </w:r>
      <w:r w:rsidR="00C60CEF">
        <w:rPr>
          <w:rFonts w:ascii="Work Sans" w:hAnsi="Work Sans" w:cs="Times New Roman"/>
          <w:sz w:val="20"/>
          <w:szCs w:val="20"/>
        </w:rPr>
        <w:t>adicado 20212000077111 del 17 de marzo</w:t>
      </w:r>
      <w:r w:rsidR="000E6BCE">
        <w:rPr>
          <w:rFonts w:ascii="Work Sans" w:hAnsi="Work Sans" w:cs="Times New Roman"/>
          <w:sz w:val="20"/>
          <w:szCs w:val="20"/>
        </w:rPr>
        <w:t xml:space="preserve"> </w:t>
      </w:r>
      <w:r w:rsidRPr="001174C6">
        <w:rPr>
          <w:rFonts w:ascii="Work Sans" w:hAnsi="Work Sans" w:cs="Times New Roman"/>
          <w:sz w:val="20"/>
          <w:szCs w:val="20"/>
        </w:rPr>
        <w:t>de 2021,</w:t>
      </w:r>
      <w:r w:rsidR="000E6BCE">
        <w:rPr>
          <w:rFonts w:ascii="Work Sans" w:hAnsi="Work Sans" w:cs="Times New Roman"/>
          <w:sz w:val="20"/>
          <w:szCs w:val="20"/>
        </w:rPr>
        <w:t xml:space="preserve"> y oficio alcance </w:t>
      </w:r>
      <w:r w:rsidR="00CA7813">
        <w:rPr>
          <w:rFonts w:ascii="Work Sans" w:hAnsi="Work Sans" w:cs="Times New Roman"/>
          <w:sz w:val="20"/>
          <w:szCs w:val="20"/>
        </w:rPr>
        <w:t xml:space="preserve">de fecha 23 de </w:t>
      </w:r>
      <w:r w:rsidR="00CA7813" w:rsidRPr="0087450A">
        <w:rPr>
          <w:rFonts w:ascii="Work Sans" w:hAnsi="Work Sans" w:cs="Times New Roman"/>
          <w:sz w:val="20"/>
          <w:szCs w:val="20"/>
        </w:rPr>
        <w:t>abril de 2021</w:t>
      </w:r>
      <w:r w:rsidR="000E6BCE" w:rsidRPr="0087450A">
        <w:rPr>
          <w:rFonts w:ascii="Work Sans" w:hAnsi="Work Sans" w:cs="Times New Roman"/>
          <w:sz w:val="20"/>
          <w:szCs w:val="20"/>
        </w:rPr>
        <w:t>,</w:t>
      </w:r>
      <w:r w:rsidRPr="0087450A">
        <w:rPr>
          <w:rFonts w:ascii="Work Sans" w:hAnsi="Work Sans"/>
          <w:sz w:val="20"/>
          <w:szCs w:val="20"/>
          <w:lang w:val="es-CO"/>
        </w:rPr>
        <w:t xml:space="preserve"> </w:t>
      </w:r>
      <w:r w:rsidR="00CA7813" w:rsidRPr="0087450A">
        <w:rPr>
          <w:rFonts w:ascii="Work Sans" w:hAnsi="Work Sans"/>
          <w:sz w:val="20"/>
          <w:szCs w:val="20"/>
          <w:lang w:val="es-CO"/>
        </w:rPr>
        <w:t xml:space="preserve">la Agencia Nacional de Infraestructura </w:t>
      </w:r>
      <w:r w:rsidR="00CA7813" w:rsidRPr="0087450A">
        <w:rPr>
          <w:rFonts w:ascii="Work Sans" w:hAnsi="Work Sans"/>
          <w:sz w:val="20"/>
          <w:szCs w:val="20"/>
          <w:lang w:val="es-CO"/>
        </w:rPr>
        <w:t xml:space="preserve">solicita la expedición del presente acto administrativo con el fin de </w:t>
      </w:r>
      <w:bookmarkStart w:id="0" w:name="_Hlk69899518"/>
      <w:r w:rsidR="00165C4A" w:rsidRPr="0087450A">
        <w:rPr>
          <w:rFonts w:ascii="Work Sans" w:hAnsi="Work Sans" w:cs="Times New Roman"/>
          <w:iCs/>
          <w:sz w:val="20"/>
          <w:szCs w:val="20"/>
          <w:lang w:eastAsia="es-ES"/>
        </w:rPr>
        <w:t>estable</w:t>
      </w:r>
      <w:r w:rsidR="0087450A">
        <w:rPr>
          <w:rFonts w:ascii="Work Sans" w:hAnsi="Work Sans" w:cs="Times New Roman"/>
          <w:iCs/>
          <w:sz w:val="20"/>
          <w:szCs w:val="20"/>
          <w:lang w:eastAsia="es-ES"/>
        </w:rPr>
        <w:t xml:space="preserve">cer: i) </w:t>
      </w:r>
      <w:r w:rsidR="00A6413C" w:rsidRPr="0087450A">
        <w:rPr>
          <w:rFonts w:ascii="Work Sans" w:hAnsi="Work Sans" w:cs="Times New Roman"/>
          <w:iCs/>
          <w:sz w:val="20"/>
          <w:szCs w:val="20"/>
          <w:lang w:eastAsia="es-ES"/>
        </w:rPr>
        <w:t xml:space="preserve"> incremento para los años 2023 y 2026, en las tarifas </w:t>
      </w:r>
      <w:r w:rsidR="00CA7813" w:rsidRPr="0087450A">
        <w:rPr>
          <w:rFonts w:ascii="Work Sans" w:hAnsi="Work Sans" w:cs="Times New Roman"/>
          <w:iCs/>
          <w:sz w:val="20"/>
          <w:szCs w:val="20"/>
          <w:lang w:eastAsia="es-ES"/>
        </w:rPr>
        <w:t>de</w:t>
      </w:r>
      <w:r w:rsidR="00A6413C" w:rsidRPr="0087450A">
        <w:rPr>
          <w:rFonts w:ascii="Work Sans" w:hAnsi="Work Sans" w:cs="Times New Roman"/>
          <w:iCs/>
          <w:sz w:val="20"/>
          <w:szCs w:val="20"/>
          <w:lang w:eastAsia="es-ES"/>
        </w:rPr>
        <w:t xml:space="preserve"> las estaciones de peaje denominad</w:t>
      </w:r>
      <w:r w:rsidR="00BB6956" w:rsidRPr="0087450A">
        <w:rPr>
          <w:rFonts w:ascii="Work Sans" w:hAnsi="Work Sans" w:cs="Times New Roman"/>
          <w:iCs/>
          <w:sz w:val="20"/>
          <w:szCs w:val="20"/>
          <w:lang w:eastAsia="es-ES"/>
        </w:rPr>
        <w:t>as “Andes”</w:t>
      </w:r>
      <w:r w:rsidR="00CA7813" w:rsidRPr="0087450A">
        <w:rPr>
          <w:rFonts w:ascii="Work Sans" w:hAnsi="Work Sans" w:cs="Times New Roman"/>
          <w:iCs/>
          <w:sz w:val="20"/>
          <w:szCs w:val="20"/>
          <w:lang w:eastAsia="es-ES"/>
        </w:rPr>
        <w:t>,</w:t>
      </w:r>
      <w:r w:rsidR="00BB6956" w:rsidRPr="0087450A">
        <w:rPr>
          <w:rFonts w:ascii="Work Sans" w:hAnsi="Work Sans" w:cs="Times New Roman"/>
          <w:iCs/>
          <w:sz w:val="20"/>
          <w:szCs w:val="20"/>
          <w:lang w:eastAsia="es-ES"/>
        </w:rPr>
        <w:t xml:space="preserve"> “Fusca”,</w:t>
      </w:r>
      <w:r w:rsidR="00A6413C" w:rsidRPr="0087450A">
        <w:rPr>
          <w:rFonts w:ascii="Work Sans" w:hAnsi="Work Sans" w:cs="Times New Roman"/>
          <w:iCs/>
          <w:sz w:val="20"/>
          <w:szCs w:val="20"/>
          <w:lang w:eastAsia="es-ES"/>
        </w:rPr>
        <w:t xml:space="preserve"> y</w:t>
      </w:r>
      <w:r w:rsidR="00BB6956" w:rsidRPr="0087450A">
        <w:rPr>
          <w:rFonts w:ascii="Work Sans" w:hAnsi="Work Sans" w:cs="Times New Roman"/>
          <w:iCs/>
          <w:sz w:val="20"/>
          <w:szCs w:val="20"/>
          <w:lang w:eastAsia="es-ES"/>
        </w:rPr>
        <w:t xml:space="preserve"> </w:t>
      </w:r>
      <w:r w:rsidR="0087450A">
        <w:rPr>
          <w:rFonts w:ascii="Work Sans" w:hAnsi="Work Sans" w:cs="Times New Roman"/>
          <w:iCs/>
          <w:sz w:val="20"/>
          <w:szCs w:val="20"/>
          <w:lang w:eastAsia="es-ES"/>
        </w:rPr>
        <w:t xml:space="preserve">en </w:t>
      </w:r>
      <w:r w:rsidR="00CA7813" w:rsidRPr="0087450A">
        <w:rPr>
          <w:rFonts w:ascii="Work Sans" w:hAnsi="Work Sans" w:cs="Times New Roman"/>
          <w:iCs/>
          <w:sz w:val="20"/>
          <w:szCs w:val="20"/>
          <w:lang w:eastAsia="es-ES"/>
        </w:rPr>
        <w:t xml:space="preserve">la </w:t>
      </w:r>
      <w:r w:rsidR="00BB6956" w:rsidRPr="0087450A">
        <w:rPr>
          <w:rFonts w:ascii="Work Sans" w:hAnsi="Work Sans" w:cs="Times New Roman"/>
          <w:iCs/>
          <w:sz w:val="20"/>
          <w:szCs w:val="20"/>
          <w:lang w:eastAsia="es-ES"/>
        </w:rPr>
        <w:t xml:space="preserve">estación </w:t>
      </w:r>
      <w:r w:rsidR="00CA7813" w:rsidRPr="0087450A">
        <w:rPr>
          <w:rFonts w:ascii="Work Sans" w:hAnsi="Work Sans" w:cs="Times New Roman"/>
          <w:iCs/>
          <w:sz w:val="20"/>
          <w:szCs w:val="20"/>
          <w:lang w:eastAsia="es-ES"/>
        </w:rPr>
        <w:t xml:space="preserve">de </w:t>
      </w:r>
      <w:r w:rsidR="00BB6956" w:rsidRPr="0087450A">
        <w:rPr>
          <w:rFonts w:ascii="Work Sans" w:hAnsi="Work Sans" w:cs="LiberationSansNarrow-Italic"/>
          <w:iCs/>
          <w:kern w:val="0"/>
          <w:sz w:val="20"/>
          <w:szCs w:val="20"/>
          <w:lang w:val="es-CO" w:eastAsia="es-CO" w:bidi="ar-SA"/>
        </w:rPr>
        <w:t>peaje ubicada</w:t>
      </w:r>
      <w:r w:rsidR="00757002" w:rsidRPr="0087450A">
        <w:rPr>
          <w:rFonts w:ascii="Work Sans" w:hAnsi="Work Sans" w:cs="LiberationSansNarrow-Italic"/>
          <w:iCs/>
          <w:kern w:val="0"/>
          <w:sz w:val="20"/>
          <w:szCs w:val="20"/>
          <w:lang w:val="es-CO" w:eastAsia="es-CO" w:bidi="ar-SA"/>
        </w:rPr>
        <w:t xml:space="preserve"> en el acceso al Puente Curvo </w:t>
      </w:r>
      <w:r w:rsidR="00BB6956" w:rsidRPr="0087450A">
        <w:rPr>
          <w:rFonts w:ascii="Work Sans" w:hAnsi="Work Sans" w:cs="Times New Roman"/>
          <w:iCs/>
          <w:sz w:val="20"/>
          <w:szCs w:val="20"/>
          <w:lang w:eastAsia="es-ES"/>
        </w:rPr>
        <w:t>Teletón</w:t>
      </w:r>
      <w:r w:rsidR="00CA7813" w:rsidRPr="0087450A">
        <w:rPr>
          <w:rFonts w:ascii="Work Sans" w:hAnsi="Work Sans" w:cs="Times New Roman"/>
          <w:iCs/>
          <w:sz w:val="20"/>
          <w:szCs w:val="20"/>
          <w:lang w:eastAsia="es-ES"/>
        </w:rPr>
        <w:t xml:space="preserve">, </w:t>
      </w:r>
      <w:r w:rsidR="0087450A">
        <w:rPr>
          <w:rFonts w:ascii="Work Sans" w:hAnsi="Work Sans" w:cs="Times New Roman"/>
          <w:iCs/>
          <w:sz w:val="20"/>
          <w:szCs w:val="20"/>
          <w:lang w:eastAsia="es-ES"/>
        </w:rPr>
        <w:t xml:space="preserve">ii) </w:t>
      </w:r>
      <w:r w:rsidR="00CA7813" w:rsidRPr="0087450A">
        <w:rPr>
          <w:rFonts w:ascii="Work Sans" w:hAnsi="Work Sans" w:cs="Times New Roman"/>
          <w:iCs/>
          <w:sz w:val="20"/>
          <w:szCs w:val="20"/>
          <w:lang w:eastAsia="es-ES"/>
        </w:rPr>
        <w:t>establecer la</w:t>
      </w:r>
      <w:r w:rsidR="00165C4A" w:rsidRPr="0087450A">
        <w:rPr>
          <w:rFonts w:ascii="Work Sans" w:hAnsi="Work Sans" w:cs="Times New Roman"/>
          <w:iCs/>
          <w:sz w:val="20"/>
          <w:szCs w:val="20"/>
          <w:lang w:eastAsia="es-ES"/>
        </w:rPr>
        <w:t xml:space="preserve"> fórmula de actualización y</w:t>
      </w:r>
      <w:r w:rsidR="000E36FD" w:rsidRPr="0087450A">
        <w:rPr>
          <w:rFonts w:ascii="Work Sans" w:hAnsi="Work Sans" w:cs="Times New Roman"/>
          <w:iCs/>
          <w:sz w:val="20"/>
          <w:szCs w:val="20"/>
          <w:lang w:eastAsia="es-ES"/>
        </w:rPr>
        <w:t xml:space="preserve"> </w:t>
      </w:r>
      <w:r w:rsidR="0087450A">
        <w:rPr>
          <w:rFonts w:ascii="Work Sans" w:hAnsi="Work Sans" w:cs="Times New Roman"/>
          <w:iCs/>
          <w:sz w:val="20"/>
          <w:szCs w:val="20"/>
          <w:lang w:eastAsia="es-ES"/>
        </w:rPr>
        <w:t xml:space="preserve">iii) </w:t>
      </w:r>
      <w:r w:rsidR="00CA7813" w:rsidRPr="0087450A">
        <w:rPr>
          <w:rFonts w:ascii="Work Sans" w:hAnsi="Work Sans" w:cs="Times New Roman"/>
          <w:iCs/>
          <w:sz w:val="20"/>
          <w:szCs w:val="20"/>
          <w:lang w:eastAsia="es-ES"/>
        </w:rPr>
        <w:t>establecer</w:t>
      </w:r>
      <w:r w:rsidR="00221E81" w:rsidRPr="0087450A">
        <w:rPr>
          <w:rFonts w:ascii="Work Sans" w:hAnsi="Work Sans" w:cs="Times New Roman"/>
          <w:iCs/>
          <w:sz w:val="20"/>
          <w:szCs w:val="20"/>
          <w:lang w:eastAsia="es-ES"/>
        </w:rPr>
        <w:t xml:space="preserve"> </w:t>
      </w:r>
      <w:r w:rsidR="00A6413C" w:rsidRPr="0087450A">
        <w:rPr>
          <w:rFonts w:ascii="Work Sans" w:hAnsi="Work Sans" w:cs="Times New Roman"/>
          <w:iCs/>
          <w:sz w:val="20"/>
          <w:szCs w:val="20"/>
          <w:lang w:eastAsia="es-ES"/>
        </w:rPr>
        <w:t xml:space="preserve">tarifas diferenciales para las categorías </w:t>
      </w:r>
      <w:r w:rsidR="007B085A" w:rsidRPr="0087450A">
        <w:rPr>
          <w:rFonts w:ascii="Work Sans" w:hAnsi="Work Sans" w:cs="Times New Roman"/>
          <w:iCs/>
          <w:sz w:val="20"/>
          <w:szCs w:val="20"/>
          <w:lang w:eastAsia="es-ES"/>
        </w:rPr>
        <w:t>IE2</w:t>
      </w:r>
      <w:r w:rsidR="00A6413C" w:rsidRPr="0087450A">
        <w:rPr>
          <w:rFonts w:ascii="Work Sans" w:hAnsi="Work Sans" w:cs="Times New Roman"/>
          <w:iCs/>
          <w:sz w:val="20"/>
          <w:szCs w:val="20"/>
          <w:lang w:eastAsia="es-ES"/>
        </w:rPr>
        <w:t>,</w:t>
      </w:r>
      <w:r w:rsidR="000E6BCE" w:rsidRPr="0087450A">
        <w:rPr>
          <w:rFonts w:ascii="Work Sans" w:hAnsi="Work Sans" w:cs="Times New Roman"/>
          <w:iCs/>
          <w:sz w:val="20"/>
          <w:szCs w:val="20"/>
          <w:lang w:eastAsia="es-ES"/>
        </w:rPr>
        <w:t xml:space="preserve"> IIE y IIE2</w:t>
      </w:r>
      <w:r w:rsidR="00A6413C" w:rsidRPr="0087450A">
        <w:rPr>
          <w:rFonts w:ascii="Work Sans" w:hAnsi="Work Sans" w:cs="Times New Roman"/>
          <w:iCs/>
          <w:sz w:val="20"/>
          <w:szCs w:val="20"/>
          <w:lang w:eastAsia="es-ES"/>
        </w:rPr>
        <w:t xml:space="preserve"> </w:t>
      </w:r>
      <w:r w:rsidR="00CA7813" w:rsidRPr="0087450A">
        <w:rPr>
          <w:rFonts w:ascii="Work Sans" w:hAnsi="Work Sans" w:cs="Times New Roman"/>
          <w:iCs/>
          <w:sz w:val="20"/>
          <w:szCs w:val="20"/>
          <w:lang w:eastAsia="es-ES"/>
        </w:rPr>
        <w:t>en</w:t>
      </w:r>
      <w:r w:rsidR="00A6413C" w:rsidRPr="0087450A">
        <w:rPr>
          <w:rFonts w:ascii="Work Sans" w:hAnsi="Work Sans" w:cs="Times New Roman"/>
          <w:iCs/>
          <w:sz w:val="20"/>
          <w:szCs w:val="20"/>
          <w:lang w:eastAsia="es-ES"/>
        </w:rPr>
        <w:t xml:space="preserve"> las estaciones de peaje “Andes” y “Fusca”  </w:t>
      </w:r>
      <w:r w:rsidRPr="0087450A">
        <w:rPr>
          <w:rFonts w:ascii="Work Sans" w:hAnsi="Work Sans"/>
          <w:sz w:val="20"/>
          <w:szCs w:val="20"/>
          <w:lang w:val="es-CO"/>
        </w:rPr>
        <w:t xml:space="preserve">las cuales actualmente están a cargo del Concesionario ACCESOS NORTE </w:t>
      </w:r>
      <w:r w:rsidR="0087450A" w:rsidRPr="0087450A">
        <w:rPr>
          <w:rFonts w:ascii="Work Sans" w:hAnsi="Work Sans"/>
          <w:sz w:val="20"/>
          <w:szCs w:val="20"/>
          <w:lang w:val="es-CO"/>
        </w:rPr>
        <w:t>DE</w:t>
      </w:r>
      <w:r w:rsidRPr="0087450A">
        <w:rPr>
          <w:rFonts w:ascii="Work Sans" w:hAnsi="Work Sans"/>
          <w:sz w:val="20"/>
          <w:szCs w:val="20"/>
          <w:lang w:val="es-CO"/>
        </w:rPr>
        <w:t xml:space="preserve"> BOGOTÁ S.A.S</w:t>
      </w:r>
      <w:r w:rsidR="0087450A" w:rsidRPr="0087450A">
        <w:rPr>
          <w:rFonts w:ascii="Work Sans" w:hAnsi="Work Sans"/>
          <w:sz w:val="20"/>
          <w:szCs w:val="20"/>
          <w:lang w:val="es-CO"/>
        </w:rPr>
        <w:t xml:space="preserve"> </w:t>
      </w:r>
      <w:r w:rsidR="0087450A" w:rsidRPr="0087450A">
        <w:rPr>
          <w:rFonts w:ascii="Work Sans" w:hAnsi="Work Sans"/>
        </w:rPr>
        <w:t xml:space="preserve">- </w:t>
      </w:r>
      <w:r w:rsidR="0087450A" w:rsidRPr="0087450A">
        <w:rPr>
          <w:rFonts w:ascii="Work Sans" w:hAnsi="Work Sans"/>
          <w:sz w:val="20"/>
          <w:szCs w:val="20"/>
          <w:lang w:val="es-CO"/>
        </w:rPr>
        <w:t>ACCENORTE S.A.S.</w:t>
      </w:r>
      <w:r w:rsidRPr="0087450A">
        <w:rPr>
          <w:rFonts w:ascii="Work Sans" w:hAnsi="Work Sans"/>
          <w:sz w:val="20"/>
          <w:szCs w:val="20"/>
          <w:lang w:val="es-CO"/>
        </w:rPr>
        <w:t>, en virtud del Contrato de Concesión bajo el esquema de APP No. 001 de 2017, con fund</w:t>
      </w:r>
      <w:r w:rsidR="00AA5C19" w:rsidRPr="0087450A">
        <w:rPr>
          <w:rFonts w:ascii="Work Sans" w:hAnsi="Work Sans"/>
          <w:sz w:val="20"/>
          <w:szCs w:val="20"/>
          <w:lang w:val="es-CO"/>
        </w:rPr>
        <w:t>amento en los siguiente</w:t>
      </w:r>
      <w:r w:rsidRPr="0087450A">
        <w:rPr>
          <w:rFonts w:ascii="Work Sans" w:hAnsi="Work Sans"/>
          <w:bCs/>
          <w:spacing w:val="-3"/>
          <w:sz w:val="20"/>
          <w:szCs w:val="20"/>
          <w:lang w:val="es-MX" w:eastAsia="es-MX"/>
        </w:rPr>
        <w:t>:</w:t>
      </w:r>
    </w:p>
    <w:p w:rsidR="008E197D" w:rsidRDefault="008E197D" w:rsidP="00A6413C">
      <w:pPr>
        <w:autoSpaceDE w:val="0"/>
        <w:jc w:val="both"/>
      </w:pPr>
    </w:p>
    <w:p w:rsidR="00045790" w:rsidRPr="0087450A" w:rsidRDefault="00045790" w:rsidP="00045790">
      <w:pPr>
        <w:pStyle w:val="Prrafodelista"/>
        <w:numPr>
          <w:ilvl w:val="0"/>
          <w:numId w:val="27"/>
        </w:numPr>
        <w:suppressAutoHyphens w:val="0"/>
        <w:autoSpaceDN/>
        <w:ind w:left="567" w:right="623" w:firstLine="0"/>
        <w:contextualSpacing/>
        <w:jc w:val="both"/>
        <w:textAlignment w:val="auto"/>
        <w:rPr>
          <w:rFonts w:ascii="Work Sans" w:hAnsi="Work Sans" w:cs="Arial"/>
          <w:b/>
          <w:i/>
          <w:sz w:val="18"/>
          <w:szCs w:val="18"/>
        </w:rPr>
      </w:pPr>
      <w:r w:rsidRPr="0087450A">
        <w:rPr>
          <w:rFonts w:ascii="Work Sans" w:hAnsi="Work Sans" w:cs="Arial"/>
          <w:b/>
          <w:i/>
          <w:sz w:val="18"/>
          <w:szCs w:val="18"/>
        </w:rPr>
        <w:t xml:space="preserve">Antecedentes </w:t>
      </w:r>
    </w:p>
    <w:p w:rsidR="00045790" w:rsidRPr="0087450A" w:rsidRDefault="00045790" w:rsidP="00045790">
      <w:pPr>
        <w:pStyle w:val="Prrafodelista"/>
        <w:ind w:left="567" w:right="623"/>
        <w:jc w:val="both"/>
        <w:rPr>
          <w:rFonts w:ascii="Work Sans" w:hAnsi="Work Sans" w:cs="Arial"/>
          <w:b/>
          <w:i/>
          <w:sz w:val="18"/>
          <w:szCs w:val="18"/>
        </w:rPr>
      </w:pPr>
    </w:p>
    <w:p w:rsidR="00045790" w:rsidRPr="0087450A" w:rsidRDefault="0087450A" w:rsidP="00045790">
      <w:pPr>
        <w:ind w:left="567" w:right="623"/>
        <w:jc w:val="both"/>
        <w:rPr>
          <w:rFonts w:ascii="Work Sans" w:hAnsi="Work Sans"/>
          <w:i/>
          <w:iCs/>
          <w:sz w:val="18"/>
          <w:szCs w:val="18"/>
        </w:rPr>
      </w:pPr>
      <w:r w:rsidRPr="0087450A">
        <w:rPr>
          <w:rFonts w:ascii="Work Sans" w:hAnsi="Work Sans"/>
          <w:bCs/>
          <w:i/>
          <w:sz w:val="18"/>
          <w:szCs w:val="18"/>
        </w:rPr>
        <w:t>“ (…)</w:t>
      </w:r>
    </w:p>
    <w:p w:rsidR="00045790" w:rsidRPr="0087450A" w:rsidRDefault="00045790" w:rsidP="00045790">
      <w:pPr>
        <w:ind w:left="567" w:right="623"/>
        <w:jc w:val="both"/>
        <w:rPr>
          <w:rFonts w:ascii="Work Sans" w:hAnsi="Work Sans"/>
          <w:i/>
          <w:sz w:val="18"/>
          <w:szCs w:val="18"/>
        </w:rPr>
      </w:pPr>
    </w:p>
    <w:p w:rsidR="00045790" w:rsidRPr="0087450A" w:rsidRDefault="00045790" w:rsidP="00045790">
      <w:pPr>
        <w:ind w:left="567" w:right="623"/>
        <w:jc w:val="both"/>
        <w:rPr>
          <w:rFonts w:ascii="Work Sans" w:hAnsi="Work Sans"/>
          <w:i/>
          <w:sz w:val="18"/>
          <w:szCs w:val="18"/>
        </w:rPr>
      </w:pPr>
      <w:r w:rsidRPr="0087450A">
        <w:rPr>
          <w:rFonts w:ascii="Work Sans" w:hAnsi="Work Sans"/>
          <w:i/>
          <w:sz w:val="18"/>
          <w:szCs w:val="18"/>
        </w:rPr>
        <w:t xml:space="preserve">Actualmente la sociedad concesionaria ACCESOS NORTE DE BOGOTÁ S.A.S. - ACCENORTE S.A.S. tiene a cargo las estaciones de peaje </w:t>
      </w:r>
      <w:r w:rsidRPr="0087450A">
        <w:rPr>
          <w:rFonts w:ascii="Work Sans" w:hAnsi="Work Sans"/>
          <w:i/>
          <w:iCs/>
          <w:sz w:val="18"/>
          <w:szCs w:val="18"/>
        </w:rPr>
        <w:t xml:space="preserve">“Andes”, “Fusca”, y </w:t>
      </w:r>
      <w:r w:rsidRPr="0087450A">
        <w:rPr>
          <w:rFonts w:ascii="Work Sans" w:hAnsi="Work Sans"/>
          <w:i/>
          <w:iCs/>
          <w:spacing w:val="-3"/>
          <w:sz w:val="18"/>
          <w:szCs w:val="18"/>
        </w:rPr>
        <w:t>“estación de peaje ubicada en el acceso al puente curvo teletón”</w:t>
      </w:r>
      <w:r w:rsidRPr="0087450A">
        <w:rPr>
          <w:rFonts w:ascii="Work Sans" w:hAnsi="Work Sans"/>
          <w:i/>
          <w:iCs/>
          <w:sz w:val="18"/>
          <w:szCs w:val="18"/>
        </w:rPr>
        <w:t>, en virtud d</w:t>
      </w:r>
      <w:r w:rsidRPr="0087450A">
        <w:rPr>
          <w:rFonts w:ascii="Work Sans" w:hAnsi="Work Sans"/>
          <w:i/>
          <w:sz w:val="18"/>
          <w:szCs w:val="18"/>
        </w:rPr>
        <w:t>el contrato de concesión de APP No. 001 de 2017, y su cobro se rige por las precitadas Resoluciones 937 de 1994, 5640 de 1996, 05 de 2000, y 3084 de 2000. Las estaciones de peaje mencionadas se encuentran ubicadas como se muestra en la siguiente tabla:</w:t>
      </w:r>
    </w:p>
    <w:p w:rsidR="00045790" w:rsidRPr="0087450A" w:rsidRDefault="00045790" w:rsidP="00045790">
      <w:pPr>
        <w:ind w:left="567" w:right="623"/>
        <w:jc w:val="both"/>
        <w:rPr>
          <w:rFonts w:ascii="Work Sans" w:hAnsi="Work Sans"/>
          <w:bCs/>
          <w:i/>
          <w:sz w:val="18"/>
          <w:szCs w:val="18"/>
        </w:rPr>
      </w:pPr>
    </w:p>
    <w:tbl>
      <w:tblPr>
        <w:tblW w:w="7409" w:type="dxa"/>
        <w:jc w:val="center"/>
        <w:tblCellMar>
          <w:left w:w="70" w:type="dxa"/>
          <w:right w:w="70" w:type="dxa"/>
        </w:tblCellMar>
        <w:tblLook w:val="04A0" w:firstRow="1" w:lastRow="0" w:firstColumn="1" w:lastColumn="0" w:noHBand="0" w:noVBand="1"/>
      </w:tblPr>
      <w:tblGrid>
        <w:gridCol w:w="355"/>
        <w:gridCol w:w="928"/>
        <w:gridCol w:w="2306"/>
        <w:gridCol w:w="1805"/>
        <w:gridCol w:w="1062"/>
        <w:gridCol w:w="1089"/>
      </w:tblGrid>
      <w:tr w:rsidR="00045790" w:rsidRPr="0087450A" w:rsidTr="0087450A">
        <w:trPr>
          <w:trHeight w:val="49"/>
          <w:jc w:val="center"/>
        </w:trPr>
        <w:tc>
          <w:tcPr>
            <w:tcW w:w="1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5790" w:rsidRPr="0087450A" w:rsidRDefault="00045790" w:rsidP="00045790">
            <w:pPr>
              <w:jc w:val="center"/>
              <w:rPr>
                <w:rFonts w:ascii="Work Sans" w:hAnsi="Work Sans"/>
                <w:b/>
                <w:i/>
                <w:sz w:val="18"/>
                <w:szCs w:val="18"/>
                <w:lang w:val="es-CO"/>
              </w:rPr>
            </w:pPr>
            <w:r w:rsidRPr="0087450A">
              <w:rPr>
                <w:rFonts w:ascii="Work Sans" w:hAnsi="Work Sans"/>
                <w:b/>
                <w:i/>
                <w:sz w:val="18"/>
                <w:szCs w:val="18"/>
                <w:lang w:val="es-CO"/>
              </w:rPr>
              <w:t>ID</w:t>
            </w:r>
          </w:p>
        </w:tc>
        <w:tc>
          <w:tcPr>
            <w:tcW w:w="928"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45790" w:rsidRPr="0087450A" w:rsidRDefault="00045790" w:rsidP="00045790">
            <w:pPr>
              <w:jc w:val="center"/>
              <w:rPr>
                <w:rFonts w:ascii="Work Sans" w:hAnsi="Work Sans"/>
                <w:b/>
                <w:i/>
                <w:sz w:val="18"/>
                <w:szCs w:val="18"/>
                <w:lang w:val="es-CO"/>
              </w:rPr>
            </w:pPr>
            <w:r w:rsidRPr="0087450A">
              <w:rPr>
                <w:rFonts w:ascii="Work Sans" w:hAnsi="Work Sans"/>
                <w:b/>
                <w:i/>
                <w:sz w:val="18"/>
                <w:szCs w:val="18"/>
                <w:lang w:val="es-CO"/>
              </w:rPr>
              <w:t>PEAJE</w:t>
            </w:r>
          </w:p>
        </w:tc>
        <w:tc>
          <w:tcPr>
            <w:tcW w:w="2306"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45790" w:rsidRPr="0087450A" w:rsidRDefault="00045790" w:rsidP="00045790">
            <w:pPr>
              <w:jc w:val="center"/>
              <w:rPr>
                <w:rFonts w:ascii="Work Sans" w:hAnsi="Work Sans"/>
                <w:b/>
                <w:i/>
                <w:sz w:val="18"/>
                <w:szCs w:val="18"/>
                <w:lang w:val="es-CO"/>
              </w:rPr>
            </w:pPr>
            <w:r w:rsidRPr="0087450A">
              <w:rPr>
                <w:rFonts w:ascii="Work Sans" w:hAnsi="Work Sans"/>
                <w:b/>
                <w:i/>
                <w:sz w:val="18"/>
                <w:szCs w:val="18"/>
                <w:lang w:val="es-CO"/>
              </w:rPr>
              <w:t>TRAMO</w:t>
            </w:r>
          </w:p>
        </w:tc>
        <w:tc>
          <w:tcPr>
            <w:tcW w:w="1805"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45790" w:rsidRPr="0087450A" w:rsidRDefault="00045790" w:rsidP="00045790">
            <w:pPr>
              <w:jc w:val="center"/>
              <w:rPr>
                <w:rFonts w:ascii="Work Sans" w:hAnsi="Work Sans"/>
                <w:b/>
                <w:i/>
                <w:sz w:val="18"/>
                <w:szCs w:val="18"/>
                <w:lang w:val="es-CO"/>
              </w:rPr>
            </w:pPr>
            <w:r w:rsidRPr="0087450A">
              <w:rPr>
                <w:rFonts w:ascii="Work Sans" w:hAnsi="Work Sans"/>
                <w:b/>
                <w:i/>
                <w:sz w:val="18"/>
                <w:szCs w:val="18"/>
                <w:lang w:val="es-CO"/>
              </w:rPr>
              <w:t>SENTIDO DEL COBRO</w:t>
            </w:r>
          </w:p>
        </w:tc>
        <w:tc>
          <w:tcPr>
            <w:tcW w:w="221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045790" w:rsidRPr="0087450A" w:rsidRDefault="00045790" w:rsidP="00045790">
            <w:pPr>
              <w:jc w:val="center"/>
              <w:rPr>
                <w:rFonts w:ascii="Work Sans" w:hAnsi="Work Sans"/>
                <w:b/>
                <w:i/>
                <w:sz w:val="18"/>
                <w:szCs w:val="18"/>
                <w:lang w:val="es-CO"/>
              </w:rPr>
            </w:pPr>
            <w:r w:rsidRPr="0087450A">
              <w:rPr>
                <w:rFonts w:ascii="Work Sans" w:hAnsi="Work Sans"/>
                <w:b/>
                <w:bCs/>
                <w:i/>
                <w:sz w:val="18"/>
                <w:szCs w:val="18"/>
                <w:lang w:val="es-CO"/>
              </w:rPr>
              <w:t>COORDENADAS</w:t>
            </w:r>
          </w:p>
        </w:tc>
      </w:tr>
      <w:tr w:rsidR="00045790" w:rsidRPr="0087450A" w:rsidTr="0087450A">
        <w:trPr>
          <w:trHeight w:val="49"/>
          <w:jc w:val="center"/>
        </w:trPr>
        <w:tc>
          <w:tcPr>
            <w:tcW w:w="160" w:type="dxa"/>
            <w:vMerge/>
            <w:tcBorders>
              <w:top w:val="single" w:sz="4" w:space="0" w:color="auto"/>
              <w:left w:val="single" w:sz="4" w:space="0" w:color="auto"/>
              <w:bottom w:val="single" w:sz="4" w:space="0" w:color="auto"/>
              <w:right w:val="single" w:sz="4" w:space="0" w:color="auto"/>
            </w:tcBorders>
            <w:noWrap/>
            <w:vAlign w:val="center"/>
          </w:tcPr>
          <w:p w:rsidR="00045790" w:rsidRPr="0087450A" w:rsidRDefault="00045790" w:rsidP="00045790">
            <w:pPr>
              <w:jc w:val="center"/>
              <w:rPr>
                <w:rFonts w:ascii="Work Sans" w:hAnsi="Work Sans"/>
                <w:b/>
                <w:i/>
                <w:sz w:val="18"/>
                <w:szCs w:val="18"/>
                <w:lang w:val="es-CO"/>
              </w:rPr>
            </w:pPr>
          </w:p>
        </w:tc>
        <w:tc>
          <w:tcPr>
            <w:tcW w:w="928" w:type="dxa"/>
            <w:vMerge/>
            <w:tcBorders>
              <w:top w:val="single" w:sz="4" w:space="0" w:color="auto"/>
              <w:left w:val="single" w:sz="4" w:space="0" w:color="auto"/>
              <w:bottom w:val="single" w:sz="4" w:space="0" w:color="auto"/>
              <w:right w:val="single" w:sz="4" w:space="0" w:color="auto"/>
            </w:tcBorders>
            <w:noWrap/>
            <w:vAlign w:val="center"/>
          </w:tcPr>
          <w:p w:rsidR="00045790" w:rsidRPr="0087450A" w:rsidRDefault="00045790" w:rsidP="00045790">
            <w:pPr>
              <w:jc w:val="center"/>
              <w:rPr>
                <w:rFonts w:ascii="Work Sans" w:hAnsi="Work Sans"/>
                <w:b/>
                <w:i/>
                <w:sz w:val="18"/>
                <w:szCs w:val="18"/>
                <w:lang w:val="es-CO"/>
              </w:rPr>
            </w:pPr>
          </w:p>
        </w:tc>
        <w:tc>
          <w:tcPr>
            <w:tcW w:w="2306" w:type="dxa"/>
            <w:vMerge/>
            <w:tcBorders>
              <w:top w:val="single" w:sz="4" w:space="0" w:color="auto"/>
              <w:left w:val="single" w:sz="4" w:space="0" w:color="auto"/>
              <w:bottom w:val="single" w:sz="4" w:space="0" w:color="auto"/>
              <w:right w:val="single" w:sz="4" w:space="0" w:color="auto"/>
            </w:tcBorders>
            <w:noWrap/>
            <w:vAlign w:val="center"/>
          </w:tcPr>
          <w:p w:rsidR="00045790" w:rsidRPr="0087450A" w:rsidRDefault="00045790" w:rsidP="00045790">
            <w:pPr>
              <w:jc w:val="center"/>
              <w:rPr>
                <w:rFonts w:ascii="Work Sans" w:hAnsi="Work Sans"/>
                <w:b/>
                <w:i/>
                <w:sz w:val="18"/>
                <w:szCs w:val="18"/>
                <w:lang w:val="es-CO"/>
              </w:rPr>
            </w:pPr>
          </w:p>
        </w:tc>
        <w:tc>
          <w:tcPr>
            <w:tcW w:w="1805" w:type="dxa"/>
            <w:vMerge/>
            <w:tcBorders>
              <w:top w:val="single" w:sz="4" w:space="0" w:color="auto"/>
              <w:left w:val="single" w:sz="4" w:space="0" w:color="auto"/>
              <w:bottom w:val="single" w:sz="4" w:space="0" w:color="auto"/>
              <w:right w:val="single" w:sz="4" w:space="0" w:color="auto"/>
            </w:tcBorders>
            <w:noWrap/>
            <w:vAlign w:val="center"/>
          </w:tcPr>
          <w:p w:rsidR="00045790" w:rsidRPr="0087450A" w:rsidRDefault="00045790" w:rsidP="00045790">
            <w:pPr>
              <w:jc w:val="center"/>
              <w:rPr>
                <w:rFonts w:ascii="Work Sans" w:hAnsi="Work Sans"/>
                <w:b/>
                <w:i/>
                <w:sz w:val="18"/>
                <w:szCs w:val="18"/>
                <w:lang w:val="es-CO"/>
              </w:rPr>
            </w:pP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90" w:rsidRPr="0087450A" w:rsidRDefault="00045790" w:rsidP="00045790">
            <w:pPr>
              <w:jc w:val="center"/>
              <w:rPr>
                <w:rFonts w:ascii="Work Sans" w:hAnsi="Work Sans"/>
                <w:b/>
                <w:i/>
                <w:sz w:val="18"/>
                <w:szCs w:val="18"/>
                <w:lang w:val="es-CO"/>
              </w:rPr>
            </w:pPr>
            <w:r w:rsidRPr="0087450A">
              <w:rPr>
                <w:rFonts w:ascii="Work Sans" w:hAnsi="Work Sans"/>
                <w:b/>
                <w:bCs/>
                <w:i/>
                <w:sz w:val="18"/>
                <w:szCs w:val="18"/>
                <w:lang w:val="es-CO"/>
              </w:rPr>
              <w:t>ESTE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90" w:rsidRPr="0087450A" w:rsidRDefault="00045790" w:rsidP="00045790">
            <w:pPr>
              <w:jc w:val="center"/>
              <w:rPr>
                <w:rFonts w:ascii="Work Sans" w:hAnsi="Work Sans"/>
                <w:b/>
                <w:i/>
                <w:sz w:val="18"/>
                <w:szCs w:val="18"/>
                <w:lang w:val="es-CO"/>
              </w:rPr>
            </w:pPr>
            <w:r w:rsidRPr="0087450A">
              <w:rPr>
                <w:rFonts w:ascii="Work Sans" w:hAnsi="Work Sans"/>
                <w:b/>
                <w:bCs/>
                <w:i/>
                <w:sz w:val="18"/>
                <w:szCs w:val="18"/>
                <w:lang w:val="es-CO"/>
              </w:rPr>
              <w:t>NORTE</w:t>
            </w:r>
          </w:p>
        </w:tc>
      </w:tr>
      <w:tr w:rsidR="00045790" w:rsidRPr="0087450A" w:rsidTr="0087450A">
        <w:trPr>
          <w:trHeight w:val="49"/>
          <w:jc w:val="center"/>
        </w:trPr>
        <w:tc>
          <w:tcPr>
            <w:tcW w:w="160" w:type="dxa"/>
            <w:tcBorders>
              <w:top w:val="single" w:sz="4" w:space="0" w:color="auto"/>
              <w:left w:val="single" w:sz="4" w:space="0" w:color="auto"/>
              <w:bottom w:val="single" w:sz="4" w:space="0" w:color="auto"/>
              <w:right w:val="single" w:sz="4" w:space="0" w:color="auto"/>
            </w:tcBorders>
            <w:noWrap/>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P1</w:t>
            </w:r>
          </w:p>
        </w:tc>
        <w:tc>
          <w:tcPr>
            <w:tcW w:w="928" w:type="dxa"/>
            <w:tcBorders>
              <w:top w:val="single" w:sz="4" w:space="0" w:color="auto"/>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Andes</w:t>
            </w:r>
          </w:p>
        </w:tc>
        <w:tc>
          <w:tcPr>
            <w:tcW w:w="2306" w:type="dxa"/>
            <w:tcBorders>
              <w:top w:val="single" w:sz="4" w:space="0" w:color="auto"/>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Autopista Norte</w:t>
            </w:r>
          </w:p>
        </w:tc>
        <w:tc>
          <w:tcPr>
            <w:tcW w:w="1805" w:type="dxa"/>
            <w:tcBorders>
              <w:top w:val="single" w:sz="4" w:space="0" w:color="auto"/>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Sur - Norte</w:t>
            </w:r>
          </w:p>
        </w:tc>
        <w:tc>
          <w:tcPr>
            <w:tcW w:w="1100" w:type="dxa"/>
            <w:tcBorders>
              <w:top w:val="single" w:sz="4" w:space="0" w:color="auto"/>
              <w:left w:val="nil"/>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74º1’59.41”</w:t>
            </w:r>
          </w:p>
        </w:tc>
        <w:tc>
          <w:tcPr>
            <w:tcW w:w="1110" w:type="dxa"/>
            <w:tcBorders>
              <w:top w:val="single" w:sz="4" w:space="0" w:color="auto"/>
              <w:left w:val="single" w:sz="4" w:space="0" w:color="auto"/>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4º49’48.21”</w:t>
            </w:r>
          </w:p>
        </w:tc>
      </w:tr>
      <w:tr w:rsidR="00045790" w:rsidRPr="0087450A" w:rsidTr="0087450A">
        <w:trPr>
          <w:trHeight w:val="50"/>
          <w:jc w:val="center"/>
        </w:trPr>
        <w:tc>
          <w:tcPr>
            <w:tcW w:w="160" w:type="dxa"/>
            <w:tcBorders>
              <w:top w:val="nil"/>
              <w:left w:val="single" w:sz="4" w:space="0" w:color="auto"/>
              <w:bottom w:val="single" w:sz="4" w:space="0" w:color="auto"/>
              <w:right w:val="single" w:sz="4" w:space="0" w:color="auto"/>
            </w:tcBorders>
            <w:noWrap/>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P2</w:t>
            </w:r>
          </w:p>
        </w:tc>
        <w:tc>
          <w:tcPr>
            <w:tcW w:w="928"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Fusca</w:t>
            </w:r>
          </w:p>
        </w:tc>
        <w:tc>
          <w:tcPr>
            <w:tcW w:w="2306"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Carrera Séptima</w:t>
            </w:r>
          </w:p>
        </w:tc>
        <w:tc>
          <w:tcPr>
            <w:tcW w:w="1805"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Sur - Norte</w:t>
            </w:r>
          </w:p>
        </w:tc>
        <w:tc>
          <w:tcPr>
            <w:tcW w:w="1100" w:type="dxa"/>
            <w:tcBorders>
              <w:top w:val="single" w:sz="4" w:space="0" w:color="auto"/>
              <w:left w:val="nil"/>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74º1’44.05”</w:t>
            </w:r>
          </w:p>
        </w:tc>
        <w:tc>
          <w:tcPr>
            <w:tcW w:w="1110" w:type="dxa"/>
            <w:tcBorders>
              <w:top w:val="single" w:sz="4" w:space="0" w:color="auto"/>
              <w:left w:val="single" w:sz="4" w:space="0" w:color="auto"/>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4º50’7.41”</w:t>
            </w:r>
          </w:p>
        </w:tc>
      </w:tr>
      <w:tr w:rsidR="00045790" w:rsidRPr="0087450A" w:rsidTr="0087450A">
        <w:trPr>
          <w:trHeight w:val="67"/>
          <w:jc w:val="center"/>
        </w:trPr>
        <w:tc>
          <w:tcPr>
            <w:tcW w:w="160" w:type="dxa"/>
            <w:tcBorders>
              <w:top w:val="nil"/>
              <w:left w:val="single" w:sz="4" w:space="0" w:color="auto"/>
              <w:bottom w:val="single" w:sz="4" w:space="0" w:color="auto"/>
              <w:right w:val="single" w:sz="4" w:space="0" w:color="auto"/>
            </w:tcBorders>
            <w:noWrap/>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P3</w:t>
            </w:r>
          </w:p>
        </w:tc>
        <w:tc>
          <w:tcPr>
            <w:tcW w:w="928"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Teletón</w:t>
            </w:r>
          </w:p>
        </w:tc>
        <w:tc>
          <w:tcPr>
            <w:tcW w:w="2306"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Corredor Chía - Autopista Norte</w:t>
            </w:r>
          </w:p>
        </w:tc>
        <w:tc>
          <w:tcPr>
            <w:tcW w:w="1805" w:type="dxa"/>
            <w:tcBorders>
              <w:top w:val="nil"/>
              <w:left w:val="nil"/>
              <w:bottom w:val="single" w:sz="4" w:space="0" w:color="auto"/>
              <w:right w:val="single" w:sz="4" w:space="0" w:color="auto"/>
            </w:tcBorders>
            <w:vAlign w:val="center"/>
            <w:hideMark/>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Occidente - Norte</w:t>
            </w:r>
          </w:p>
        </w:tc>
        <w:tc>
          <w:tcPr>
            <w:tcW w:w="1100" w:type="dxa"/>
            <w:tcBorders>
              <w:top w:val="single" w:sz="4" w:space="0" w:color="auto"/>
              <w:left w:val="nil"/>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74º1’53.31”</w:t>
            </w:r>
          </w:p>
        </w:tc>
        <w:tc>
          <w:tcPr>
            <w:tcW w:w="1110" w:type="dxa"/>
            <w:tcBorders>
              <w:top w:val="single" w:sz="4" w:space="0" w:color="auto"/>
              <w:left w:val="single" w:sz="4" w:space="0" w:color="auto"/>
              <w:bottom w:val="single" w:sz="4" w:space="0" w:color="auto"/>
              <w:right w:val="single" w:sz="4" w:space="0" w:color="auto"/>
            </w:tcBorders>
            <w:vAlign w:val="center"/>
          </w:tcPr>
          <w:p w:rsidR="00045790" w:rsidRPr="0087450A" w:rsidRDefault="00045790" w:rsidP="00045790">
            <w:pPr>
              <w:jc w:val="center"/>
              <w:rPr>
                <w:rFonts w:ascii="Work Sans" w:hAnsi="Work Sans"/>
                <w:i/>
                <w:sz w:val="18"/>
                <w:szCs w:val="18"/>
                <w:lang w:val="es-CO"/>
              </w:rPr>
            </w:pPr>
            <w:r w:rsidRPr="0087450A">
              <w:rPr>
                <w:rFonts w:ascii="Work Sans" w:hAnsi="Work Sans"/>
                <w:i/>
                <w:sz w:val="18"/>
                <w:szCs w:val="18"/>
                <w:lang w:val="es-CO"/>
              </w:rPr>
              <w:t>4º51’19.29”</w:t>
            </w:r>
          </w:p>
        </w:tc>
      </w:tr>
    </w:tbl>
    <w:p w:rsidR="00045790" w:rsidRPr="0087450A" w:rsidRDefault="00045790" w:rsidP="00045790">
      <w:pPr>
        <w:jc w:val="both"/>
        <w:rPr>
          <w:rFonts w:ascii="Work Sans" w:hAnsi="Work Sans"/>
          <w:i/>
          <w:sz w:val="18"/>
          <w:szCs w:val="18"/>
          <w:lang w:val="es-CO"/>
        </w:rPr>
      </w:pPr>
      <w:r w:rsidRPr="0087450A">
        <w:rPr>
          <w:rFonts w:ascii="Work Sans" w:hAnsi="Work Sans"/>
          <w:bCs/>
          <w:i/>
          <w:sz w:val="18"/>
          <w:szCs w:val="18"/>
          <w:lang w:val="es-CO"/>
        </w:rPr>
        <w:t xml:space="preserve"> </w:t>
      </w:r>
    </w:p>
    <w:p w:rsidR="00045790" w:rsidRPr="0087450A" w:rsidRDefault="00045790" w:rsidP="00045790">
      <w:pPr>
        <w:ind w:left="567" w:right="623"/>
        <w:jc w:val="both"/>
        <w:rPr>
          <w:rFonts w:ascii="Work Sans" w:hAnsi="Work Sans" w:cs="Arial"/>
          <w:bCs/>
          <w:i/>
          <w:sz w:val="18"/>
          <w:szCs w:val="18"/>
        </w:rPr>
      </w:pPr>
      <w:r w:rsidRPr="0087450A">
        <w:rPr>
          <w:rFonts w:ascii="Work Sans" w:hAnsi="Work Sans" w:cs="Arial"/>
          <w:bCs/>
          <w:i/>
          <w:sz w:val="18"/>
          <w:szCs w:val="18"/>
        </w:rPr>
        <w:t xml:space="preserve">De igual manera, en el Contrato de Concesión No. 001 de 2017 se creó la Subcuenta Depósito Especial de Recaudo la cual se fondea con parte del recaudo de peaje de dichas estaciones, indicando que estos recursos son de libre disposición de la ANI. </w:t>
      </w:r>
    </w:p>
    <w:p w:rsidR="00045790" w:rsidRPr="0087450A" w:rsidRDefault="00045790" w:rsidP="00045790">
      <w:pPr>
        <w:ind w:left="567" w:right="623"/>
        <w:jc w:val="both"/>
        <w:textAlignment w:val="center"/>
        <w:rPr>
          <w:rFonts w:ascii="Work Sans" w:hAnsi="Work Sans" w:cs="Arial"/>
          <w:i/>
          <w:spacing w:val="-3"/>
          <w:sz w:val="18"/>
          <w:szCs w:val="18"/>
          <w:lang w:val="es-CO"/>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Es necesario indicar que, por medio del Radicado No. 20213100008171 del 13 de enero de 2021, la ANI, una vez emitido concepto por la Interventoría del Contrato de Concesión No. 001 de 2017 a través de Radicado ANI No. 20214090015522 del 07 de enero de 2021, aprobó la propuesta de incremento de tarifas presentada por el concesionario Accesos Norte de Bogotá para las estaciones de peaje Andes, Fusca y </w:t>
      </w:r>
      <w:r w:rsidRPr="0087450A">
        <w:rPr>
          <w:rFonts w:ascii="Work Sans" w:hAnsi="Work Sans"/>
          <w:i/>
          <w:iCs/>
          <w:spacing w:val="-3"/>
          <w:sz w:val="18"/>
          <w:szCs w:val="18"/>
        </w:rPr>
        <w:t>“estación de peaje ubicada en el acceso al puente curvo teletón”</w:t>
      </w:r>
      <w:r w:rsidRPr="0087450A">
        <w:rPr>
          <w:rFonts w:ascii="Work Sans" w:hAnsi="Work Sans" w:cs="Arial"/>
          <w:i/>
          <w:spacing w:val="-3"/>
          <w:sz w:val="18"/>
          <w:szCs w:val="18"/>
        </w:rPr>
        <w:t xml:space="preserve">, que rigen desde el 16 de enero de 2021 y hasta el 15 de enero de 2022, así: </w:t>
      </w:r>
    </w:p>
    <w:p w:rsidR="00045790" w:rsidRPr="0087450A" w:rsidRDefault="00045790" w:rsidP="00045790">
      <w:pPr>
        <w:jc w:val="both"/>
        <w:textAlignment w:val="center"/>
        <w:rPr>
          <w:rFonts w:ascii="Work Sans" w:hAnsi="Work Sans" w:cs="Arial"/>
          <w:i/>
          <w:spacing w:val="-3"/>
          <w:sz w:val="18"/>
          <w:szCs w:val="18"/>
        </w:rPr>
      </w:pPr>
    </w:p>
    <w:p w:rsidR="00045790" w:rsidRPr="0087450A" w:rsidRDefault="00045790" w:rsidP="00045790">
      <w:pPr>
        <w:jc w:val="center"/>
        <w:textAlignment w:val="center"/>
        <w:rPr>
          <w:rFonts w:ascii="Work Sans" w:hAnsi="Work Sans" w:cs="Arial"/>
          <w:b/>
          <w:bCs/>
          <w:i/>
          <w:spacing w:val="-3"/>
          <w:sz w:val="18"/>
          <w:szCs w:val="18"/>
          <w:lang w:val="es"/>
        </w:rPr>
      </w:pPr>
      <w:r w:rsidRPr="0087450A">
        <w:rPr>
          <w:rFonts w:ascii="Work Sans" w:hAnsi="Work Sans" w:cs="Arial"/>
          <w:b/>
          <w:bCs/>
          <w:i/>
          <w:spacing w:val="-3"/>
          <w:sz w:val="18"/>
          <w:szCs w:val="18"/>
          <w:lang w:val="es"/>
        </w:rPr>
        <w:t>ESTACIÓN DE PEAJE ANDES</w:t>
      </w:r>
    </w:p>
    <w:tbl>
      <w:tblPr>
        <w:tblW w:w="7126" w:type="dxa"/>
        <w:jc w:val="center"/>
        <w:tblLayout w:type="fixed"/>
        <w:tblCellMar>
          <w:left w:w="10" w:type="dxa"/>
          <w:right w:w="10" w:type="dxa"/>
        </w:tblCellMar>
        <w:tblLook w:val="0000" w:firstRow="0" w:lastRow="0" w:firstColumn="0" w:lastColumn="0" w:noHBand="0" w:noVBand="0"/>
      </w:tblPr>
      <w:tblGrid>
        <w:gridCol w:w="1583"/>
        <w:gridCol w:w="4205"/>
        <w:gridCol w:w="1338"/>
      </w:tblGrid>
      <w:tr w:rsidR="00045790" w:rsidRPr="0087450A" w:rsidTr="0087450A">
        <w:trPr>
          <w:trHeight w:val="49"/>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CATEGORÍAS</w:t>
            </w:r>
          </w:p>
        </w:tc>
        <w:tc>
          <w:tcPr>
            <w:tcW w:w="420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CO"/>
              </w:rPr>
            </w:pPr>
            <w:r w:rsidRPr="0087450A">
              <w:rPr>
                <w:rFonts w:ascii="Work Sans" w:hAnsi="Work Sans" w:cs="Arial"/>
                <w:b/>
                <w:i/>
                <w:spacing w:val="-3"/>
                <w:sz w:val="18"/>
                <w:szCs w:val="18"/>
                <w:lang w:val="es-CO"/>
              </w:rPr>
              <w:t>DESCRIPCIÓN</w:t>
            </w:r>
          </w:p>
        </w:tc>
        <w:tc>
          <w:tcPr>
            <w:tcW w:w="133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bCs/>
                <w:i/>
                <w:spacing w:val="-3"/>
                <w:sz w:val="18"/>
                <w:szCs w:val="18"/>
              </w:rPr>
            </w:pPr>
            <w:r w:rsidRPr="0087450A">
              <w:rPr>
                <w:rFonts w:ascii="Work Sans" w:hAnsi="Work Sans" w:cs="Arial"/>
                <w:b/>
                <w:bCs/>
                <w:i/>
                <w:spacing w:val="-3"/>
                <w:sz w:val="18"/>
                <w:szCs w:val="18"/>
              </w:rPr>
              <w:t>TARIFAS</w:t>
            </w:r>
          </w:p>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(NO INCLUYE FSV)</w:t>
            </w:r>
          </w:p>
        </w:tc>
      </w:tr>
      <w:tr w:rsidR="00045790" w:rsidRPr="0087450A" w:rsidTr="0087450A">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Categoría 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Automóviles, Camperos y Camionetas</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$8.900</w:t>
            </w:r>
          </w:p>
        </w:tc>
      </w:tr>
      <w:tr w:rsidR="00045790" w:rsidRPr="0087450A" w:rsidTr="0087450A">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Categoría 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Buses, busetas, Microbuses con eje trasero de </w:t>
            </w:r>
            <w:r w:rsidRPr="0087450A">
              <w:rPr>
                <w:rFonts w:ascii="Work Sans" w:hAnsi="Work Sans" w:cs="Arial"/>
                <w:i/>
                <w:spacing w:val="-3"/>
                <w:sz w:val="18"/>
                <w:szCs w:val="18"/>
              </w:rPr>
              <w:lastRenderedPageBreak/>
              <w:t xml:space="preserve">doble llanta </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lastRenderedPageBreak/>
              <w:t>$15.600</w:t>
            </w:r>
          </w:p>
        </w:tc>
      </w:tr>
      <w:tr w:rsidR="00045790" w:rsidRPr="0087450A" w:rsidTr="0087450A">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III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Camiones pequeños de (2) dos ejes </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$ 10.000</w:t>
            </w:r>
          </w:p>
        </w:tc>
      </w:tr>
      <w:tr w:rsidR="00045790" w:rsidRPr="0087450A" w:rsidTr="0087450A">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IV</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grandes de (2) dos ejes</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$22.800 </w:t>
            </w:r>
          </w:p>
        </w:tc>
      </w:tr>
      <w:tr w:rsidR="00045790" w:rsidRPr="0087450A" w:rsidTr="0087450A">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tres y cuatro ejes</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$34.800 </w:t>
            </w:r>
          </w:p>
        </w:tc>
      </w:tr>
      <w:tr w:rsidR="00045790" w:rsidRPr="0087450A" w:rsidTr="0087450A">
        <w:trPr>
          <w:trHeight w:val="49"/>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cinco ejes</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$44.800 </w:t>
            </w:r>
          </w:p>
        </w:tc>
      </w:tr>
      <w:tr w:rsidR="00045790" w:rsidRPr="0087450A" w:rsidTr="0087450A">
        <w:trPr>
          <w:trHeight w:val="49"/>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seis ejes o más</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$49.700 </w:t>
            </w:r>
          </w:p>
        </w:tc>
      </w:tr>
    </w:tbl>
    <w:p w:rsidR="00045790" w:rsidRPr="0087450A" w:rsidRDefault="00045790" w:rsidP="00045790">
      <w:pPr>
        <w:jc w:val="both"/>
        <w:textAlignment w:val="center"/>
        <w:rPr>
          <w:rFonts w:ascii="Work Sans" w:hAnsi="Work Sans" w:cs="Arial"/>
          <w:i/>
          <w:iCs/>
          <w:spacing w:val="-3"/>
          <w:sz w:val="18"/>
          <w:szCs w:val="18"/>
          <w:lang w:val="es"/>
        </w:rPr>
      </w:pPr>
    </w:p>
    <w:p w:rsidR="00045790" w:rsidRPr="0087450A" w:rsidRDefault="00045790" w:rsidP="00045790">
      <w:pPr>
        <w:jc w:val="both"/>
        <w:textAlignment w:val="center"/>
        <w:rPr>
          <w:rFonts w:ascii="Work Sans" w:hAnsi="Work Sans" w:cs="Arial"/>
          <w:b/>
          <w:bCs/>
          <w:i/>
          <w:iCs/>
          <w:spacing w:val="-3"/>
          <w:sz w:val="18"/>
          <w:szCs w:val="18"/>
          <w:lang w:val="es"/>
        </w:rPr>
      </w:pPr>
    </w:p>
    <w:p w:rsidR="00045790" w:rsidRPr="0087450A" w:rsidRDefault="00045790" w:rsidP="00045790">
      <w:pPr>
        <w:jc w:val="center"/>
        <w:textAlignment w:val="center"/>
        <w:rPr>
          <w:rFonts w:ascii="Work Sans" w:hAnsi="Work Sans" w:cs="Arial"/>
          <w:b/>
          <w:bCs/>
          <w:i/>
          <w:spacing w:val="-3"/>
          <w:sz w:val="18"/>
          <w:szCs w:val="18"/>
          <w:lang w:val="es"/>
        </w:rPr>
      </w:pPr>
      <w:r w:rsidRPr="0087450A">
        <w:rPr>
          <w:rFonts w:ascii="Work Sans" w:hAnsi="Work Sans" w:cs="Arial"/>
          <w:b/>
          <w:bCs/>
          <w:i/>
          <w:spacing w:val="-3"/>
          <w:sz w:val="18"/>
          <w:szCs w:val="18"/>
          <w:lang w:val="es"/>
        </w:rPr>
        <w:t>ESTACIÓN DE PEAJE FUSCA</w:t>
      </w:r>
    </w:p>
    <w:tbl>
      <w:tblPr>
        <w:tblW w:w="7058" w:type="dxa"/>
        <w:jc w:val="center"/>
        <w:tblLayout w:type="fixed"/>
        <w:tblCellMar>
          <w:left w:w="10" w:type="dxa"/>
          <w:right w:w="10" w:type="dxa"/>
        </w:tblCellMar>
        <w:tblLook w:val="0000" w:firstRow="0" w:lastRow="0" w:firstColumn="0" w:lastColumn="0" w:noHBand="0" w:noVBand="0"/>
      </w:tblPr>
      <w:tblGrid>
        <w:gridCol w:w="1595"/>
        <w:gridCol w:w="4205"/>
        <w:gridCol w:w="1258"/>
      </w:tblGrid>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CATEGORÍAS</w:t>
            </w:r>
          </w:p>
        </w:tc>
        <w:tc>
          <w:tcPr>
            <w:tcW w:w="420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CO"/>
              </w:rPr>
            </w:pPr>
            <w:r w:rsidRPr="0087450A">
              <w:rPr>
                <w:rFonts w:ascii="Work Sans" w:hAnsi="Work Sans" w:cs="Arial"/>
                <w:b/>
                <w:i/>
                <w:spacing w:val="-3"/>
                <w:sz w:val="18"/>
                <w:szCs w:val="18"/>
                <w:lang w:val="es-CO"/>
              </w:rPr>
              <w:t>DESCRIPCIÓN</w:t>
            </w:r>
          </w:p>
        </w:tc>
        <w:tc>
          <w:tcPr>
            <w:tcW w:w="125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bCs/>
                <w:i/>
                <w:spacing w:val="-3"/>
                <w:sz w:val="18"/>
                <w:szCs w:val="18"/>
              </w:rPr>
            </w:pPr>
            <w:r w:rsidRPr="0087450A">
              <w:rPr>
                <w:rFonts w:ascii="Work Sans" w:hAnsi="Work Sans" w:cs="Arial"/>
                <w:b/>
                <w:bCs/>
                <w:i/>
                <w:spacing w:val="-3"/>
                <w:sz w:val="18"/>
                <w:szCs w:val="18"/>
              </w:rPr>
              <w:t>TARIFAS</w:t>
            </w:r>
          </w:p>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(no incluye FSV)</w:t>
            </w:r>
          </w:p>
        </w:tc>
      </w:tr>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Categoría 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Automóviles, Camperos y Camionetas</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$8.900</w:t>
            </w:r>
          </w:p>
        </w:tc>
      </w:tr>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lang w:val="es"/>
              </w:rPr>
            </w:pPr>
            <w:r w:rsidRPr="0087450A">
              <w:rPr>
                <w:rFonts w:ascii="Work Sans" w:hAnsi="Work Sans" w:cs="Arial"/>
                <w:i/>
                <w:spacing w:val="-3"/>
                <w:sz w:val="18"/>
                <w:szCs w:val="18"/>
                <w:lang w:val="es"/>
              </w:rPr>
              <w:t>Categoría 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Buses, busetas, Microbuses con eje trasero de doble llanta </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$15.600</w:t>
            </w:r>
          </w:p>
        </w:tc>
      </w:tr>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III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Camiones pequeños de (2) dos ejes </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$ 10.000</w:t>
            </w:r>
          </w:p>
        </w:tc>
      </w:tr>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IV</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grandes de (2) dos ejes</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$22.800 </w:t>
            </w:r>
          </w:p>
        </w:tc>
      </w:tr>
      <w:tr w:rsidR="00045790" w:rsidRPr="0087450A" w:rsidTr="0087450A">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tres y cuatro ejes</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$34.800 </w:t>
            </w:r>
          </w:p>
        </w:tc>
      </w:tr>
      <w:tr w:rsidR="00045790" w:rsidRPr="0087450A" w:rsidTr="0087450A">
        <w:trPr>
          <w:trHeight w:val="49"/>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cinco ejes</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$44.800 </w:t>
            </w:r>
          </w:p>
        </w:tc>
      </w:tr>
      <w:tr w:rsidR="00045790" w:rsidRPr="0087450A" w:rsidTr="0087450A">
        <w:trPr>
          <w:trHeight w:val="49"/>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seis ejes o más</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$49.700 </w:t>
            </w:r>
          </w:p>
        </w:tc>
      </w:tr>
    </w:tbl>
    <w:p w:rsidR="00045790" w:rsidRPr="0087450A" w:rsidRDefault="00045790" w:rsidP="00045790">
      <w:pPr>
        <w:jc w:val="both"/>
        <w:textAlignment w:val="center"/>
        <w:rPr>
          <w:rFonts w:ascii="Work Sans" w:hAnsi="Work Sans" w:cs="Arial"/>
          <w:i/>
          <w:iCs/>
          <w:spacing w:val="-3"/>
          <w:sz w:val="18"/>
          <w:szCs w:val="18"/>
          <w:lang w:val="es"/>
        </w:rPr>
      </w:pPr>
    </w:p>
    <w:p w:rsidR="00045790" w:rsidRPr="0087450A" w:rsidRDefault="00045790" w:rsidP="00045790">
      <w:pPr>
        <w:jc w:val="both"/>
        <w:textAlignment w:val="center"/>
        <w:rPr>
          <w:rFonts w:ascii="Work Sans" w:hAnsi="Work Sans" w:cs="Arial"/>
          <w:i/>
          <w:iCs/>
          <w:spacing w:val="-3"/>
          <w:sz w:val="18"/>
          <w:szCs w:val="18"/>
          <w:lang w:val="es"/>
        </w:rPr>
      </w:pPr>
    </w:p>
    <w:p w:rsidR="00045790" w:rsidRPr="0087450A" w:rsidRDefault="00045790" w:rsidP="00045790">
      <w:pPr>
        <w:jc w:val="center"/>
        <w:textAlignment w:val="center"/>
        <w:rPr>
          <w:rFonts w:ascii="Work Sans" w:hAnsi="Work Sans" w:cs="Arial"/>
          <w:b/>
          <w:bCs/>
          <w:i/>
          <w:spacing w:val="-3"/>
          <w:sz w:val="18"/>
          <w:szCs w:val="18"/>
          <w:lang w:val="es"/>
        </w:rPr>
      </w:pPr>
      <w:r w:rsidRPr="0087450A">
        <w:rPr>
          <w:rFonts w:ascii="Work Sans" w:hAnsi="Work Sans" w:cs="Arial"/>
          <w:b/>
          <w:bCs/>
          <w:i/>
          <w:spacing w:val="-3"/>
          <w:sz w:val="18"/>
          <w:szCs w:val="18"/>
          <w:lang w:val="es"/>
        </w:rPr>
        <w:t>ESTACIÓN DE PEAJE UBICADA EN EL ACCESO AL PUENTE CURVO TELETÓN</w:t>
      </w:r>
    </w:p>
    <w:tbl>
      <w:tblPr>
        <w:tblW w:w="7023" w:type="dxa"/>
        <w:jc w:val="center"/>
        <w:tblLayout w:type="fixed"/>
        <w:tblCellMar>
          <w:left w:w="10" w:type="dxa"/>
          <w:right w:w="10" w:type="dxa"/>
        </w:tblCellMar>
        <w:tblLook w:val="0000" w:firstRow="0" w:lastRow="0" w:firstColumn="0" w:lastColumn="0" w:noHBand="0" w:noVBand="0"/>
      </w:tblPr>
      <w:tblGrid>
        <w:gridCol w:w="1489"/>
        <w:gridCol w:w="4205"/>
        <w:gridCol w:w="1329"/>
      </w:tblGrid>
      <w:tr w:rsidR="00045790" w:rsidRPr="0087450A" w:rsidTr="0087450A">
        <w:trPr>
          <w:trHeight w:val="49"/>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CATEGORÍAS</w:t>
            </w:r>
          </w:p>
        </w:tc>
        <w:tc>
          <w:tcPr>
            <w:tcW w:w="420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i/>
                <w:spacing w:val="-3"/>
                <w:sz w:val="18"/>
                <w:szCs w:val="18"/>
                <w:lang w:val="es-CO"/>
              </w:rPr>
            </w:pPr>
            <w:r w:rsidRPr="0087450A">
              <w:rPr>
                <w:rFonts w:ascii="Work Sans" w:hAnsi="Work Sans" w:cs="Arial"/>
                <w:b/>
                <w:i/>
                <w:spacing w:val="-3"/>
                <w:sz w:val="18"/>
                <w:szCs w:val="18"/>
                <w:lang w:val="es-CO"/>
              </w:rPr>
              <w:t>DESCRIPCIÓN</w:t>
            </w:r>
          </w:p>
        </w:tc>
        <w:tc>
          <w:tcPr>
            <w:tcW w:w="132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045790" w:rsidRPr="0087450A" w:rsidRDefault="00045790" w:rsidP="00045790">
            <w:pPr>
              <w:jc w:val="center"/>
              <w:textAlignment w:val="center"/>
              <w:rPr>
                <w:rFonts w:ascii="Work Sans" w:hAnsi="Work Sans" w:cs="Arial"/>
                <w:b/>
                <w:bCs/>
                <w:i/>
                <w:spacing w:val="-3"/>
                <w:sz w:val="18"/>
                <w:szCs w:val="18"/>
              </w:rPr>
            </w:pPr>
            <w:r w:rsidRPr="0087450A">
              <w:rPr>
                <w:rFonts w:ascii="Work Sans" w:hAnsi="Work Sans" w:cs="Arial"/>
                <w:b/>
                <w:bCs/>
                <w:i/>
                <w:spacing w:val="-3"/>
                <w:sz w:val="18"/>
                <w:szCs w:val="18"/>
              </w:rPr>
              <w:t>TARIFAS</w:t>
            </w:r>
          </w:p>
          <w:p w:rsidR="00045790" w:rsidRPr="0087450A" w:rsidRDefault="00045790" w:rsidP="00045790">
            <w:pPr>
              <w:jc w:val="center"/>
              <w:textAlignment w:val="center"/>
              <w:rPr>
                <w:rFonts w:ascii="Work Sans" w:hAnsi="Work Sans" w:cs="Arial"/>
                <w:b/>
                <w:i/>
                <w:spacing w:val="-3"/>
                <w:sz w:val="18"/>
                <w:szCs w:val="18"/>
                <w:lang w:val="es"/>
              </w:rPr>
            </w:pPr>
            <w:r w:rsidRPr="0087450A">
              <w:rPr>
                <w:rFonts w:ascii="Work Sans" w:hAnsi="Work Sans" w:cs="Arial"/>
                <w:b/>
                <w:i/>
                <w:spacing w:val="-3"/>
                <w:sz w:val="18"/>
                <w:szCs w:val="18"/>
                <w:lang w:val="es"/>
              </w:rPr>
              <w:t>(NO INCLUYE FSV)</w:t>
            </w:r>
          </w:p>
        </w:tc>
      </w:tr>
      <w:tr w:rsidR="00045790" w:rsidRPr="0087450A" w:rsidTr="0087450A">
        <w:trPr>
          <w:jc w:val="center"/>
        </w:trPr>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tres y cuatro ejes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$34.800 </w:t>
            </w:r>
          </w:p>
        </w:tc>
      </w:tr>
      <w:tr w:rsidR="00045790" w:rsidRPr="0087450A" w:rsidTr="0087450A">
        <w:trPr>
          <w:trHeight w:val="49"/>
          <w:jc w:val="center"/>
        </w:trPr>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cinco ejes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$44.800 </w:t>
            </w:r>
          </w:p>
        </w:tc>
      </w:tr>
      <w:tr w:rsidR="00045790" w:rsidRPr="0087450A" w:rsidTr="0087450A">
        <w:trPr>
          <w:trHeight w:val="49"/>
          <w:jc w:val="center"/>
        </w:trPr>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Categoría VII</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Camiones de seis ejes o más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 $49.700 </w:t>
            </w:r>
          </w:p>
        </w:tc>
      </w:tr>
    </w:tbl>
    <w:p w:rsidR="00045790" w:rsidRPr="0087450A" w:rsidRDefault="00045790" w:rsidP="00045790">
      <w:pPr>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Vale la pena precisar que en la Sección 4.5 (g) de la Parte Especial del Contrato de Concesión N°001 de 2017 se encuentra contemplada la Subcuenta Depósito Especial del Recaudo, la cual se fondea con una parte del recaudo de peaje de las estaciones Andes, Fusca y una estación de peaje ubicada en el puente curvo de teletón. Adicionalmente, la Sección 4.5(g)(ii) del Contrato de Concesión No.001 de 2017 indica que estos recursos son de libre disposición de la Agencia Nacional de Infraestructura, lo cual le permite vincular parte de los ingresos de dicho Contrato a la ejecución del proyecto de Quinta Generación de Concesiones Accesos Norte Fase II, una vez éste sea adjudicado; pero manteniendo la operación de las tres estaciones de peaje en cabeza del concesionario ACCESOS NORTE DE BOGOTÁ S.A.S. - ACCENORTE S.A.S., del Contrato de Concesión No. 001 de 2017.</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lang w:val="es-CO"/>
        </w:rPr>
      </w:pPr>
      <w:r w:rsidRPr="0087450A">
        <w:rPr>
          <w:rFonts w:ascii="Work Sans" w:hAnsi="Work Sans" w:cs="Arial"/>
          <w:i/>
          <w:spacing w:val="-3"/>
          <w:sz w:val="18"/>
          <w:szCs w:val="18"/>
        </w:rPr>
        <w:t>Ahora bien, en la Sección 4.2(a)(ii) de la Parte Especial del Contrato de Concesión No. 001 de 2017 se previó la posibilidad de modificar la Resolución de Estructura Tarifaria con el fin de establecer un incremento de tarifas de Peaje o la Instalación de una nueva estación de peaje, caso en el cual el Concesionario de ese contrato deberá mantener la operación de recaudo de peaje, sin que por lo anterior se genere ningún reconocimiento adicional.</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Por medio del Radicado 20201200643591 del 3 de noviembre de 2020 del Ministerio de Transporte se obtuvo el concepto de aprobación de análisis de riesgos para el proyecto APP de iniciativa pública Accesos Norte Fase II.</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Por medio del Radicado No. 22021003976 el 28 de enero de 2021, del Ministerio de Hacienda, se obtuvo la “Aprobación de valoración de obligaciones contingentes y plan de aportes al Fondo de Contingencias de las Entidades Estatales del proyecto Accesos Norte II”. </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Mediante el Radicado No. 20215000173201 el 24 de febrero de 2021, del Ministerio de </w:t>
      </w:r>
      <w:r w:rsidRPr="0087450A">
        <w:rPr>
          <w:rFonts w:ascii="Work Sans" w:hAnsi="Work Sans" w:cs="Arial"/>
          <w:i/>
          <w:spacing w:val="-3"/>
          <w:sz w:val="18"/>
          <w:szCs w:val="18"/>
        </w:rPr>
        <w:lastRenderedPageBreak/>
        <w:t>Transporte, la Dirección de Infraestructura de la referida Cartera Ministerial emitió concepto favorable a la retribución por unidades funcionales para el proyecto Accesos Norte Fase II.</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A través del oficio con Radicado No. 20218200155071 del 08 de marzo de 2021, del Departamento Nacional de Planeación, dicha entidad emitió concepto favorable sobre la utilización del esquema de Asociación Público Privada, como mecanismo de ejecución para el Proyecto de Asociación Público Privada - APP de Iniciativa Pública Accesos Norte Fase II.</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El proyecto de Quinta Generación de Concesiones Accesos Norte Fase II abrió su proceso de Licitación Pública el 12 de marzo de 2021, y tiene como objeto principal desarrollar un corredor vial con un nivel de servicio óptimo que garantice la conexión entre Bogotá, los municipios del norte de la sabana Chía, Sopó, Cajicá, Zipaquirá y Tocancipá; y contempla un alcance origen - destino de 17,96 kilómetros, con intervenciones distribuidas así: 5,83 kilómetros para el corredor de la Autopista Norte, 4,93 kilómetros para la Carrera Séptima en la cuidad de Bogotá y 7,2 kilómetros en la Perimetral de Sopó en el municipio del mismo nombre.</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Dentro de la estructuración financiera del proyecto de Asociación Público Privada de iniciativa pública Accesos Norte Fase II, se contempló como única fuente de retribución del concesionario</w:t>
      </w:r>
      <w:r w:rsidRPr="0087450A" w:rsidDel="003E0D8A">
        <w:rPr>
          <w:rFonts w:ascii="Work Sans" w:hAnsi="Work Sans" w:cs="Arial"/>
          <w:i/>
          <w:spacing w:val="-3"/>
          <w:sz w:val="18"/>
          <w:szCs w:val="18"/>
        </w:rPr>
        <w:t xml:space="preserve"> </w:t>
      </w:r>
      <w:r w:rsidRPr="0087450A">
        <w:rPr>
          <w:rFonts w:ascii="Work Sans" w:hAnsi="Work Sans" w:cs="Arial"/>
          <w:i/>
          <w:spacing w:val="-3"/>
          <w:sz w:val="18"/>
          <w:szCs w:val="18"/>
        </w:rPr>
        <w:t xml:space="preserve">una porción del recaudo de peaje y el incremento tarifario previsto en la presente resolución de las estaciones Andes, Fusca y </w:t>
      </w:r>
      <w:r w:rsidRPr="0087450A">
        <w:rPr>
          <w:rFonts w:ascii="Work Sans" w:hAnsi="Work Sans"/>
          <w:i/>
          <w:iCs/>
          <w:spacing w:val="-3"/>
          <w:sz w:val="18"/>
          <w:szCs w:val="18"/>
        </w:rPr>
        <w:t>“estación de peaje ubicada en el acceso al puente curvo teletón”</w:t>
      </w:r>
      <w:r w:rsidRPr="0087450A">
        <w:rPr>
          <w:rFonts w:ascii="Work Sans" w:hAnsi="Work Sans" w:cs="Arial"/>
          <w:i/>
          <w:spacing w:val="-3"/>
          <w:sz w:val="18"/>
          <w:szCs w:val="18"/>
        </w:rPr>
        <w:t xml:space="preserve">, conforme a las condiciones establecidas en la minuta del contrato de concesión que hace parte del pliego de condiciones del proceso de selección No. VJ-VE-APP-IPB-001-2021, y las Secciones 4.2(a) y 4.5(g) del Contrato de Concesión No.001 de 2017. </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ind w:left="567" w:right="623"/>
        <w:jc w:val="both"/>
        <w:textAlignment w:val="center"/>
        <w:rPr>
          <w:rFonts w:ascii="Work Sans" w:hAnsi="Work Sans" w:cs="Arial"/>
          <w:i/>
          <w:spacing w:val="-3"/>
          <w:sz w:val="18"/>
          <w:szCs w:val="18"/>
        </w:rPr>
      </w:pPr>
      <w:r w:rsidRPr="0087450A">
        <w:rPr>
          <w:rFonts w:ascii="Work Sans" w:hAnsi="Work Sans" w:cs="Arial"/>
          <w:i/>
          <w:spacing w:val="-3"/>
          <w:sz w:val="18"/>
          <w:szCs w:val="18"/>
        </w:rPr>
        <w:t xml:space="preserve">Conforme a lo anterior y teniendo en cuenta que el proyecto Accesos Norte Fase II es un complemento del proyecto Accesos Norte a la Ciudad de Bogotá D.C., el cual opera las estaciones de peaje de Andes, Fusca y </w:t>
      </w:r>
      <w:r w:rsidRPr="0087450A">
        <w:rPr>
          <w:rFonts w:ascii="Work Sans" w:hAnsi="Work Sans"/>
          <w:i/>
          <w:iCs/>
          <w:spacing w:val="-3"/>
          <w:sz w:val="18"/>
          <w:szCs w:val="18"/>
        </w:rPr>
        <w:t>“estación de peaje ubicada en el acceso al puente curvo teletón”</w:t>
      </w:r>
      <w:r w:rsidRPr="0087450A">
        <w:rPr>
          <w:rFonts w:ascii="Work Sans" w:hAnsi="Work Sans" w:cs="Arial"/>
          <w:i/>
          <w:spacing w:val="-3"/>
          <w:sz w:val="18"/>
          <w:szCs w:val="18"/>
        </w:rPr>
        <w:t>, la ANI decidió destinar los recursos de la Subcuenta Depósito Especial del Recaudo, creada en el marco del Contrato de Concesión No. 001 de 2017 (Concesión Accesos Norte de Bogotá S.A.S.), para la ejecución del proyecto Accesos Norte Fase II.</w:t>
      </w:r>
    </w:p>
    <w:p w:rsidR="00045790" w:rsidRPr="0087450A" w:rsidRDefault="00045790" w:rsidP="00045790">
      <w:pPr>
        <w:ind w:left="567" w:right="623"/>
        <w:jc w:val="both"/>
        <w:textAlignment w:val="center"/>
        <w:rPr>
          <w:rFonts w:ascii="Work Sans" w:hAnsi="Work Sans" w:cs="Arial"/>
          <w:i/>
          <w:spacing w:val="-3"/>
          <w:sz w:val="18"/>
          <w:szCs w:val="18"/>
        </w:rPr>
      </w:pPr>
    </w:p>
    <w:p w:rsidR="00045790" w:rsidRPr="0087450A" w:rsidRDefault="00045790" w:rsidP="00045790">
      <w:pPr>
        <w:pStyle w:val="Prrafodelista"/>
        <w:numPr>
          <w:ilvl w:val="0"/>
          <w:numId w:val="27"/>
        </w:numPr>
        <w:suppressAutoHyphens w:val="0"/>
        <w:autoSpaceDN/>
        <w:ind w:left="567" w:right="623" w:firstLine="0"/>
        <w:contextualSpacing/>
        <w:jc w:val="both"/>
        <w:textAlignment w:val="auto"/>
        <w:rPr>
          <w:rFonts w:ascii="Work Sans" w:hAnsi="Work Sans" w:cs="Arial"/>
          <w:b/>
          <w:bCs/>
          <w:i/>
          <w:sz w:val="18"/>
          <w:szCs w:val="18"/>
          <w:lang w:val="es-CO"/>
        </w:rPr>
      </w:pPr>
      <w:r w:rsidRPr="0087450A">
        <w:rPr>
          <w:rFonts w:ascii="Work Sans" w:hAnsi="Work Sans" w:cs="Arial"/>
          <w:b/>
          <w:i/>
          <w:sz w:val="18"/>
          <w:szCs w:val="18"/>
        </w:rPr>
        <w:t xml:space="preserve">Descripción del proyecto </w:t>
      </w:r>
      <w:r w:rsidRPr="0087450A">
        <w:rPr>
          <w:rFonts w:ascii="Work Sans" w:hAnsi="Work Sans" w:cs="Arial"/>
          <w:b/>
          <w:bCs/>
          <w:i/>
          <w:sz w:val="18"/>
          <w:szCs w:val="18"/>
          <w:lang w:val="es-CO"/>
        </w:rPr>
        <w:t>Accesos Norte Fase II</w:t>
      </w:r>
      <w:r w:rsidRPr="0087450A">
        <w:rPr>
          <w:rFonts w:ascii="Work Sans" w:hAnsi="Work Sans" w:cs="Arial"/>
          <w:b/>
          <w:i/>
          <w:sz w:val="18"/>
          <w:szCs w:val="18"/>
        </w:rPr>
        <w:t xml:space="preserve"> y justificación de la solicitud.</w:t>
      </w:r>
    </w:p>
    <w:p w:rsidR="00045790" w:rsidRPr="0087450A" w:rsidRDefault="00045790" w:rsidP="00045790">
      <w:pPr>
        <w:ind w:left="567" w:right="623"/>
        <w:jc w:val="both"/>
        <w:rPr>
          <w:rFonts w:ascii="Work Sans" w:hAnsi="Work Sans" w:cs="Arial"/>
          <w:i/>
          <w:sz w:val="18"/>
          <w:szCs w:val="18"/>
        </w:rPr>
      </w:pPr>
    </w:p>
    <w:p w:rsidR="00045790" w:rsidRPr="0087450A" w:rsidRDefault="00045790" w:rsidP="00045790">
      <w:pPr>
        <w:ind w:left="567" w:right="623"/>
        <w:jc w:val="both"/>
        <w:rPr>
          <w:rFonts w:ascii="Work Sans" w:hAnsi="Work Sans"/>
          <w:i/>
          <w:sz w:val="18"/>
          <w:szCs w:val="18"/>
        </w:rPr>
      </w:pPr>
      <w:r w:rsidRPr="0087450A">
        <w:rPr>
          <w:rFonts w:ascii="Work Sans" w:hAnsi="Work Sans" w:cs="Arial"/>
          <w:i/>
          <w:sz w:val="18"/>
          <w:szCs w:val="18"/>
          <w:lang w:val="es-CO"/>
        </w:rPr>
        <w:t xml:space="preserve">En el año 2017 la ANI dio inicio la estructuración del Proyecto Accesos Norte Fase II, Proyecto que </w:t>
      </w:r>
      <w:r w:rsidRPr="0087450A">
        <w:rPr>
          <w:rFonts w:ascii="Work Sans" w:hAnsi="Work Sans"/>
          <w:i/>
          <w:sz w:val="18"/>
          <w:szCs w:val="18"/>
        </w:rPr>
        <w:t>contempla una longitud total estimada origen - destino de 17.96 kilómetros distribuidos así: 5,83 kilómetros para el corredor de la Autopista Norte, 4,93 kilómetros para la Carrera Séptima en la cuidad de Bogotá y 7,2 kilómetros en la Perimetral de Sopó en el municipio del mismo nombre. Además, esta infraestructura deberá ser operada y mantenida por el concesionario durante toda la ejecución del Contrato de Concesión. Las obras objeto de esta concesión tienen el siguiente alcance:</w:t>
      </w:r>
    </w:p>
    <w:p w:rsidR="00045790" w:rsidRPr="0087450A" w:rsidRDefault="00045790" w:rsidP="00045790">
      <w:pPr>
        <w:ind w:left="567" w:right="623"/>
        <w:jc w:val="both"/>
        <w:rPr>
          <w:rFonts w:ascii="Work Sans" w:hAnsi="Work Sans"/>
          <w:i/>
          <w:sz w:val="18"/>
          <w:szCs w:val="18"/>
        </w:rPr>
      </w:pPr>
    </w:p>
    <w:p w:rsidR="00045790" w:rsidRPr="0087450A" w:rsidRDefault="00045790" w:rsidP="00045790">
      <w:pPr>
        <w:pStyle w:val="Prrafodelista"/>
        <w:numPr>
          <w:ilvl w:val="0"/>
          <w:numId w:val="28"/>
        </w:numPr>
        <w:ind w:left="567" w:right="623" w:firstLine="0"/>
        <w:jc w:val="both"/>
        <w:rPr>
          <w:rFonts w:ascii="Work Sans" w:hAnsi="Work Sans"/>
          <w:i/>
          <w:sz w:val="18"/>
          <w:szCs w:val="18"/>
        </w:rPr>
      </w:pPr>
      <w:r w:rsidRPr="0087450A">
        <w:rPr>
          <w:rFonts w:ascii="Work Sans" w:hAnsi="Work Sans"/>
          <w:i/>
          <w:sz w:val="18"/>
          <w:szCs w:val="18"/>
          <w:u w:val="single"/>
        </w:rPr>
        <w:t>Autopista Norte entre Calles 191 (K0+000) y 245 (K5+830)</w:t>
      </w:r>
      <w:r w:rsidRPr="0087450A">
        <w:rPr>
          <w:rFonts w:ascii="Work Sans" w:hAnsi="Work Sans"/>
          <w:i/>
          <w:sz w:val="18"/>
          <w:szCs w:val="18"/>
        </w:rPr>
        <w:t>: Se realizará la ampliación de dos (2) carriles mixtos, en ambos sentidos y la Construcción de un (1) carril de Transmilenio entre la calle 191 (K0+000) y la Calle 235 (K4+600). Por calzada comprende la Construcción de tres (3) carriles nuevos, el mejoramiento de los tres (3) carriles existentes y la construcción de carriles de adelantamiento para Transmilenio en las estaciones proyectadas, en ambos sentidos, la Construcción de anden y ciclorruta entre las Calles 191 (K0+000) y 245 (K5+830), en ambos costados de la vía con un ancho mínimo de 9.30 metros. Se realizarán las intersecciones ubicadas en la Calle 201 (K1+100) y 2 retornos a desnivel ubicados aproximadamente en la Calle 235 (K3+840) y en la Calle 242 (K5+594).</w:t>
      </w:r>
    </w:p>
    <w:p w:rsidR="00045790" w:rsidRPr="0087450A" w:rsidRDefault="00045790" w:rsidP="00045790">
      <w:pPr>
        <w:numPr>
          <w:ilvl w:val="12"/>
          <w:numId w:val="0"/>
        </w:numPr>
        <w:ind w:left="567" w:right="623"/>
        <w:jc w:val="both"/>
        <w:rPr>
          <w:rFonts w:ascii="Work Sans" w:hAnsi="Work Sans"/>
          <w:i/>
          <w:sz w:val="18"/>
          <w:szCs w:val="18"/>
        </w:rPr>
      </w:pPr>
    </w:p>
    <w:p w:rsidR="00045790" w:rsidRPr="0087450A" w:rsidRDefault="00045790" w:rsidP="00045790">
      <w:pPr>
        <w:pStyle w:val="Prrafodelista"/>
        <w:numPr>
          <w:ilvl w:val="0"/>
          <w:numId w:val="28"/>
        </w:numPr>
        <w:ind w:left="567" w:right="623" w:firstLine="0"/>
        <w:jc w:val="both"/>
        <w:rPr>
          <w:rFonts w:ascii="Work Sans" w:hAnsi="Work Sans"/>
          <w:i/>
          <w:sz w:val="18"/>
          <w:szCs w:val="18"/>
        </w:rPr>
      </w:pPr>
      <w:r w:rsidRPr="0087450A">
        <w:rPr>
          <w:rFonts w:ascii="Work Sans" w:hAnsi="Work Sans"/>
          <w:i/>
          <w:sz w:val="18"/>
          <w:szCs w:val="18"/>
        </w:rPr>
        <w:t xml:space="preserve">La construcción de la Segunda Calzada y el mejoramiento de la calzada existente de la Carrera Séptima entre la Calle 201 (K2+000) y la Calle 245 (K6+930) en la ciudad </w:t>
      </w:r>
      <w:r w:rsidRPr="0087450A">
        <w:rPr>
          <w:rFonts w:ascii="Work Sans" w:hAnsi="Work Sans"/>
          <w:i/>
          <w:sz w:val="18"/>
          <w:szCs w:val="18"/>
        </w:rPr>
        <w:lastRenderedPageBreak/>
        <w:t>de Bogotá. La construcción de andén y ciclorruta en todo este corredor en ambos costados de la vía con un ancho mínimo de 9.00 metros.</w:t>
      </w:r>
    </w:p>
    <w:p w:rsidR="00045790" w:rsidRPr="0087450A" w:rsidRDefault="00045790" w:rsidP="00045790">
      <w:pPr>
        <w:numPr>
          <w:ilvl w:val="12"/>
          <w:numId w:val="0"/>
        </w:numPr>
        <w:ind w:left="567" w:right="623"/>
        <w:jc w:val="both"/>
        <w:rPr>
          <w:rFonts w:ascii="Work Sans" w:hAnsi="Work Sans"/>
          <w:i/>
          <w:sz w:val="18"/>
          <w:szCs w:val="18"/>
        </w:rPr>
      </w:pPr>
    </w:p>
    <w:p w:rsidR="00045790" w:rsidRPr="0087450A" w:rsidRDefault="00045790" w:rsidP="00045790">
      <w:pPr>
        <w:pStyle w:val="Prrafodelista"/>
        <w:numPr>
          <w:ilvl w:val="0"/>
          <w:numId w:val="28"/>
        </w:numPr>
        <w:ind w:left="567" w:right="623" w:firstLine="0"/>
        <w:jc w:val="both"/>
        <w:rPr>
          <w:rFonts w:ascii="Work Sans" w:hAnsi="Work Sans"/>
          <w:i/>
          <w:sz w:val="18"/>
          <w:szCs w:val="18"/>
        </w:rPr>
      </w:pPr>
      <w:r w:rsidRPr="0087450A">
        <w:rPr>
          <w:rFonts w:ascii="Work Sans" w:hAnsi="Work Sans"/>
          <w:i/>
          <w:sz w:val="18"/>
          <w:szCs w:val="18"/>
        </w:rPr>
        <w:t>El Mejoramiento y Construcción de una calzada, la perimetral de Sopó de 7.2 km, que incluye el Mejoramiento de 5,5 km entre Hacienda Aposentos, sobre Autopista Norte, y la Hacienda La Esperanza - San José, así como la construcción de una vía nueva de 1,7 km entre la Hacienda La Esperanza - San José y el sector Tres Esquinas. Intersección tipo glorieta proyectada en la calle 3 sur del casco urbano de Sopo y una intersección a desnivel en el sector Tres Esquinas con la vía la Calera Sopó.</w:t>
      </w:r>
    </w:p>
    <w:p w:rsidR="00045790" w:rsidRPr="0087450A" w:rsidRDefault="00045790" w:rsidP="00045790">
      <w:pPr>
        <w:numPr>
          <w:ilvl w:val="12"/>
          <w:numId w:val="0"/>
        </w:numPr>
        <w:ind w:left="567" w:right="623"/>
        <w:jc w:val="both"/>
        <w:rPr>
          <w:rFonts w:ascii="Work Sans" w:hAnsi="Work Sans"/>
          <w:i/>
          <w:sz w:val="18"/>
          <w:szCs w:val="18"/>
          <w:lang w:val="es-CO"/>
        </w:rPr>
      </w:pPr>
    </w:p>
    <w:p w:rsidR="00045790" w:rsidRPr="0087450A" w:rsidRDefault="00045790" w:rsidP="00045790">
      <w:pPr>
        <w:pStyle w:val="Prrafodelista"/>
        <w:numPr>
          <w:ilvl w:val="0"/>
          <w:numId w:val="28"/>
        </w:numPr>
        <w:ind w:left="567" w:right="623" w:firstLine="0"/>
        <w:jc w:val="both"/>
        <w:rPr>
          <w:rFonts w:ascii="Work Sans" w:hAnsi="Work Sans"/>
          <w:i/>
          <w:sz w:val="18"/>
          <w:szCs w:val="18"/>
        </w:rPr>
      </w:pPr>
      <w:r w:rsidRPr="0087450A">
        <w:rPr>
          <w:rFonts w:ascii="Work Sans" w:hAnsi="Work Sans"/>
          <w:i/>
          <w:sz w:val="18"/>
          <w:szCs w:val="18"/>
        </w:rPr>
        <w:t>Operación y Mantenimiento durante todo el plazo de la Concesión de la infraestructura detallada anteriormente.</w:t>
      </w:r>
    </w:p>
    <w:p w:rsidR="00045790" w:rsidRPr="0087450A" w:rsidRDefault="00045790" w:rsidP="00045790">
      <w:pPr>
        <w:numPr>
          <w:ilvl w:val="12"/>
          <w:numId w:val="0"/>
        </w:numPr>
        <w:ind w:left="567" w:right="623"/>
        <w:jc w:val="both"/>
        <w:rPr>
          <w:rFonts w:ascii="Work Sans" w:hAnsi="Work Sans"/>
          <w:i/>
          <w:sz w:val="18"/>
          <w:szCs w:val="18"/>
          <w:lang w:val="es-CO"/>
        </w:rPr>
      </w:pPr>
    </w:p>
    <w:p w:rsidR="00045790" w:rsidRPr="0087450A" w:rsidRDefault="00045790" w:rsidP="00045790">
      <w:pPr>
        <w:ind w:left="567" w:right="623"/>
        <w:jc w:val="both"/>
        <w:rPr>
          <w:rFonts w:ascii="Work Sans" w:hAnsi="Work Sans" w:cs="Arial"/>
          <w:i/>
          <w:sz w:val="18"/>
          <w:szCs w:val="18"/>
          <w:lang w:val="es-CO"/>
        </w:rPr>
      </w:pPr>
      <w:r w:rsidRPr="0087450A">
        <w:rPr>
          <w:rFonts w:ascii="Work Sans" w:hAnsi="Work Sans" w:cs="Arial"/>
          <w:i/>
          <w:sz w:val="18"/>
          <w:szCs w:val="18"/>
          <w:lang w:val="es-CO"/>
        </w:rPr>
        <w:t>El proyecto Accesos Norte Fase II, tiene como objeto principal desarrollar un corredor vial con un nivel de servicio óptimo que garantice la conexión entre Bogotá, los municipios del norte de la sabana Chía, Sopó, Cajicá, Zipaquirá y Tocancipá; y los departamentos de Boyacá y los Santanderes.</w:t>
      </w:r>
    </w:p>
    <w:p w:rsidR="00045790" w:rsidRPr="0087450A" w:rsidRDefault="00045790" w:rsidP="00045790">
      <w:pPr>
        <w:ind w:left="567" w:right="623"/>
        <w:jc w:val="both"/>
        <w:rPr>
          <w:rFonts w:ascii="Work Sans" w:hAnsi="Work Sans" w:cs="Arial"/>
          <w:i/>
          <w:spacing w:val="-3"/>
          <w:sz w:val="18"/>
          <w:szCs w:val="18"/>
          <w:lang w:val="es-CO"/>
        </w:rPr>
      </w:pPr>
    </w:p>
    <w:p w:rsidR="00045790" w:rsidRPr="0087450A" w:rsidRDefault="00045790" w:rsidP="00045790">
      <w:pPr>
        <w:ind w:left="567" w:right="623"/>
        <w:jc w:val="both"/>
        <w:rPr>
          <w:rFonts w:ascii="Work Sans" w:hAnsi="Work Sans" w:cs="Arial"/>
          <w:i/>
          <w:spacing w:val="-3"/>
          <w:sz w:val="18"/>
          <w:szCs w:val="18"/>
          <w:lang w:val="es-CO"/>
        </w:rPr>
      </w:pPr>
      <w:r w:rsidRPr="0087450A">
        <w:rPr>
          <w:rFonts w:ascii="Work Sans" w:hAnsi="Work Sans" w:cs="Arial"/>
          <w:i/>
          <w:spacing w:val="-3"/>
          <w:sz w:val="18"/>
          <w:szCs w:val="18"/>
          <w:lang w:val="es-CO"/>
        </w:rPr>
        <w:t>A su vez, se encuentra alineado con lo señalado por el Plan Nacional de Desarrollo 2018-2022, el cual hace énfasis en la necesidad de mejorar la capacidad de infraestructura de transporte, buscando mecanismos alternativos para la financiación de infraestructura. De igual manera, se encuentra dentro de los proyectos identificados por el Gobierno Nacional como eje fundamental de desarrollo, y priorizado por la Agencia Nacional de Infraestructura como proyecto de Quinta Generación (5G) de Concesiones que planea construirse en el país.</w:t>
      </w:r>
    </w:p>
    <w:p w:rsidR="00045790" w:rsidRPr="0087450A" w:rsidRDefault="00045790" w:rsidP="00045790">
      <w:pPr>
        <w:ind w:left="567" w:right="623"/>
        <w:jc w:val="both"/>
        <w:rPr>
          <w:rFonts w:ascii="Work Sans" w:hAnsi="Work Sans" w:cs="Arial"/>
          <w:i/>
          <w:spacing w:val="-3"/>
          <w:sz w:val="18"/>
          <w:szCs w:val="18"/>
          <w:lang w:val="es-CO"/>
        </w:rPr>
      </w:pPr>
    </w:p>
    <w:p w:rsidR="00045790" w:rsidRPr="0087450A" w:rsidRDefault="00045790" w:rsidP="00045790">
      <w:pPr>
        <w:autoSpaceDE w:val="0"/>
        <w:adjustRightInd w:val="0"/>
        <w:ind w:left="567" w:right="623"/>
        <w:jc w:val="both"/>
        <w:textAlignment w:val="center"/>
        <w:rPr>
          <w:rFonts w:ascii="Work Sans" w:hAnsi="Work Sans" w:cs="Arial"/>
          <w:i/>
          <w:spacing w:val="-3"/>
          <w:sz w:val="18"/>
          <w:szCs w:val="18"/>
          <w:lang w:val="es-CO"/>
        </w:rPr>
      </w:pPr>
      <w:r w:rsidRPr="0087450A">
        <w:rPr>
          <w:rFonts w:ascii="Work Sans" w:hAnsi="Work Sans" w:cs="Arial"/>
          <w:i/>
          <w:spacing w:val="-3"/>
          <w:sz w:val="18"/>
          <w:szCs w:val="18"/>
          <w:lang w:val="es-CO"/>
        </w:rPr>
        <w:t>En cumplimiento con lo dispuesto en la Ley 1508 de 2012, la Agencia Nacional de Infraestructura efectuó la evaluación de los aspectos técnicos, socioeconómicos, ambientales, prediales, financieros y jurídicos del proyecto de iniciativa pública “</w:t>
      </w:r>
      <w:r w:rsidRPr="0087450A">
        <w:rPr>
          <w:rFonts w:ascii="Work Sans" w:hAnsi="Work Sans" w:cs="Arial"/>
          <w:i/>
          <w:sz w:val="18"/>
          <w:szCs w:val="18"/>
          <w:lang w:val="es-CO"/>
        </w:rPr>
        <w:t>Accesos Norte Fase II</w:t>
      </w:r>
      <w:r w:rsidRPr="0087450A">
        <w:rPr>
          <w:rFonts w:ascii="Work Sans" w:hAnsi="Work Sans" w:cs="Arial"/>
          <w:i/>
          <w:spacing w:val="-3"/>
          <w:sz w:val="18"/>
          <w:szCs w:val="18"/>
          <w:lang w:val="es-CO"/>
        </w:rPr>
        <w:t xml:space="preserve">”, e incluyó dentro de los estudios de factibilidad la descripción completa del Proyecto incluyendo diseño, construcción, operación, mantenimiento y explotación del mismo, el modelo financiero detallado y formulado que fundamente el valor del Proyecto, así como la descripción detallada de las fases, duración del Proyecto y justificación del plazo del contrato. </w:t>
      </w:r>
    </w:p>
    <w:p w:rsidR="00045790" w:rsidRPr="0087450A" w:rsidRDefault="00045790" w:rsidP="00045790">
      <w:pPr>
        <w:ind w:left="567" w:right="623"/>
        <w:jc w:val="both"/>
        <w:rPr>
          <w:rFonts w:ascii="Work Sans" w:hAnsi="Work Sans" w:cs="Arial"/>
          <w:b/>
          <w:i/>
          <w:sz w:val="18"/>
          <w:szCs w:val="18"/>
        </w:rPr>
      </w:pPr>
    </w:p>
    <w:p w:rsidR="00045790" w:rsidRPr="0087450A" w:rsidRDefault="00045790" w:rsidP="00045790">
      <w:pPr>
        <w:pStyle w:val="Prrafodelista"/>
        <w:numPr>
          <w:ilvl w:val="0"/>
          <w:numId w:val="27"/>
        </w:numPr>
        <w:suppressAutoHyphens w:val="0"/>
        <w:autoSpaceDN/>
        <w:ind w:left="567" w:right="623" w:firstLine="0"/>
        <w:contextualSpacing/>
        <w:jc w:val="both"/>
        <w:textAlignment w:val="auto"/>
        <w:rPr>
          <w:rFonts w:ascii="Work Sans" w:hAnsi="Work Sans" w:cs="Arial"/>
          <w:b/>
          <w:bCs/>
          <w:i/>
          <w:spacing w:val="-3"/>
          <w:sz w:val="18"/>
          <w:szCs w:val="18"/>
        </w:rPr>
      </w:pPr>
      <w:r w:rsidRPr="0087450A">
        <w:rPr>
          <w:rFonts w:ascii="Work Sans" w:hAnsi="Work Sans" w:cs="Arial"/>
          <w:b/>
          <w:bCs/>
          <w:i/>
          <w:spacing w:val="-3"/>
          <w:sz w:val="18"/>
          <w:szCs w:val="18"/>
        </w:rPr>
        <w:t>Solicitud de expedición de Resolución de Peaje</w:t>
      </w:r>
    </w:p>
    <w:p w:rsidR="00045790" w:rsidRPr="0087450A" w:rsidRDefault="00045790" w:rsidP="00045790">
      <w:pPr>
        <w:ind w:left="567" w:right="623"/>
        <w:jc w:val="both"/>
        <w:rPr>
          <w:rFonts w:ascii="Work Sans" w:hAnsi="Work Sans" w:cs="Arial"/>
          <w:b/>
          <w:bCs/>
          <w:i/>
          <w:spacing w:val="-3"/>
          <w:sz w:val="18"/>
          <w:szCs w:val="18"/>
        </w:rPr>
      </w:pPr>
    </w:p>
    <w:p w:rsidR="00045790" w:rsidRPr="0087450A" w:rsidRDefault="00045790" w:rsidP="00045790">
      <w:pPr>
        <w:ind w:left="567" w:right="623"/>
        <w:jc w:val="both"/>
        <w:rPr>
          <w:rFonts w:ascii="Work Sans" w:hAnsi="Work Sans" w:cs="Arial"/>
          <w:i/>
          <w:spacing w:val="-3"/>
          <w:sz w:val="18"/>
          <w:szCs w:val="18"/>
        </w:rPr>
      </w:pPr>
      <w:r w:rsidRPr="0087450A">
        <w:rPr>
          <w:rFonts w:ascii="Work Sans" w:hAnsi="Work Sans" w:cs="Arial"/>
          <w:i/>
          <w:spacing w:val="-3"/>
          <w:sz w:val="18"/>
          <w:szCs w:val="18"/>
        </w:rPr>
        <w:t xml:space="preserve">La Agencia Nacional de Infraestructura es la entidad encargada de concesionar todos los tramos viales del proyecto de APP de Iniciativa Pública Accesos Norte Fase II al oferente que resulte adjudicatario de este, concesión que incluye los tramos viales nacionales y distritales descritos en el presente oficio. </w:t>
      </w:r>
    </w:p>
    <w:p w:rsidR="00045790" w:rsidRPr="0087450A" w:rsidRDefault="00045790" w:rsidP="00045790">
      <w:pPr>
        <w:ind w:left="567" w:right="623"/>
        <w:jc w:val="both"/>
        <w:rPr>
          <w:rFonts w:ascii="Work Sans" w:hAnsi="Work Sans" w:cs="Arial"/>
          <w:i/>
          <w:spacing w:val="-3"/>
          <w:sz w:val="18"/>
          <w:szCs w:val="18"/>
        </w:rPr>
      </w:pPr>
    </w:p>
    <w:p w:rsidR="00045790" w:rsidRPr="0087450A" w:rsidRDefault="00045790" w:rsidP="00045790">
      <w:pPr>
        <w:ind w:left="567" w:right="623"/>
        <w:jc w:val="both"/>
        <w:rPr>
          <w:rFonts w:ascii="Work Sans" w:hAnsi="Work Sans" w:cs="Arial"/>
          <w:bCs/>
          <w:i/>
          <w:spacing w:val="-3"/>
          <w:sz w:val="18"/>
          <w:szCs w:val="18"/>
          <w:lang w:val="es-MX"/>
        </w:rPr>
      </w:pPr>
      <w:r w:rsidRPr="0087450A">
        <w:rPr>
          <w:rFonts w:ascii="Work Sans" w:hAnsi="Work Sans" w:cs="Arial"/>
          <w:i/>
          <w:spacing w:val="-3"/>
          <w:sz w:val="18"/>
          <w:szCs w:val="18"/>
        </w:rPr>
        <w:t>En consecuencia, de manera atenta se solicita la expedición de la Resolución de Tarifa de Peajes que establezca un incremento para los años 2023 y 2026 en las tarifas a cobrar en las estaciones de peaje denominadas</w:t>
      </w:r>
      <w:r w:rsidRPr="0087450A">
        <w:rPr>
          <w:rFonts w:ascii="Work Sans" w:hAnsi="Work Sans" w:cs="Arial"/>
          <w:i/>
          <w:iCs/>
          <w:spacing w:val="-3"/>
          <w:sz w:val="18"/>
          <w:szCs w:val="18"/>
        </w:rPr>
        <w:t xml:space="preserve"> “Andes” “Fusca”, y “una estación de </w:t>
      </w:r>
      <w:r w:rsidRPr="0087450A">
        <w:rPr>
          <w:rFonts w:ascii="Work Sans" w:hAnsi="Work Sans" w:cs="Arial"/>
          <w:bCs/>
          <w:i/>
          <w:iCs/>
          <w:spacing w:val="-3"/>
          <w:sz w:val="18"/>
          <w:szCs w:val="18"/>
          <w:lang w:val="es"/>
        </w:rPr>
        <w:t>peaje ubicada en el acceso al puente curvo teletón</w:t>
      </w:r>
      <w:r w:rsidRPr="0087450A">
        <w:rPr>
          <w:rFonts w:ascii="Work Sans" w:hAnsi="Work Sans" w:cs="Arial"/>
          <w:i/>
          <w:iCs/>
          <w:spacing w:val="-3"/>
          <w:sz w:val="18"/>
          <w:szCs w:val="18"/>
        </w:rPr>
        <w:t xml:space="preserve">”, </w:t>
      </w:r>
      <w:r w:rsidRPr="0087450A">
        <w:rPr>
          <w:rFonts w:ascii="Work Sans" w:hAnsi="Work Sans" w:cs="Arial"/>
          <w:i/>
          <w:spacing w:val="-3"/>
          <w:sz w:val="18"/>
          <w:szCs w:val="18"/>
        </w:rPr>
        <w:t xml:space="preserve">su fórmula de actualización y se establezcan tarifas diferenciales para las categorías </w:t>
      </w:r>
      <w:r w:rsidRPr="0087450A">
        <w:rPr>
          <w:rFonts w:ascii="Work Sans" w:hAnsi="Work Sans"/>
          <w:i/>
          <w:spacing w:val="-3"/>
          <w:sz w:val="18"/>
          <w:szCs w:val="18"/>
        </w:rPr>
        <w:t xml:space="preserve">IE2, IIE y IIE2 </w:t>
      </w:r>
      <w:r w:rsidRPr="0087450A">
        <w:rPr>
          <w:rFonts w:ascii="Work Sans" w:hAnsi="Work Sans" w:cs="Arial"/>
          <w:i/>
          <w:spacing w:val="-3"/>
          <w:sz w:val="18"/>
          <w:szCs w:val="18"/>
        </w:rPr>
        <w:t>para las estaciones de peaje</w:t>
      </w:r>
      <w:r w:rsidRPr="0087450A">
        <w:rPr>
          <w:rFonts w:ascii="Work Sans" w:hAnsi="Work Sans" w:cs="Arial"/>
          <w:i/>
          <w:iCs/>
          <w:spacing w:val="-3"/>
          <w:sz w:val="18"/>
          <w:szCs w:val="18"/>
        </w:rPr>
        <w:t xml:space="preserve"> “Andes” y “Fusca”</w:t>
      </w:r>
      <w:r w:rsidRPr="0087450A">
        <w:rPr>
          <w:rFonts w:ascii="Work Sans" w:hAnsi="Work Sans" w:cs="Arial"/>
          <w:i/>
          <w:spacing w:val="-3"/>
          <w:sz w:val="18"/>
          <w:szCs w:val="18"/>
          <w:lang w:val="es-CO"/>
        </w:rPr>
        <w:t>, de la siguiente manera</w:t>
      </w:r>
      <w:r w:rsidRPr="0087450A">
        <w:rPr>
          <w:rFonts w:ascii="Work Sans" w:hAnsi="Work Sans" w:cs="Arial"/>
          <w:bCs/>
          <w:i/>
          <w:spacing w:val="-3"/>
          <w:sz w:val="18"/>
          <w:szCs w:val="18"/>
          <w:lang w:val="es-MX"/>
        </w:rPr>
        <w:t>:</w:t>
      </w:r>
    </w:p>
    <w:p w:rsidR="00045790" w:rsidRPr="0087450A" w:rsidRDefault="00045790" w:rsidP="00045790">
      <w:pPr>
        <w:jc w:val="both"/>
        <w:rPr>
          <w:rFonts w:ascii="Work Sans" w:hAnsi="Work Sans" w:cs="Arial"/>
          <w:i/>
          <w:spacing w:val="-3"/>
          <w:sz w:val="18"/>
          <w:szCs w:val="18"/>
          <w:lang w:val="es-MX"/>
        </w:rPr>
      </w:pPr>
    </w:p>
    <w:p w:rsidR="00045790" w:rsidRPr="0087450A" w:rsidRDefault="00045790" w:rsidP="00045790">
      <w:pPr>
        <w:widowControl/>
        <w:numPr>
          <w:ilvl w:val="0"/>
          <w:numId w:val="24"/>
        </w:numPr>
        <w:suppressAutoHyphens w:val="0"/>
        <w:autoSpaceDN/>
        <w:ind w:right="623"/>
        <w:jc w:val="both"/>
        <w:textAlignment w:val="auto"/>
        <w:rPr>
          <w:rFonts w:ascii="Work Sans" w:hAnsi="Work Sans" w:cs="Arial"/>
          <w:i/>
          <w:spacing w:val="-3"/>
          <w:sz w:val="18"/>
          <w:szCs w:val="18"/>
        </w:rPr>
      </w:pPr>
      <w:r w:rsidRPr="0087450A">
        <w:rPr>
          <w:rFonts w:ascii="Work Sans" w:hAnsi="Work Sans" w:cs="Arial"/>
          <w:i/>
          <w:spacing w:val="-3"/>
          <w:sz w:val="18"/>
          <w:szCs w:val="18"/>
        </w:rPr>
        <w:t>Establecer los siguientes incrementos tarifarios previstos para las estaciones de peaje “Andes”, “Fu</w:t>
      </w:r>
      <w:r w:rsidRPr="0087450A">
        <w:rPr>
          <w:rFonts w:ascii="Work Sans" w:hAnsi="Work Sans" w:cs="Arial"/>
          <w:i/>
          <w:spacing w:val="-3"/>
          <w:sz w:val="18"/>
          <w:szCs w:val="18"/>
        </w:rPr>
        <w:t>s</w:t>
      </w:r>
      <w:r w:rsidRPr="0087450A">
        <w:rPr>
          <w:rFonts w:ascii="Work Sans" w:hAnsi="Work Sans" w:cs="Arial"/>
          <w:i/>
          <w:spacing w:val="-3"/>
          <w:sz w:val="18"/>
          <w:szCs w:val="18"/>
        </w:rPr>
        <w:t>ca” y “</w:t>
      </w:r>
      <w:r w:rsidRPr="0087450A">
        <w:rPr>
          <w:rFonts w:ascii="Work Sans" w:hAnsi="Work Sans"/>
          <w:i/>
          <w:iCs/>
          <w:spacing w:val="-3"/>
          <w:sz w:val="18"/>
          <w:szCs w:val="18"/>
        </w:rPr>
        <w:t>estación de peaje ubicada en el acceso al puente curvo teletón</w:t>
      </w:r>
      <w:r w:rsidRPr="0087450A">
        <w:rPr>
          <w:rFonts w:ascii="Work Sans" w:hAnsi="Work Sans" w:cs="Arial"/>
          <w:i/>
          <w:spacing w:val="-3"/>
          <w:sz w:val="18"/>
          <w:szCs w:val="18"/>
        </w:rPr>
        <w:t>”:</w:t>
      </w:r>
    </w:p>
    <w:p w:rsidR="00045790" w:rsidRPr="0087450A" w:rsidRDefault="00045790" w:rsidP="00045790">
      <w:pPr>
        <w:jc w:val="both"/>
        <w:rPr>
          <w:rFonts w:ascii="Work Sans" w:hAnsi="Work Sans" w:cs="Arial"/>
          <w:i/>
          <w:iCs/>
          <w:spacing w:val="-3"/>
          <w:sz w:val="18"/>
          <w:szCs w:val="18"/>
        </w:rPr>
      </w:pPr>
    </w:p>
    <w:tbl>
      <w:tblPr>
        <w:tblW w:w="4540" w:type="pct"/>
        <w:jc w:val="center"/>
        <w:tblCellMar>
          <w:left w:w="10" w:type="dxa"/>
          <w:right w:w="10" w:type="dxa"/>
        </w:tblCellMar>
        <w:tblLook w:val="0000" w:firstRow="0" w:lastRow="0" w:firstColumn="0" w:lastColumn="0" w:noHBand="0" w:noVBand="0"/>
      </w:tblPr>
      <w:tblGrid>
        <w:gridCol w:w="2897"/>
        <w:gridCol w:w="2807"/>
        <w:gridCol w:w="1170"/>
        <w:gridCol w:w="1170"/>
      </w:tblGrid>
      <w:tr w:rsidR="00045790" w:rsidRPr="0087450A" w:rsidTr="006E2B0B">
        <w:trPr>
          <w:trHeight w:val="38"/>
          <w:jc w:val="center"/>
        </w:trPr>
        <w:tc>
          <w:tcPr>
            <w:tcW w:w="1686" w:type="pct"/>
            <w:vMerge w:val="restart"/>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AÑO</w:t>
            </w:r>
          </w:p>
        </w:tc>
        <w:tc>
          <w:tcPr>
            <w:tcW w:w="3314" w:type="pct"/>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VALOR DEL INCREMENTO – PESOS DE DIC DE 2019</w:t>
            </w:r>
          </w:p>
        </w:tc>
      </w:tr>
      <w:tr w:rsidR="006E2B0B" w:rsidRPr="0087450A" w:rsidTr="006E2B0B">
        <w:trPr>
          <w:trHeight w:val="38"/>
          <w:jc w:val="center"/>
        </w:trPr>
        <w:tc>
          <w:tcPr>
            <w:tcW w:w="1686" w:type="pct"/>
            <w:vMerge/>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p>
        </w:tc>
        <w:tc>
          <w:tcPr>
            <w:tcW w:w="1807" w:type="pct"/>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PEAJE ANDES</w:t>
            </w:r>
          </w:p>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(Categorías I, II, III, IV, V, VI, VII)</w:t>
            </w:r>
          </w:p>
        </w:tc>
        <w:tc>
          <w:tcPr>
            <w:tcW w:w="75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PEAJE FUSCA (Categorías I, II, III, IV, V, VI, VII)</w:t>
            </w:r>
          </w:p>
        </w:tc>
        <w:tc>
          <w:tcPr>
            <w:tcW w:w="75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 xml:space="preserve">PEAJE UBICADO EN EL ACCESO DE PUENTE </w:t>
            </w:r>
            <w:r w:rsidRPr="0087450A">
              <w:rPr>
                <w:rFonts w:ascii="Work Sans" w:hAnsi="Work Sans" w:cs="Arial"/>
                <w:b/>
                <w:bCs/>
                <w:i/>
                <w:iCs/>
                <w:spacing w:val="-3"/>
                <w:sz w:val="18"/>
                <w:szCs w:val="18"/>
              </w:rPr>
              <w:lastRenderedPageBreak/>
              <w:t>CURVO DE TELETON (Categorías V, VI, VII)</w:t>
            </w:r>
          </w:p>
        </w:tc>
      </w:tr>
      <w:tr w:rsidR="006E2B0B" w:rsidRPr="0087450A" w:rsidTr="006E2B0B">
        <w:trPr>
          <w:trHeight w:val="38"/>
          <w:jc w:val="center"/>
        </w:trPr>
        <w:tc>
          <w:tcPr>
            <w:tcW w:w="1686" w:type="pc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lastRenderedPageBreak/>
              <w:t>Primer incremento: año 2023</w:t>
            </w:r>
          </w:p>
        </w:tc>
        <w:tc>
          <w:tcPr>
            <w:tcW w:w="1807" w:type="pc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$2.500 </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$2.500 </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$2.500 </w:t>
            </w:r>
          </w:p>
        </w:tc>
      </w:tr>
      <w:tr w:rsidR="006E2B0B" w:rsidRPr="0087450A" w:rsidTr="006E2B0B">
        <w:trPr>
          <w:trHeight w:val="38"/>
          <w:jc w:val="center"/>
        </w:trPr>
        <w:tc>
          <w:tcPr>
            <w:tcW w:w="1686" w:type="pc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Segundo incremento: año 2026</w:t>
            </w:r>
          </w:p>
        </w:tc>
        <w:tc>
          <w:tcPr>
            <w:tcW w:w="1807" w:type="pc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 $700</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$700</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$700</w:t>
            </w:r>
          </w:p>
        </w:tc>
      </w:tr>
    </w:tbl>
    <w:p w:rsidR="00045790" w:rsidRPr="0087450A" w:rsidRDefault="00045790" w:rsidP="00045790">
      <w:pPr>
        <w:jc w:val="both"/>
        <w:rPr>
          <w:rFonts w:ascii="Work Sans" w:hAnsi="Work Sans" w:cs="Arial"/>
          <w:i/>
          <w:spacing w:val="-3"/>
          <w:sz w:val="18"/>
          <w:szCs w:val="18"/>
        </w:rPr>
      </w:pPr>
    </w:p>
    <w:p w:rsidR="00045790" w:rsidRPr="0087450A" w:rsidRDefault="00045790" w:rsidP="00045790">
      <w:pPr>
        <w:ind w:left="567" w:right="623"/>
        <w:jc w:val="both"/>
        <w:rPr>
          <w:rFonts w:ascii="Work Sans" w:hAnsi="Work Sans" w:cs="Arial"/>
          <w:i/>
          <w:iCs/>
          <w:spacing w:val="-3"/>
          <w:sz w:val="18"/>
          <w:szCs w:val="18"/>
        </w:rPr>
      </w:pPr>
      <w:r w:rsidRPr="0087450A">
        <w:rPr>
          <w:rFonts w:ascii="Work Sans" w:hAnsi="Work Sans" w:cs="Arial"/>
          <w:i/>
          <w:iCs/>
          <w:spacing w:val="-3"/>
          <w:sz w:val="18"/>
          <w:szCs w:val="18"/>
        </w:rPr>
        <w:t>Con base en la fórmula de actualización anual de las tarifas de peajes, presente en la Sección 4.2(a) de la Parte Especial del Contrato de Concesión No. 001 de 2017, que atiende a las resoluciones de peaje vigentes, se plantea utilizar la siguiente fórmula para llevar a cabo los incrementos previstos para los años 2023 y 2026:</w:t>
      </w:r>
    </w:p>
    <w:p w:rsidR="00045790" w:rsidRPr="0087450A" w:rsidRDefault="00045790" w:rsidP="00045790">
      <w:pPr>
        <w:ind w:left="567" w:right="623"/>
        <w:jc w:val="center"/>
        <w:rPr>
          <w:rFonts w:ascii="Work Sans" w:hAnsi="Work Sans" w:cs="Arial"/>
          <w:i/>
          <w:spacing w:val="-3"/>
          <w:sz w:val="18"/>
          <w:szCs w:val="18"/>
        </w:rPr>
      </w:pPr>
    </w:p>
    <w:p w:rsidR="00045790" w:rsidRPr="0087450A" w:rsidRDefault="00045790" w:rsidP="00045790">
      <w:pPr>
        <w:jc w:val="center"/>
        <w:rPr>
          <w:rFonts w:ascii="Work Sans" w:hAnsi="Work Sans" w:cs="Arial"/>
          <w:i/>
          <w:iCs/>
          <w:spacing w:val="-3"/>
          <w:sz w:val="18"/>
          <w:szCs w:val="18"/>
        </w:rPr>
      </w:pPr>
      <m:oMath>
        <m:r>
          <w:rPr>
            <w:rFonts w:ascii="Cambria Math" w:hAnsi="Cambria Math" w:cs="Arial"/>
            <w:spacing w:val="-3"/>
            <w:sz w:val="18"/>
            <w:szCs w:val="18"/>
          </w:rPr>
          <m:t>TarifaSRt=</m:t>
        </m:r>
        <m:sSub>
          <m:sSubPr>
            <m:ctrlPr>
              <w:rPr>
                <w:rFonts w:ascii="Cambria Math" w:hAnsi="Cambria Math"/>
                <w:i/>
                <w:spacing w:val="-3"/>
                <w:sz w:val="18"/>
                <w:szCs w:val="18"/>
              </w:rPr>
            </m:ctrlPr>
          </m:sSubPr>
          <m:e>
            <m:r>
              <w:rPr>
                <w:rFonts w:ascii="Cambria Math" w:hAnsi="Cambria Math" w:cs="Arial"/>
                <w:spacing w:val="-3"/>
                <w:sz w:val="18"/>
                <w:szCs w:val="18"/>
              </w:rPr>
              <m:t>Tarifa</m:t>
            </m:r>
          </m:e>
          <m:sub>
            <m:r>
              <w:rPr>
                <w:rFonts w:ascii="Cambria Math" w:hAnsi="Cambria Math" w:cs="Arial"/>
                <w:spacing w:val="-3"/>
                <w:sz w:val="18"/>
                <w:szCs w:val="18"/>
              </w:rPr>
              <m:t xml:space="preserve">t-1 </m:t>
            </m:r>
          </m:sub>
        </m:sSub>
        <m:r>
          <w:rPr>
            <w:rFonts w:ascii="Cambria Math" w:hAnsi="Cambria Math" w:cs="Arial"/>
            <w:spacing w:val="-3"/>
            <w:sz w:val="18"/>
            <w:szCs w:val="18"/>
          </w:rPr>
          <m:t>*</m:t>
        </m:r>
        <m:d>
          <m:dPr>
            <m:ctrlPr>
              <w:rPr>
                <w:rFonts w:ascii="Cambria Math" w:hAnsi="Cambria Math"/>
                <w:i/>
                <w:spacing w:val="-3"/>
                <w:sz w:val="18"/>
                <w:szCs w:val="18"/>
              </w:rPr>
            </m:ctrlPr>
          </m:dPr>
          <m:e>
            <m:f>
              <m:fPr>
                <m:ctrlPr>
                  <w:rPr>
                    <w:rFonts w:ascii="Cambria Math" w:hAnsi="Cambria Math"/>
                    <w:i/>
                    <w:spacing w:val="-3"/>
                    <w:sz w:val="18"/>
                    <w:szCs w:val="18"/>
                  </w:rPr>
                </m:ctrlPr>
              </m:fPr>
              <m:num>
                <m:sSub>
                  <m:sSubPr>
                    <m:ctrlPr>
                      <w:rPr>
                        <w:rFonts w:ascii="Cambria Math" w:hAnsi="Cambria Math"/>
                        <w:i/>
                        <w:spacing w:val="-3"/>
                        <w:sz w:val="18"/>
                        <w:szCs w:val="18"/>
                      </w:rPr>
                    </m:ctrlPr>
                  </m:sSubPr>
                  <m:e>
                    <m:r>
                      <w:rPr>
                        <w:rFonts w:ascii="Cambria Math" w:hAnsi="Cambria Math" w:cs="Arial"/>
                        <w:spacing w:val="-3"/>
                        <w:sz w:val="18"/>
                        <w:szCs w:val="18"/>
                      </w:rPr>
                      <m:t>IPC</m:t>
                    </m:r>
                  </m:e>
                  <m:sub>
                    <m:r>
                      <w:rPr>
                        <w:rFonts w:ascii="Cambria Math" w:hAnsi="Cambria Math" w:cs="Arial"/>
                        <w:spacing w:val="-3"/>
                        <w:sz w:val="18"/>
                        <w:szCs w:val="18"/>
                      </w:rPr>
                      <m:t>t-1</m:t>
                    </m:r>
                  </m:sub>
                </m:sSub>
              </m:num>
              <m:den>
                <m:sSub>
                  <m:sSubPr>
                    <m:ctrlPr>
                      <w:rPr>
                        <w:rFonts w:ascii="Cambria Math" w:hAnsi="Cambria Math"/>
                        <w:i/>
                        <w:spacing w:val="-3"/>
                        <w:sz w:val="18"/>
                        <w:szCs w:val="18"/>
                      </w:rPr>
                    </m:ctrlPr>
                  </m:sSubPr>
                  <m:e>
                    <m:r>
                      <w:rPr>
                        <w:rFonts w:ascii="Cambria Math" w:hAnsi="Cambria Math" w:cs="Arial"/>
                        <w:spacing w:val="-3"/>
                        <w:sz w:val="18"/>
                        <w:szCs w:val="18"/>
                      </w:rPr>
                      <m:t>IPC</m:t>
                    </m:r>
                  </m:e>
                  <m:sub>
                    <m:r>
                      <w:rPr>
                        <w:rFonts w:ascii="Cambria Math" w:hAnsi="Cambria Math" w:cs="Arial"/>
                        <w:spacing w:val="-3"/>
                        <w:sz w:val="18"/>
                        <w:szCs w:val="18"/>
                      </w:rPr>
                      <m:t>t-2</m:t>
                    </m:r>
                  </m:sub>
                </m:sSub>
              </m:den>
            </m:f>
          </m:e>
        </m:d>
      </m:oMath>
      <w:r w:rsidRPr="0087450A">
        <w:rPr>
          <w:rFonts w:ascii="Work Sans" w:hAnsi="Work Sans" w:cs="Arial"/>
          <w:i/>
          <w:iCs/>
          <w:spacing w:val="-3"/>
          <w:sz w:val="18"/>
          <w:szCs w:val="18"/>
          <w:lang w:val="es-CO"/>
        </w:rPr>
        <w:t xml:space="preserve"> </w:t>
      </w:r>
      <w:r w:rsidRPr="0087450A">
        <w:rPr>
          <w:rFonts w:ascii="Work Sans" w:hAnsi="Work Sans" w:cs="Arial"/>
          <w:i/>
          <w:iCs/>
          <w:spacing w:val="-3"/>
          <w:sz w:val="18"/>
          <w:szCs w:val="18"/>
        </w:rPr>
        <w:t>+ Incremento</w:t>
      </w:r>
      <m:oMath>
        <m:r>
          <w:rPr>
            <w:rFonts w:ascii="Cambria Math" w:hAnsi="Cambria Math" w:cs="Arial"/>
            <w:spacing w:val="-3"/>
            <w:sz w:val="18"/>
            <w:szCs w:val="18"/>
          </w:rPr>
          <m:t xml:space="preserve"> tar*</m:t>
        </m:r>
        <m:d>
          <m:dPr>
            <m:ctrlPr>
              <w:rPr>
                <w:rFonts w:ascii="Cambria Math" w:hAnsi="Cambria Math"/>
                <w:i/>
                <w:spacing w:val="-3"/>
                <w:sz w:val="18"/>
                <w:szCs w:val="18"/>
              </w:rPr>
            </m:ctrlPr>
          </m:dPr>
          <m:e>
            <m:f>
              <m:fPr>
                <m:ctrlPr>
                  <w:rPr>
                    <w:rFonts w:ascii="Cambria Math" w:hAnsi="Cambria Math"/>
                    <w:i/>
                    <w:spacing w:val="-3"/>
                    <w:sz w:val="18"/>
                    <w:szCs w:val="18"/>
                  </w:rPr>
                </m:ctrlPr>
              </m:fPr>
              <m:num>
                <m:sSub>
                  <m:sSubPr>
                    <m:ctrlPr>
                      <w:rPr>
                        <w:rFonts w:ascii="Cambria Math" w:hAnsi="Cambria Math"/>
                        <w:i/>
                        <w:spacing w:val="-3"/>
                        <w:sz w:val="18"/>
                        <w:szCs w:val="18"/>
                      </w:rPr>
                    </m:ctrlPr>
                  </m:sSubPr>
                  <m:e>
                    <m:r>
                      <w:rPr>
                        <w:rFonts w:ascii="Cambria Math" w:hAnsi="Cambria Math" w:cs="Arial"/>
                        <w:spacing w:val="-3"/>
                        <w:sz w:val="18"/>
                        <w:szCs w:val="18"/>
                      </w:rPr>
                      <m:t>IPC</m:t>
                    </m:r>
                  </m:e>
                  <m:sub>
                    <m:r>
                      <w:rPr>
                        <w:rFonts w:ascii="Cambria Math" w:hAnsi="Cambria Math" w:cs="Arial"/>
                        <w:spacing w:val="-3"/>
                        <w:sz w:val="18"/>
                        <w:szCs w:val="18"/>
                      </w:rPr>
                      <m:t>t-1</m:t>
                    </m:r>
                  </m:sub>
                </m:sSub>
              </m:num>
              <m:den>
                <m:sSub>
                  <m:sSubPr>
                    <m:ctrlPr>
                      <w:rPr>
                        <w:rFonts w:ascii="Cambria Math" w:hAnsi="Cambria Math"/>
                        <w:i/>
                        <w:spacing w:val="-3"/>
                        <w:sz w:val="18"/>
                        <w:szCs w:val="18"/>
                      </w:rPr>
                    </m:ctrlPr>
                  </m:sSubPr>
                  <m:e>
                    <m:r>
                      <w:rPr>
                        <w:rFonts w:ascii="Cambria Math" w:hAnsi="Cambria Math" w:cs="Arial"/>
                        <w:spacing w:val="-3"/>
                        <w:sz w:val="18"/>
                        <w:szCs w:val="18"/>
                      </w:rPr>
                      <m:t>IPC</m:t>
                    </m:r>
                  </m:e>
                  <m:sub>
                    <m:r>
                      <w:rPr>
                        <w:rFonts w:ascii="Cambria Math" w:hAnsi="Cambria Math" w:cs="Arial"/>
                        <w:spacing w:val="-3"/>
                        <w:sz w:val="18"/>
                        <w:szCs w:val="18"/>
                      </w:rPr>
                      <m:t>t-2</m:t>
                    </m:r>
                  </m:sub>
                </m:sSub>
              </m:den>
            </m:f>
          </m:e>
        </m:d>
      </m:oMath>
    </w:p>
    <w:p w:rsidR="00045790" w:rsidRPr="0087450A" w:rsidRDefault="00045790" w:rsidP="00045790">
      <w:pPr>
        <w:ind w:left="708" w:firstLine="708"/>
        <w:rPr>
          <w:rFonts w:ascii="Work Sans" w:hAnsi="Work Sans" w:cs="Arial"/>
          <w:i/>
          <w:iCs/>
          <w:spacing w:val="-3"/>
          <w:sz w:val="18"/>
          <w:szCs w:val="18"/>
        </w:rPr>
      </w:pPr>
      <w:r w:rsidRPr="0087450A">
        <w:rPr>
          <w:rFonts w:ascii="Work Sans" w:hAnsi="Work Sans" w:cs="Arial"/>
          <w:i/>
          <w:iCs/>
          <w:spacing w:val="-3"/>
          <w:sz w:val="18"/>
          <w:szCs w:val="18"/>
        </w:rPr>
        <w:t>Donde,</w:t>
      </w:r>
    </w:p>
    <w:p w:rsidR="00045790" w:rsidRPr="0087450A" w:rsidRDefault="00045790" w:rsidP="00045790">
      <w:pPr>
        <w:jc w:val="both"/>
        <w:rPr>
          <w:rFonts w:ascii="Work Sans" w:hAnsi="Work Sans" w:cs="Arial"/>
          <w:i/>
          <w:iCs/>
          <w:spacing w:val="-3"/>
          <w:sz w:val="18"/>
          <w:szCs w:val="18"/>
        </w:rPr>
      </w:pPr>
    </w:p>
    <w:tbl>
      <w:tblPr>
        <w:tblW w:w="7305" w:type="dxa"/>
        <w:tblInd w:w="675" w:type="dxa"/>
        <w:tblCellMar>
          <w:left w:w="10" w:type="dxa"/>
          <w:right w:w="10" w:type="dxa"/>
        </w:tblCellMar>
        <w:tblLook w:val="0000" w:firstRow="0" w:lastRow="0" w:firstColumn="0" w:lastColumn="0" w:noHBand="0" w:noVBand="0"/>
      </w:tblPr>
      <w:tblGrid>
        <w:gridCol w:w="2339"/>
        <w:gridCol w:w="4966"/>
      </w:tblGrid>
      <w:tr w:rsidR="00045790" w:rsidRPr="0087450A" w:rsidTr="0087450A">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TarifaSR</w:t>
            </w:r>
            <w:r w:rsidRPr="0087450A">
              <w:rPr>
                <w:rFonts w:ascii="Work Sans" w:hAnsi="Work Sans" w:cs="Arial"/>
                <w:i/>
                <w:spacing w:val="-3"/>
                <w:sz w:val="18"/>
                <w:szCs w:val="18"/>
                <w:vertAlign w:val="subscript"/>
                <w:lang w:val="es-CO"/>
              </w:rPr>
              <w:t>t</w:t>
            </w:r>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lang w:val="es-CO"/>
              </w:rPr>
            </w:pPr>
            <w:r w:rsidRPr="0087450A">
              <w:rPr>
                <w:rFonts w:ascii="Work Sans" w:hAnsi="Work Sans" w:cs="Arial"/>
                <w:i/>
                <w:spacing w:val="-3"/>
                <w:sz w:val="18"/>
                <w:szCs w:val="18"/>
                <w:lang w:val="es-CO"/>
              </w:rPr>
              <w:t>Para cada categoría de vehículos y cada estación de peaje es el valor de la tarifa actualizada en pesos corrientes del año t, sin el redondeo a la centena</w:t>
            </w:r>
          </w:p>
        </w:tc>
      </w:tr>
      <w:tr w:rsidR="00045790" w:rsidRPr="0087450A" w:rsidTr="0087450A">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Tarifa</w:t>
            </w:r>
            <w:r w:rsidRPr="0087450A">
              <w:rPr>
                <w:rFonts w:ascii="Work Sans" w:hAnsi="Work Sans" w:cs="Arial"/>
                <w:i/>
                <w:spacing w:val="-3"/>
                <w:sz w:val="18"/>
                <w:szCs w:val="18"/>
                <w:vertAlign w:val="subscript"/>
                <w:lang w:val="es-CO"/>
              </w:rPr>
              <w:t>t-1</w:t>
            </w:r>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lang w:val="es-CO"/>
              </w:rPr>
            </w:pPr>
            <w:r w:rsidRPr="0087450A">
              <w:rPr>
                <w:rFonts w:ascii="Work Sans" w:hAnsi="Work Sans" w:cs="Arial"/>
                <w:i/>
                <w:spacing w:val="-3"/>
                <w:sz w:val="18"/>
                <w:szCs w:val="18"/>
                <w:lang w:val="es-CO"/>
              </w:rPr>
              <w:t xml:space="preserve">Corresponde a la tarifa cobrada al usuario del período inmediatamente anterior restándole la tarifa del Fondo de Seguridad Vial (FSV) o cualquier sobretasa o similar que tenga destinación diferente al proyecto, cobrada del año inmediatamente anterior </w:t>
            </w:r>
          </w:p>
        </w:tc>
      </w:tr>
      <w:tr w:rsidR="00045790" w:rsidRPr="0087450A" w:rsidTr="0087450A">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rPr>
              <w:t>Incremento</w:t>
            </w:r>
            <m:oMath>
              <m:r>
                <w:rPr>
                  <w:rFonts w:ascii="Cambria Math" w:hAnsi="Cambria Math" w:cs="Arial"/>
                  <w:spacing w:val="-3"/>
                  <w:sz w:val="18"/>
                  <w:szCs w:val="18"/>
                </w:rPr>
                <m:t>tar</m:t>
              </m:r>
            </m:oMath>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lang w:val="es-CO"/>
              </w:rPr>
            </w:pPr>
            <w:r w:rsidRPr="0087450A">
              <w:rPr>
                <w:rFonts w:ascii="Work Sans" w:hAnsi="Work Sans" w:cs="Arial"/>
                <w:i/>
                <w:spacing w:val="-3"/>
                <w:sz w:val="18"/>
                <w:szCs w:val="18"/>
                <w:lang w:val="es-CO"/>
              </w:rPr>
              <w:t>Corresponde al incremento establecido en la resolución.</w:t>
            </w:r>
          </w:p>
        </w:tc>
      </w:tr>
      <w:tr w:rsidR="00045790" w:rsidRPr="0087450A" w:rsidTr="0087450A">
        <w:trPr>
          <w:trHeight w:val="49"/>
        </w:trPr>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IPC</w:t>
            </w:r>
            <w:r w:rsidRPr="0087450A">
              <w:rPr>
                <w:rFonts w:ascii="Work Sans" w:hAnsi="Work Sans" w:cs="Arial"/>
                <w:i/>
                <w:spacing w:val="-3"/>
                <w:sz w:val="18"/>
                <w:szCs w:val="18"/>
                <w:vertAlign w:val="subscript"/>
                <w:lang w:val="es-CO"/>
              </w:rPr>
              <w:t>t-1</w:t>
            </w:r>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IPC de diciembre del año inmediatamente anterior al año t de actualización</w:t>
            </w:r>
          </w:p>
        </w:tc>
      </w:tr>
      <w:tr w:rsidR="00045790" w:rsidRPr="0087450A" w:rsidTr="0087450A">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IPC</w:t>
            </w:r>
            <w:r w:rsidRPr="0087450A">
              <w:rPr>
                <w:rFonts w:ascii="Work Sans" w:hAnsi="Work Sans" w:cs="Arial"/>
                <w:i/>
                <w:spacing w:val="-3"/>
                <w:sz w:val="18"/>
                <w:szCs w:val="18"/>
                <w:vertAlign w:val="subscript"/>
                <w:lang w:val="es-CO"/>
              </w:rPr>
              <w:t>t-2</w:t>
            </w:r>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w:r w:rsidRPr="0087450A">
              <w:rPr>
                <w:rFonts w:ascii="Work Sans" w:hAnsi="Work Sans" w:cs="Arial"/>
                <w:i/>
                <w:spacing w:val="-3"/>
                <w:sz w:val="18"/>
                <w:szCs w:val="18"/>
                <w:lang w:val="es-CO"/>
              </w:rPr>
              <w:t>IPC de diciembre del año inmediatamente anterior al año t-1</w:t>
            </w:r>
          </w:p>
        </w:tc>
      </w:tr>
      <w:tr w:rsidR="00045790" w:rsidRPr="0087450A" w:rsidTr="0087450A">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rPr>
            </w:pPr>
            <m:oMathPara>
              <m:oMathParaPr>
                <m:jc m:val="center"/>
              </m:oMathParaPr>
              <m:oMath>
                <m:r>
                  <w:rPr>
                    <w:rFonts w:ascii="Cambria Math" w:hAnsi="Cambria Math" w:cs="Arial"/>
                    <w:spacing w:val="-3"/>
                    <w:sz w:val="18"/>
                    <w:szCs w:val="18"/>
                  </w:rPr>
                  <m:t>t</m:t>
                </m:r>
              </m:oMath>
            </m:oMathPara>
          </w:p>
        </w:tc>
        <w:tc>
          <w:tcPr>
            <w:tcW w:w="4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790" w:rsidRPr="0087450A" w:rsidRDefault="00045790" w:rsidP="00045790">
            <w:pPr>
              <w:jc w:val="both"/>
              <w:rPr>
                <w:rFonts w:ascii="Work Sans" w:hAnsi="Work Sans" w:cs="Arial"/>
                <w:i/>
                <w:spacing w:val="-3"/>
                <w:sz w:val="18"/>
                <w:szCs w:val="18"/>
                <w:lang w:val="es-CO"/>
              </w:rPr>
            </w:pPr>
            <w:r w:rsidRPr="0087450A">
              <w:rPr>
                <w:rFonts w:ascii="Work Sans" w:hAnsi="Work Sans" w:cs="Arial"/>
                <w:i/>
                <w:spacing w:val="-3"/>
                <w:sz w:val="18"/>
                <w:szCs w:val="18"/>
                <w:lang w:val="es-CO"/>
              </w:rPr>
              <w:t>Año de actualización de la tarifa</w:t>
            </w:r>
          </w:p>
        </w:tc>
      </w:tr>
    </w:tbl>
    <w:p w:rsidR="00045790" w:rsidRPr="0087450A" w:rsidRDefault="00045790" w:rsidP="00045790">
      <w:pPr>
        <w:jc w:val="both"/>
        <w:rPr>
          <w:rFonts w:ascii="Work Sans" w:hAnsi="Work Sans" w:cs="Arial"/>
          <w:i/>
          <w:spacing w:val="-3"/>
          <w:sz w:val="18"/>
          <w:szCs w:val="18"/>
        </w:rPr>
      </w:pPr>
    </w:p>
    <w:p w:rsidR="00045790" w:rsidRPr="0087450A" w:rsidRDefault="00045790" w:rsidP="00045790">
      <w:pPr>
        <w:ind w:left="567" w:right="623"/>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 xml:space="preserve">Una vez se establezca la </w:t>
      </w:r>
      <m:oMath>
        <m:sSub>
          <m:sSubPr>
            <m:ctrlPr>
              <w:rPr>
                <w:rFonts w:ascii="Cambria Math" w:hAnsi="Cambria Math"/>
                <w:i/>
                <w:spacing w:val="-3"/>
                <w:sz w:val="18"/>
                <w:szCs w:val="18"/>
                <w:lang w:val="es"/>
              </w:rPr>
            </m:ctrlPr>
          </m:sSubPr>
          <m:e>
            <m:r>
              <w:rPr>
                <w:rFonts w:ascii="Cambria Math" w:hAnsi="Cambria Math" w:cs="Arial"/>
                <w:spacing w:val="-3"/>
                <w:sz w:val="18"/>
                <w:szCs w:val="18"/>
                <w:lang w:val="es"/>
              </w:rPr>
              <m:t>TarifaSR</m:t>
            </m:r>
          </m:e>
          <m:sub>
            <m:r>
              <w:rPr>
                <w:rFonts w:ascii="Cambria Math" w:hAnsi="Cambria Math" w:cs="Arial"/>
                <w:spacing w:val="-3"/>
                <w:sz w:val="18"/>
                <w:szCs w:val="18"/>
                <w:lang w:val="es"/>
              </w:rPr>
              <m:t>t</m:t>
            </m:r>
          </m:sub>
        </m:sSub>
      </m:oMath>
      <w:r w:rsidRPr="0087450A">
        <w:rPr>
          <w:rFonts w:ascii="Work Sans" w:hAnsi="Work Sans" w:cs="Arial"/>
          <w:bCs/>
          <w:i/>
          <w:iCs/>
          <w:spacing w:val="-3"/>
          <w:sz w:val="18"/>
          <w:szCs w:val="18"/>
          <w:lang w:val="es"/>
        </w:rPr>
        <w:t> sin el redondeo a la centena, para el cálculo de la tarifa a cobrar al Usuario para cada categoría de vehículos y cada Estación de Peaje, se le adicionará la tasa correspondiente al Fondo de Seguridad Vial de acuerdo con la Resolución de Peaje y se redondeará a la centena más cercana de acuerdo con la siguiente fórmula:</w:t>
      </w:r>
    </w:p>
    <w:p w:rsidR="00045790" w:rsidRPr="0087450A" w:rsidRDefault="00045790" w:rsidP="00045790">
      <w:pPr>
        <w:ind w:left="567" w:right="623"/>
        <w:jc w:val="both"/>
        <w:rPr>
          <w:rFonts w:ascii="Work Sans" w:hAnsi="Work Sans" w:cs="Arial"/>
          <w:bCs/>
          <w:i/>
          <w:iCs/>
          <w:spacing w:val="-3"/>
          <w:sz w:val="18"/>
          <w:szCs w:val="18"/>
          <w:lang w:val="es"/>
        </w:rPr>
      </w:pPr>
    </w:p>
    <w:p w:rsidR="00045790" w:rsidRPr="0087450A" w:rsidRDefault="00604839" w:rsidP="00045790">
      <w:pPr>
        <w:ind w:left="567" w:right="623"/>
        <w:jc w:val="both"/>
        <w:rPr>
          <w:rFonts w:ascii="Work Sans" w:hAnsi="Work Sans" w:cs="Arial"/>
          <w:bCs/>
          <w:i/>
          <w:spacing w:val="-3"/>
          <w:sz w:val="18"/>
          <w:szCs w:val="18"/>
          <w:lang w:val="es"/>
        </w:rPr>
      </w:pPr>
      <m:oMathPara>
        <m:oMathParaPr>
          <m:jc m:val="center"/>
        </m:oMathParaPr>
        <m:oMath>
          <m:sSub>
            <m:sSubPr>
              <m:ctrlPr>
                <w:rPr>
                  <w:rFonts w:ascii="Cambria Math" w:hAnsi="Cambria Math"/>
                  <w:i/>
                  <w:spacing w:val="-3"/>
                  <w:sz w:val="18"/>
                  <w:szCs w:val="18"/>
                  <w:lang w:val="es"/>
                </w:rPr>
              </m:ctrlPr>
            </m:sSubPr>
            <m:e>
              <m:r>
                <w:rPr>
                  <w:rFonts w:ascii="Cambria Math" w:hAnsi="Cambria Math" w:cs="Arial"/>
                  <w:spacing w:val="-3"/>
                  <w:sz w:val="18"/>
                  <w:szCs w:val="18"/>
                  <w:lang w:val="es"/>
                </w:rPr>
                <m:t>TarifaUsuario</m:t>
              </m:r>
            </m:e>
            <m:sub>
              <m:r>
                <w:rPr>
                  <w:rFonts w:ascii="Cambria Math" w:hAnsi="Cambria Math" w:cs="Arial"/>
                  <w:spacing w:val="-3"/>
                  <w:sz w:val="18"/>
                  <w:szCs w:val="18"/>
                  <w:lang w:val="es"/>
                </w:rPr>
                <m:t>t</m:t>
              </m:r>
            </m:sub>
          </m:sSub>
          <m:r>
            <w:rPr>
              <w:rFonts w:ascii="Cambria Math" w:hAnsi="Cambria Math" w:cs="Arial"/>
              <w:spacing w:val="-3"/>
              <w:sz w:val="18"/>
              <w:szCs w:val="18"/>
              <w:lang w:val="es"/>
            </w:rPr>
            <m:t>=Redondeo 100* (</m:t>
          </m:r>
          <m:sSub>
            <m:sSubPr>
              <m:ctrlPr>
                <w:rPr>
                  <w:rFonts w:ascii="Cambria Math" w:hAnsi="Cambria Math"/>
                  <w:i/>
                  <w:spacing w:val="-3"/>
                  <w:sz w:val="18"/>
                  <w:szCs w:val="18"/>
                  <w:lang w:val="es"/>
                </w:rPr>
              </m:ctrlPr>
            </m:sSubPr>
            <m:e>
              <m:r>
                <w:rPr>
                  <w:rFonts w:ascii="Cambria Math" w:hAnsi="Cambria Math" w:cs="Arial"/>
                  <w:spacing w:val="-3"/>
                  <w:sz w:val="18"/>
                  <w:szCs w:val="18"/>
                  <w:lang w:val="es"/>
                </w:rPr>
                <m:t>TarifaSR</m:t>
              </m:r>
            </m:e>
            <m:sub>
              <m:r>
                <w:rPr>
                  <w:rFonts w:ascii="Cambria Math" w:hAnsi="Cambria Math" w:cs="Arial"/>
                  <w:spacing w:val="-3"/>
                  <w:sz w:val="18"/>
                  <w:szCs w:val="18"/>
                  <w:lang w:val="es"/>
                </w:rPr>
                <m:t>t</m:t>
              </m:r>
            </m:sub>
          </m:sSub>
          <m:r>
            <w:rPr>
              <w:rFonts w:ascii="Cambria Math" w:hAnsi="Cambria Math" w:cs="Arial"/>
              <w:spacing w:val="-3"/>
              <w:sz w:val="18"/>
              <w:szCs w:val="18"/>
              <w:lang w:val="es"/>
            </w:rPr>
            <m:t xml:space="preserve"> + </m:t>
          </m:r>
          <m:sSub>
            <m:sSubPr>
              <m:ctrlPr>
                <w:rPr>
                  <w:rFonts w:ascii="Cambria Math" w:hAnsi="Cambria Math"/>
                  <w:i/>
                  <w:spacing w:val="-3"/>
                  <w:sz w:val="18"/>
                  <w:szCs w:val="18"/>
                  <w:lang w:val="es"/>
                </w:rPr>
              </m:ctrlPr>
            </m:sSubPr>
            <m:e>
              <m:r>
                <w:rPr>
                  <w:rFonts w:ascii="Cambria Math" w:hAnsi="Cambria Math" w:cs="Arial"/>
                  <w:spacing w:val="-3"/>
                  <w:sz w:val="18"/>
                  <w:szCs w:val="18"/>
                  <w:lang w:val="es"/>
                </w:rPr>
                <m:t>FSV</m:t>
              </m:r>
            </m:e>
            <m:sub>
              <m:r>
                <w:rPr>
                  <w:rFonts w:ascii="Cambria Math" w:hAnsi="Cambria Math" w:cs="Arial"/>
                  <w:spacing w:val="-3"/>
                  <w:sz w:val="18"/>
                  <w:szCs w:val="18"/>
                  <w:lang w:val="es"/>
                </w:rPr>
                <m:t>t</m:t>
              </m:r>
            </m:sub>
          </m:sSub>
          <m:r>
            <w:rPr>
              <w:rFonts w:ascii="Cambria Math" w:hAnsi="Cambria Math" w:cs="Arial"/>
              <w:spacing w:val="-3"/>
              <w:sz w:val="18"/>
              <w:szCs w:val="18"/>
              <w:lang w:val="es"/>
            </w:rPr>
            <m:t>)</m:t>
          </m:r>
        </m:oMath>
      </m:oMathPara>
    </w:p>
    <w:p w:rsidR="00045790" w:rsidRPr="0087450A" w:rsidRDefault="00045790" w:rsidP="00045790">
      <w:pPr>
        <w:ind w:firstLine="567"/>
        <w:jc w:val="both"/>
        <w:rPr>
          <w:rFonts w:ascii="Work Sans" w:hAnsi="Work Sans" w:cs="Arial"/>
          <w:bCs/>
          <w:i/>
          <w:spacing w:val="-3"/>
          <w:sz w:val="18"/>
          <w:szCs w:val="18"/>
          <w:lang w:val="es"/>
        </w:rPr>
      </w:pPr>
      <w:r w:rsidRPr="0087450A">
        <w:rPr>
          <w:rFonts w:ascii="Work Sans" w:hAnsi="Work Sans" w:cs="Arial"/>
          <w:bCs/>
          <w:i/>
          <w:spacing w:val="-3"/>
          <w:sz w:val="18"/>
          <w:szCs w:val="18"/>
          <w:lang w:val="es"/>
        </w:rPr>
        <w:t>Donde,</w:t>
      </w:r>
      <w:r w:rsidRPr="0087450A">
        <w:rPr>
          <w:rFonts w:ascii="Work Sans" w:hAnsi="Work Sans" w:cs="Arial"/>
          <w:bCs/>
          <w:i/>
          <w:spacing w:val="-3"/>
          <w:sz w:val="18"/>
          <w:szCs w:val="18"/>
          <w:lang w:val="es"/>
        </w:rPr>
        <w:tab/>
      </w:r>
    </w:p>
    <w:tbl>
      <w:tblPr>
        <w:tblW w:w="7369" w:type="dxa"/>
        <w:jc w:val="center"/>
        <w:tblLayout w:type="fixed"/>
        <w:tblCellMar>
          <w:left w:w="0" w:type="dxa"/>
          <w:right w:w="0" w:type="dxa"/>
        </w:tblCellMar>
        <w:tblLook w:val="01E0" w:firstRow="1" w:lastRow="1" w:firstColumn="1" w:lastColumn="1" w:noHBand="0" w:noVBand="0"/>
      </w:tblPr>
      <w:tblGrid>
        <w:gridCol w:w="1962"/>
        <w:gridCol w:w="5407"/>
      </w:tblGrid>
      <w:tr w:rsidR="00045790" w:rsidRPr="0087450A" w:rsidTr="0087450A">
        <w:trPr>
          <w:trHeight w:val="20"/>
          <w:jc w:val="center"/>
        </w:trPr>
        <w:tc>
          <w:tcPr>
            <w:tcW w:w="1962"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604839" w:rsidP="00045790">
            <w:pPr>
              <w:jc w:val="both"/>
              <w:rPr>
                <w:rFonts w:ascii="Work Sans" w:hAnsi="Work Sans" w:cs="Arial"/>
                <w:bCs/>
                <w:i/>
                <w:iCs/>
                <w:spacing w:val="-3"/>
                <w:sz w:val="18"/>
                <w:szCs w:val="18"/>
                <w:lang w:val="es"/>
              </w:rPr>
            </w:pPr>
            <m:oMathPara>
              <m:oMath>
                <m:sSub>
                  <m:sSubPr>
                    <m:ctrlPr>
                      <w:rPr>
                        <w:rFonts w:ascii="Cambria Math" w:hAnsi="Cambria Math"/>
                        <w:i/>
                        <w:spacing w:val="-3"/>
                        <w:sz w:val="18"/>
                        <w:szCs w:val="18"/>
                        <w:lang w:val="es"/>
                      </w:rPr>
                    </m:ctrlPr>
                  </m:sSubPr>
                  <m:e>
                    <m:r>
                      <w:rPr>
                        <w:rFonts w:ascii="Cambria Math" w:hAnsi="Cambria Math" w:cs="Arial"/>
                        <w:spacing w:val="-3"/>
                        <w:sz w:val="18"/>
                        <w:szCs w:val="18"/>
                        <w:lang w:val="es"/>
                      </w:rPr>
                      <m:t>TarifaUsuario</m:t>
                    </m:r>
                  </m:e>
                  <m:sub>
                    <m:r>
                      <w:rPr>
                        <w:rFonts w:ascii="Cambria Math" w:hAnsi="Cambria Math" w:cs="Arial"/>
                        <w:spacing w:val="-3"/>
                        <w:sz w:val="18"/>
                        <w:szCs w:val="18"/>
                        <w:lang w:val="es"/>
                      </w:rPr>
                      <m:t>t</m:t>
                    </m:r>
                  </m:sub>
                </m:sSub>
              </m:oMath>
            </m:oMathPara>
          </w:p>
        </w:tc>
        <w:tc>
          <w:tcPr>
            <w:tcW w:w="5407"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045790" w:rsidP="00045790">
            <w:pPr>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Para cada categoría de vehículos y cada Estación de Peaje es el valor de la tarifa a pagar por el Usuario para el año t</w:t>
            </w:r>
          </w:p>
        </w:tc>
      </w:tr>
      <w:tr w:rsidR="00045790" w:rsidRPr="0087450A" w:rsidTr="0087450A">
        <w:trPr>
          <w:trHeight w:val="20"/>
          <w:jc w:val="center"/>
        </w:trPr>
        <w:tc>
          <w:tcPr>
            <w:tcW w:w="1962"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604839" w:rsidP="00045790">
            <w:pPr>
              <w:jc w:val="both"/>
              <w:rPr>
                <w:rFonts w:ascii="Work Sans" w:hAnsi="Work Sans" w:cs="Arial"/>
                <w:bCs/>
                <w:i/>
                <w:iCs/>
                <w:spacing w:val="-3"/>
                <w:sz w:val="18"/>
                <w:szCs w:val="18"/>
                <w:lang w:val="es"/>
              </w:rPr>
            </w:pPr>
            <m:oMathPara>
              <m:oMath>
                <m:sSub>
                  <m:sSubPr>
                    <m:ctrlPr>
                      <w:rPr>
                        <w:rFonts w:ascii="Cambria Math" w:hAnsi="Cambria Math"/>
                        <w:i/>
                        <w:spacing w:val="-3"/>
                        <w:sz w:val="18"/>
                        <w:szCs w:val="18"/>
                        <w:lang w:val="es"/>
                      </w:rPr>
                    </m:ctrlPr>
                  </m:sSubPr>
                  <m:e>
                    <m:r>
                      <w:rPr>
                        <w:rFonts w:ascii="Cambria Math" w:hAnsi="Cambria Math" w:cs="Arial"/>
                        <w:spacing w:val="-3"/>
                        <w:sz w:val="18"/>
                        <w:szCs w:val="18"/>
                        <w:lang w:val="es"/>
                      </w:rPr>
                      <m:t>TarifaSR</m:t>
                    </m:r>
                  </m:e>
                  <m:sub>
                    <m:r>
                      <w:rPr>
                        <w:rFonts w:ascii="Cambria Math" w:hAnsi="Cambria Math" w:cs="Arial"/>
                        <w:spacing w:val="-3"/>
                        <w:sz w:val="18"/>
                        <w:szCs w:val="18"/>
                        <w:lang w:val="es"/>
                      </w:rPr>
                      <m:t>t</m:t>
                    </m:r>
                  </m:sub>
                </m:sSub>
              </m:oMath>
            </m:oMathPara>
          </w:p>
        </w:tc>
        <w:tc>
          <w:tcPr>
            <w:tcW w:w="5407"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045790" w:rsidP="00045790">
            <w:pPr>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Para cada categoría de vehículos y cada Estación de Peaje es el valor de la Tarifa actualizada en Pesos corrientes del año t, sin el redondeo a la centena</w:t>
            </w:r>
          </w:p>
        </w:tc>
      </w:tr>
      <w:tr w:rsidR="00045790" w:rsidRPr="0087450A" w:rsidTr="0087450A">
        <w:trPr>
          <w:trHeight w:val="20"/>
          <w:jc w:val="center"/>
        </w:trPr>
        <w:tc>
          <w:tcPr>
            <w:tcW w:w="1962"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604839" w:rsidP="00045790">
            <w:pPr>
              <w:jc w:val="both"/>
              <w:rPr>
                <w:rFonts w:ascii="Work Sans" w:hAnsi="Work Sans" w:cs="Arial"/>
                <w:bCs/>
                <w:i/>
                <w:iCs/>
                <w:spacing w:val="-3"/>
                <w:sz w:val="18"/>
                <w:szCs w:val="18"/>
                <w:lang w:val="es"/>
              </w:rPr>
            </w:pPr>
            <m:oMathPara>
              <m:oMath>
                <m:sSub>
                  <m:sSubPr>
                    <m:ctrlPr>
                      <w:rPr>
                        <w:rFonts w:ascii="Cambria Math" w:hAnsi="Cambria Math"/>
                        <w:i/>
                        <w:spacing w:val="-3"/>
                        <w:sz w:val="18"/>
                        <w:szCs w:val="18"/>
                        <w:lang w:val="es"/>
                      </w:rPr>
                    </m:ctrlPr>
                  </m:sSubPr>
                  <m:e>
                    <m:r>
                      <w:rPr>
                        <w:rFonts w:ascii="Cambria Math" w:hAnsi="Cambria Math" w:cs="Arial"/>
                        <w:spacing w:val="-3"/>
                        <w:sz w:val="18"/>
                        <w:szCs w:val="18"/>
                        <w:lang w:val="es"/>
                      </w:rPr>
                      <m:t>FSV</m:t>
                    </m:r>
                  </m:e>
                  <m:sub>
                    <m:r>
                      <w:rPr>
                        <w:rFonts w:ascii="Cambria Math" w:hAnsi="Cambria Math" w:cs="Arial"/>
                        <w:spacing w:val="-3"/>
                        <w:sz w:val="18"/>
                        <w:szCs w:val="18"/>
                        <w:lang w:val="es"/>
                      </w:rPr>
                      <m:t>t</m:t>
                    </m:r>
                  </m:sub>
                </m:sSub>
              </m:oMath>
            </m:oMathPara>
          </w:p>
        </w:tc>
        <w:tc>
          <w:tcPr>
            <w:tcW w:w="5407"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045790" w:rsidP="00045790">
            <w:pPr>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Es el valor del aporte al Fondo de Seguridad Vial para el año t vigente al momento del cálculo, expresado en pesos corrientes del año t</w:t>
            </w:r>
          </w:p>
        </w:tc>
      </w:tr>
      <w:tr w:rsidR="00045790" w:rsidRPr="0087450A" w:rsidTr="0087450A">
        <w:trPr>
          <w:trHeight w:val="20"/>
          <w:jc w:val="center"/>
        </w:trPr>
        <w:tc>
          <w:tcPr>
            <w:tcW w:w="1962"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045790" w:rsidP="00045790">
            <w:pPr>
              <w:jc w:val="both"/>
              <w:rPr>
                <w:rFonts w:ascii="Work Sans" w:hAnsi="Work Sans" w:cs="Arial"/>
                <w:bCs/>
                <w:i/>
                <w:iCs/>
                <w:spacing w:val="-3"/>
                <w:sz w:val="18"/>
                <w:szCs w:val="18"/>
                <w:lang w:val="es"/>
              </w:rPr>
            </w:pPr>
            <m:oMathPara>
              <m:oMath>
                <m:r>
                  <w:rPr>
                    <w:rFonts w:ascii="Cambria Math" w:hAnsi="Cambria Math" w:cs="Arial"/>
                    <w:spacing w:val="-3"/>
                    <w:sz w:val="18"/>
                    <w:szCs w:val="18"/>
                    <w:lang w:val="es"/>
                  </w:rPr>
                  <m:t>Redondeo 100</m:t>
                </m:r>
              </m:oMath>
            </m:oMathPara>
          </w:p>
        </w:tc>
        <w:tc>
          <w:tcPr>
            <w:tcW w:w="5407" w:type="dxa"/>
            <w:tcBorders>
              <w:top w:val="single" w:sz="6" w:space="0" w:color="000000"/>
              <w:left w:val="single" w:sz="6" w:space="0" w:color="000000"/>
              <w:bottom w:val="single" w:sz="6" w:space="0" w:color="000000"/>
              <w:right w:val="single" w:sz="6" w:space="0" w:color="000000"/>
            </w:tcBorders>
          </w:tcPr>
          <w:p w:rsidR="00045790" w:rsidRPr="0087450A" w:rsidRDefault="00045790" w:rsidP="00045790">
            <w:pPr>
              <w:jc w:val="both"/>
              <w:rPr>
                <w:rFonts w:ascii="Work Sans" w:hAnsi="Work Sans" w:cs="Arial"/>
                <w:bCs/>
                <w:i/>
                <w:iCs/>
                <w:spacing w:val="-3"/>
                <w:sz w:val="18"/>
                <w:szCs w:val="18"/>
                <w:lang w:val="es"/>
              </w:rPr>
            </w:pPr>
          </w:p>
          <w:p w:rsidR="00045790" w:rsidRPr="0087450A" w:rsidRDefault="00045790" w:rsidP="00045790">
            <w:pPr>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Función que redondea un número al múltiplo de 100 más cercano. Redondea hacia la centena superior, si el residuo de dividir el número entre cien (100) es mayor o igual a cincuenta (50). Redondea hacia la centena inferior, si el residuo de dividir el número entre cien (100) es menor que cincuenta (50)</w:t>
            </w:r>
          </w:p>
        </w:tc>
      </w:tr>
      <w:tr w:rsidR="00045790" w:rsidRPr="0087450A" w:rsidTr="0087450A">
        <w:trPr>
          <w:trHeight w:val="489"/>
          <w:jc w:val="center"/>
        </w:trPr>
        <w:tc>
          <w:tcPr>
            <w:tcW w:w="1962" w:type="dxa"/>
            <w:tcBorders>
              <w:top w:val="single" w:sz="6" w:space="0" w:color="000000"/>
              <w:left w:val="single" w:sz="6" w:space="0" w:color="000000"/>
              <w:bottom w:val="single" w:sz="6" w:space="0" w:color="000000"/>
              <w:right w:val="single" w:sz="6" w:space="0" w:color="000000"/>
            </w:tcBorders>
            <w:vAlign w:val="center"/>
          </w:tcPr>
          <w:p w:rsidR="00045790" w:rsidRPr="0087450A" w:rsidRDefault="00045790" w:rsidP="00045790">
            <w:pPr>
              <w:jc w:val="both"/>
              <w:rPr>
                <w:rFonts w:ascii="Work Sans" w:hAnsi="Work Sans" w:cs="Arial"/>
                <w:bCs/>
                <w:i/>
                <w:iCs/>
                <w:spacing w:val="-3"/>
                <w:sz w:val="18"/>
                <w:szCs w:val="18"/>
                <w:lang w:val="es"/>
              </w:rPr>
            </w:pPr>
            <m:oMathPara>
              <m:oMathParaPr>
                <m:jc m:val="left"/>
              </m:oMathParaPr>
              <m:oMath>
                <m:r>
                  <w:rPr>
                    <w:rFonts w:ascii="Cambria Math" w:hAnsi="Cambria Math" w:cs="Arial"/>
                    <w:spacing w:val="-3"/>
                    <w:sz w:val="18"/>
                    <w:szCs w:val="18"/>
                    <w:lang w:val="es"/>
                  </w:rPr>
                  <m:t xml:space="preserve">  t</m:t>
                </m:r>
              </m:oMath>
            </m:oMathPara>
          </w:p>
        </w:tc>
        <w:tc>
          <w:tcPr>
            <w:tcW w:w="5407" w:type="dxa"/>
            <w:tcBorders>
              <w:top w:val="single" w:sz="6" w:space="0" w:color="000000"/>
              <w:left w:val="single" w:sz="6" w:space="0" w:color="000000"/>
              <w:bottom w:val="single" w:sz="6" w:space="0" w:color="000000"/>
              <w:right w:val="single" w:sz="6" w:space="0" w:color="000000"/>
            </w:tcBorders>
            <w:vAlign w:val="center"/>
          </w:tcPr>
          <w:p w:rsidR="00045790" w:rsidRPr="0087450A" w:rsidRDefault="00045790" w:rsidP="00045790">
            <w:pPr>
              <w:jc w:val="both"/>
              <w:rPr>
                <w:rFonts w:ascii="Work Sans" w:hAnsi="Work Sans" w:cs="Arial"/>
                <w:bCs/>
                <w:i/>
                <w:iCs/>
                <w:spacing w:val="-3"/>
                <w:sz w:val="18"/>
                <w:szCs w:val="18"/>
                <w:lang w:val="es"/>
              </w:rPr>
            </w:pPr>
            <w:r w:rsidRPr="0087450A">
              <w:rPr>
                <w:rFonts w:ascii="Work Sans" w:hAnsi="Work Sans" w:cs="Arial"/>
                <w:bCs/>
                <w:i/>
                <w:iCs/>
                <w:spacing w:val="-3"/>
                <w:sz w:val="18"/>
                <w:szCs w:val="18"/>
                <w:lang w:val="es"/>
              </w:rPr>
              <w:t>Año de Actualización de la tarifa</w:t>
            </w:r>
          </w:p>
        </w:tc>
      </w:tr>
    </w:tbl>
    <w:p w:rsidR="00045790" w:rsidRPr="0087450A" w:rsidRDefault="00045790" w:rsidP="00045790">
      <w:pPr>
        <w:jc w:val="both"/>
        <w:rPr>
          <w:rFonts w:ascii="Work Sans" w:hAnsi="Work Sans" w:cs="Arial"/>
          <w:bCs/>
          <w:i/>
          <w:spacing w:val="-3"/>
          <w:sz w:val="18"/>
          <w:szCs w:val="18"/>
          <w:lang w:val="es"/>
        </w:rPr>
      </w:pPr>
    </w:p>
    <w:p w:rsidR="00045790" w:rsidRPr="0087450A" w:rsidRDefault="00045790" w:rsidP="00045790">
      <w:pPr>
        <w:jc w:val="both"/>
        <w:rPr>
          <w:rFonts w:ascii="Work Sans" w:hAnsi="Work Sans" w:cs="Arial"/>
          <w:i/>
          <w:spacing w:val="-3"/>
          <w:sz w:val="18"/>
          <w:szCs w:val="18"/>
        </w:rPr>
      </w:pPr>
    </w:p>
    <w:p w:rsidR="00045790" w:rsidRPr="0087450A" w:rsidRDefault="00045790" w:rsidP="00045790">
      <w:pPr>
        <w:widowControl/>
        <w:numPr>
          <w:ilvl w:val="0"/>
          <w:numId w:val="24"/>
        </w:numPr>
        <w:suppressAutoHyphens w:val="0"/>
        <w:autoSpaceDN/>
        <w:jc w:val="both"/>
        <w:textAlignment w:val="auto"/>
        <w:rPr>
          <w:rFonts w:ascii="Work Sans" w:hAnsi="Work Sans" w:cs="Arial"/>
          <w:i/>
          <w:iCs/>
          <w:spacing w:val="-3"/>
          <w:sz w:val="18"/>
          <w:szCs w:val="18"/>
        </w:rPr>
      </w:pPr>
      <w:r w:rsidRPr="0087450A">
        <w:rPr>
          <w:rFonts w:ascii="Work Sans" w:hAnsi="Work Sans" w:cs="Arial"/>
          <w:i/>
          <w:iCs/>
          <w:spacing w:val="-3"/>
          <w:sz w:val="18"/>
          <w:szCs w:val="18"/>
        </w:rPr>
        <w:t>Establecer las siguientes tarifas diferenciales para las categorías IE2, IIE y IIE2 expresadas en Pesos de diciembre de 2019 y sin incluir la tarifa del Fondo de Seguridad Vial (FSV):</w:t>
      </w:r>
    </w:p>
    <w:p w:rsidR="00045790" w:rsidRPr="0087450A" w:rsidRDefault="00045790" w:rsidP="00045790">
      <w:pPr>
        <w:jc w:val="both"/>
        <w:rPr>
          <w:rFonts w:ascii="Work Sans" w:hAnsi="Work Sans" w:cs="Arial"/>
          <w:i/>
          <w:spacing w:val="-3"/>
          <w:sz w:val="18"/>
          <w:szCs w:val="18"/>
        </w:rPr>
      </w:pPr>
    </w:p>
    <w:tbl>
      <w:tblPr>
        <w:tblW w:w="4312" w:type="pct"/>
        <w:jc w:val="center"/>
        <w:tblCellMar>
          <w:left w:w="10" w:type="dxa"/>
          <w:right w:w="10" w:type="dxa"/>
        </w:tblCellMar>
        <w:tblLook w:val="0000" w:firstRow="0" w:lastRow="0" w:firstColumn="0" w:lastColumn="0" w:noHBand="0" w:noVBand="0"/>
      </w:tblPr>
      <w:tblGrid>
        <w:gridCol w:w="1824"/>
        <w:gridCol w:w="1680"/>
        <w:gridCol w:w="1605"/>
        <w:gridCol w:w="2265"/>
      </w:tblGrid>
      <w:tr w:rsidR="00045790" w:rsidRPr="0087450A" w:rsidTr="00045790">
        <w:trPr>
          <w:trHeight w:val="263"/>
          <w:jc w:val="center"/>
        </w:trPr>
        <w:tc>
          <w:tcPr>
            <w:tcW w:w="12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 xml:space="preserve">   Categoría </w:t>
            </w:r>
          </w:p>
        </w:tc>
        <w:tc>
          <w:tcPr>
            <w:tcW w:w="11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 xml:space="preserve">Peaje Andes </w:t>
            </w:r>
          </w:p>
        </w:tc>
        <w:tc>
          <w:tcPr>
            <w:tcW w:w="10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 xml:space="preserve">Peaje Fusca </w:t>
            </w:r>
          </w:p>
        </w:tc>
        <w:tc>
          <w:tcPr>
            <w:tcW w:w="1536" w:type="pct"/>
            <w:tcBorders>
              <w:top w:val="single" w:sz="4" w:space="0" w:color="000000"/>
              <w:left w:val="single" w:sz="4" w:space="0" w:color="000000"/>
              <w:bottom w:val="single" w:sz="4" w:space="0" w:color="000000"/>
              <w:right w:val="single" w:sz="4" w:space="0" w:color="000000"/>
            </w:tcBorders>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b/>
                <w:bCs/>
                <w:i/>
                <w:iCs/>
                <w:spacing w:val="-3"/>
                <w:sz w:val="18"/>
                <w:szCs w:val="18"/>
              </w:rPr>
              <w:t xml:space="preserve">Entrada en Vigencia </w:t>
            </w:r>
          </w:p>
        </w:tc>
      </w:tr>
      <w:tr w:rsidR="00045790" w:rsidRPr="0087450A" w:rsidTr="00045790">
        <w:trPr>
          <w:trHeight w:val="263"/>
          <w:jc w:val="center"/>
        </w:trPr>
        <w:tc>
          <w:tcPr>
            <w:tcW w:w="12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Categoría IIE</w:t>
            </w:r>
          </w:p>
        </w:tc>
        <w:tc>
          <w:tcPr>
            <w:tcW w:w="11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i/>
                <w:iCs/>
                <w:spacing w:val="-3"/>
                <w:sz w:val="18"/>
                <w:szCs w:val="18"/>
              </w:rPr>
              <w:t>14.000</w:t>
            </w:r>
          </w:p>
        </w:tc>
        <w:tc>
          <w:tcPr>
            <w:tcW w:w="10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b/>
                <w:bCs/>
                <w:i/>
                <w:iCs/>
                <w:spacing w:val="-3"/>
                <w:sz w:val="18"/>
                <w:szCs w:val="18"/>
              </w:rPr>
            </w:pPr>
            <w:r w:rsidRPr="0087450A">
              <w:rPr>
                <w:rFonts w:ascii="Work Sans" w:hAnsi="Work Sans" w:cs="Arial"/>
                <w:i/>
                <w:iCs/>
                <w:spacing w:val="-3"/>
                <w:sz w:val="18"/>
                <w:szCs w:val="18"/>
              </w:rPr>
              <w:t>14.000</w:t>
            </w:r>
          </w:p>
        </w:tc>
        <w:tc>
          <w:tcPr>
            <w:tcW w:w="1536" w:type="pct"/>
            <w:tcBorders>
              <w:top w:val="single" w:sz="4" w:space="0" w:color="000000"/>
              <w:left w:val="single" w:sz="4" w:space="0" w:color="000000"/>
              <w:bottom w:val="single" w:sz="4" w:space="0" w:color="000000"/>
              <w:right w:val="single" w:sz="4" w:space="0" w:color="000000"/>
            </w:tcBorders>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Desde la entrada en vigencia de la resolución</w:t>
            </w:r>
          </w:p>
        </w:tc>
      </w:tr>
      <w:tr w:rsidR="00045790" w:rsidRPr="0087450A" w:rsidTr="00045790">
        <w:trPr>
          <w:trHeight w:val="282"/>
          <w:jc w:val="center"/>
        </w:trPr>
        <w:tc>
          <w:tcPr>
            <w:tcW w:w="12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Categoría IE2 </w:t>
            </w:r>
          </w:p>
        </w:tc>
        <w:tc>
          <w:tcPr>
            <w:tcW w:w="11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 -</w:t>
            </w:r>
          </w:p>
        </w:tc>
        <w:tc>
          <w:tcPr>
            <w:tcW w:w="10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6.000</w:t>
            </w:r>
          </w:p>
        </w:tc>
        <w:tc>
          <w:tcPr>
            <w:tcW w:w="1536" w:type="pct"/>
            <w:tcBorders>
              <w:top w:val="single" w:sz="4" w:space="0" w:color="000000"/>
              <w:left w:val="single" w:sz="4" w:space="0" w:color="000000"/>
              <w:bottom w:val="single" w:sz="4" w:space="0" w:color="000000"/>
              <w:right w:val="single" w:sz="4" w:space="0" w:color="000000"/>
            </w:tcBorders>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16 de enero de 2023</w:t>
            </w:r>
          </w:p>
        </w:tc>
      </w:tr>
      <w:tr w:rsidR="00045790" w:rsidRPr="0087450A" w:rsidTr="00045790">
        <w:trPr>
          <w:trHeight w:val="245"/>
          <w:jc w:val="center"/>
        </w:trPr>
        <w:tc>
          <w:tcPr>
            <w:tcW w:w="12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Categoría IIE2 </w:t>
            </w:r>
          </w:p>
        </w:tc>
        <w:tc>
          <w:tcPr>
            <w:tcW w:w="11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 xml:space="preserve">15.400 </w:t>
            </w:r>
          </w:p>
        </w:tc>
        <w:tc>
          <w:tcPr>
            <w:tcW w:w="10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15.400</w:t>
            </w:r>
          </w:p>
        </w:tc>
        <w:tc>
          <w:tcPr>
            <w:tcW w:w="1536" w:type="pct"/>
            <w:tcBorders>
              <w:top w:val="single" w:sz="4" w:space="0" w:color="000000"/>
              <w:left w:val="single" w:sz="4" w:space="0" w:color="000000"/>
              <w:bottom w:val="single" w:sz="4" w:space="0" w:color="000000"/>
              <w:right w:val="single" w:sz="4" w:space="0" w:color="000000"/>
            </w:tcBorders>
            <w:vAlign w:val="center"/>
          </w:tcPr>
          <w:p w:rsidR="00045790" w:rsidRPr="0087450A" w:rsidRDefault="00045790" w:rsidP="00045790">
            <w:pPr>
              <w:jc w:val="both"/>
              <w:rPr>
                <w:rFonts w:ascii="Work Sans" w:hAnsi="Work Sans" w:cs="Arial"/>
                <w:i/>
                <w:iCs/>
                <w:spacing w:val="-3"/>
                <w:sz w:val="18"/>
                <w:szCs w:val="18"/>
              </w:rPr>
            </w:pPr>
            <w:r w:rsidRPr="0087450A">
              <w:rPr>
                <w:rFonts w:ascii="Work Sans" w:hAnsi="Work Sans" w:cs="Arial"/>
                <w:i/>
                <w:iCs/>
                <w:spacing w:val="-3"/>
                <w:sz w:val="18"/>
                <w:szCs w:val="18"/>
              </w:rPr>
              <w:t>16 de enero de 2023</w:t>
            </w:r>
          </w:p>
        </w:tc>
      </w:tr>
      <w:tr w:rsidR="00045790" w:rsidRPr="0087450A" w:rsidTr="00045790">
        <w:trPr>
          <w:trHeight w:val="53"/>
          <w:jc w:val="center"/>
        </w:trPr>
        <w:tc>
          <w:tcPr>
            <w:tcW w:w="12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p>
        </w:tc>
        <w:tc>
          <w:tcPr>
            <w:tcW w:w="11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p>
        </w:tc>
        <w:tc>
          <w:tcPr>
            <w:tcW w:w="10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790" w:rsidRPr="0087450A" w:rsidRDefault="00045790" w:rsidP="00045790">
            <w:pPr>
              <w:jc w:val="both"/>
              <w:rPr>
                <w:rFonts w:ascii="Work Sans" w:hAnsi="Work Sans" w:cs="Arial"/>
                <w:i/>
                <w:iCs/>
                <w:spacing w:val="-3"/>
                <w:sz w:val="18"/>
                <w:szCs w:val="18"/>
              </w:rPr>
            </w:pPr>
          </w:p>
        </w:tc>
        <w:tc>
          <w:tcPr>
            <w:tcW w:w="1536" w:type="pct"/>
            <w:tcBorders>
              <w:top w:val="single" w:sz="4" w:space="0" w:color="000000"/>
              <w:left w:val="single" w:sz="4" w:space="0" w:color="000000"/>
              <w:bottom w:val="single" w:sz="4" w:space="0" w:color="000000"/>
              <w:right w:val="single" w:sz="4" w:space="0" w:color="000000"/>
            </w:tcBorders>
            <w:vAlign w:val="center"/>
          </w:tcPr>
          <w:p w:rsidR="00045790" w:rsidRPr="0087450A" w:rsidRDefault="00045790" w:rsidP="00045790">
            <w:pPr>
              <w:jc w:val="both"/>
              <w:rPr>
                <w:rFonts w:ascii="Work Sans" w:hAnsi="Work Sans" w:cs="Arial"/>
                <w:i/>
                <w:iCs/>
                <w:spacing w:val="-3"/>
                <w:sz w:val="18"/>
                <w:szCs w:val="18"/>
              </w:rPr>
            </w:pPr>
          </w:p>
        </w:tc>
      </w:tr>
    </w:tbl>
    <w:p w:rsidR="00045790" w:rsidRPr="0087450A" w:rsidRDefault="00045790" w:rsidP="00045790">
      <w:pPr>
        <w:pStyle w:val="Prrafodelista"/>
        <w:numPr>
          <w:ilvl w:val="1"/>
          <w:numId w:val="27"/>
        </w:numPr>
        <w:suppressAutoHyphens w:val="0"/>
        <w:autoSpaceDN/>
        <w:contextualSpacing/>
        <w:jc w:val="both"/>
        <w:textAlignment w:val="auto"/>
        <w:rPr>
          <w:rFonts w:ascii="Work Sans" w:hAnsi="Work Sans" w:cs="Arial"/>
          <w:b/>
          <w:bCs/>
          <w:i/>
          <w:spacing w:val="-3"/>
          <w:sz w:val="18"/>
          <w:szCs w:val="18"/>
        </w:rPr>
      </w:pPr>
      <w:r w:rsidRPr="0087450A">
        <w:rPr>
          <w:rFonts w:ascii="Work Sans" w:hAnsi="Work Sans" w:cs="Arial"/>
          <w:b/>
          <w:bCs/>
          <w:i/>
          <w:spacing w:val="-3"/>
          <w:sz w:val="18"/>
          <w:szCs w:val="18"/>
        </w:rPr>
        <w:t>Justificación de los Incrementos y las Tarifas Diferenciales</w:t>
      </w:r>
    </w:p>
    <w:p w:rsidR="00045790" w:rsidRPr="0087450A" w:rsidRDefault="00045790" w:rsidP="00045790">
      <w:pPr>
        <w:pStyle w:val="Prrafodelista"/>
        <w:jc w:val="both"/>
        <w:rPr>
          <w:rFonts w:ascii="Work Sans" w:hAnsi="Work Sans" w:cs="Arial"/>
          <w:b/>
          <w:bCs/>
          <w:i/>
          <w:spacing w:val="-3"/>
          <w:sz w:val="18"/>
          <w:szCs w:val="18"/>
        </w:rPr>
      </w:pPr>
    </w:p>
    <w:p w:rsidR="00045790" w:rsidRPr="0087450A" w:rsidRDefault="00045790" w:rsidP="00045790">
      <w:pPr>
        <w:ind w:left="567" w:right="623"/>
        <w:jc w:val="both"/>
        <w:rPr>
          <w:rFonts w:ascii="Work Sans" w:hAnsi="Work Sans" w:cs="Arial"/>
          <w:i/>
          <w:iCs/>
          <w:spacing w:val="-3"/>
          <w:sz w:val="18"/>
          <w:szCs w:val="18"/>
        </w:rPr>
      </w:pPr>
      <w:r w:rsidRPr="0087450A">
        <w:rPr>
          <w:rFonts w:ascii="Work Sans" w:hAnsi="Work Sans" w:cs="Arial"/>
          <w:i/>
          <w:iCs/>
          <w:spacing w:val="-3"/>
          <w:sz w:val="18"/>
          <w:szCs w:val="18"/>
        </w:rPr>
        <w:t>Los incrementos en las tarifas encuentran su sustento en la estructuración técnica del proyecto Accesos Norte Fase II, en donde se identificó que para realizar las intervenciones necesarias que permitan ampliar la capacidad de la vía en los corredores que comunican a la ciudad de Bogotá con los municipios aledaños Chía, Sopó, Cajicá, Zipaquirá y Tocancipá, entre otros, y con el norte del país, resulta indispensable realizar los incrementos previstos con el fin de cubrir los costos para la realización de las obras, de la operación y el mantenimiento que permitan lograr mejorar las condiciones técnicas de la infraestructura, manteniendo niveles de servicio óptimos.</w:t>
      </w:r>
    </w:p>
    <w:p w:rsidR="00045790" w:rsidRPr="0087450A" w:rsidRDefault="00045790" w:rsidP="00045790">
      <w:pPr>
        <w:ind w:left="567" w:right="623"/>
        <w:jc w:val="both"/>
        <w:rPr>
          <w:rFonts w:ascii="Work Sans" w:hAnsi="Work Sans" w:cs="Arial"/>
          <w:i/>
          <w:iCs/>
          <w:spacing w:val="-3"/>
          <w:sz w:val="18"/>
          <w:szCs w:val="18"/>
        </w:rPr>
      </w:pPr>
    </w:p>
    <w:p w:rsidR="00045790" w:rsidRPr="0087450A" w:rsidRDefault="00045790" w:rsidP="00045790">
      <w:pPr>
        <w:tabs>
          <w:tab w:val="left" w:pos="0"/>
        </w:tabs>
        <w:ind w:left="567" w:right="623"/>
        <w:jc w:val="both"/>
        <w:rPr>
          <w:rFonts w:ascii="Work Sans" w:hAnsi="Work Sans"/>
          <w:i/>
          <w:sz w:val="18"/>
          <w:szCs w:val="18"/>
        </w:rPr>
      </w:pPr>
      <w:r w:rsidRPr="0087450A">
        <w:rPr>
          <w:rFonts w:ascii="Work Sans" w:hAnsi="Work Sans"/>
          <w:i/>
          <w:sz w:val="18"/>
          <w:szCs w:val="18"/>
        </w:rPr>
        <w:t>Al respecto, el primer incremento previsto en el año 2023 corresponde a las obras a realizar en la Autopista Norte, la Perimetral de Sopó y el mejoramiento de la Carrera Séptima. El segundo incremento previsto en el año 2026 corresponde a las obras para la construcción de la segunda calzada de la Carrera Séptima.</w:t>
      </w:r>
    </w:p>
    <w:p w:rsidR="00045790" w:rsidRPr="0087450A" w:rsidRDefault="00045790" w:rsidP="00045790">
      <w:pPr>
        <w:tabs>
          <w:tab w:val="left" w:pos="0"/>
        </w:tabs>
        <w:ind w:left="567" w:right="623"/>
        <w:jc w:val="both"/>
        <w:rPr>
          <w:rFonts w:ascii="Work Sans" w:hAnsi="Work Sans"/>
          <w:i/>
          <w:sz w:val="18"/>
          <w:szCs w:val="18"/>
        </w:rPr>
      </w:pPr>
    </w:p>
    <w:p w:rsidR="00045790" w:rsidRPr="0087450A" w:rsidRDefault="00045790" w:rsidP="00045790">
      <w:pPr>
        <w:tabs>
          <w:tab w:val="left" w:pos="0"/>
        </w:tabs>
        <w:ind w:left="567" w:right="623"/>
        <w:jc w:val="both"/>
        <w:rPr>
          <w:rFonts w:ascii="Work Sans" w:hAnsi="Work Sans"/>
          <w:i/>
          <w:sz w:val="18"/>
          <w:szCs w:val="18"/>
        </w:rPr>
      </w:pPr>
      <w:r w:rsidRPr="0087450A">
        <w:rPr>
          <w:rFonts w:ascii="Work Sans" w:hAnsi="Work Sans"/>
          <w:i/>
          <w:sz w:val="18"/>
          <w:szCs w:val="18"/>
        </w:rPr>
        <w:t>Es importante mencionar, que las Resoluciones de Peajes 937 de 1994, 5640 de 1996, 05 de 2000, y 3084 de 2000 seguirán vigentes y en consecuencia, la actualización de las tarifas de peaje durante la vigencia de las Concesiones ACCESOS NORTE A LA CIUDAD DE BOGOTÁ D.C. y ACCESOS NORTE FASE II, se realizará de conformidad con dichas resoluciones, esto es, la actualización se efectuará conforme al IPC. Por lo tanto, solo en los años 2023 y 2026 habrá un incremento diferente al IPC, para los demás años del contrato las tarifas a cobrar se actualizarán conforme a la fórmula de actualización del IPC prevista en los en las resoluciones vigentes y en el Contrato de Concesión No.001 de 2017 y el Contrato de Concesión que resulte del proceso de Licitación Pública No.</w:t>
      </w:r>
      <w:r w:rsidRPr="0087450A">
        <w:rPr>
          <w:rFonts w:ascii="Work Sans" w:hAnsi="Work Sans" w:cs="Arial"/>
          <w:i/>
          <w:spacing w:val="-3"/>
          <w:sz w:val="18"/>
          <w:szCs w:val="18"/>
        </w:rPr>
        <w:t xml:space="preserve"> VJ-VE-APP-IPB-001-2021.</w:t>
      </w:r>
      <w:r w:rsidRPr="0087450A">
        <w:rPr>
          <w:rFonts w:ascii="Work Sans" w:hAnsi="Work Sans"/>
          <w:i/>
          <w:sz w:val="18"/>
          <w:szCs w:val="18"/>
        </w:rPr>
        <w:t xml:space="preserve"> </w:t>
      </w:r>
    </w:p>
    <w:p w:rsidR="00045790" w:rsidRPr="0087450A" w:rsidRDefault="00045790" w:rsidP="00045790">
      <w:pPr>
        <w:ind w:left="567" w:right="623"/>
        <w:jc w:val="both"/>
        <w:rPr>
          <w:rFonts w:ascii="Work Sans" w:hAnsi="Work Sans" w:cs="Arial"/>
          <w:i/>
          <w:iCs/>
          <w:spacing w:val="-3"/>
          <w:sz w:val="18"/>
          <w:szCs w:val="18"/>
        </w:rPr>
      </w:pPr>
    </w:p>
    <w:p w:rsidR="00045790" w:rsidRPr="0087450A" w:rsidRDefault="00045790" w:rsidP="00045790">
      <w:pPr>
        <w:ind w:left="567" w:right="623"/>
        <w:jc w:val="both"/>
        <w:rPr>
          <w:rFonts w:ascii="Work Sans" w:hAnsi="Work Sans" w:cs="Arial"/>
          <w:i/>
          <w:iCs/>
          <w:spacing w:val="-3"/>
          <w:sz w:val="18"/>
          <w:szCs w:val="18"/>
        </w:rPr>
      </w:pPr>
      <w:r w:rsidRPr="0087450A">
        <w:rPr>
          <w:rFonts w:ascii="Work Sans" w:hAnsi="Work Sans" w:cs="Arial"/>
          <w:i/>
          <w:iCs/>
          <w:spacing w:val="-3"/>
          <w:sz w:val="18"/>
          <w:szCs w:val="18"/>
        </w:rPr>
        <w:t xml:space="preserve">Teniendo en cuenta las necesidades de incremento de la tarifa de las estaciones de peaje Andes, Fusca y la estación de peaje ubicada en el acceso al puente curvo Teletón, el 7 de marzo de 2020 se llevó a cabo en las instalaciones de la Universidad de Cundinamarca la Audiencia de Socialización de Incremento de Tarifa de Peaje, la cual contó con la presencia de la comunidad del área de influencia del proyecto, autoridades locales e interesados, quienes tuvieron la oportunidad de conocer y controvertir el mismo. En el marco de dicha audiencia, integrantes de la comunidad y del área de influencia del proyecto solicitaron el incremento progresivo de las tarifas propuestas, así como la inclusión de tarifas diferenciales para las comunidades de Fusca y Torca. Con lo cual, el establecimiento de las categorías especiales para el cobro de tarifas diferenciales encuentra su sustento en las mencionadas socializaciones y solicitudes de la comunidad. </w:t>
      </w:r>
    </w:p>
    <w:p w:rsidR="00045790" w:rsidRPr="0087450A" w:rsidRDefault="00045790" w:rsidP="00045790">
      <w:pPr>
        <w:ind w:left="567" w:right="623"/>
        <w:jc w:val="both"/>
        <w:rPr>
          <w:rFonts w:ascii="Work Sans" w:hAnsi="Work Sans"/>
          <w:bCs/>
          <w:i/>
          <w:spacing w:val="-3"/>
          <w:sz w:val="18"/>
          <w:szCs w:val="18"/>
          <w:lang w:eastAsia="es-MX"/>
        </w:rPr>
      </w:pPr>
    </w:p>
    <w:p w:rsidR="00045790" w:rsidRPr="0087450A" w:rsidRDefault="00045790" w:rsidP="00045790">
      <w:pPr>
        <w:ind w:left="567" w:right="623"/>
        <w:jc w:val="both"/>
        <w:rPr>
          <w:rFonts w:ascii="Work Sans" w:hAnsi="Work Sans"/>
          <w:bCs/>
          <w:i/>
          <w:spacing w:val="-3"/>
          <w:sz w:val="18"/>
          <w:szCs w:val="18"/>
          <w:lang w:val="es-ES_tradnl" w:eastAsia="es-MX"/>
        </w:rPr>
      </w:pPr>
      <w:r w:rsidRPr="0087450A">
        <w:rPr>
          <w:rFonts w:ascii="Work Sans" w:hAnsi="Work Sans"/>
          <w:bCs/>
          <w:i/>
          <w:spacing w:val="-3"/>
          <w:sz w:val="18"/>
          <w:szCs w:val="18"/>
          <w:lang w:val="es-ES_tradnl" w:eastAsia="es-MX"/>
        </w:rPr>
        <w:t xml:space="preserve">La nueva tarifa diferencial IE2 correspondiente a la Estación de Peaje Fusca, será aplicada para los vehículos de las comunidades de Fusca y Torca. Al respecto, la ANI realizó una serie de análisis técnicos de la dinámica social de movilidad de esta comunidad incluidos en el Estudio de Tránsito para evaluar múltiples escenarios, en donde se pudo establecer la solución para aplicar la nueva tarifa diferencial IE2 correspondiente a la Estación de Peaje Fusca. Así las cosas, en consideración a los requerimientos efectuados por la comunidad del área de influencia del proyecto y todos los análisis técnicos, financieros y de riesgos sobre los dos proyectos </w:t>
      </w:r>
      <w:r w:rsidRPr="0087450A">
        <w:rPr>
          <w:rFonts w:ascii="Work Sans" w:hAnsi="Work Sans"/>
          <w:bCs/>
          <w:i/>
          <w:spacing w:val="-3"/>
          <w:sz w:val="18"/>
          <w:szCs w:val="18"/>
          <w:lang w:val="es-ES_tradnl" w:eastAsia="es-MX"/>
        </w:rPr>
        <w:lastRenderedPageBreak/>
        <w:t xml:space="preserve">involucrados en este corredor, se pudo fijar la Tarifa Diferencial en SEIS MIL PESOS ($6.000) </w:t>
      </w:r>
      <w:r w:rsidRPr="0087450A">
        <w:rPr>
          <w:rFonts w:ascii="Work Sans" w:hAnsi="Work Sans"/>
          <w:bCs/>
          <w:i/>
          <w:spacing w:val="-3"/>
          <w:sz w:val="18"/>
          <w:szCs w:val="18"/>
          <w:lang w:eastAsia="es-MX"/>
        </w:rPr>
        <w:t>expresados en Pesos de diciembre de 2019 y sin incluir la tarifa del Fondo de Seguridad Vial (FSV)</w:t>
      </w:r>
      <w:r w:rsidRPr="0087450A">
        <w:rPr>
          <w:rFonts w:ascii="Work Sans" w:hAnsi="Work Sans"/>
          <w:bCs/>
          <w:i/>
          <w:spacing w:val="-3"/>
          <w:sz w:val="18"/>
          <w:szCs w:val="18"/>
          <w:lang w:val="es-ES_tradnl" w:eastAsia="es-MX"/>
        </w:rPr>
        <w:t xml:space="preserve">. </w:t>
      </w:r>
    </w:p>
    <w:p w:rsidR="00045790" w:rsidRPr="0087450A" w:rsidRDefault="00045790" w:rsidP="00045790">
      <w:pPr>
        <w:shd w:val="clear" w:color="auto" w:fill="FFFFFF"/>
        <w:ind w:left="567" w:right="623"/>
        <w:rPr>
          <w:rFonts w:ascii="Work Sans" w:hAnsi="Work Sans"/>
          <w:b/>
          <w:bCs/>
          <w:i/>
          <w:spacing w:val="-3"/>
          <w:sz w:val="18"/>
          <w:szCs w:val="18"/>
          <w:lang w:val="es-ES_tradnl"/>
        </w:rPr>
      </w:pPr>
    </w:p>
    <w:p w:rsidR="00045790" w:rsidRPr="0087450A" w:rsidRDefault="00045790" w:rsidP="00045790">
      <w:pPr>
        <w:ind w:left="567" w:right="623"/>
        <w:jc w:val="both"/>
        <w:rPr>
          <w:rFonts w:ascii="Work Sans" w:hAnsi="Work Sans"/>
          <w:bCs/>
          <w:i/>
          <w:spacing w:val="-3"/>
          <w:sz w:val="18"/>
          <w:szCs w:val="18"/>
          <w:lang w:val="es-ES_tradnl" w:eastAsia="es-MX"/>
        </w:rPr>
      </w:pPr>
      <w:r w:rsidRPr="0087450A">
        <w:rPr>
          <w:rFonts w:ascii="Work Sans" w:hAnsi="Work Sans"/>
          <w:bCs/>
          <w:i/>
          <w:spacing w:val="-3"/>
          <w:sz w:val="18"/>
          <w:szCs w:val="18"/>
          <w:lang w:val="es-ES_tradnl" w:eastAsia="es-MX"/>
        </w:rPr>
        <w:t>Para esta tarifa diferencial se otorgarán CIENTO OCHENTA (180) CUPOS con el estimado de UN (1) PASO DIARIO por la estación de peaje Fusca.</w:t>
      </w:r>
    </w:p>
    <w:p w:rsidR="00045790" w:rsidRPr="0087450A" w:rsidRDefault="00045790" w:rsidP="00045790">
      <w:pPr>
        <w:pStyle w:val="Prrafodelista"/>
        <w:ind w:left="567" w:right="623"/>
        <w:jc w:val="both"/>
        <w:rPr>
          <w:rFonts w:ascii="Work Sans" w:hAnsi="Work Sans"/>
          <w:bCs/>
          <w:i/>
          <w:spacing w:val="-3"/>
          <w:sz w:val="18"/>
          <w:szCs w:val="18"/>
          <w:lang w:val="es-ES_tradnl" w:eastAsia="es-MX"/>
        </w:rPr>
      </w:pPr>
    </w:p>
    <w:p w:rsidR="00045790" w:rsidRPr="0087450A" w:rsidRDefault="00045790" w:rsidP="00045790">
      <w:pPr>
        <w:ind w:left="567" w:right="623"/>
        <w:jc w:val="both"/>
        <w:rPr>
          <w:rFonts w:ascii="Work Sans" w:hAnsi="Work Sans"/>
          <w:bCs/>
          <w:i/>
          <w:spacing w:val="-3"/>
          <w:sz w:val="18"/>
          <w:szCs w:val="18"/>
          <w:lang w:val="es-ES_tradnl" w:eastAsia="es-MX"/>
        </w:rPr>
      </w:pPr>
      <w:r w:rsidRPr="0087450A">
        <w:rPr>
          <w:rFonts w:ascii="Work Sans" w:hAnsi="Work Sans"/>
          <w:bCs/>
          <w:i/>
          <w:spacing w:val="-3"/>
          <w:sz w:val="18"/>
          <w:szCs w:val="18"/>
          <w:lang w:val="es-ES_tradnl" w:eastAsia="es-MX"/>
        </w:rPr>
        <w:t>La nueva tarifa diferencial IIE2 correspondiente a las estaciones de Peaje Fusca y Andes, será aplicada a los vehículos que estén autorizados por el Ministerio de Transporte para la prestación del servicio público de transporte de pasajeros en las rutas Bogotá – Chía y viceversa, y Bogotá – Cajicá y viceversa. Dicha tarifa diferencial, de acuerdo con el Estudio de Tránsito, corresponderá al cobro actual de la tarifa de peajes las cuales no incluirán los incrementos proyectados en los años 2023 y 2026.</w:t>
      </w:r>
      <w:r w:rsidRPr="0087450A">
        <w:rPr>
          <w:rFonts w:ascii="Work Sans" w:hAnsi="Work Sans"/>
          <w:i/>
          <w:color w:val="000000"/>
          <w:sz w:val="18"/>
          <w:szCs w:val="18"/>
          <w:shd w:val="clear" w:color="auto" w:fill="FFFFFF"/>
        </w:rPr>
        <w:t xml:space="preserve"> </w:t>
      </w:r>
    </w:p>
    <w:p w:rsidR="00045790" w:rsidRPr="0087450A" w:rsidRDefault="00045790" w:rsidP="00045790">
      <w:pPr>
        <w:pStyle w:val="Prrafodelista"/>
        <w:ind w:left="567" w:right="623"/>
        <w:jc w:val="both"/>
        <w:rPr>
          <w:rFonts w:ascii="Work Sans" w:hAnsi="Work Sans"/>
          <w:bCs/>
          <w:i/>
          <w:spacing w:val="-3"/>
          <w:sz w:val="18"/>
          <w:szCs w:val="18"/>
          <w:lang w:val="es-ES_tradnl" w:eastAsia="es-MX"/>
        </w:rPr>
      </w:pPr>
    </w:p>
    <w:p w:rsidR="00045790" w:rsidRPr="0087450A" w:rsidRDefault="00045790" w:rsidP="00045790">
      <w:pPr>
        <w:ind w:left="567" w:right="623"/>
        <w:jc w:val="both"/>
        <w:rPr>
          <w:rFonts w:ascii="Work Sans" w:hAnsi="Work Sans"/>
          <w:bCs/>
          <w:i/>
          <w:spacing w:val="-3"/>
          <w:sz w:val="18"/>
          <w:szCs w:val="18"/>
          <w:lang w:eastAsia="es-MX"/>
        </w:rPr>
      </w:pPr>
      <w:r w:rsidRPr="0087450A">
        <w:rPr>
          <w:rFonts w:ascii="Work Sans" w:hAnsi="Work Sans"/>
          <w:bCs/>
          <w:i/>
          <w:spacing w:val="-3"/>
          <w:sz w:val="18"/>
          <w:szCs w:val="18"/>
          <w:lang w:eastAsia="es-MX"/>
        </w:rPr>
        <w:t xml:space="preserve">Para esta tarifa diferencial se otorgarán MIL (1.000) PASOS DIARIOS en general para la categoría, teniendo en cuenta que dentro de la información recopilada se estableció que para las empresas de transporte público de los municipios de Chía y Cajicá se tiene en promedio un total de 811 viajes por día. Lo anterior, considerando que cuando el proyecto inicie su etapa de operación, proyectada en el 2029, los tiempos de viaje entre Bogotá y Chía o Cajicá se disminuirán y, a su vez, esto generará un eventual incremento de la demanda de pasajeros, toda vez que con la misma flota vehicular se podrán realizar más viajes por día, proyectándose un máximo de 1.000 viajes diarios, que representa un incremento del 19% con respecto a la información actual. </w:t>
      </w:r>
    </w:p>
    <w:p w:rsidR="00045790" w:rsidRPr="0087450A" w:rsidRDefault="00045790" w:rsidP="00045790">
      <w:pPr>
        <w:shd w:val="clear" w:color="auto" w:fill="FFFFFF"/>
        <w:ind w:left="567" w:right="623"/>
        <w:rPr>
          <w:rFonts w:ascii="Work Sans" w:hAnsi="Work Sans"/>
          <w:b/>
          <w:bCs/>
          <w:i/>
          <w:spacing w:val="-3"/>
          <w:sz w:val="18"/>
          <w:szCs w:val="18"/>
        </w:rPr>
      </w:pPr>
    </w:p>
    <w:p w:rsidR="00045790" w:rsidRPr="0087450A" w:rsidRDefault="00045790" w:rsidP="00045790">
      <w:pPr>
        <w:ind w:left="567" w:right="623"/>
        <w:jc w:val="both"/>
        <w:rPr>
          <w:rFonts w:ascii="Work Sans" w:hAnsi="Work Sans"/>
          <w:i/>
          <w:spacing w:val="-3"/>
          <w:sz w:val="18"/>
          <w:szCs w:val="18"/>
          <w:lang w:val="es-ES_tradnl"/>
        </w:rPr>
      </w:pPr>
      <w:r w:rsidRPr="0087450A">
        <w:rPr>
          <w:rFonts w:ascii="Work Sans" w:hAnsi="Work Sans"/>
          <w:bCs/>
          <w:i/>
          <w:spacing w:val="-3"/>
          <w:sz w:val="18"/>
          <w:szCs w:val="18"/>
          <w:lang w:val="es-ES_tradnl" w:eastAsia="es-MX"/>
        </w:rPr>
        <w:t xml:space="preserve">La nueva tarifa diferencial IIE será aplicable a los vehículos para la prestación del servicio público de transporte de pasajeros que estén autorizados por el Ministerio de Transporte </w:t>
      </w:r>
      <w:r w:rsidRPr="0087450A">
        <w:rPr>
          <w:rFonts w:ascii="Work Sans" w:hAnsi="Work Sans"/>
          <w:i/>
          <w:spacing w:val="-3"/>
          <w:sz w:val="18"/>
          <w:szCs w:val="18"/>
        </w:rPr>
        <w:t>y será aplicable para los vehículos de servicio público que operen la ruta Bogotá - Chía y viceversa en la estación de peaje “Andes” y “Fusca”. La aplicación de esta categoría entrará en vigencia a partir de la expedición de la resolución.</w:t>
      </w:r>
    </w:p>
    <w:p w:rsidR="00045790" w:rsidRPr="0087450A" w:rsidRDefault="00045790" w:rsidP="00045790">
      <w:pPr>
        <w:shd w:val="clear" w:color="auto" w:fill="FFFFFF"/>
        <w:ind w:left="567" w:right="623"/>
        <w:rPr>
          <w:rFonts w:ascii="Work Sans" w:hAnsi="Work Sans"/>
          <w:b/>
          <w:bCs/>
          <w:i/>
          <w:spacing w:val="-3"/>
          <w:sz w:val="18"/>
          <w:szCs w:val="18"/>
          <w:lang w:val="es-ES_tradnl"/>
        </w:rPr>
      </w:pPr>
    </w:p>
    <w:p w:rsidR="00045790" w:rsidRPr="0087450A" w:rsidRDefault="00045790" w:rsidP="00045790">
      <w:pPr>
        <w:shd w:val="clear" w:color="auto" w:fill="FFFFFF"/>
        <w:ind w:left="567" w:right="623"/>
        <w:rPr>
          <w:rFonts w:ascii="Work Sans" w:hAnsi="Work Sans"/>
          <w:i/>
          <w:spacing w:val="-3"/>
          <w:sz w:val="18"/>
          <w:szCs w:val="18"/>
        </w:rPr>
      </w:pPr>
      <w:r w:rsidRPr="0087450A">
        <w:rPr>
          <w:rFonts w:ascii="Work Sans" w:hAnsi="Work Sans"/>
          <w:i/>
          <w:spacing w:val="-3"/>
          <w:sz w:val="18"/>
          <w:szCs w:val="18"/>
        </w:rPr>
        <w:t xml:space="preserve">Para esta tarifa diferencial se otorgarán CIEN (100) PASOS DIARIOS </w:t>
      </w:r>
      <w:r w:rsidRPr="0087450A">
        <w:rPr>
          <w:rFonts w:ascii="Work Sans" w:hAnsi="Work Sans"/>
          <w:bCs/>
          <w:i/>
          <w:spacing w:val="-3"/>
          <w:sz w:val="18"/>
          <w:szCs w:val="18"/>
          <w:lang w:eastAsia="es-MX"/>
        </w:rPr>
        <w:t>en general para la categoría.</w:t>
      </w:r>
    </w:p>
    <w:p w:rsidR="00045790" w:rsidRPr="0087450A" w:rsidRDefault="00045790" w:rsidP="00045790">
      <w:pPr>
        <w:shd w:val="clear" w:color="auto" w:fill="FFFFFF"/>
        <w:ind w:left="567" w:right="623"/>
        <w:rPr>
          <w:rFonts w:ascii="Work Sans" w:hAnsi="Work Sans"/>
          <w:b/>
          <w:bCs/>
          <w:i/>
          <w:spacing w:val="-3"/>
          <w:sz w:val="18"/>
          <w:szCs w:val="18"/>
        </w:rPr>
      </w:pPr>
    </w:p>
    <w:p w:rsidR="00045790" w:rsidRPr="0087450A" w:rsidRDefault="00045790" w:rsidP="00045790">
      <w:pPr>
        <w:ind w:left="567" w:right="623"/>
        <w:jc w:val="both"/>
        <w:rPr>
          <w:rFonts w:ascii="Work Sans" w:hAnsi="Work Sans"/>
          <w:bCs/>
          <w:i/>
          <w:spacing w:val="-3"/>
          <w:sz w:val="18"/>
          <w:szCs w:val="18"/>
          <w:lang w:val="es-ES_tradnl"/>
        </w:rPr>
      </w:pPr>
      <w:r w:rsidRPr="0087450A">
        <w:rPr>
          <w:rFonts w:ascii="Work Sans" w:hAnsi="Work Sans"/>
          <w:bCs/>
          <w:i/>
          <w:spacing w:val="-3"/>
          <w:sz w:val="18"/>
          <w:szCs w:val="18"/>
          <w:lang w:val="es-ES_tradnl"/>
        </w:rPr>
        <w:t xml:space="preserve">Vale la pena señalar que las tarifas diferenciales de las Categorías IE2 y IIE2, entrarán en vigencia a partir del 16 de enero de 2023, siempre y cuando se encuentre en ejecución el Proyecto Accesos Norte Fase II, y una vez se haya efectuado el incremento de tarifas de peaje previsto.” </w:t>
      </w:r>
    </w:p>
    <w:bookmarkEnd w:id="0"/>
    <w:p w:rsidR="00D847DC" w:rsidRPr="00045790" w:rsidRDefault="00D847DC" w:rsidP="00045790">
      <w:pPr>
        <w:tabs>
          <w:tab w:val="left" w:pos="0"/>
        </w:tabs>
        <w:ind w:left="567" w:right="623"/>
        <w:jc w:val="both"/>
        <w:rPr>
          <w:rFonts w:ascii="Work Sans" w:hAnsi="Work Sans" w:cs="Times New Roman"/>
          <w:i/>
          <w:sz w:val="18"/>
          <w:szCs w:val="18"/>
          <w:lang w:eastAsia="es-ES"/>
        </w:rPr>
      </w:pPr>
    </w:p>
    <w:p w:rsidR="00EB2498" w:rsidRDefault="001F4036">
      <w:pPr>
        <w:tabs>
          <w:tab w:val="left" w:pos="0"/>
        </w:tabs>
        <w:jc w:val="both"/>
        <w:rPr>
          <w:rFonts w:ascii="Work Sans" w:hAnsi="Work Sans"/>
          <w:sz w:val="20"/>
          <w:szCs w:val="20"/>
          <w:lang w:val="es-CO"/>
        </w:rPr>
      </w:pPr>
      <w:r>
        <w:rPr>
          <w:rFonts w:ascii="Work Sans" w:hAnsi="Work Sans" w:cs="Times New Roman"/>
          <w:sz w:val="20"/>
          <w:szCs w:val="20"/>
          <w:lang w:eastAsia="es-ES"/>
        </w:rPr>
        <w:t>Que mediante memorando 20211410038473 del 25 de marzo de 2021</w:t>
      </w:r>
      <w:r w:rsidR="0087450A">
        <w:rPr>
          <w:rFonts w:ascii="Work Sans" w:hAnsi="Work Sans" w:cs="Times New Roman"/>
          <w:sz w:val="20"/>
          <w:szCs w:val="20"/>
          <w:lang w:eastAsia="es-ES"/>
        </w:rPr>
        <w:t xml:space="preserve"> y alcance 20211210048993 de fecha 23 de abril de 2021</w:t>
      </w:r>
      <w:r>
        <w:rPr>
          <w:rFonts w:ascii="Work Sans" w:hAnsi="Work Sans" w:cs="Times New Roman"/>
          <w:sz w:val="20"/>
          <w:szCs w:val="20"/>
          <w:lang w:eastAsia="es-ES"/>
        </w:rPr>
        <w:t xml:space="preserve">, la Oficina de Regulación Económica del Ministerio de Transporte en cumplimiento del numeral 9.8.del artículo 9° del Decreto 087 de 2011 emitió concepto previo vinculante favorable </w:t>
      </w:r>
      <w:r>
        <w:rPr>
          <w:rFonts w:ascii="Work Sans" w:hAnsi="Work Sans" w:cs="LiberationSansNarrow"/>
          <w:sz w:val="20"/>
          <w:szCs w:val="20"/>
        </w:rPr>
        <w:t xml:space="preserve">para </w:t>
      </w:r>
      <w:r>
        <w:rPr>
          <w:rFonts w:ascii="Work Sans" w:hAnsi="Work Sans" w:cs="LiberationSansNarrow"/>
          <w:iCs/>
          <w:sz w:val="20"/>
          <w:szCs w:val="20"/>
        </w:rPr>
        <w:t xml:space="preserve">el incremento de las tarifas, la incorporación de tarifas diferenciales y la fórmula de actualización correspondiente que deberá aplicar anualmente a las estaciones de peaje Andes, Fusca </w:t>
      </w:r>
      <w:r w:rsidR="00D847DC">
        <w:rPr>
          <w:rFonts w:ascii="Work Sans" w:hAnsi="Work Sans" w:cs="LiberationSansNarrow"/>
          <w:iCs/>
          <w:sz w:val="20"/>
          <w:szCs w:val="20"/>
        </w:rPr>
        <w:t xml:space="preserve">y </w:t>
      </w:r>
      <w:r w:rsidR="00E17372">
        <w:rPr>
          <w:rFonts w:ascii="Work Sans" w:hAnsi="Work Sans" w:cs="LiberationSansNarrow"/>
          <w:iCs/>
          <w:sz w:val="20"/>
          <w:szCs w:val="20"/>
        </w:rPr>
        <w:t>Teletón</w:t>
      </w:r>
      <w:r w:rsidR="00D847DC">
        <w:rPr>
          <w:rFonts w:ascii="Work Sans" w:hAnsi="Work Sans" w:cs="LiberationSansNarrow"/>
          <w:iCs/>
          <w:sz w:val="20"/>
          <w:szCs w:val="20"/>
        </w:rPr>
        <w:t>.</w:t>
      </w:r>
    </w:p>
    <w:p w:rsidR="00EB2498" w:rsidRDefault="00EB2498">
      <w:pPr>
        <w:tabs>
          <w:tab w:val="left" w:pos="0"/>
        </w:tabs>
        <w:jc w:val="both"/>
        <w:rPr>
          <w:rFonts w:ascii="Work Sans" w:hAnsi="Work Sans"/>
          <w:sz w:val="20"/>
          <w:szCs w:val="20"/>
          <w:lang w:val="es-CO"/>
        </w:rPr>
      </w:pPr>
    </w:p>
    <w:p w:rsidR="00EB2498" w:rsidRDefault="001F4036">
      <w:pPr>
        <w:tabs>
          <w:tab w:val="left" w:pos="0"/>
        </w:tabs>
        <w:jc w:val="both"/>
        <w:rPr>
          <w:rFonts w:ascii="Work Sans" w:hAnsi="Work Sans" w:cs="Times New Roman"/>
          <w:iCs/>
          <w:sz w:val="20"/>
          <w:szCs w:val="20"/>
          <w:lang w:eastAsia="es-ES"/>
        </w:rPr>
      </w:pPr>
      <w:r>
        <w:rPr>
          <w:rFonts w:ascii="Work Sans" w:hAnsi="Work Sans" w:cs="Times New Roman"/>
          <w:iCs/>
          <w:sz w:val="20"/>
          <w:szCs w:val="20"/>
          <w:lang w:eastAsia="es-ES"/>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w:t>
      </w:r>
      <w:r>
        <w:rPr>
          <w:rFonts w:ascii="Work Sans" w:hAnsi="Work Sans" w:cs="Times New Roman"/>
          <w:iCs/>
          <w:sz w:val="20"/>
          <w:szCs w:val="20"/>
          <w:lang w:eastAsia="es-ES"/>
        </w:rPr>
        <w:lastRenderedPageBreak/>
        <w:t xml:space="preserve">otorgamiento, reemplazo y control y las causales de pérdida del beneficio, de las tasas diferenciales de peajes. </w:t>
      </w:r>
    </w:p>
    <w:p w:rsidR="00EB2498" w:rsidRDefault="00EB2498">
      <w:pPr>
        <w:tabs>
          <w:tab w:val="left" w:pos="0"/>
        </w:tabs>
        <w:jc w:val="both"/>
        <w:rPr>
          <w:rFonts w:ascii="Work Sans" w:hAnsi="Work Sans" w:cs="Times New Roman"/>
          <w:iCs/>
          <w:sz w:val="20"/>
          <w:szCs w:val="20"/>
          <w:lang w:eastAsia="es-ES"/>
        </w:rPr>
      </w:pPr>
    </w:p>
    <w:p w:rsidR="00EB2498" w:rsidRDefault="001F4036">
      <w:pPr>
        <w:tabs>
          <w:tab w:val="left" w:pos="0"/>
        </w:tabs>
        <w:jc w:val="both"/>
        <w:rPr>
          <w:rFonts w:ascii="Work Sans" w:hAnsi="Work Sans" w:cs="Times New Roman"/>
          <w:iCs/>
          <w:sz w:val="20"/>
          <w:szCs w:val="20"/>
          <w:lang w:eastAsia="es-ES"/>
        </w:rPr>
      </w:pPr>
      <w:r>
        <w:rPr>
          <w:rFonts w:ascii="Work Sans" w:hAnsi="Work Sans" w:cs="Times New Roman"/>
          <w:iCs/>
          <w:sz w:val="20"/>
          <w:szCs w:val="20"/>
          <w:lang w:eastAsia="es-ES"/>
        </w:rPr>
        <w:t xml:space="preserve">Que el contenido de la presente resolución fue publicado en la página web del Ministerio de Transporte y de la Agencia Nacional de Infraestructura, del </w:t>
      </w:r>
      <w:r w:rsidR="006E2B0B">
        <w:rPr>
          <w:rFonts w:ascii="Work Sans" w:hAnsi="Work Sans" w:cs="Times New Roman"/>
          <w:iCs/>
          <w:sz w:val="20"/>
          <w:szCs w:val="20"/>
          <w:lang w:eastAsia="es-ES"/>
        </w:rPr>
        <w:t>XXXX al XXXX</w:t>
      </w:r>
      <w:r>
        <w:rPr>
          <w:rFonts w:ascii="Work Sans" w:hAnsi="Work Sans" w:cs="Times New Roman"/>
          <w:iCs/>
          <w:sz w:val="20"/>
          <w:szCs w:val="20"/>
          <w:lang w:eastAsia="es-ES"/>
        </w:rPr>
        <w:t>, en cumplimiento de lo determinado en el numeral 8 del artículo 8° de la Ley 1437 de 2011, Decreto 1081 de 2015 modificado por el Decreto 270 de 2017 y Resolución 994 de 2017 del Ministerio de Transporte, con el objeto de recibir opiniones, sugerencias o propuestas alternativas.</w:t>
      </w:r>
    </w:p>
    <w:p w:rsidR="00EB2498" w:rsidRDefault="00EB2498">
      <w:pPr>
        <w:tabs>
          <w:tab w:val="left" w:pos="0"/>
        </w:tabs>
        <w:jc w:val="both"/>
        <w:rPr>
          <w:rFonts w:ascii="Work Sans" w:hAnsi="Work Sans" w:cs="Times New Roman"/>
          <w:iCs/>
          <w:sz w:val="20"/>
          <w:szCs w:val="20"/>
          <w:lang w:eastAsia="es-ES"/>
        </w:rPr>
      </w:pPr>
    </w:p>
    <w:p w:rsidR="00EB2498" w:rsidRDefault="001F4036">
      <w:pPr>
        <w:tabs>
          <w:tab w:val="left" w:pos="0"/>
        </w:tabs>
        <w:jc w:val="both"/>
        <w:rPr>
          <w:rFonts w:ascii="Work Sans" w:hAnsi="Work Sans" w:cs="Times New Roman"/>
          <w:sz w:val="20"/>
          <w:szCs w:val="20"/>
          <w:lang w:val="es-MX"/>
        </w:rPr>
      </w:pPr>
      <w:r>
        <w:rPr>
          <w:rFonts w:ascii="Work Sans" w:hAnsi="Work Sans" w:cs="Times New Roman"/>
          <w:sz w:val="20"/>
          <w:szCs w:val="20"/>
          <w:lang w:val="es-MX"/>
        </w:rPr>
        <w:t>Que los comentarios recibidos fueron evaluados, atendidos y, aquellos comentarios que se consideraron pertinentes fueron incorporados en el contenido de la presente Resolución.</w:t>
      </w:r>
    </w:p>
    <w:p w:rsidR="00EB2498" w:rsidRDefault="00EB2498">
      <w:pPr>
        <w:tabs>
          <w:tab w:val="left" w:pos="0"/>
        </w:tabs>
        <w:jc w:val="both"/>
        <w:rPr>
          <w:rFonts w:ascii="Work Sans" w:hAnsi="Work Sans" w:cs="Times New Roman"/>
          <w:iCs/>
          <w:sz w:val="20"/>
          <w:szCs w:val="20"/>
          <w:lang w:eastAsia="es-ES"/>
        </w:rPr>
      </w:pPr>
    </w:p>
    <w:p w:rsidR="00EB2498" w:rsidRDefault="001F4036">
      <w:pPr>
        <w:tabs>
          <w:tab w:val="left" w:pos="0"/>
        </w:tabs>
        <w:jc w:val="both"/>
        <w:rPr>
          <w:rFonts w:ascii="Work Sans" w:hAnsi="Work Sans" w:cs="Times New Roman"/>
          <w:iCs/>
          <w:sz w:val="20"/>
          <w:szCs w:val="20"/>
          <w:lang w:eastAsia="es-ES"/>
        </w:rPr>
      </w:pPr>
      <w:r>
        <w:rPr>
          <w:rFonts w:ascii="Work Sans" w:hAnsi="Work Sans" w:cs="Times New Roman"/>
          <w:iCs/>
          <w:sz w:val="20"/>
          <w:szCs w:val="20"/>
          <w:lang w:eastAsia="es-ES"/>
        </w:rPr>
        <w:t>Que la Oficina Asesora de Jurídica conservará los documentos asociados a la publicación del presente acto administrativo. Todo ello en concordancia con las políticas de gestión documental y de archivo de la entidad.</w:t>
      </w:r>
    </w:p>
    <w:p w:rsidR="00EB2498" w:rsidRDefault="00EB2498">
      <w:pPr>
        <w:tabs>
          <w:tab w:val="left" w:pos="0"/>
        </w:tabs>
        <w:jc w:val="both"/>
        <w:rPr>
          <w:rFonts w:ascii="Work Sans" w:hAnsi="Work Sans" w:cs="Times New Roman"/>
          <w:sz w:val="20"/>
          <w:szCs w:val="20"/>
          <w:lang w:eastAsia="es-ES"/>
        </w:rPr>
      </w:pPr>
    </w:p>
    <w:p w:rsidR="00EB2498" w:rsidRDefault="001F4036">
      <w:pPr>
        <w:jc w:val="both"/>
        <w:rPr>
          <w:rFonts w:ascii="Work Sans" w:hAnsi="Work Sans" w:cs="Times New Roman"/>
          <w:sz w:val="20"/>
          <w:szCs w:val="20"/>
          <w:lang w:val="es-CO" w:eastAsia="es-ES"/>
        </w:rPr>
      </w:pPr>
      <w:r>
        <w:rPr>
          <w:rFonts w:ascii="Work Sans" w:hAnsi="Work Sans" w:cs="Times New Roman"/>
          <w:sz w:val="20"/>
          <w:szCs w:val="20"/>
          <w:lang w:val="es-CO" w:eastAsia="es-ES"/>
        </w:rPr>
        <w:t xml:space="preserve">En mérito de lo expuesto, </w:t>
      </w:r>
    </w:p>
    <w:p w:rsidR="00EB2498" w:rsidRDefault="00EB2498">
      <w:pPr>
        <w:jc w:val="center"/>
        <w:rPr>
          <w:rFonts w:ascii="Work Sans" w:hAnsi="Work Sans" w:cs="Times New Roman"/>
          <w:b/>
          <w:sz w:val="20"/>
          <w:szCs w:val="20"/>
          <w:lang w:val="es" w:eastAsia="es-ES"/>
        </w:rPr>
      </w:pPr>
    </w:p>
    <w:p w:rsidR="00EB2498" w:rsidRDefault="001F4036">
      <w:pPr>
        <w:jc w:val="center"/>
        <w:rPr>
          <w:rFonts w:ascii="Work Sans" w:hAnsi="Work Sans" w:cs="Times New Roman"/>
          <w:b/>
          <w:sz w:val="20"/>
          <w:szCs w:val="20"/>
          <w:lang w:val="es" w:eastAsia="es-ES"/>
        </w:rPr>
      </w:pPr>
      <w:r>
        <w:rPr>
          <w:rFonts w:ascii="Work Sans" w:hAnsi="Work Sans" w:cs="Times New Roman"/>
          <w:b/>
          <w:sz w:val="20"/>
          <w:szCs w:val="20"/>
          <w:lang w:val="es" w:eastAsia="es-ES"/>
        </w:rPr>
        <w:t>RESUELVE:</w:t>
      </w:r>
    </w:p>
    <w:p w:rsidR="00165C4A" w:rsidRDefault="00165C4A">
      <w:pPr>
        <w:jc w:val="center"/>
        <w:rPr>
          <w:rFonts w:ascii="Work Sans" w:hAnsi="Work Sans" w:cs="Times New Roman"/>
          <w:b/>
          <w:sz w:val="20"/>
          <w:szCs w:val="20"/>
          <w:lang w:val="es" w:eastAsia="es-ES"/>
        </w:rPr>
      </w:pPr>
    </w:p>
    <w:p w:rsidR="002A1DCA" w:rsidRPr="001174C6" w:rsidRDefault="002A1DCA" w:rsidP="002A1DCA">
      <w:pPr>
        <w:jc w:val="both"/>
        <w:rPr>
          <w:rFonts w:ascii="Work Sans" w:hAnsi="Work Sans" w:cs="Arial Narrow"/>
          <w:sz w:val="20"/>
          <w:szCs w:val="20"/>
        </w:rPr>
      </w:pPr>
      <w:r>
        <w:rPr>
          <w:rFonts w:ascii="Work Sans" w:hAnsi="Work Sans" w:cs="Times New Roman"/>
          <w:b/>
          <w:sz w:val="20"/>
          <w:szCs w:val="20"/>
          <w:lang w:eastAsia="es-ES"/>
        </w:rPr>
        <w:t>ARTÍCULO 1.-</w:t>
      </w:r>
      <w:r w:rsidRPr="00404772">
        <w:rPr>
          <w:rFonts w:ascii="Work Sans" w:hAnsi="Work Sans" w:cs="Times New Roman"/>
          <w:b/>
          <w:sz w:val="20"/>
          <w:szCs w:val="20"/>
          <w:lang w:eastAsia="es-ES"/>
        </w:rPr>
        <w:t xml:space="preserve"> </w:t>
      </w:r>
      <w:r w:rsidRPr="001174C6">
        <w:rPr>
          <w:rFonts w:ascii="Work Sans" w:hAnsi="Work Sans" w:cs="Times New Roman"/>
          <w:bCs/>
          <w:sz w:val="20"/>
          <w:szCs w:val="20"/>
          <w:lang w:eastAsia="es-ES"/>
        </w:rPr>
        <w:t>Establecer un incremento</w:t>
      </w:r>
      <w:r w:rsidR="00E02270">
        <w:rPr>
          <w:rFonts w:ascii="Work Sans" w:hAnsi="Work Sans" w:cs="Times New Roman"/>
          <w:bCs/>
          <w:sz w:val="20"/>
          <w:szCs w:val="20"/>
          <w:lang w:eastAsia="es-ES"/>
        </w:rPr>
        <w:t xml:space="preserve"> en las</w:t>
      </w:r>
      <w:r w:rsidR="00C31631" w:rsidRPr="001174C6">
        <w:rPr>
          <w:rFonts w:ascii="Work Sans" w:hAnsi="Work Sans" w:cs="Times New Roman"/>
          <w:iCs/>
          <w:color w:val="000000"/>
          <w:sz w:val="20"/>
          <w:szCs w:val="20"/>
          <w:lang w:eastAsia="es-ES"/>
        </w:rPr>
        <w:t xml:space="preserve"> tarifas en las e</w:t>
      </w:r>
      <w:r w:rsidR="001174C6">
        <w:rPr>
          <w:rFonts w:ascii="Work Sans" w:hAnsi="Work Sans" w:cs="Times New Roman"/>
          <w:iCs/>
          <w:color w:val="000000"/>
          <w:sz w:val="20"/>
          <w:szCs w:val="20"/>
          <w:lang w:eastAsia="es-ES"/>
        </w:rPr>
        <w:t xml:space="preserve">staciones de peaje denominadas </w:t>
      </w:r>
      <w:r w:rsidR="00C31631" w:rsidRPr="001174C6">
        <w:rPr>
          <w:rFonts w:ascii="Work Sans" w:hAnsi="Work Sans" w:cs="Times New Roman"/>
          <w:iCs/>
          <w:color w:val="000000"/>
          <w:sz w:val="20"/>
          <w:szCs w:val="20"/>
          <w:lang w:eastAsia="es-ES"/>
        </w:rPr>
        <w:t>Ande</w:t>
      </w:r>
      <w:r w:rsidR="001174C6">
        <w:rPr>
          <w:rFonts w:ascii="Work Sans" w:hAnsi="Work Sans" w:cs="Times New Roman"/>
          <w:iCs/>
          <w:color w:val="000000"/>
          <w:sz w:val="20"/>
          <w:szCs w:val="20"/>
          <w:lang w:eastAsia="es-ES"/>
        </w:rPr>
        <w:t xml:space="preserve">s, </w:t>
      </w:r>
      <w:r w:rsidR="001174C6" w:rsidRPr="001174C6">
        <w:rPr>
          <w:rFonts w:ascii="Work Sans" w:hAnsi="Work Sans" w:cs="Times New Roman"/>
          <w:iCs/>
          <w:color w:val="000000"/>
          <w:sz w:val="20"/>
          <w:szCs w:val="20"/>
          <w:lang w:eastAsia="es-ES"/>
        </w:rPr>
        <w:t>Fu</w:t>
      </w:r>
      <w:r w:rsidR="001174C6">
        <w:rPr>
          <w:rFonts w:ascii="Work Sans" w:hAnsi="Work Sans" w:cs="Times New Roman"/>
          <w:iCs/>
          <w:color w:val="000000"/>
          <w:sz w:val="20"/>
          <w:szCs w:val="20"/>
          <w:lang w:eastAsia="es-ES"/>
        </w:rPr>
        <w:t>sca</w:t>
      </w:r>
      <w:r w:rsidR="001174C6" w:rsidRPr="001174C6">
        <w:rPr>
          <w:rFonts w:ascii="Work Sans" w:hAnsi="Work Sans" w:cs="Times New Roman"/>
          <w:iCs/>
          <w:color w:val="000000"/>
          <w:sz w:val="20"/>
          <w:szCs w:val="20"/>
          <w:lang w:eastAsia="es-ES"/>
        </w:rPr>
        <w:t xml:space="preserve">, y </w:t>
      </w:r>
      <w:r w:rsidR="0087450A">
        <w:rPr>
          <w:rFonts w:ascii="Work Sans" w:hAnsi="Work Sans" w:cs="Times New Roman"/>
          <w:iCs/>
          <w:color w:val="000000"/>
          <w:sz w:val="20"/>
          <w:szCs w:val="20"/>
          <w:lang w:eastAsia="es-ES"/>
        </w:rPr>
        <w:t xml:space="preserve">en </w:t>
      </w:r>
      <w:r w:rsidR="001174C6" w:rsidRPr="001174C6">
        <w:rPr>
          <w:rFonts w:ascii="Work Sans" w:hAnsi="Work Sans" w:cs="Times New Roman"/>
          <w:iCs/>
          <w:color w:val="000000"/>
          <w:sz w:val="20"/>
          <w:szCs w:val="20"/>
          <w:lang w:eastAsia="es-ES"/>
        </w:rPr>
        <w:t xml:space="preserve">una estación de </w:t>
      </w:r>
      <w:r w:rsidR="001174C6" w:rsidRPr="001174C6">
        <w:rPr>
          <w:rFonts w:ascii="Work Sans" w:hAnsi="Work Sans"/>
          <w:bCs/>
          <w:iCs/>
          <w:sz w:val="20"/>
          <w:szCs w:val="20"/>
          <w:lang w:val="es"/>
        </w:rPr>
        <w:t>peaje ubicada</w:t>
      </w:r>
      <w:r w:rsidR="000A0177">
        <w:rPr>
          <w:rFonts w:ascii="Work Sans" w:hAnsi="Work Sans"/>
          <w:bCs/>
          <w:iCs/>
          <w:sz w:val="20"/>
          <w:szCs w:val="20"/>
          <w:lang w:val="es"/>
        </w:rPr>
        <w:t xml:space="preserve"> en el acceso al puente curvo</w:t>
      </w:r>
      <w:r w:rsidR="001174C6" w:rsidRPr="001174C6">
        <w:rPr>
          <w:rFonts w:ascii="Work Sans" w:hAnsi="Work Sans"/>
          <w:bCs/>
          <w:iCs/>
          <w:sz w:val="20"/>
          <w:szCs w:val="20"/>
          <w:lang w:val="es"/>
        </w:rPr>
        <w:t xml:space="preserve"> teletón</w:t>
      </w:r>
      <w:r w:rsidR="0087450A">
        <w:rPr>
          <w:rFonts w:ascii="Work Sans" w:hAnsi="Work Sans"/>
          <w:bCs/>
          <w:iCs/>
          <w:sz w:val="20"/>
          <w:szCs w:val="20"/>
          <w:lang w:val="es"/>
        </w:rPr>
        <w:t>,</w:t>
      </w:r>
      <w:r w:rsidR="001174C6" w:rsidRPr="001174C6">
        <w:rPr>
          <w:rFonts w:ascii="Work Sans" w:hAnsi="Work Sans" w:cs="Arial Narrow"/>
          <w:sz w:val="20"/>
          <w:szCs w:val="20"/>
        </w:rPr>
        <w:t xml:space="preserve"> </w:t>
      </w:r>
      <w:r w:rsidR="00E02270">
        <w:rPr>
          <w:rFonts w:ascii="Work Sans" w:hAnsi="Work Sans" w:cs="Arial Narrow"/>
          <w:sz w:val="20"/>
          <w:szCs w:val="20"/>
        </w:rPr>
        <w:t xml:space="preserve">en los </w:t>
      </w:r>
      <w:r w:rsidR="00E02270" w:rsidRPr="001174C6">
        <w:rPr>
          <w:rFonts w:ascii="Work Sans" w:hAnsi="Work Sans" w:cs="Times New Roman"/>
          <w:bCs/>
          <w:sz w:val="20"/>
          <w:szCs w:val="20"/>
          <w:lang w:eastAsia="es-ES"/>
        </w:rPr>
        <w:t>años 2023 y 2026</w:t>
      </w:r>
      <w:r w:rsidR="00E02270">
        <w:rPr>
          <w:rFonts w:ascii="Work Sans" w:hAnsi="Work Sans" w:cs="Times New Roman"/>
          <w:bCs/>
          <w:sz w:val="20"/>
          <w:szCs w:val="20"/>
          <w:lang w:eastAsia="es-ES"/>
        </w:rPr>
        <w:t>,</w:t>
      </w:r>
      <w:r w:rsidR="00E02270">
        <w:rPr>
          <w:rFonts w:ascii="Work Sans" w:hAnsi="Work Sans" w:cs="Times New Roman"/>
          <w:bCs/>
          <w:sz w:val="20"/>
          <w:szCs w:val="20"/>
          <w:lang w:eastAsia="es-ES"/>
        </w:rPr>
        <w:t xml:space="preserve"> </w:t>
      </w:r>
      <w:r w:rsidR="001174C6" w:rsidRPr="001174C6">
        <w:rPr>
          <w:rFonts w:ascii="Work Sans" w:hAnsi="Work Sans" w:cs="Arial Narrow"/>
          <w:sz w:val="20"/>
          <w:szCs w:val="20"/>
        </w:rPr>
        <w:t>siempre y</w:t>
      </w:r>
      <w:r w:rsidRPr="001174C6">
        <w:rPr>
          <w:rFonts w:ascii="Work Sans" w:hAnsi="Work Sans" w:cs="Arial Narrow"/>
          <w:sz w:val="20"/>
          <w:szCs w:val="20"/>
        </w:rPr>
        <w:t xml:space="preserve"> cuando se encuentre en ejecución el proyecto </w:t>
      </w:r>
      <w:r w:rsidRPr="0087450A">
        <w:rPr>
          <w:rFonts w:ascii="Work Sans" w:hAnsi="Work Sans" w:cs="Arial Narrow"/>
          <w:i/>
          <w:sz w:val="20"/>
          <w:szCs w:val="20"/>
        </w:rPr>
        <w:t>“Accesos Norte Fase II”,</w:t>
      </w:r>
      <w:r w:rsidRPr="001174C6">
        <w:rPr>
          <w:rFonts w:ascii="Work Sans" w:hAnsi="Work Sans" w:cs="Arial Narrow"/>
          <w:sz w:val="20"/>
          <w:szCs w:val="20"/>
        </w:rPr>
        <w:t xml:space="preserve"> </w:t>
      </w:r>
      <w:r w:rsidR="00E02270">
        <w:rPr>
          <w:rFonts w:ascii="Work Sans" w:hAnsi="Work Sans" w:cs="Arial"/>
          <w:iCs/>
          <w:sz w:val="20"/>
          <w:szCs w:val="20"/>
        </w:rPr>
        <w:t>de conformidad con el estudio de la Agencia Nacional de Infraestructura</w:t>
      </w:r>
      <w:r w:rsidR="00E02270">
        <w:rPr>
          <w:rFonts w:ascii="Work Sans" w:hAnsi="Work Sans" w:cs="Arial"/>
          <w:iCs/>
          <w:sz w:val="20"/>
          <w:szCs w:val="20"/>
        </w:rPr>
        <w:t>,</w:t>
      </w:r>
      <w:r w:rsidR="00E02270">
        <w:rPr>
          <w:rFonts w:ascii="Work Sans" w:hAnsi="Work Sans" w:cs="Arial Narrow"/>
          <w:sz w:val="20"/>
          <w:szCs w:val="20"/>
        </w:rPr>
        <w:t xml:space="preserve"> asi:</w:t>
      </w:r>
      <w:r w:rsidRPr="001174C6">
        <w:rPr>
          <w:rFonts w:ascii="Work Sans" w:hAnsi="Work Sans" w:cs="Arial Narrow"/>
          <w:sz w:val="20"/>
          <w:szCs w:val="20"/>
        </w:rPr>
        <w:t xml:space="preserve"> </w:t>
      </w:r>
    </w:p>
    <w:p w:rsidR="002A1DCA" w:rsidRPr="001174C6" w:rsidRDefault="002A1DCA" w:rsidP="002A1DCA">
      <w:pPr>
        <w:rPr>
          <w:rFonts w:ascii="Work Sans" w:hAnsi="Work Sans" w:cs="Arial Narrow"/>
          <w:sz w:val="20"/>
          <w:szCs w:val="20"/>
        </w:rPr>
      </w:pPr>
    </w:p>
    <w:tbl>
      <w:tblPr>
        <w:tblW w:w="8546" w:type="dxa"/>
        <w:jc w:val="center"/>
        <w:tblCellMar>
          <w:left w:w="10" w:type="dxa"/>
          <w:right w:w="10" w:type="dxa"/>
        </w:tblCellMar>
        <w:tblLook w:val="0000" w:firstRow="0" w:lastRow="0" w:firstColumn="0" w:lastColumn="0" w:noHBand="0" w:noVBand="0"/>
      </w:tblPr>
      <w:tblGrid>
        <w:gridCol w:w="1978"/>
        <w:gridCol w:w="2126"/>
        <w:gridCol w:w="1843"/>
        <w:gridCol w:w="2599"/>
      </w:tblGrid>
      <w:tr w:rsidR="002A1DCA" w:rsidRPr="00404772" w:rsidTr="00E90D98">
        <w:tblPrEx>
          <w:tblCellMar>
            <w:top w:w="0" w:type="dxa"/>
            <w:bottom w:w="0" w:type="dxa"/>
          </w:tblCellMar>
        </w:tblPrEx>
        <w:trPr>
          <w:trHeight w:val="254"/>
          <w:jc w:val="center"/>
        </w:trPr>
        <w:tc>
          <w:tcPr>
            <w:tcW w:w="1978"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b/>
                <w:bCs/>
                <w:sz w:val="20"/>
                <w:szCs w:val="20"/>
              </w:rPr>
            </w:pPr>
            <w:r w:rsidRPr="00404772">
              <w:rPr>
                <w:rFonts w:ascii="Work Sans" w:hAnsi="Work Sans" w:cs="Tahoma"/>
                <w:b/>
                <w:bCs/>
                <w:sz w:val="20"/>
                <w:szCs w:val="20"/>
              </w:rPr>
              <w:t>AÑO</w:t>
            </w:r>
          </w:p>
        </w:tc>
        <w:tc>
          <w:tcPr>
            <w:tcW w:w="6568"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b/>
                <w:bCs/>
                <w:sz w:val="20"/>
                <w:szCs w:val="20"/>
              </w:rPr>
            </w:pPr>
            <w:r w:rsidRPr="00404772">
              <w:rPr>
                <w:rFonts w:ascii="Work Sans" w:hAnsi="Work Sans" w:cs="Tahoma"/>
                <w:b/>
                <w:bCs/>
                <w:sz w:val="20"/>
                <w:szCs w:val="20"/>
              </w:rPr>
              <w:t>VALOR DEL INCREMENTO – Pesos de Dic</w:t>
            </w:r>
            <w:r w:rsidR="00E90D98">
              <w:rPr>
                <w:rFonts w:ascii="Work Sans" w:hAnsi="Work Sans" w:cs="Tahoma"/>
                <w:b/>
                <w:bCs/>
                <w:sz w:val="20"/>
                <w:szCs w:val="20"/>
              </w:rPr>
              <w:t>iembre</w:t>
            </w:r>
            <w:r w:rsidRPr="00404772">
              <w:rPr>
                <w:rFonts w:ascii="Work Sans" w:hAnsi="Work Sans" w:cs="Tahoma"/>
                <w:b/>
                <w:bCs/>
                <w:sz w:val="20"/>
                <w:szCs w:val="20"/>
              </w:rPr>
              <w:t xml:space="preserve"> de 2019</w:t>
            </w:r>
          </w:p>
        </w:tc>
      </w:tr>
      <w:tr w:rsidR="002A1DCA" w:rsidRPr="00404772" w:rsidTr="00E90D98">
        <w:tblPrEx>
          <w:tblCellMar>
            <w:top w:w="0" w:type="dxa"/>
            <w:bottom w:w="0" w:type="dxa"/>
          </w:tblCellMar>
        </w:tblPrEx>
        <w:trPr>
          <w:trHeight w:val="254"/>
          <w:jc w:val="center"/>
        </w:trPr>
        <w:tc>
          <w:tcPr>
            <w:tcW w:w="197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b/>
                <w:bCs/>
                <w:sz w:val="20"/>
                <w:szCs w:val="20"/>
              </w:rPr>
            </w:pPr>
          </w:p>
        </w:tc>
        <w:tc>
          <w:tcPr>
            <w:tcW w:w="212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b/>
                <w:bCs/>
                <w:sz w:val="20"/>
                <w:szCs w:val="20"/>
              </w:rPr>
            </w:pPr>
            <w:r w:rsidRPr="00404772">
              <w:rPr>
                <w:rFonts w:ascii="Work Sans" w:hAnsi="Work Sans" w:cs="Tahoma"/>
                <w:b/>
                <w:bCs/>
                <w:sz w:val="20"/>
                <w:szCs w:val="20"/>
              </w:rPr>
              <w:t>Peaje Andes</w:t>
            </w:r>
          </w:p>
          <w:p w:rsidR="002A1DCA" w:rsidRPr="00404772" w:rsidRDefault="002A1DCA" w:rsidP="0009094E">
            <w:pPr>
              <w:spacing w:line="276" w:lineRule="auto"/>
              <w:jc w:val="center"/>
              <w:textAlignment w:val="auto"/>
              <w:rPr>
                <w:rFonts w:ascii="Work Sans" w:hAnsi="Work Sans" w:cs="Tahoma"/>
                <w:b/>
                <w:bCs/>
                <w:sz w:val="20"/>
                <w:szCs w:val="20"/>
                <w:lang w:val="es-CO"/>
              </w:rPr>
            </w:pPr>
            <w:r w:rsidRPr="00404772">
              <w:rPr>
                <w:rFonts w:ascii="Work Sans" w:hAnsi="Work Sans" w:cs="Tahoma"/>
                <w:b/>
                <w:bCs/>
                <w:sz w:val="20"/>
                <w:szCs w:val="20"/>
                <w:lang w:val="es-CO"/>
              </w:rPr>
              <w:t>(Categorías I, II, III, IV, V, VI, VII)</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b/>
                <w:bCs/>
                <w:sz w:val="20"/>
                <w:szCs w:val="20"/>
                <w:lang w:val="es-CO"/>
              </w:rPr>
            </w:pPr>
            <w:r w:rsidRPr="00404772">
              <w:rPr>
                <w:rFonts w:ascii="Work Sans" w:hAnsi="Work Sans" w:cs="Tahoma"/>
                <w:b/>
                <w:bCs/>
                <w:sz w:val="20"/>
                <w:szCs w:val="20"/>
              </w:rPr>
              <w:t xml:space="preserve">Peaje Fusca </w:t>
            </w:r>
            <w:r w:rsidRPr="00404772">
              <w:rPr>
                <w:rFonts w:ascii="Work Sans" w:hAnsi="Work Sans" w:cs="Tahoma"/>
                <w:b/>
                <w:bCs/>
                <w:sz w:val="20"/>
                <w:szCs w:val="20"/>
                <w:lang w:val="es-CO"/>
              </w:rPr>
              <w:t>(Categorías I, II, III, IV, V, VI, VII)</w:t>
            </w:r>
          </w:p>
        </w:tc>
        <w:tc>
          <w:tcPr>
            <w:tcW w:w="2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973A4E" w:rsidP="00E90D98">
            <w:pPr>
              <w:jc w:val="both"/>
              <w:rPr>
                <w:rFonts w:ascii="Work Sans" w:hAnsi="Work Sans" w:cs="Tahoma"/>
                <w:b/>
                <w:bCs/>
                <w:sz w:val="20"/>
                <w:szCs w:val="20"/>
                <w:lang w:val="es-CO"/>
              </w:rPr>
            </w:pPr>
            <w:r w:rsidRPr="00973A4E">
              <w:rPr>
                <w:rFonts w:ascii="Work Sans" w:hAnsi="Work Sans" w:cs="Tahoma"/>
                <w:b/>
                <w:bCs/>
                <w:sz w:val="20"/>
                <w:szCs w:val="20"/>
                <w:lang w:val="es-CO"/>
              </w:rPr>
              <w:t>Estación de</w:t>
            </w:r>
            <w:r w:rsidR="00EB4C5C" w:rsidRPr="00973A4E">
              <w:rPr>
                <w:rFonts w:ascii="Work Sans" w:hAnsi="Work Sans" w:cs="Tahoma"/>
                <w:b/>
                <w:bCs/>
                <w:sz w:val="20"/>
                <w:szCs w:val="20"/>
              </w:rPr>
              <w:t xml:space="preserve"> </w:t>
            </w:r>
            <w:r w:rsidR="00EB4C5C" w:rsidRPr="00E90D98">
              <w:rPr>
                <w:rFonts w:ascii="Work Sans" w:hAnsi="Work Sans" w:cs="Tahoma"/>
                <w:b/>
                <w:bCs/>
                <w:sz w:val="20"/>
                <w:szCs w:val="20"/>
                <w:lang w:val="es-CO"/>
              </w:rPr>
              <w:t xml:space="preserve">peaje </w:t>
            </w:r>
            <w:r w:rsidRPr="00E90D98">
              <w:rPr>
                <w:rFonts w:ascii="Work Sans" w:hAnsi="Work Sans" w:cs="Tahoma"/>
                <w:b/>
                <w:bCs/>
                <w:sz w:val="20"/>
                <w:szCs w:val="20"/>
                <w:lang w:val="es-CO"/>
              </w:rPr>
              <w:t xml:space="preserve"> ubicada </w:t>
            </w:r>
            <w:r w:rsidR="000A0177" w:rsidRPr="00E90D98">
              <w:rPr>
                <w:rFonts w:ascii="Work Sans" w:hAnsi="Work Sans" w:cs="Tahoma"/>
                <w:b/>
                <w:bCs/>
                <w:sz w:val="20"/>
                <w:szCs w:val="20"/>
                <w:lang w:val="es-CO"/>
              </w:rPr>
              <w:t xml:space="preserve">en el acceso al puente curvo </w:t>
            </w:r>
            <w:r w:rsidR="00EB4C5C" w:rsidRPr="00E90D98">
              <w:rPr>
                <w:rFonts w:ascii="Work Sans" w:hAnsi="Work Sans" w:cs="Tahoma"/>
                <w:b/>
                <w:bCs/>
                <w:sz w:val="20"/>
                <w:szCs w:val="20"/>
                <w:lang w:val="es-CO"/>
              </w:rPr>
              <w:t xml:space="preserve"> </w:t>
            </w:r>
            <w:r w:rsidRPr="00E90D98">
              <w:rPr>
                <w:rFonts w:ascii="Work Sans" w:hAnsi="Work Sans" w:cs="Tahoma"/>
                <w:b/>
                <w:bCs/>
                <w:sz w:val="20"/>
                <w:szCs w:val="20"/>
                <w:lang w:val="es-CO"/>
              </w:rPr>
              <w:t>teletón</w:t>
            </w:r>
            <w:r w:rsidR="00E90D98">
              <w:rPr>
                <w:rFonts w:ascii="Work Sans" w:hAnsi="Work Sans" w:cs="Tahoma"/>
                <w:b/>
                <w:bCs/>
                <w:sz w:val="20"/>
                <w:szCs w:val="20"/>
                <w:lang w:val="es-CO"/>
              </w:rPr>
              <w:t xml:space="preserve"> (Categorías </w:t>
            </w:r>
            <w:r w:rsidR="002A1DCA" w:rsidRPr="00404772">
              <w:rPr>
                <w:rFonts w:ascii="Work Sans" w:hAnsi="Work Sans" w:cs="Tahoma"/>
                <w:b/>
                <w:bCs/>
                <w:sz w:val="20"/>
                <w:szCs w:val="20"/>
                <w:lang w:val="es-CO"/>
              </w:rPr>
              <w:t>V, VI, VII)</w:t>
            </w:r>
          </w:p>
        </w:tc>
      </w:tr>
      <w:tr w:rsidR="002A1DCA" w:rsidRPr="00404772" w:rsidTr="00E90D98">
        <w:tblPrEx>
          <w:tblCellMar>
            <w:top w:w="0" w:type="dxa"/>
            <w:bottom w:w="0" w:type="dxa"/>
          </w:tblCellMar>
        </w:tblPrEx>
        <w:trPr>
          <w:trHeight w:val="300"/>
          <w:jc w:val="center"/>
        </w:trPr>
        <w:tc>
          <w:tcPr>
            <w:tcW w:w="197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Primer incremento: año 2023</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 xml:space="preserve">2.500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 xml:space="preserve">2.500 </w:t>
            </w:r>
          </w:p>
        </w:tc>
        <w:tc>
          <w:tcPr>
            <w:tcW w:w="2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 xml:space="preserve">2.500 </w:t>
            </w:r>
          </w:p>
        </w:tc>
      </w:tr>
      <w:tr w:rsidR="002A1DCA" w:rsidRPr="00404772" w:rsidTr="00E90D98">
        <w:tblPrEx>
          <w:tblCellMar>
            <w:top w:w="0" w:type="dxa"/>
            <w:bottom w:w="0" w:type="dxa"/>
          </w:tblCellMar>
        </w:tblPrEx>
        <w:trPr>
          <w:trHeight w:val="254"/>
          <w:jc w:val="center"/>
        </w:trPr>
        <w:tc>
          <w:tcPr>
            <w:tcW w:w="197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Segundo incremento: año 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 xml:space="preserve"> 700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700</w:t>
            </w:r>
          </w:p>
        </w:tc>
        <w:tc>
          <w:tcPr>
            <w:tcW w:w="2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1DCA" w:rsidRPr="00404772" w:rsidRDefault="002A1DCA" w:rsidP="0009094E">
            <w:pPr>
              <w:spacing w:line="276" w:lineRule="auto"/>
              <w:jc w:val="center"/>
              <w:textAlignment w:val="auto"/>
              <w:rPr>
                <w:rFonts w:ascii="Work Sans" w:hAnsi="Work Sans" w:cs="Tahoma"/>
                <w:sz w:val="20"/>
                <w:szCs w:val="20"/>
              </w:rPr>
            </w:pPr>
            <w:r w:rsidRPr="00404772">
              <w:rPr>
                <w:rFonts w:ascii="Work Sans" w:hAnsi="Work Sans" w:cs="Tahoma"/>
                <w:sz w:val="20"/>
                <w:szCs w:val="20"/>
              </w:rPr>
              <w:t>700</w:t>
            </w:r>
          </w:p>
        </w:tc>
      </w:tr>
    </w:tbl>
    <w:p w:rsidR="006E2B0B" w:rsidRDefault="006E2B0B" w:rsidP="002A1DCA">
      <w:pPr>
        <w:pStyle w:val="Normal1"/>
        <w:tabs>
          <w:tab w:val="clear" w:pos="2880"/>
        </w:tabs>
        <w:ind w:left="0" w:firstLine="0"/>
        <w:rPr>
          <w:rFonts w:ascii="Work Sans" w:hAnsi="Work Sans"/>
          <w:b/>
          <w:bCs/>
          <w:sz w:val="20"/>
          <w:szCs w:val="20"/>
          <w:lang w:val="es-ES"/>
        </w:rPr>
      </w:pPr>
    </w:p>
    <w:p w:rsidR="002A1DCA" w:rsidRPr="00404772" w:rsidRDefault="00E6099A" w:rsidP="002A1DCA">
      <w:pPr>
        <w:pStyle w:val="Normal1"/>
        <w:tabs>
          <w:tab w:val="clear" w:pos="2880"/>
        </w:tabs>
        <w:ind w:left="0" w:firstLine="0"/>
        <w:rPr>
          <w:rFonts w:ascii="Work Sans" w:hAnsi="Work Sans"/>
          <w:sz w:val="20"/>
          <w:szCs w:val="20"/>
        </w:rPr>
      </w:pPr>
      <w:r>
        <w:rPr>
          <w:rFonts w:ascii="Work Sans" w:hAnsi="Work Sans"/>
          <w:b/>
          <w:bCs/>
          <w:sz w:val="20"/>
          <w:szCs w:val="20"/>
          <w:lang w:val="es-ES"/>
        </w:rPr>
        <w:t>ARTÍCULO 2.-</w:t>
      </w:r>
      <w:r w:rsidR="002A1DCA" w:rsidRPr="00404772">
        <w:rPr>
          <w:rFonts w:ascii="Work Sans" w:hAnsi="Work Sans"/>
          <w:bCs/>
          <w:sz w:val="20"/>
          <w:szCs w:val="20"/>
        </w:rPr>
        <w:t xml:space="preserve"> Para los años en los que corresponda llevar a cabo </w:t>
      </w:r>
      <w:r w:rsidR="00E02270">
        <w:rPr>
          <w:rFonts w:ascii="Work Sans" w:hAnsi="Work Sans"/>
          <w:bCs/>
          <w:sz w:val="20"/>
          <w:szCs w:val="20"/>
        </w:rPr>
        <w:t>el incremento previsto en la presente resolución</w:t>
      </w:r>
      <w:r w:rsidR="002A1DCA" w:rsidRPr="00404772">
        <w:rPr>
          <w:rFonts w:ascii="Work Sans" w:hAnsi="Work Sans"/>
          <w:bCs/>
          <w:sz w:val="20"/>
          <w:szCs w:val="20"/>
        </w:rPr>
        <w:t>, se aplicará la siguiente fórmula de actualización</w:t>
      </w:r>
      <w:r w:rsidR="00727B28">
        <w:rPr>
          <w:rFonts w:ascii="Work Sans" w:hAnsi="Work Sans"/>
          <w:bCs/>
          <w:sz w:val="20"/>
          <w:szCs w:val="20"/>
        </w:rPr>
        <w:t>,</w:t>
      </w:r>
      <w:r w:rsidR="00727B28" w:rsidRPr="00727B28">
        <w:rPr>
          <w:rFonts w:ascii="Work Sans" w:hAnsi="Work Sans" w:cs="Arial"/>
          <w:iCs/>
          <w:sz w:val="20"/>
          <w:szCs w:val="20"/>
        </w:rPr>
        <w:t xml:space="preserve"> </w:t>
      </w:r>
      <w:r w:rsidR="00727B28">
        <w:rPr>
          <w:rFonts w:ascii="Work Sans" w:hAnsi="Work Sans" w:cs="Arial"/>
          <w:iCs/>
          <w:sz w:val="20"/>
          <w:szCs w:val="20"/>
        </w:rPr>
        <w:t>de conformidad con el estudio de la Agencia Nacional de Infraestructura</w:t>
      </w:r>
      <w:r w:rsidR="002A1DCA" w:rsidRPr="00404772">
        <w:rPr>
          <w:rFonts w:ascii="Work Sans" w:hAnsi="Work Sans"/>
          <w:sz w:val="20"/>
          <w:szCs w:val="20"/>
        </w:rPr>
        <w:t>:</w:t>
      </w:r>
    </w:p>
    <w:p w:rsidR="002A1DCA" w:rsidRPr="00404772" w:rsidRDefault="002A1DCA" w:rsidP="002A1DCA">
      <w:pPr>
        <w:tabs>
          <w:tab w:val="left" w:pos="0"/>
        </w:tabs>
        <w:ind w:left="720"/>
        <w:jc w:val="both"/>
        <w:rPr>
          <w:rFonts w:ascii="Work Sans" w:hAnsi="Work Sans"/>
          <w:sz w:val="20"/>
          <w:szCs w:val="20"/>
        </w:rPr>
      </w:pPr>
    </w:p>
    <w:p w:rsidR="002A1DCA" w:rsidRPr="00404772" w:rsidRDefault="002A1DCA" w:rsidP="002A1DCA">
      <w:pPr>
        <w:widowControl/>
        <w:tabs>
          <w:tab w:val="left" w:pos="708"/>
        </w:tabs>
        <w:ind w:left="720"/>
        <w:jc w:val="center"/>
        <w:textAlignment w:val="auto"/>
        <w:rPr>
          <w:sz w:val="20"/>
          <w:szCs w:val="20"/>
        </w:rPr>
      </w:pPr>
      <m:oMath>
        <m:r>
          <w:rPr>
            <w:rFonts w:ascii="Cambria Math" w:hAnsi="Cambria Math"/>
            <w:sz w:val="20"/>
            <w:szCs w:val="20"/>
          </w:rPr>
          <m:t>TarifaSRt=</m:t>
        </m:r>
        <m:sSub>
          <m:sSubPr>
            <m:ctrlPr>
              <w:rPr>
                <w:rFonts w:ascii="Cambria Math" w:hAnsi="Cambria Math"/>
                <w:sz w:val="20"/>
              </w:rPr>
            </m:ctrlPr>
          </m:sSubPr>
          <m:e>
            <m:r>
              <w:rPr>
                <w:rFonts w:ascii="Cambria Math" w:hAnsi="Cambria Math"/>
                <w:sz w:val="20"/>
                <w:szCs w:val="20"/>
              </w:rPr>
              <m:t>Tarifa</m:t>
            </m:r>
          </m:e>
          <m:sub>
            <m:r>
              <w:rPr>
                <w:rFonts w:ascii="Cambria Math" w:hAnsi="Cambria Math"/>
                <w:sz w:val="20"/>
                <w:szCs w:val="20"/>
              </w:rPr>
              <m:t xml:space="preserve">t-1 </m:t>
            </m:r>
          </m:sub>
        </m:sSub>
        <m:r>
          <w:rPr>
            <w:rFonts w:ascii="Cambria Math" w:hAnsi="Cambria Math"/>
            <w:sz w:val="20"/>
            <w:szCs w:val="20"/>
          </w:rPr>
          <m:t>*</m:t>
        </m:r>
        <m:d>
          <m:dPr>
            <m:ctrlPr>
              <w:rPr>
                <w:rFonts w:ascii="Cambria Math" w:hAnsi="Cambria Math"/>
                <w:sz w:val="20"/>
              </w:rPr>
            </m:ctrlPr>
          </m:dPr>
          <m:e>
            <m:f>
              <m:fPr>
                <m:ctrlPr>
                  <w:rPr>
                    <w:rFonts w:ascii="Cambria Math" w:hAnsi="Cambria Math"/>
                    <w:sz w:val="20"/>
                  </w:rPr>
                </m:ctrlPr>
              </m:fPr>
              <m:num>
                <m:sSub>
                  <m:sSubPr>
                    <m:ctrlPr>
                      <w:rPr>
                        <w:rFonts w:ascii="Cambria Math" w:hAnsi="Cambria Math"/>
                        <w:sz w:val="20"/>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hAnsi="Cambria Math"/>
                        <w:sz w:val="20"/>
                      </w:rPr>
                    </m:ctrlPr>
                  </m:sSubPr>
                  <m:e>
                    <m:r>
                      <w:rPr>
                        <w:rFonts w:ascii="Cambria Math" w:hAnsi="Cambria Math"/>
                        <w:sz w:val="20"/>
                        <w:szCs w:val="20"/>
                      </w:rPr>
                      <m:t>IPC</m:t>
                    </m:r>
                  </m:e>
                  <m:sub>
                    <m:r>
                      <w:rPr>
                        <w:rFonts w:ascii="Cambria Math" w:hAnsi="Cambria Math"/>
                        <w:sz w:val="20"/>
                        <w:szCs w:val="20"/>
                      </w:rPr>
                      <m:t>t-2</m:t>
                    </m:r>
                  </m:sub>
                </m:sSub>
              </m:den>
            </m:f>
          </m:e>
        </m:d>
      </m:oMath>
      <w:r w:rsidRPr="00404772">
        <w:rPr>
          <w:rFonts w:ascii="Work Sans" w:eastAsia="MS Mincho" w:hAnsi="Work Sans" w:cs="Times New Roman"/>
          <w:i/>
          <w:iCs/>
          <w:color w:val="000000"/>
          <w:kern w:val="0"/>
          <w:sz w:val="20"/>
          <w:szCs w:val="20"/>
          <w:lang w:val="es-CO" w:eastAsia="es-ES" w:bidi="ar-SA"/>
        </w:rPr>
        <w:t xml:space="preserve"> </w:t>
      </w:r>
      <w:r w:rsidRPr="00404772">
        <w:rPr>
          <w:rFonts w:ascii="Work Sans" w:hAnsi="Work Sans" w:cs="Tahoma"/>
          <w:i/>
          <w:iCs/>
          <w:sz w:val="20"/>
          <w:szCs w:val="20"/>
        </w:rPr>
        <w:t>+ Incremento</w:t>
      </w:r>
      <m:oMath>
        <m:r>
          <w:rPr>
            <w:rFonts w:ascii="Cambria Math" w:hAnsi="Cambria Math"/>
            <w:sz w:val="20"/>
            <w:szCs w:val="20"/>
          </w:rPr>
          <m:t>tar*</m:t>
        </m:r>
        <m:d>
          <m:dPr>
            <m:ctrlPr>
              <w:rPr>
                <w:rFonts w:ascii="Cambria Math" w:hAnsi="Cambria Math"/>
                <w:sz w:val="20"/>
              </w:rPr>
            </m:ctrlPr>
          </m:dPr>
          <m:e>
            <m:f>
              <m:fPr>
                <m:ctrlPr>
                  <w:rPr>
                    <w:rFonts w:ascii="Cambria Math" w:hAnsi="Cambria Math"/>
                    <w:sz w:val="20"/>
                  </w:rPr>
                </m:ctrlPr>
              </m:fPr>
              <m:num>
                <m:sSub>
                  <m:sSubPr>
                    <m:ctrlPr>
                      <w:rPr>
                        <w:rFonts w:ascii="Cambria Math" w:hAnsi="Cambria Math"/>
                        <w:sz w:val="20"/>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hAnsi="Cambria Math"/>
                        <w:sz w:val="20"/>
                      </w:rPr>
                    </m:ctrlPr>
                  </m:sSubPr>
                  <m:e>
                    <m:r>
                      <w:rPr>
                        <w:rFonts w:ascii="Cambria Math" w:hAnsi="Cambria Math"/>
                        <w:sz w:val="20"/>
                        <w:szCs w:val="20"/>
                      </w:rPr>
                      <m:t>IPC</m:t>
                    </m:r>
                  </m:e>
                  <m:sub>
                    <m:r>
                      <w:rPr>
                        <w:rFonts w:ascii="Cambria Math" w:hAnsi="Cambria Math"/>
                        <w:sz w:val="20"/>
                        <w:szCs w:val="20"/>
                      </w:rPr>
                      <m:t>t-2</m:t>
                    </m:r>
                  </m:sub>
                </m:sSub>
              </m:den>
            </m:f>
          </m:e>
        </m:d>
      </m:oMath>
    </w:p>
    <w:p w:rsidR="002A1DCA" w:rsidRPr="00404772" w:rsidRDefault="002A1DCA" w:rsidP="006E2B0B">
      <w:pPr>
        <w:tabs>
          <w:tab w:val="left" w:pos="0"/>
        </w:tabs>
        <w:ind w:left="720" w:hanging="578"/>
        <w:jc w:val="both"/>
        <w:rPr>
          <w:rFonts w:ascii="Work Sans" w:hAnsi="Work Sans"/>
          <w:sz w:val="20"/>
          <w:szCs w:val="20"/>
        </w:rPr>
      </w:pPr>
      <w:r w:rsidRPr="00404772">
        <w:rPr>
          <w:rFonts w:ascii="Work Sans" w:hAnsi="Work Sans"/>
          <w:sz w:val="20"/>
          <w:szCs w:val="20"/>
        </w:rPr>
        <w:t xml:space="preserve">Donde, </w:t>
      </w:r>
    </w:p>
    <w:p w:rsidR="002A1DCA" w:rsidRPr="00404772" w:rsidRDefault="002A1DCA" w:rsidP="002A1DCA">
      <w:pPr>
        <w:tabs>
          <w:tab w:val="left" w:pos="0"/>
        </w:tabs>
        <w:ind w:left="720"/>
        <w:jc w:val="both"/>
        <w:rPr>
          <w:rFonts w:ascii="Work Sans" w:hAnsi="Work Sans"/>
          <w:sz w:val="20"/>
          <w:szCs w:val="20"/>
        </w:rPr>
      </w:pPr>
    </w:p>
    <w:tbl>
      <w:tblPr>
        <w:tblW w:w="8505" w:type="dxa"/>
        <w:tblInd w:w="108" w:type="dxa"/>
        <w:tblLayout w:type="fixed"/>
        <w:tblCellMar>
          <w:left w:w="10" w:type="dxa"/>
          <w:right w:w="10" w:type="dxa"/>
        </w:tblCellMar>
        <w:tblLook w:val="0000" w:firstRow="0" w:lastRow="0" w:firstColumn="0" w:lastColumn="0" w:noHBand="0" w:noVBand="0"/>
      </w:tblPr>
      <w:tblGrid>
        <w:gridCol w:w="1418"/>
        <w:gridCol w:w="7087"/>
      </w:tblGrid>
      <w:tr w:rsidR="002A1DCA" w:rsidRPr="00404772" w:rsidTr="009F04D5">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ind w:left="624" w:hanging="624"/>
              <w:textAlignment w:val="auto"/>
            </w:pPr>
            <w:r w:rsidRPr="00404772">
              <w:rPr>
                <w:rFonts w:ascii="Work Sans" w:hAnsi="Work Sans" w:cs="Times New Roman"/>
                <w:i/>
                <w:color w:val="000000"/>
                <w:kern w:val="0"/>
                <w:sz w:val="20"/>
                <w:szCs w:val="20"/>
                <w:lang w:val="es-CO" w:eastAsia="es" w:bidi="ar-SA"/>
              </w:rPr>
              <w:t>TarifaSR</w:t>
            </w:r>
            <w:r w:rsidRPr="00404772">
              <w:rPr>
                <w:rFonts w:ascii="Work Sans" w:hAnsi="Work Sans" w:cs="Times New Roman"/>
                <w:i/>
                <w:color w:val="000000"/>
                <w:kern w:val="0"/>
                <w:sz w:val="20"/>
                <w:szCs w:val="20"/>
                <w:vertAlign w:val="subscript"/>
                <w:lang w:val="es-CO" w:eastAsia="es" w:bidi="ar-SA"/>
              </w:rPr>
              <w:t>t</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jc w:val="both"/>
              <w:textAlignment w:val="auto"/>
              <w:rPr>
                <w:rFonts w:ascii="Work Sans" w:hAnsi="Work Sans" w:cs="Times New Roman"/>
                <w:color w:val="000000"/>
                <w:kern w:val="0"/>
                <w:sz w:val="20"/>
                <w:szCs w:val="20"/>
                <w:lang w:val="es-CO" w:eastAsia="es" w:bidi="ar-SA"/>
              </w:rPr>
            </w:pPr>
            <w:r w:rsidRPr="00404772">
              <w:rPr>
                <w:rFonts w:ascii="Work Sans" w:hAnsi="Work Sans" w:cs="Times New Roman"/>
                <w:color w:val="000000"/>
                <w:kern w:val="0"/>
                <w:sz w:val="20"/>
                <w:szCs w:val="20"/>
                <w:lang w:val="es-CO" w:eastAsia="es" w:bidi="ar-SA"/>
              </w:rPr>
              <w:t>Para cada categoría de vehículos y cada estación de peaje es el valor de la tarifa actualizada en pesos corrientes del año t, sin el redondeo a la centena</w:t>
            </w:r>
          </w:p>
        </w:tc>
      </w:tr>
      <w:tr w:rsidR="002A1DCA" w:rsidRPr="00404772" w:rsidTr="009F04D5">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imes New Roman"/>
                <w:i/>
                <w:color w:val="000000"/>
                <w:kern w:val="0"/>
                <w:sz w:val="20"/>
                <w:szCs w:val="20"/>
                <w:lang w:val="es-CO" w:eastAsia="es" w:bidi="ar-SA"/>
              </w:rPr>
              <w:t>Tarifa</w:t>
            </w:r>
            <w:r w:rsidRPr="00404772">
              <w:rPr>
                <w:rFonts w:ascii="Work Sans" w:hAnsi="Work Sans" w:cs="Times New Roman"/>
                <w:i/>
                <w:color w:val="000000"/>
                <w:kern w:val="0"/>
                <w:sz w:val="20"/>
                <w:szCs w:val="20"/>
                <w:vertAlign w:val="subscript"/>
                <w:lang w:val="es-CO" w:eastAsia="es" w:bidi="ar-SA"/>
              </w:rPr>
              <w:t>t-1</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ind w:firstLine="12"/>
              <w:jc w:val="both"/>
              <w:textAlignment w:val="auto"/>
            </w:pPr>
            <w:r w:rsidRPr="00404772">
              <w:rPr>
                <w:rFonts w:ascii="Work Sans" w:hAnsi="Work Sans" w:cs="Times New Roman"/>
                <w:color w:val="000000"/>
                <w:kern w:val="0"/>
                <w:sz w:val="20"/>
                <w:szCs w:val="20"/>
                <w:lang w:val="es-CO" w:eastAsia="es" w:bidi="ar-SA"/>
              </w:rPr>
              <w:t xml:space="preserve">Corresponde a la tarifa cobrada al usuario del período inmediatamente anterior restándole la tarifa del Fondo de Seguridad </w:t>
            </w:r>
            <w:r w:rsidRPr="00404772">
              <w:rPr>
                <w:rFonts w:ascii="Work Sans" w:hAnsi="Work Sans" w:cs="Times New Roman"/>
                <w:color w:val="000000"/>
                <w:kern w:val="0"/>
                <w:sz w:val="20"/>
                <w:szCs w:val="20"/>
                <w:lang w:val="es-CO" w:eastAsia="es" w:bidi="ar-SA"/>
              </w:rPr>
              <w:lastRenderedPageBreak/>
              <w:t xml:space="preserve">Vial (FSV) o cualquier sobretasa o similar que tenga destinación diferente al proyecto, cobrada del año inmediatamente anterior </w:t>
            </w:r>
          </w:p>
        </w:tc>
      </w:tr>
      <w:tr w:rsidR="002A1DCA" w:rsidRPr="00404772" w:rsidTr="009F04D5">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ahoma"/>
                <w:i/>
                <w:iCs/>
                <w:sz w:val="20"/>
                <w:szCs w:val="20"/>
              </w:rPr>
              <w:lastRenderedPageBreak/>
              <w:t>Incremento</w:t>
            </w:r>
            <m:oMath>
              <m:r>
                <w:rPr>
                  <w:rFonts w:ascii="Cambria Math" w:hAnsi="Cambria Math"/>
                </w:rPr>
                <m:t>tar</m:t>
              </m:r>
            </m:oMath>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ind w:firstLine="12"/>
              <w:jc w:val="both"/>
              <w:textAlignment w:val="auto"/>
            </w:pPr>
            <w:r w:rsidRPr="00404772">
              <w:rPr>
                <w:rFonts w:ascii="Work Sans" w:hAnsi="Work Sans" w:cs="Times New Roman"/>
                <w:color w:val="000000"/>
                <w:kern w:val="0"/>
                <w:sz w:val="20"/>
                <w:szCs w:val="20"/>
                <w:lang w:val="es-CO" w:eastAsia="es" w:bidi="ar-SA"/>
              </w:rPr>
              <w:t>Corresponde al incremento establecido en el artículo primero de la presente resolución.</w:t>
            </w:r>
          </w:p>
        </w:tc>
      </w:tr>
      <w:tr w:rsidR="002A1DCA" w:rsidRPr="00404772" w:rsidTr="009F04D5">
        <w:tblPrEx>
          <w:tblCellMar>
            <w:top w:w="0" w:type="dxa"/>
            <w:bottom w:w="0" w:type="dxa"/>
          </w:tblCellMar>
        </w:tblPrEx>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imes New Roman"/>
                <w:i/>
                <w:color w:val="000000"/>
                <w:kern w:val="0"/>
                <w:sz w:val="20"/>
                <w:szCs w:val="20"/>
                <w:lang w:val="es-CO" w:eastAsia="es" w:bidi="ar-SA"/>
              </w:rPr>
              <w:t>IPC</w:t>
            </w:r>
            <w:r w:rsidRPr="00404772">
              <w:rPr>
                <w:rFonts w:ascii="Work Sans" w:hAnsi="Work Sans" w:cs="Times New Roman"/>
                <w:i/>
                <w:color w:val="000000"/>
                <w:kern w:val="0"/>
                <w:sz w:val="20"/>
                <w:szCs w:val="20"/>
                <w:vertAlign w:val="subscript"/>
                <w:lang w:val="es-CO" w:eastAsia="es" w:bidi="ar-SA"/>
              </w:rPr>
              <w:t>t-1</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imes New Roman"/>
                <w:color w:val="000000"/>
                <w:spacing w:val="-3"/>
                <w:kern w:val="0"/>
                <w:sz w:val="20"/>
                <w:szCs w:val="20"/>
                <w:lang w:val="es-CO" w:eastAsia="es" w:bidi="ar-SA"/>
              </w:rPr>
              <w:t>I</w:t>
            </w:r>
            <w:r w:rsidRPr="00404772">
              <w:rPr>
                <w:rFonts w:ascii="Work Sans" w:hAnsi="Work Sans" w:cs="Times New Roman"/>
                <w:color w:val="000000"/>
                <w:spacing w:val="1"/>
                <w:kern w:val="0"/>
                <w:sz w:val="20"/>
                <w:szCs w:val="20"/>
                <w:lang w:val="es-CO" w:eastAsia="es" w:bidi="ar-SA"/>
              </w:rPr>
              <w:t>P</w:t>
            </w:r>
            <w:r w:rsidRPr="00404772">
              <w:rPr>
                <w:rFonts w:ascii="Work Sans" w:hAnsi="Work Sans" w:cs="Times New Roman"/>
                <w:color w:val="000000"/>
                <w:kern w:val="0"/>
                <w:sz w:val="20"/>
                <w:szCs w:val="20"/>
                <w:lang w:val="es-CO" w:eastAsia="es" w:bidi="ar-SA"/>
              </w:rPr>
              <w:t>C de</w:t>
            </w:r>
            <w:r w:rsidRPr="00404772">
              <w:rPr>
                <w:rFonts w:ascii="Work Sans" w:hAnsi="Work Sans" w:cs="Times New Roman"/>
                <w:color w:val="000000"/>
                <w:spacing w:val="-1"/>
                <w:kern w:val="0"/>
                <w:sz w:val="20"/>
                <w:szCs w:val="20"/>
                <w:lang w:val="es-CO" w:eastAsia="es" w:bidi="ar-SA"/>
              </w:rPr>
              <w:t xml:space="preserve"> </w:t>
            </w:r>
            <w:r w:rsidRPr="00404772">
              <w:rPr>
                <w:rFonts w:ascii="Work Sans" w:hAnsi="Work Sans" w:cs="Times New Roman"/>
                <w:color w:val="000000"/>
                <w:kern w:val="0"/>
                <w:sz w:val="20"/>
                <w:szCs w:val="20"/>
                <w:lang w:val="es-CO" w:eastAsia="es" w:bidi="ar-SA"/>
              </w:rPr>
              <w:t>di</w:t>
            </w:r>
            <w:r w:rsidRPr="00404772">
              <w:rPr>
                <w:rFonts w:ascii="Work Sans" w:hAnsi="Work Sans" w:cs="Times New Roman"/>
                <w:color w:val="000000"/>
                <w:spacing w:val="-1"/>
                <w:kern w:val="0"/>
                <w:sz w:val="20"/>
                <w:szCs w:val="20"/>
                <w:lang w:val="es-CO" w:eastAsia="es" w:bidi="ar-SA"/>
              </w:rPr>
              <w:t>c</w:t>
            </w:r>
            <w:r w:rsidRPr="00404772">
              <w:rPr>
                <w:rFonts w:ascii="Work Sans" w:hAnsi="Work Sans" w:cs="Times New Roman"/>
                <w:color w:val="000000"/>
                <w:spacing w:val="3"/>
                <w:kern w:val="0"/>
                <w:sz w:val="20"/>
                <w:szCs w:val="20"/>
                <w:lang w:val="es-CO" w:eastAsia="es" w:bidi="ar-SA"/>
              </w:rPr>
              <w:t>i</w:t>
            </w:r>
            <w:r w:rsidRPr="00404772">
              <w:rPr>
                <w:rFonts w:ascii="Work Sans" w:hAnsi="Work Sans" w:cs="Times New Roman"/>
                <w:color w:val="000000"/>
                <w:spacing w:val="-1"/>
                <w:kern w:val="0"/>
                <w:sz w:val="20"/>
                <w:szCs w:val="20"/>
                <w:lang w:val="es-CO" w:eastAsia="es" w:bidi="ar-SA"/>
              </w:rPr>
              <w:t>e</w:t>
            </w:r>
            <w:r w:rsidRPr="00404772">
              <w:rPr>
                <w:rFonts w:ascii="Work Sans" w:hAnsi="Work Sans" w:cs="Times New Roman"/>
                <w:color w:val="000000"/>
                <w:kern w:val="0"/>
                <w:sz w:val="20"/>
                <w:szCs w:val="20"/>
                <w:lang w:val="es-CO" w:eastAsia="es" w:bidi="ar-SA"/>
              </w:rPr>
              <w:t>mbre</w:t>
            </w:r>
            <w:r w:rsidRPr="00404772">
              <w:rPr>
                <w:rFonts w:ascii="Work Sans" w:hAnsi="Work Sans" w:cs="Times New Roman"/>
                <w:color w:val="000000"/>
                <w:spacing w:val="-1"/>
                <w:kern w:val="0"/>
                <w:sz w:val="20"/>
                <w:szCs w:val="20"/>
                <w:lang w:val="es-CO" w:eastAsia="es" w:bidi="ar-SA"/>
              </w:rPr>
              <w:t xml:space="preserve"> </w:t>
            </w:r>
            <w:r w:rsidRPr="00404772">
              <w:rPr>
                <w:rFonts w:ascii="Work Sans" w:hAnsi="Work Sans" w:cs="Times New Roman"/>
                <w:color w:val="000000"/>
                <w:kern w:val="0"/>
                <w:sz w:val="20"/>
                <w:szCs w:val="20"/>
                <w:lang w:val="es-CO" w:eastAsia="es" w:bidi="ar-SA"/>
              </w:rPr>
              <w:t>d</w:t>
            </w:r>
            <w:r w:rsidRPr="00404772">
              <w:rPr>
                <w:rFonts w:ascii="Work Sans" w:hAnsi="Work Sans" w:cs="Times New Roman"/>
                <w:color w:val="000000"/>
                <w:spacing w:val="-1"/>
                <w:kern w:val="0"/>
                <w:sz w:val="20"/>
                <w:szCs w:val="20"/>
                <w:lang w:val="es-CO" w:eastAsia="es" w:bidi="ar-SA"/>
              </w:rPr>
              <w:t>e</w:t>
            </w:r>
            <w:r w:rsidRPr="00404772">
              <w:rPr>
                <w:rFonts w:ascii="Work Sans" w:hAnsi="Work Sans" w:cs="Times New Roman"/>
                <w:color w:val="000000"/>
                <w:kern w:val="0"/>
                <w:sz w:val="20"/>
                <w:szCs w:val="20"/>
                <w:lang w:val="es-CO" w:eastAsia="es" w:bidi="ar-SA"/>
              </w:rPr>
              <w:t>l año inmediatamente ant</w:t>
            </w:r>
            <w:r w:rsidRPr="00404772">
              <w:rPr>
                <w:rFonts w:ascii="Work Sans" w:hAnsi="Work Sans" w:cs="Times New Roman"/>
                <w:color w:val="000000"/>
                <w:spacing w:val="-1"/>
                <w:kern w:val="0"/>
                <w:sz w:val="20"/>
                <w:szCs w:val="20"/>
                <w:lang w:val="es-CO" w:eastAsia="es" w:bidi="ar-SA"/>
              </w:rPr>
              <w:t>e</w:t>
            </w:r>
            <w:r w:rsidRPr="00404772">
              <w:rPr>
                <w:rFonts w:ascii="Work Sans" w:hAnsi="Work Sans" w:cs="Times New Roman"/>
                <w:color w:val="000000"/>
                <w:kern w:val="0"/>
                <w:sz w:val="20"/>
                <w:szCs w:val="20"/>
                <w:lang w:val="es-CO" w:eastAsia="es" w:bidi="ar-SA"/>
              </w:rPr>
              <w:t>rior</w:t>
            </w:r>
            <w:r w:rsidRPr="00404772">
              <w:rPr>
                <w:rFonts w:ascii="Work Sans" w:hAnsi="Work Sans" w:cs="Times New Roman"/>
                <w:color w:val="000000"/>
                <w:spacing w:val="-1"/>
                <w:kern w:val="0"/>
                <w:sz w:val="20"/>
                <w:szCs w:val="20"/>
                <w:lang w:val="es-CO" w:eastAsia="es" w:bidi="ar-SA"/>
              </w:rPr>
              <w:t xml:space="preserve"> al año </w:t>
            </w:r>
            <w:r w:rsidRPr="00404772">
              <w:rPr>
                <w:rFonts w:ascii="Work Sans" w:hAnsi="Work Sans" w:cs="Times New Roman"/>
                <w:i/>
                <w:color w:val="000000"/>
                <w:spacing w:val="-1"/>
                <w:kern w:val="0"/>
                <w:sz w:val="20"/>
                <w:szCs w:val="20"/>
                <w:lang w:val="es-CO" w:eastAsia="es" w:bidi="ar-SA"/>
              </w:rPr>
              <w:t xml:space="preserve">t </w:t>
            </w:r>
            <w:r w:rsidRPr="00404772">
              <w:rPr>
                <w:rFonts w:ascii="Work Sans" w:hAnsi="Work Sans" w:cs="Times New Roman"/>
                <w:color w:val="000000"/>
                <w:spacing w:val="-1"/>
                <w:kern w:val="0"/>
                <w:sz w:val="20"/>
                <w:szCs w:val="20"/>
                <w:lang w:val="es-CO" w:eastAsia="es" w:bidi="ar-SA"/>
              </w:rPr>
              <w:t>de actualización</w:t>
            </w:r>
          </w:p>
        </w:tc>
      </w:tr>
      <w:tr w:rsidR="002A1DCA" w:rsidRPr="00404772" w:rsidTr="009F04D5">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imes New Roman"/>
                <w:i/>
                <w:color w:val="000000"/>
                <w:kern w:val="0"/>
                <w:sz w:val="20"/>
                <w:szCs w:val="20"/>
                <w:lang w:val="es-CO" w:eastAsia="es" w:bidi="ar-SA"/>
              </w:rPr>
              <w:t>IPC</w:t>
            </w:r>
            <w:r w:rsidRPr="00404772">
              <w:rPr>
                <w:rFonts w:ascii="Work Sans" w:hAnsi="Work Sans" w:cs="Times New Roman"/>
                <w:i/>
                <w:color w:val="000000"/>
                <w:kern w:val="0"/>
                <w:sz w:val="20"/>
                <w:szCs w:val="20"/>
                <w:vertAlign w:val="subscript"/>
                <w:lang w:val="es-CO" w:eastAsia="es" w:bidi="ar-SA"/>
              </w:rPr>
              <w:t>t-2</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pPr>
            <w:r w:rsidRPr="00404772">
              <w:rPr>
                <w:rFonts w:ascii="Work Sans" w:hAnsi="Work Sans" w:cs="Times New Roman"/>
                <w:color w:val="000000"/>
                <w:spacing w:val="-3"/>
                <w:kern w:val="0"/>
                <w:sz w:val="20"/>
                <w:szCs w:val="20"/>
                <w:lang w:val="es-CO" w:eastAsia="es" w:bidi="ar-SA"/>
              </w:rPr>
              <w:t>I</w:t>
            </w:r>
            <w:r w:rsidRPr="00404772">
              <w:rPr>
                <w:rFonts w:ascii="Work Sans" w:hAnsi="Work Sans" w:cs="Times New Roman"/>
                <w:color w:val="000000"/>
                <w:spacing w:val="1"/>
                <w:kern w:val="0"/>
                <w:sz w:val="20"/>
                <w:szCs w:val="20"/>
                <w:lang w:val="es-CO" w:eastAsia="es" w:bidi="ar-SA"/>
              </w:rPr>
              <w:t>P</w:t>
            </w:r>
            <w:r w:rsidRPr="00404772">
              <w:rPr>
                <w:rFonts w:ascii="Work Sans" w:hAnsi="Work Sans" w:cs="Times New Roman"/>
                <w:color w:val="000000"/>
                <w:kern w:val="0"/>
                <w:sz w:val="20"/>
                <w:szCs w:val="20"/>
                <w:lang w:val="es-CO" w:eastAsia="es" w:bidi="ar-SA"/>
              </w:rPr>
              <w:t>C de</w:t>
            </w:r>
            <w:r w:rsidRPr="00404772">
              <w:rPr>
                <w:rFonts w:ascii="Work Sans" w:hAnsi="Work Sans" w:cs="Times New Roman"/>
                <w:color w:val="000000"/>
                <w:spacing w:val="-1"/>
                <w:kern w:val="0"/>
                <w:sz w:val="20"/>
                <w:szCs w:val="20"/>
                <w:lang w:val="es-CO" w:eastAsia="es" w:bidi="ar-SA"/>
              </w:rPr>
              <w:t xml:space="preserve"> </w:t>
            </w:r>
            <w:r w:rsidRPr="00404772">
              <w:rPr>
                <w:rFonts w:ascii="Work Sans" w:hAnsi="Work Sans" w:cs="Times New Roman"/>
                <w:color w:val="000000"/>
                <w:kern w:val="0"/>
                <w:sz w:val="20"/>
                <w:szCs w:val="20"/>
                <w:lang w:val="es-CO" w:eastAsia="es" w:bidi="ar-SA"/>
              </w:rPr>
              <w:t>di</w:t>
            </w:r>
            <w:r w:rsidRPr="00404772">
              <w:rPr>
                <w:rFonts w:ascii="Work Sans" w:hAnsi="Work Sans" w:cs="Times New Roman"/>
                <w:color w:val="000000"/>
                <w:spacing w:val="-1"/>
                <w:kern w:val="0"/>
                <w:sz w:val="20"/>
                <w:szCs w:val="20"/>
                <w:lang w:val="es-CO" w:eastAsia="es" w:bidi="ar-SA"/>
              </w:rPr>
              <w:t>c</w:t>
            </w:r>
            <w:r w:rsidRPr="00404772">
              <w:rPr>
                <w:rFonts w:ascii="Work Sans" w:hAnsi="Work Sans" w:cs="Times New Roman"/>
                <w:color w:val="000000"/>
                <w:spacing w:val="3"/>
                <w:kern w:val="0"/>
                <w:sz w:val="20"/>
                <w:szCs w:val="20"/>
                <w:lang w:val="es-CO" w:eastAsia="es" w:bidi="ar-SA"/>
              </w:rPr>
              <w:t>i</w:t>
            </w:r>
            <w:r w:rsidRPr="00404772">
              <w:rPr>
                <w:rFonts w:ascii="Work Sans" w:hAnsi="Work Sans" w:cs="Times New Roman"/>
                <w:color w:val="000000"/>
                <w:spacing w:val="-1"/>
                <w:kern w:val="0"/>
                <w:sz w:val="20"/>
                <w:szCs w:val="20"/>
                <w:lang w:val="es-CO" w:eastAsia="es" w:bidi="ar-SA"/>
              </w:rPr>
              <w:t>e</w:t>
            </w:r>
            <w:r w:rsidRPr="00404772">
              <w:rPr>
                <w:rFonts w:ascii="Work Sans" w:hAnsi="Work Sans" w:cs="Times New Roman"/>
                <w:color w:val="000000"/>
                <w:kern w:val="0"/>
                <w:sz w:val="20"/>
                <w:szCs w:val="20"/>
                <w:lang w:val="es-CO" w:eastAsia="es" w:bidi="ar-SA"/>
              </w:rPr>
              <w:t>mbre</w:t>
            </w:r>
            <w:r w:rsidRPr="00404772">
              <w:rPr>
                <w:rFonts w:ascii="Work Sans" w:hAnsi="Work Sans" w:cs="Times New Roman"/>
                <w:color w:val="000000"/>
                <w:spacing w:val="-1"/>
                <w:kern w:val="0"/>
                <w:sz w:val="20"/>
                <w:szCs w:val="20"/>
                <w:lang w:val="es-CO" w:eastAsia="es" w:bidi="ar-SA"/>
              </w:rPr>
              <w:t xml:space="preserve"> </w:t>
            </w:r>
            <w:r w:rsidRPr="00404772">
              <w:rPr>
                <w:rFonts w:ascii="Work Sans" w:hAnsi="Work Sans" w:cs="Times New Roman"/>
                <w:color w:val="000000"/>
                <w:kern w:val="0"/>
                <w:sz w:val="20"/>
                <w:szCs w:val="20"/>
                <w:lang w:val="es-CO" w:eastAsia="es" w:bidi="ar-SA"/>
              </w:rPr>
              <w:t>d</w:t>
            </w:r>
            <w:r w:rsidRPr="00404772">
              <w:rPr>
                <w:rFonts w:ascii="Work Sans" w:hAnsi="Work Sans" w:cs="Times New Roman"/>
                <w:color w:val="000000"/>
                <w:spacing w:val="-1"/>
                <w:kern w:val="0"/>
                <w:sz w:val="20"/>
                <w:szCs w:val="20"/>
                <w:lang w:val="es-CO" w:eastAsia="es" w:bidi="ar-SA"/>
              </w:rPr>
              <w:t>e</w:t>
            </w:r>
            <w:r w:rsidRPr="00404772">
              <w:rPr>
                <w:rFonts w:ascii="Work Sans" w:hAnsi="Work Sans" w:cs="Times New Roman"/>
                <w:color w:val="000000"/>
                <w:kern w:val="0"/>
                <w:sz w:val="20"/>
                <w:szCs w:val="20"/>
                <w:lang w:val="es-CO" w:eastAsia="es" w:bidi="ar-SA"/>
              </w:rPr>
              <w:t>l</w:t>
            </w:r>
            <w:r w:rsidRPr="00404772">
              <w:rPr>
                <w:rFonts w:ascii="Work Sans" w:hAnsi="Work Sans" w:cs="Times New Roman"/>
                <w:color w:val="000000"/>
                <w:spacing w:val="3"/>
                <w:kern w:val="0"/>
                <w:sz w:val="20"/>
                <w:szCs w:val="20"/>
                <w:lang w:val="es-CO" w:eastAsia="es" w:bidi="ar-SA"/>
              </w:rPr>
              <w:t xml:space="preserve"> </w:t>
            </w:r>
            <w:r w:rsidRPr="00404772">
              <w:rPr>
                <w:rFonts w:ascii="Work Sans" w:hAnsi="Work Sans" w:cs="Times New Roman"/>
                <w:color w:val="000000"/>
                <w:spacing w:val="-1"/>
                <w:kern w:val="0"/>
                <w:sz w:val="20"/>
                <w:szCs w:val="20"/>
                <w:lang w:val="es-CO" w:eastAsia="es" w:bidi="ar-SA"/>
              </w:rPr>
              <w:t>a</w:t>
            </w:r>
            <w:r w:rsidRPr="00404772">
              <w:rPr>
                <w:rFonts w:ascii="Work Sans" w:hAnsi="Work Sans" w:cs="Times New Roman"/>
                <w:color w:val="000000"/>
                <w:spacing w:val="2"/>
                <w:kern w:val="0"/>
                <w:sz w:val="20"/>
                <w:szCs w:val="20"/>
                <w:lang w:val="es-CO" w:eastAsia="es" w:bidi="ar-SA"/>
              </w:rPr>
              <w:t>ñ</w:t>
            </w:r>
            <w:r w:rsidRPr="00404772">
              <w:rPr>
                <w:rFonts w:ascii="Work Sans" w:hAnsi="Work Sans" w:cs="Times New Roman"/>
                <w:color w:val="000000"/>
                <w:kern w:val="0"/>
                <w:sz w:val="20"/>
                <w:szCs w:val="20"/>
                <w:lang w:val="es-CO" w:eastAsia="es" w:bidi="ar-SA"/>
              </w:rPr>
              <w:t xml:space="preserve">o inmediatamente </w:t>
            </w:r>
            <w:r w:rsidRPr="00404772">
              <w:rPr>
                <w:rFonts w:ascii="Work Sans" w:hAnsi="Work Sans" w:cs="Times New Roman"/>
                <w:color w:val="000000"/>
                <w:spacing w:val="-1"/>
                <w:kern w:val="0"/>
                <w:sz w:val="20"/>
                <w:szCs w:val="20"/>
                <w:lang w:val="es-CO" w:eastAsia="es" w:bidi="ar-SA"/>
              </w:rPr>
              <w:t>a</w:t>
            </w:r>
            <w:r w:rsidRPr="00404772">
              <w:rPr>
                <w:rFonts w:ascii="Work Sans" w:hAnsi="Work Sans" w:cs="Times New Roman"/>
                <w:color w:val="000000"/>
                <w:kern w:val="0"/>
                <w:sz w:val="20"/>
                <w:szCs w:val="20"/>
                <w:lang w:val="es-CO" w:eastAsia="es" w:bidi="ar-SA"/>
              </w:rPr>
              <w:t>nte</w:t>
            </w:r>
            <w:r w:rsidRPr="00404772">
              <w:rPr>
                <w:rFonts w:ascii="Work Sans" w:hAnsi="Work Sans" w:cs="Times New Roman"/>
                <w:color w:val="000000"/>
                <w:spacing w:val="-1"/>
                <w:kern w:val="0"/>
                <w:sz w:val="20"/>
                <w:szCs w:val="20"/>
                <w:lang w:val="es-CO" w:eastAsia="es" w:bidi="ar-SA"/>
              </w:rPr>
              <w:t>r</w:t>
            </w:r>
            <w:r w:rsidRPr="00404772">
              <w:rPr>
                <w:rFonts w:ascii="Work Sans" w:hAnsi="Work Sans" w:cs="Times New Roman"/>
                <w:color w:val="000000"/>
                <w:kern w:val="0"/>
                <w:sz w:val="20"/>
                <w:szCs w:val="20"/>
                <w:lang w:val="es-CO" w:eastAsia="es" w:bidi="ar-SA"/>
              </w:rPr>
              <w:t>ior al año</w:t>
            </w:r>
            <w:r w:rsidRPr="00404772">
              <w:rPr>
                <w:rFonts w:ascii="Work Sans" w:hAnsi="Work Sans" w:cs="Times New Roman"/>
                <w:color w:val="000000"/>
                <w:spacing w:val="-1"/>
                <w:kern w:val="0"/>
                <w:sz w:val="20"/>
                <w:szCs w:val="20"/>
                <w:lang w:val="es-CO" w:eastAsia="es" w:bidi="ar-SA"/>
              </w:rPr>
              <w:t xml:space="preserve"> </w:t>
            </w:r>
            <w:r w:rsidRPr="00404772">
              <w:rPr>
                <w:rFonts w:ascii="Work Sans" w:hAnsi="Work Sans" w:cs="Times New Roman"/>
                <w:i/>
                <w:color w:val="000000"/>
                <w:spacing w:val="-1"/>
                <w:kern w:val="0"/>
                <w:sz w:val="20"/>
                <w:szCs w:val="20"/>
                <w:lang w:val="es-CO" w:eastAsia="es" w:bidi="ar-SA"/>
              </w:rPr>
              <w:t>t-1</w:t>
            </w:r>
          </w:p>
        </w:tc>
      </w:tr>
      <w:tr w:rsidR="002A1DCA" w:rsidRPr="00404772" w:rsidTr="009F04D5">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jc w:val="center"/>
              <w:textAlignment w:val="auto"/>
              <w:rPr>
                <w:sz w:val="20"/>
                <w:szCs w:val="20"/>
              </w:rPr>
            </w:pPr>
            <m:oMathPara>
              <m:oMathParaPr>
                <m:jc m:val="left"/>
              </m:oMathParaPr>
              <m:oMath>
                <m:r>
                  <w:rPr>
                    <w:rFonts w:ascii="Cambria Math" w:hAnsi="Cambria Math"/>
                    <w:sz w:val="20"/>
                    <w:szCs w:val="20"/>
                  </w:rPr>
                  <m:t>t</m:t>
                </m:r>
              </m:oMath>
            </m:oMathPara>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DCA" w:rsidRPr="00404772" w:rsidRDefault="002A1DCA" w:rsidP="0009094E">
            <w:pPr>
              <w:widowControl/>
              <w:autoSpaceDE w:val="0"/>
              <w:spacing w:after="120"/>
              <w:textAlignment w:val="auto"/>
              <w:rPr>
                <w:rFonts w:ascii="Work Sans" w:hAnsi="Work Sans" w:cs="Times New Roman"/>
                <w:color w:val="000000"/>
                <w:spacing w:val="-3"/>
                <w:kern w:val="0"/>
                <w:sz w:val="20"/>
                <w:szCs w:val="20"/>
                <w:lang w:val="es-CO" w:eastAsia="es" w:bidi="ar-SA"/>
              </w:rPr>
            </w:pPr>
            <w:r w:rsidRPr="00404772">
              <w:rPr>
                <w:rFonts w:ascii="Work Sans" w:hAnsi="Work Sans" w:cs="Times New Roman"/>
                <w:color w:val="000000"/>
                <w:spacing w:val="-3"/>
                <w:kern w:val="0"/>
                <w:sz w:val="20"/>
                <w:szCs w:val="20"/>
                <w:lang w:val="es-CO" w:eastAsia="es" w:bidi="ar-SA"/>
              </w:rPr>
              <w:t>Año de actualización de la tarifa</w:t>
            </w:r>
          </w:p>
        </w:tc>
      </w:tr>
    </w:tbl>
    <w:p w:rsidR="002A1DCA" w:rsidRDefault="002A1DCA" w:rsidP="002A1DCA">
      <w:pPr>
        <w:pStyle w:val="Normal1"/>
        <w:tabs>
          <w:tab w:val="clear" w:pos="2880"/>
        </w:tabs>
        <w:ind w:left="0" w:firstLine="0"/>
        <w:rPr>
          <w:rFonts w:ascii="Work Sans" w:hAnsi="Work Sans"/>
          <w:b/>
          <w:bCs/>
          <w:sz w:val="20"/>
          <w:szCs w:val="20"/>
          <w:lang w:val="es-ES"/>
        </w:rPr>
      </w:pPr>
    </w:p>
    <w:p w:rsidR="00E5636E" w:rsidRPr="00E02270" w:rsidRDefault="00E5636E" w:rsidP="00E02270">
      <w:pPr>
        <w:ind w:right="56"/>
        <w:jc w:val="both"/>
        <w:rPr>
          <w:rFonts w:ascii="Work Sans" w:eastAsia="MS Mincho" w:hAnsi="Work Sans" w:cs="Times New Roman"/>
          <w:bCs/>
          <w:kern w:val="0"/>
          <w:sz w:val="20"/>
          <w:szCs w:val="20"/>
          <w:lang w:val="es" w:eastAsia="es-ES" w:bidi="ar-SA"/>
        </w:rPr>
      </w:pPr>
      <w:bookmarkStart w:id="1" w:name="_Hlk69899813"/>
      <w:r w:rsidRPr="00E02270">
        <w:rPr>
          <w:rFonts w:ascii="Work Sans" w:eastAsia="MS Mincho" w:hAnsi="Work Sans" w:cs="Times New Roman"/>
          <w:bCs/>
          <w:kern w:val="0"/>
          <w:sz w:val="20"/>
          <w:szCs w:val="20"/>
          <w:lang w:val="es" w:eastAsia="es-ES" w:bidi="ar-SA"/>
        </w:rPr>
        <w:t xml:space="preserve">Una vez se establezca la </w:t>
      </w:r>
      <m:oMath>
        <m:sSub>
          <m:sSubPr>
            <m:ctrlPr>
              <w:rPr>
                <w:rFonts w:ascii="Cambria Math" w:eastAsia="MS Mincho" w:hAnsi="Cambria Math" w:cs="Times New Roman"/>
                <w:bCs/>
                <w:kern w:val="0"/>
                <w:sz w:val="20"/>
                <w:szCs w:val="20"/>
                <w:lang w:val="es" w:eastAsia="es-ES" w:bidi="ar-SA"/>
              </w:rPr>
            </m:ctrlPr>
          </m:sSubPr>
          <m:e>
            <m:r>
              <m:rPr>
                <m:sty m:val="p"/>
              </m:rPr>
              <w:rPr>
                <w:rFonts w:ascii="Cambria Math" w:eastAsia="MS Mincho" w:hAnsi="Cambria Math" w:cs="Times New Roman"/>
                <w:kern w:val="0"/>
                <w:sz w:val="20"/>
                <w:szCs w:val="20"/>
                <w:lang w:val="es" w:eastAsia="es-ES" w:bidi="ar-SA"/>
              </w:rPr>
              <m:t>TarifaSR</m:t>
            </m:r>
          </m:e>
          <m:sub>
            <m:r>
              <m:rPr>
                <m:sty m:val="p"/>
              </m:rPr>
              <w:rPr>
                <w:rFonts w:ascii="Cambria Math" w:eastAsia="MS Mincho" w:hAnsi="Cambria Math" w:cs="Times New Roman"/>
                <w:kern w:val="0"/>
                <w:sz w:val="20"/>
                <w:szCs w:val="20"/>
                <w:lang w:val="es" w:eastAsia="es-ES" w:bidi="ar-SA"/>
              </w:rPr>
              <m:t>t</m:t>
            </m:r>
          </m:sub>
        </m:sSub>
      </m:oMath>
      <w:r w:rsidRPr="00E02270">
        <w:rPr>
          <w:rFonts w:ascii="Work Sans" w:eastAsia="MS Mincho" w:hAnsi="Work Sans" w:cs="Times New Roman"/>
          <w:bCs/>
          <w:kern w:val="0"/>
          <w:sz w:val="20"/>
          <w:szCs w:val="20"/>
          <w:lang w:val="es" w:eastAsia="es-ES" w:bidi="ar-SA"/>
        </w:rPr>
        <w:t xml:space="preserve"> sin el redondeo a la centena, para el cálculo de la tarifa a cobrar al Usuario </w:t>
      </w:r>
      <w:r w:rsidRPr="00E02270">
        <w:rPr>
          <w:rFonts w:ascii="Work Sans" w:eastAsia="MS Mincho" w:hAnsi="Work Sans" w:cs="Times New Roman"/>
          <w:bCs/>
          <w:kern w:val="0"/>
          <w:sz w:val="20"/>
          <w:szCs w:val="20"/>
          <w:lang w:val="es" w:eastAsia="es-ES" w:bidi="ar-SA"/>
        </w:rPr>
        <w:t>para cada categoría de vehículos y cada Estación de Peaje, se le adicionará la tasa correspondiente al Fondo de Seguridad Vial de acuerdo con la Resolución de Peaje y se redondeará a la centena más cercana de acuerdo con la siguiente fórmula:</w:t>
      </w:r>
    </w:p>
    <w:p w:rsidR="00E5636E" w:rsidRPr="00E5636E" w:rsidRDefault="00E5636E" w:rsidP="00E5636E">
      <w:pPr>
        <w:ind w:left="567" w:right="623"/>
        <w:jc w:val="both"/>
        <w:rPr>
          <w:rFonts w:ascii="Arial Narrow" w:hAnsi="Arial Narrow" w:cs="Arial"/>
          <w:bCs/>
          <w:i/>
          <w:iCs/>
          <w:spacing w:val="-3"/>
          <w:sz w:val="20"/>
          <w:szCs w:val="20"/>
          <w:lang w:val="es"/>
        </w:rPr>
      </w:pPr>
    </w:p>
    <w:p w:rsidR="00E5636E" w:rsidRPr="00E5636E" w:rsidRDefault="00604839" w:rsidP="00E5636E">
      <w:pPr>
        <w:ind w:left="567" w:right="623"/>
        <w:jc w:val="both"/>
        <w:rPr>
          <w:rFonts w:ascii="Arial Narrow" w:hAnsi="Arial Narrow" w:cs="Arial"/>
          <w:bCs/>
          <w:i/>
          <w:spacing w:val="-3"/>
          <w:sz w:val="20"/>
          <w:szCs w:val="20"/>
          <w:lang w:val="es"/>
        </w:rPr>
      </w:pPr>
      <m:oMathPara>
        <m:oMathParaPr>
          <m:jc m:val="center"/>
        </m:oMathParaPr>
        <m:oMath>
          <m:sSub>
            <m:sSubPr>
              <m:ctrlPr>
                <w:rPr>
                  <w:rFonts w:ascii="Cambria Math" w:hAnsi="Cambria Math"/>
                  <w:i/>
                  <w:spacing w:val="-3"/>
                  <w:sz w:val="20"/>
                  <w:lang w:val="es"/>
                </w:rPr>
              </m:ctrlPr>
            </m:sSubPr>
            <m:e>
              <m:r>
                <w:rPr>
                  <w:rFonts w:ascii="Cambria Math" w:hAnsi="Cambria Math" w:cs="Arial"/>
                  <w:spacing w:val="-3"/>
                  <w:sz w:val="20"/>
                  <w:szCs w:val="20"/>
                  <w:lang w:val="es"/>
                </w:rPr>
                <m:t>TarifaUsuario</m:t>
              </m:r>
            </m:e>
            <m:sub>
              <m:r>
                <w:rPr>
                  <w:rFonts w:ascii="Cambria Math" w:hAnsi="Cambria Math" w:cs="Arial"/>
                  <w:spacing w:val="-3"/>
                  <w:sz w:val="20"/>
                  <w:szCs w:val="20"/>
                  <w:lang w:val="es"/>
                </w:rPr>
                <m:t>t</m:t>
              </m:r>
            </m:sub>
          </m:sSub>
          <m:r>
            <w:rPr>
              <w:rFonts w:ascii="Cambria Math" w:hAnsi="Cambria Math" w:cs="Arial"/>
              <w:spacing w:val="-3"/>
              <w:sz w:val="20"/>
              <w:szCs w:val="20"/>
              <w:lang w:val="es"/>
            </w:rPr>
            <m:t>=Redondeo 100* (</m:t>
          </m:r>
          <m:sSub>
            <m:sSubPr>
              <m:ctrlPr>
                <w:rPr>
                  <w:rFonts w:ascii="Cambria Math" w:hAnsi="Cambria Math"/>
                  <w:i/>
                  <w:spacing w:val="-3"/>
                  <w:sz w:val="20"/>
                  <w:lang w:val="es"/>
                </w:rPr>
              </m:ctrlPr>
            </m:sSubPr>
            <m:e>
              <m:r>
                <w:rPr>
                  <w:rFonts w:ascii="Cambria Math" w:hAnsi="Cambria Math" w:cs="Arial"/>
                  <w:spacing w:val="-3"/>
                  <w:sz w:val="20"/>
                  <w:szCs w:val="20"/>
                  <w:lang w:val="es"/>
                </w:rPr>
                <m:t>TarifaSR</m:t>
              </m:r>
            </m:e>
            <m:sub>
              <m:r>
                <w:rPr>
                  <w:rFonts w:ascii="Cambria Math" w:hAnsi="Cambria Math" w:cs="Arial"/>
                  <w:spacing w:val="-3"/>
                  <w:sz w:val="20"/>
                  <w:szCs w:val="20"/>
                  <w:lang w:val="es"/>
                </w:rPr>
                <m:t>t</m:t>
              </m:r>
            </m:sub>
          </m:sSub>
          <m:r>
            <w:rPr>
              <w:rFonts w:ascii="Cambria Math" w:hAnsi="Cambria Math" w:cs="Arial"/>
              <w:spacing w:val="-3"/>
              <w:sz w:val="20"/>
              <w:szCs w:val="20"/>
              <w:lang w:val="es"/>
            </w:rPr>
            <m:t xml:space="preserve"> + </m:t>
          </m:r>
          <m:sSub>
            <m:sSubPr>
              <m:ctrlPr>
                <w:rPr>
                  <w:rFonts w:ascii="Cambria Math" w:hAnsi="Cambria Math"/>
                  <w:i/>
                  <w:spacing w:val="-3"/>
                  <w:sz w:val="20"/>
                  <w:lang w:val="es"/>
                </w:rPr>
              </m:ctrlPr>
            </m:sSubPr>
            <m:e>
              <m:r>
                <w:rPr>
                  <w:rFonts w:ascii="Cambria Math" w:hAnsi="Cambria Math" w:cs="Arial"/>
                  <w:spacing w:val="-3"/>
                  <w:sz w:val="20"/>
                  <w:szCs w:val="20"/>
                  <w:lang w:val="es"/>
                </w:rPr>
                <m:t>FSV</m:t>
              </m:r>
            </m:e>
            <m:sub>
              <m:r>
                <w:rPr>
                  <w:rFonts w:ascii="Cambria Math" w:hAnsi="Cambria Math" w:cs="Arial"/>
                  <w:spacing w:val="-3"/>
                  <w:sz w:val="20"/>
                  <w:szCs w:val="20"/>
                  <w:lang w:val="es"/>
                </w:rPr>
                <m:t>t</m:t>
              </m:r>
            </m:sub>
          </m:sSub>
          <m:r>
            <w:rPr>
              <w:rFonts w:ascii="Cambria Math" w:hAnsi="Cambria Math" w:cs="Arial"/>
              <w:spacing w:val="-3"/>
              <w:sz w:val="20"/>
              <w:szCs w:val="20"/>
              <w:lang w:val="es"/>
            </w:rPr>
            <m:t>)</m:t>
          </m:r>
        </m:oMath>
      </m:oMathPara>
    </w:p>
    <w:p w:rsidR="00E5636E" w:rsidRPr="00E02270" w:rsidRDefault="00E5636E" w:rsidP="00E5636E">
      <w:pPr>
        <w:ind w:firstLine="567"/>
        <w:jc w:val="both"/>
        <w:rPr>
          <w:rFonts w:ascii="Arial Narrow" w:hAnsi="Arial Narrow" w:cs="Arial"/>
          <w:bCs/>
          <w:spacing w:val="-3"/>
          <w:sz w:val="20"/>
          <w:szCs w:val="20"/>
          <w:lang w:val="es"/>
        </w:rPr>
      </w:pPr>
      <w:r w:rsidRPr="00E02270">
        <w:rPr>
          <w:rFonts w:ascii="Arial Narrow" w:hAnsi="Arial Narrow" w:cs="Arial"/>
          <w:bCs/>
          <w:spacing w:val="-3"/>
          <w:sz w:val="20"/>
          <w:szCs w:val="20"/>
          <w:lang w:val="es"/>
        </w:rPr>
        <w:t>Donde,</w:t>
      </w:r>
      <w:r w:rsidRPr="00E02270">
        <w:rPr>
          <w:rFonts w:ascii="Arial Narrow" w:hAnsi="Arial Narrow" w:cs="Arial"/>
          <w:bCs/>
          <w:spacing w:val="-3"/>
          <w:sz w:val="20"/>
          <w:szCs w:val="20"/>
          <w:lang w:val="es"/>
        </w:rPr>
        <w:tab/>
      </w:r>
    </w:p>
    <w:tbl>
      <w:tblPr>
        <w:tblW w:w="8363" w:type="dxa"/>
        <w:tblInd w:w="150" w:type="dxa"/>
        <w:tblLayout w:type="fixed"/>
        <w:tblCellMar>
          <w:left w:w="0" w:type="dxa"/>
          <w:right w:w="0" w:type="dxa"/>
        </w:tblCellMar>
        <w:tblLook w:val="01E0" w:firstRow="1" w:lastRow="1" w:firstColumn="1" w:lastColumn="1" w:noHBand="0" w:noVBand="0"/>
      </w:tblPr>
      <w:tblGrid>
        <w:gridCol w:w="2552"/>
        <w:gridCol w:w="5811"/>
      </w:tblGrid>
      <w:tr w:rsidR="00E5636E" w:rsidRPr="00E5636E" w:rsidTr="00E02270">
        <w:trPr>
          <w:trHeight w:val="20"/>
        </w:trPr>
        <w:tc>
          <w:tcPr>
            <w:tcW w:w="2552" w:type="dxa"/>
            <w:tcBorders>
              <w:top w:val="single" w:sz="6" w:space="0" w:color="000000"/>
              <w:left w:val="single" w:sz="6" w:space="0" w:color="000000"/>
              <w:bottom w:val="single" w:sz="6" w:space="0" w:color="000000"/>
              <w:right w:val="single" w:sz="6" w:space="0" w:color="000000"/>
            </w:tcBorders>
          </w:tcPr>
          <w:p w:rsidR="00E5636E" w:rsidRPr="00E5636E" w:rsidRDefault="00E5636E" w:rsidP="00630B2E">
            <w:pPr>
              <w:jc w:val="both"/>
              <w:rPr>
                <w:rFonts w:ascii="Work Sans" w:hAnsi="Work Sans" w:cs="Arial"/>
                <w:bCs/>
                <w:i/>
                <w:iCs/>
                <w:spacing w:val="-3"/>
                <w:sz w:val="20"/>
                <w:szCs w:val="20"/>
                <w:lang w:val="es"/>
              </w:rPr>
            </w:pPr>
          </w:p>
          <w:p w:rsidR="00E5636E" w:rsidRPr="00E5636E" w:rsidRDefault="00604839" w:rsidP="00630B2E">
            <w:pPr>
              <w:jc w:val="both"/>
              <w:rPr>
                <w:rFonts w:ascii="Work Sans" w:hAnsi="Work Sans" w:cs="Arial"/>
                <w:bCs/>
                <w:i/>
                <w:iCs/>
                <w:spacing w:val="-3"/>
                <w:sz w:val="20"/>
                <w:szCs w:val="20"/>
                <w:lang w:val="es"/>
              </w:rPr>
            </w:pPr>
            <m:oMathPara>
              <m:oMath>
                <m:sSub>
                  <m:sSubPr>
                    <m:ctrlPr>
                      <w:rPr>
                        <w:rFonts w:ascii="Cambria Math" w:hAnsi="Cambria Math"/>
                        <w:i/>
                        <w:spacing w:val="-3"/>
                        <w:sz w:val="20"/>
                        <w:lang w:val="es"/>
                      </w:rPr>
                    </m:ctrlPr>
                  </m:sSubPr>
                  <m:e>
                    <m:r>
                      <w:rPr>
                        <w:rFonts w:ascii="Cambria Math" w:hAnsi="Cambria Math" w:cs="Arial"/>
                        <w:spacing w:val="-3"/>
                        <w:sz w:val="20"/>
                        <w:szCs w:val="20"/>
                        <w:lang w:val="es"/>
                      </w:rPr>
                      <m:t>TarifaUsuario</m:t>
                    </m:r>
                  </m:e>
                  <m:sub>
                    <m:r>
                      <w:rPr>
                        <w:rFonts w:ascii="Cambria Math" w:hAnsi="Cambria Math" w:cs="Arial"/>
                        <w:spacing w:val="-3"/>
                        <w:sz w:val="20"/>
                        <w:szCs w:val="20"/>
                        <w:lang w:val="es"/>
                      </w:rPr>
                      <m:t>t</m:t>
                    </m:r>
                  </m:sub>
                </m:sSub>
              </m:oMath>
            </m:oMathPara>
          </w:p>
        </w:tc>
        <w:tc>
          <w:tcPr>
            <w:tcW w:w="5811" w:type="dxa"/>
            <w:tcBorders>
              <w:top w:val="single" w:sz="6" w:space="0" w:color="000000"/>
              <w:left w:val="single" w:sz="6" w:space="0" w:color="000000"/>
              <w:bottom w:val="single" w:sz="6" w:space="0" w:color="000000"/>
              <w:right w:val="single" w:sz="6" w:space="0" w:color="000000"/>
            </w:tcBorders>
          </w:tcPr>
          <w:p w:rsidR="00E5636E" w:rsidRPr="00E02270" w:rsidRDefault="00E5636E" w:rsidP="00E02270">
            <w:pPr>
              <w:ind w:left="141" w:right="141"/>
              <w:jc w:val="both"/>
              <w:rPr>
                <w:rFonts w:ascii="Work Sans" w:hAnsi="Work Sans" w:cs="Arial"/>
                <w:bCs/>
                <w:iCs/>
                <w:spacing w:val="-3"/>
                <w:sz w:val="20"/>
                <w:szCs w:val="20"/>
                <w:lang w:val="es"/>
              </w:rPr>
            </w:pPr>
          </w:p>
          <w:p w:rsidR="00E5636E" w:rsidRPr="00E02270" w:rsidRDefault="00E5636E" w:rsidP="00E02270">
            <w:pPr>
              <w:ind w:left="141" w:right="141"/>
              <w:jc w:val="both"/>
              <w:rPr>
                <w:rFonts w:ascii="Work Sans" w:hAnsi="Work Sans" w:cs="Arial"/>
                <w:bCs/>
                <w:iCs/>
                <w:spacing w:val="-3"/>
                <w:sz w:val="20"/>
                <w:szCs w:val="20"/>
                <w:lang w:val="es"/>
              </w:rPr>
            </w:pPr>
            <w:r w:rsidRPr="00E02270">
              <w:rPr>
                <w:rFonts w:ascii="Work Sans" w:hAnsi="Work Sans" w:cs="Arial"/>
                <w:bCs/>
                <w:iCs/>
                <w:spacing w:val="-3"/>
                <w:sz w:val="20"/>
                <w:szCs w:val="20"/>
                <w:lang w:val="es"/>
              </w:rPr>
              <w:t>Para cada categoría de vehículos y cada Estación de Peaje es el valor de la tarifa a pagar por el Usuario para el año t</w:t>
            </w:r>
          </w:p>
        </w:tc>
      </w:tr>
      <w:tr w:rsidR="00E5636E" w:rsidRPr="00E5636E" w:rsidTr="00E02270">
        <w:trPr>
          <w:trHeight w:val="20"/>
        </w:trPr>
        <w:tc>
          <w:tcPr>
            <w:tcW w:w="2552" w:type="dxa"/>
            <w:tcBorders>
              <w:top w:val="single" w:sz="6" w:space="0" w:color="000000"/>
              <w:left w:val="single" w:sz="6" w:space="0" w:color="000000"/>
              <w:bottom w:val="single" w:sz="6" w:space="0" w:color="000000"/>
              <w:right w:val="single" w:sz="6" w:space="0" w:color="000000"/>
            </w:tcBorders>
          </w:tcPr>
          <w:p w:rsidR="00E5636E" w:rsidRPr="00E5636E" w:rsidRDefault="00E5636E" w:rsidP="00630B2E">
            <w:pPr>
              <w:jc w:val="both"/>
              <w:rPr>
                <w:rFonts w:ascii="Work Sans" w:hAnsi="Work Sans" w:cs="Arial"/>
                <w:bCs/>
                <w:i/>
                <w:iCs/>
                <w:spacing w:val="-3"/>
                <w:sz w:val="20"/>
                <w:szCs w:val="20"/>
                <w:lang w:val="es"/>
              </w:rPr>
            </w:pPr>
          </w:p>
          <w:p w:rsidR="00E5636E" w:rsidRPr="00E5636E" w:rsidRDefault="00604839" w:rsidP="00630B2E">
            <w:pPr>
              <w:jc w:val="both"/>
              <w:rPr>
                <w:rFonts w:ascii="Work Sans" w:hAnsi="Work Sans" w:cs="Arial"/>
                <w:bCs/>
                <w:i/>
                <w:iCs/>
                <w:spacing w:val="-3"/>
                <w:sz w:val="20"/>
                <w:szCs w:val="20"/>
                <w:lang w:val="es"/>
              </w:rPr>
            </w:pPr>
            <m:oMathPara>
              <m:oMath>
                <m:sSub>
                  <m:sSubPr>
                    <m:ctrlPr>
                      <w:rPr>
                        <w:rFonts w:ascii="Cambria Math" w:hAnsi="Cambria Math"/>
                        <w:i/>
                        <w:spacing w:val="-3"/>
                        <w:sz w:val="20"/>
                        <w:lang w:val="es"/>
                      </w:rPr>
                    </m:ctrlPr>
                  </m:sSubPr>
                  <m:e>
                    <m:r>
                      <w:rPr>
                        <w:rFonts w:ascii="Cambria Math" w:hAnsi="Cambria Math" w:cs="Arial"/>
                        <w:spacing w:val="-3"/>
                        <w:sz w:val="20"/>
                        <w:szCs w:val="20"/>
                        <w:lang w:val="es"/>
                      </w:rPr>
                      <m:t>TarifaSR</m:t>
                    </m:r>
                  </m:e>
                  <m:sub>
                    <m:r>
                      <w:rPr>
                        <w:rFonts w:ascii="Cambria Math" w:hAnsi="Cambria Math" w:cs="Arial"/>
                        <w:spacing w:val="-3"/>
                        <w:sz w:val="20"/>
                        <w:szCs w:val="20"/>
                        <w:lang w:val="es"/>
                      </w:rPr>
                      <m:t>t</m:t>
                    </m:r>
                  </m:sub>
                </m:sSub>
              </m:oMath>
            </m:oMathPara>
          </w:p>
        </w:tc>
        <w:tc>
          <w:tcPr>
            <w:tcW w:w="5811" w:type="dxa"/>
            <w:tcBorders>
              <w:top w:val="single" w:sz="6" w:space="0" w:color="000000"/>
              <w:left w:val="single" w:sz="6" w:space="0" w:color="000000"/>
              <w:bottom w:val="single" w:sz="6" w:space="0" w:color="000000"/>
              <w:right w:val="single" w:sz="6" w:space="0" w:color="000000"/>
            </w:tcBorders>
          </w:tcPr>
          <w:p w:rsidR="00E5636E" w:rsidRPr="00E02270" w:rsidRDefault="00E5636E" w:rsidP="00E02270">
            <w:pPr>
              <w:ind w:left="141" w:right="141"/>
              <w:jc w:val="both"/>
              <w:rPr>
                <w:rFonts w:ascii="Work Sans" w:hAnsi="Work Sans" w:cs="Arial"/>
                <w:bCs/>
                <w:iCs/>
                <w:spacing w:val="-3"/>
                <w:sz w:val="20"/>
                <w:szCs w:val="20"/>
                <w:lang w:val="es"/>
              </w:rPr>
            </w:pPr>
          </w:p>
          <w:p w:rsidR="00E5636E" w:rsidRPr="00E02270" w:rsidRDefault="00E5636E" w:rsidP="00E02270">
            <w:pPr>
              <w:ind w:left="141" w:right="141"/>
              <w:jc w:val="both"/>
              <w:rPr>
                <w:rFonts w:ascii="Work Sans" w:hAnsi="Work Sans" w:cs="Arial"/>
                <w:bCs/>
                <w:iCs/>
                <w:spacing w:val="-3"/>
                <w:sz w:val="20"/>
                <w:szCs w:val="20"/>
                <w:lang w:val="es"/>
              </w:rPr>
            </w:pPr>
            <w:r w:rsidRPr="00E02270">
              <w:rPr>
                <w:rFonts w:ascii="Work Sans" w:hAnsi="Work Sans" w:cs="Arial"/>
                <w:bCs/>
                <w:iCs/>
                <w:spacing w:val="-3"/>
                <w:sz w:val="20"/>
                <w:szCs w:val="20"/>
                <w:lang w:val="es"/>
              </w:rPr>
              <w:t>Para cada categoría de vehículos y cada Estación de Peaje es el valor de la Tarifa actualizada en Pesos corrientes del año t, sin el redondeo a la centena</w:t>
            </w:r>
          </w:p>
        </w:tc>
      </w:tr>
      <w:tr w:rsidR="00E5636E" w:rsidRPr="00E5636E" w:rsidTr="00E02270">
        <w:trPr>
          <w:trHeight w:val="20"/>
        </w:trPr>
        <w:tc>
          <w:tcPr>
            <w:tcW w:w="2552" w:type="dxa"/>
            <w:tcBorders>
              <w:top w:val="single" w:sz="6" w:space="0" w:color="000000"/>
              <w:left w:val="single" w:sz="6" w:space="0" w:color="000000"/>
              <w:bottom w:val="single" w:sz="6" w:space="0" w:color="000000"/>
              <w:right w:val="single" w:sz="6" w:space="0" w:color="000000"/>
            </w:tcBorders>
          </w:tcPr>
          <w:p w:rsidR="00E5636E" w:rsidRPr="00E5636E" w:rsidRDefault="00E5636E" w:rsidP="00630B2E">
            <w:pPr>
              <w:jc w:val="both"/>
              <w:rPr>
                <w:rFonts w:ascii="Work Sans" w:hAnsi="Work Sans" w:cs="Arial"/>
                <w:bCs/>
                <w:i/>
                <w:iCs/>
                <w:spacing w:val="-3"/>
                <w:sz w:val="20"/>
                <w:szCs w:val="20"/>
                <w:lang w:val="es"/>
              </w:rPr>
            </w:pPr>
          </w:p>
          <w:p w:rsidR="00E5636E" w:rsidRPr="00E5636E" w:rsidRDefault="00604839" w:rsidP="00630B2E">
            <w:pPr>
              <w:jc w:val="both"/>
              <w:rPr>
                <w:rFonts w:ascii="Work Sans" w:hAnsi="Work Sans" w:cs="Arial"/>
                <w:bCs/>
                <w:i/>
                <w:iCs/>
                <w:spacing w:val="-3"/>
                <w:sz w:val="20"/>
                <w:szCs w:val="20"/>
                <w:lang w:val="es"/>
              </w:rPr>
            </w:pPr>
            <m:oMathPara>
              <m:oMath>
                <m:sSub>
                  <m:sSubPr>
                    <m:ctrlPr>
                      <w:rPr>
                        <w:rFonts w:ascii="Cambria Math" w:hAnsi="Cambria Math"/>
                        <w:i/>
                        <w:spacing w:val="-3"/>
                        <w:sz w:val="20"/>
                        <w:lang w:val="es"/>
                      </w:rPr>
                    </m:ctrlPr>
                  </m:sSubPr>
                  <m:e>
                    <m:r>
                      <w:rPr>
                        <w:rFonts w:ascii="Cambria Math" w:hAnsi="Cambria Math" w:cs="Arial"/>
                        <w:spacing w:val="-3"/>
                        <w:sz w:val="20"/>
                        <w:szCs w:val="20"/>
                        <w:lang w:val="es"/>
                      </w:rPr>
                      <m:t>FSV</m:t>
                    </m:r>
                  </m:e>
                  <m:sub>
                    <m:r>
                      <w:rPr>
                        <w:rFonts w:ascii="Cambria Math" w:hAnsi="Cambria Math" w:cs="Arial"/>
                        <w:spacing w:val="-3"/>
                        <w:sz w:val="20"/>
                        <w:szCs w:val="20"/>
                        <w:lang w:val="es"/>
                      </w:rPr>
                      <m:t>t</m:t>
                    </m:r>
                  </m:sub>
                </m:sSub>
              </m:oMath>
            </m:oMathPara>
          </w:p>
        </w:tc>
        <w:tc>
          <w:tcPr>
            <w:tcW w:w="5811" w:type="dxa"/>
            <w:tcBorders>
              <w:top w:val="single" w:sz="6" w:space="0" w:color="000000"/>
              <w:left w:val="single" w:sz="6" w:space="0" w:color="000000"/>
              <w:bottom w:val="single" w:sz="6" w:space="0" w:color="000000"/>
              <w:right w:val="single" w:sz="6" w:space="0" w:color="000000"/>
            </w:tcBorders>
          </w:tcPr>
          <w:p w:rsidR="00E5636E" w:rsidRPr="00E02270" w:rsidRDefault="00E5636E" w:rsidP="00E02270">
            <w:pPr>
              <w:ind w:left="141" w:right="141"/>
              <w:jc w:val="both"/>
              <w:rPr>
                <w:rFonts w:ascii="Work Sans" w:hAnsi="Work Sans" w:cs="Arial"/>
                <w:bCs/>
                <w:iCs/>
                <w:spacing w:val="-3"/>
                <w:sz w:val="20"/>
                <w:szCs w:val="20"/>
                <w:lang w:val="es"/>
              </w:rPr>
            </w:pPr>
          </w:p>
          <w:p w:rsidR="00E5636E" w:rsidRPr="00E02270" w:rsidRDefault="00E5636E" w:rsidP="00E02270">
            <w:pPr>
              <w:ind w:left="141" w:right="141"/>
              <w:jc w:val="both"/>
              <w:rPr>
                <w:rFonts w:ascii="Work Sans" w:hAnsi="Work Sans" w:cs="Arial"/>
                <w:bCs/>
                <w:iCs/>
                <w:spacing w:val="-3"/>
                <w:sz w:val="20"/>
                <w:szCs w:val="20"/>
                <w:lang w:val="es"/>
              </w:rPr>
            </w:pPr>
            <w:r w:rsidRPr="00E02270">
              <w:rPr>
                <w:rFonts w:ascii="Work Sans" w:hAnsi="Work Sans" w:cs="Arial"/>
                <w:bCs/>
                <w:iCs/>
                <w:spacing w:val="-3"/>
                <w:sz w:val="20"/>
                <w:szCs w:val="20"/>
                <w:lang w:val="es"/>
              </w:rPr>
              <w:t>Es el valor del aporte al Fondo de Seguridad Vial para el año t vigente al momento del cálculo, expresado en pesos corrientes del año t</w:t>
            </w:r>
          </w:p>
        </w:tc>
      </w:tr>
      <w:tr w:rsidR="00E5636E" w:rsidRPr="00E5636E" w:rsidTr="00E02270">
        <w:trPr>
          <w:trHeight w:val="20"/>
        </w:trPr>
        <w:tc>
          <w:tcPr>
            <w:tcW w:w="2552" w:type="dxa"/>
            <w:tcBorders>
              <w:top w:val="single" w:sz="6" w:space="0" w:color="000000"/>
              <w:left w:val="single" w:sz="6" w:space="0" w:color="000000"/>
              <w:bottom w:val="single" w:sz="6" w:space="0" w:color="000000"/>
              <w:right w:val="single" w:sz="6" w:space="0" w:color="000000"/>
            </w:tcBorders>
          </w:tcPr>
          <w:p w:rsidR="00E5636E" w:rsidRPr="00E5636E" w:rsidRDefault="00E5636E" w:rsidP="00630B2E">
            <w:pPr>
              <w:jc w:val="both"/>
              <w:rPr>
                <w:rFonts w:ascii="Work Sans" w:hAnsi="Work Sans" w:cs="Arial"/>
                <w:bCs/>
                <w:i/>
                <w:iCs/>
                <w:spacing w:val="-3"/>
                <w:sz w:val="20"/>
                <w:szCs w:val="20"/>
                <w:lang w:val="es"/>
              </w:rPr>
            </w:pPr>
          </w:p>
          <w:p w:rsidR="00E5636E" w:rsidRPr="00E5636E" w:rsidRDefault="00E02270" w:rsidP="00630B2E">
            <w:pPr>
              <w:jc w:val="both"/>
              <w:rPr>
                <w:rFonts w:ascii="Work Sans" w:hAnsi="Work Sans" w:cs="Arial"/>
                <w:bCs/>
                <w:i/>
                <w:iCs/>
                <w:spacing w:val="-3"/>
                <w:sz w:val="20"/>
                <w:szCs w:val="20"/>
                <w:lang w:val="es"/>
              </w:rPr>
            </w:pPr>
            <m:oMathPara>
              <m:oMath>
                <m:r>
                  <w:rPr>
                    <w:rFonts w:ascii="Cambria Math" w:hAnsi="Cambria Math" w:cs="Arial"/>
                    <w:spacing w:val="-3"/>
                    <w:sz w:val="20"/>
                    <w:szCs w:val="20"/>
                    <w:lang w:val="es"/>
                  </w:rPr>
                  <m:t>Redondeo 100</m:t>
                </m:r>
              </m:oMath>
            </m:oMathPara>
          </w:p>
        </w:tc>
        <w:tc>
          <w:tcPr>
            <w:tcW w:w="5811" w:type="dxa"/>
            <w:tcBorders>
              <w:top w:val="single" w:sz="6" w:space="0" w:color="000000"/>
              <w:left w:val="single" w:sz="6" w:space="0" w:color="000000"/>
              <w:bottom w:val="single" w:sz="6" w:space="0" w:color="000000"/>
              <w:right w:val="single" w:sz="6" w:space="0" w:color="000000"/>
            </w:tcBorders>
          </w:tcPr>
          <w:p w:rsidR="00E5636E" w:rsidRPr="00E02270" w:rsidRDefault="00E5636E" w:rsidP="00E02270">
            <w:pPr>
              <w:ind w:left="141" w:right="141"/>
              <w:jc w:val="both"/>
              <w:rPr>
                <w:rFonts w:ascii="Work Sans" w:hAnsi="Work Sans" w:cs="Arial"/>
                <w:bCs/>
                <w:iCs/>
                <w:spacing w:val="-3"/>
                <w:sz w:val="20"/>
                <w:szCs w:val="20"/>
                <w:lang w:val="es"/>
              </w:rPr>
            </w:pPr>
          </w:p>
          <w:p w:rsidR="00E5636E" w:rsidRPr="00E02270" w:rsidRDefault="00E5636E" w:rsidP="00E02270">
            <w:pPr>
              <w:ind w:left="141" w:right="141"/>
              <w:jc w:val="both"/>
              <w:rPr>
                <w:rFonts w:ascii="Work Sans" w:hAnsi="Work Sans" w:cs="Arial"/>
                <w:bCs/>
                <w:iCs/>
                <w:spacing w:val="-3"/>
                <w:sz w:val="20"/>
                <w:szCs w:val="20"/>
                <w:lang w:val="es"/>
              </w:rPr>
            </w:pPr>
            <w:r w:rsidRPr="00E02270">
              <w:rPr>
                <w:rFonts w:ascii="Work Sans" w:hAnsi="Work Sans" w:cs="Arial"/>
                <w:bCs/>
                <w:iCs/>
                <w:spacing w:val="-3"/>
                <w:sz w:val="20"/>
                <w:szCs w:val="20"/>
                <w:lang w:val="es"/>
              </w:rPr>
              <w:t>Función que redondea un número al múltiplo de 100 más cercano. Redondea hacia la centena superior, si el residuo de dividir el número entre cien (100) es mayor o igual a cincuenta (50). Redondea hacia la centena inferior, si el residuo de dividir el número entre cien (100) es menor que cincuenta (50)</w:t>
            </w:r>
          </w:p>
        </w:tc>
      </w:tr>
      <w:tr w:rsidR="00E5636E" w:rsidRPr="00E5636E" w:rsidTr="00E02270">
        <w:trPr>
          <w:trHeight w:val="489"/>
        </w:trPr>
        <w:tc>
          <w:tcPr>
            <w:tcW w:w="2552" w:type="dxa"/>
            <w:tcBorders>
              <w:top w:val="single" w:sz="6" w:space="0" w:color="000000"/>
              <w:left w:val="single" w:sz="6" w:space="0" w:color="000000"/>
              <w:bottom w:val="single" w:sz="6" w:space="0" w:color="000000"/>
              <w:right w:val="single" w:sz="6" w:space="0" w:color="000000"/>
            </w:tcBorders>
            <w:vAlign w:val="center"/>
          </w:tcPr>
          <w:p w:rsidR="00E5636E" w:rsidRPr="00E02270" w:rsidRDefault="00E02270" w:rsidP="00630B2E">
            <w:pPr>
              <w:jc w:val="both"/>
              <w:rPr>
                <w:rFonts w:ascii="Work Sans" w:hAnsi="Work Sans" w:cs="Arial"/>
                <w:bCs/>
                <w:i/>
                <w:iCs/>
                <w:spacing w:val="-3"/>
                <w:sz w:val="20"/>
                <w:szCs w:val="20"/>
                <w:lang w:val="es"/>
              </w:rPr>
            </w:pPr>
            <m:oMathPara>
              <m:oMathParaPr>
                <m:jc m:val="center"/>
              </m:oMathParaPr>
              <m:oMath>
                <m:r>
                  <w:rPr>
                    <w:rFonts w:ascii="Cambria Math" w:hAnsi="Cambria Math" w:cs="Arial"/>
                    <w:spacing w:val="-3"/>
                    <w:sz w:val="20"/>
                    <w:szCs w:val="20"/>
                    <w:lang w:val="es"/>
                  </w:rPr>
                  <m:t xml:space="preserve">  t</m:t>
                </m:r>
              </m:oMath>
            </m:oMathPara>
          </w:p>
        </w:tc>
        <w:tc>
          <w:tcPr>
            <w:tcW w:w="5811" w:type="dxa"/>
            <w:tcBorders>
              <w:top w:val="single" w:sz="6" w:space="0" w:color="000000"/>
              <w:left w:val="single" w:sz="6" w:space="0" w:color="000000"/>
              <w:bottom w:val="single" w:sz="6" w:space="0" w:color="000000"/>
              <w:right w:val="single" w:sz="6" w:space="0" w:color="000000"/>
            </w:tcBorders>
            <w:vAlign w:val="center"/>
          </w:tcPr>
          <w:p w:rsidR="00E5636E" w:rsidRPr="00E02270" w:rsidRDefault="00E5636E" w:rsidP="00E02270">
            <w:pPr>
              <w:ind w:left="141" w:right="141"/>
              <w:jc w:val="both"/>
              <w:rPr>
                <w:rFonts w:ascii="Work Sans" w:hAnsi="Work Sans" w:cs="Arial"/>
                <w:bCs/>
                <w:iCs/>
                <w:spacing w:val="-3"/>
                <w:sz w:val="20"/>
                <w:szCs w:val="20"/>
                <w:lang w:val="es"/>
              </w:rPr>
            </w:pPr>
            <w:r w:rsidRPr="00E02270">
              <w:rPr>
                <w:rFonts w:ascii="Work Sans" w:hAnsi="Work Sans" w:cs="Arial"/>
                <w:bCs/>
                <w:iCs/>
                <w:spacing w:val="-3"/>
                <w:sz w:val="20"/>
                <w:szCs w:val="20"/>
                <w:lang w:val="es"/>
              </w:rPr>
              <w:t>Año de Actualización de la tarifa</w:t>
            </w:r>
          </w:p>
        </w:tc>
      </w:tr>
    </w:tbl>
    <w:p w:rsidR="00E5636E" w:rsidRPr="00E5636E" w:rsidRDefault="00E5636E" w:rsidP="00E5636E">
      <w:pPr>
        <w:jc w:val="both"/>
        <w:rPr>
          <w:rFonts w:ascii="Work Sans" w:hAnsi="Work Sans" w:cs="Arial"/>
          <w:bCs/>
          <w:i/>
          <w:spacing w:val="-3"/>
          <w:sz w:val="20"/>
          <w:szCs w:val="20"/>
          <w:lang w:val="es"/>
        </w:rPr>
      </w:pPr>
    </w:p>
    <w:bookmarkEnd w:id="1"/>
    <w:p w:rsidR="002A1DCA" w:rsidRDefault="00C31631" w:rsidP="00E40D6C">
      <w:pPr>
        <w:tabs>
          <w:tab w:val="left" w:pos="0"/>
        </w:tabs>
        <w:jc w:val="both"/>
        <w:rPr>
          <w:rFonts w:ascii="Work Sans" w:hAnsi="Work Sans" w:cs="Arial Narrow"/>
          <w:sz w:val="20"/>
          <w:szCs w:val="20"/>
        </w:rPr>
      </w:pPr>
      <w:r w:rsidRPr="00E40D6C">
        <w:rPr>
          <w:rFonts w:ascii="Work Sans" w:hAnsi="Work Sans"/>
          <w:b/>
          <w:bCs/>
          <w:sz w:val="20"/>
          <w:szCs w:val="20"/>
        </w:rPr>
        <w:t>ARTÍCULO 3.-</w:t>
      </w:r>
      <w:r w:rsidR="002A1DCA" w:rsidRPr="00E40D6C">
        <w:rPr>
          <w:rFonts w:ascii="Work Sans" w:hAnsi="Work Sans"/>
          <w:b/>
          <w:bCs/>
          <w:sz w:val="20"/>
          <w:szCs w:val="20"/>
        </w:rPr>
        <w:t xml:space="preserve"> </w:t>
      </w:r>
      <w:r w:rsidR="00E40D6C" w:rsidRPr="00E40D6C">
        <w:rPr>
          <w:rFonts w:ascii="Work Sans" w:hAnsi="Work Sans" w:cs="Times New Roman"/>
          <w:sz w:val="20"/>
          <w:lang w:eastAsia="es-ES"/>
        </w:rPr>
        <w:t>Establecer las siguientes tarifas diferenciales para las categorías IE</w:t>
      </w:r>
      <w:r w:rsidR="000C22D3">
        <w:rPr>
          <w:rFonts w:ascii="Work Sans" w:hAnsi="Work Sans" w:cs="Times New Roman"/>
          <w:sz w:val="20"/>
          <w:lang w:eastAsia="es-ES"/>
        </w:rPr>
        <w:t>2</w:t>
      </w:r>
      <w:r w:rsidR="00E40D6C" w:rsidRPr="00E40D6C">
        <w:rPr>
          <w:rFonts w:ascii="Work Sans" w:hAnsi="Work Sans" w:cs="Times New Roman"/>
          <w:sz w:val="20"/>
          <w:lang w:eastAsia="es-ES"/>
        </w:rPr>
        <w:t>, IIE y IIE2</w:t>
      </w:r>
      <w:r w:rsidR="008D133C">
        <w:rPr>
          <w:rFonts w:ascii="Work Sans" w:hAnsi="Work Sans" w:cs="Times New Roman"/>
          <w:sz w:val="20"/>
          <w:lang w:eastAsia="es-ES"/>
        </w:rPr>
        <w:t xml:space="preserve"> en</w:t>
      </w:r>
      <w:r w:rsidR="00B10D34">
        <w:rPr>
          <w:rFonts w:ascii="Work Sans" w:hAnsi="Work Sans" w:cs="Times New Roman"/>
          <w:sz w:val="20"/>
          <w:lang w:eastAsia="es-ES"/>
        </w:rPr>
        <w:t xml:space="preserve"> las estaciones de peaje</w:t>
      </w:r>
      <w:r w:rsidR="008D133C">
        <w:rPr>
          <w:rFonts w:ascii="Work Sans" w:hAnsi="Work Sans" w:cs="Times New Roman"/>
          <w:sz w:val="20"/>
          <w:lang w:eastAsia="es-ES"/>
        </w:rPr>
        <w:t xml:space="preserve"> denominadas</w:t>
      </w:r>
      <w:r w:rsidR="00B10D34">
        <w:rPr>
          <w:rFonts w:ascii="Work Sans" w:hAnsi="Work Sans" w:cs="Times New Roman"/>
          <w:sz w:val="20"/>
          <w:lang w:eastAsia="es-ES"/>
        </w:rPr>
        <w:t xml:space="preserve"> Andes y </w:t>
      </w:r>
      <w:r w:rsidR="00E30DBA">
        <w:rPr>
          <w:rFonts w:ascii="Work Sans" w:hAnsi="Work Sans"/>
          <w:sz w:val="20"/>
        </w:rPr>
        <w:t>F</w:t>
      </w:r>
      <w:r w:rsidR="00B10D34" w:rsidRPr="00E40D6C">
        <w:rPr>
          <w:rFonts w:ascii="Work Sans" w:hAnsi="Work Sans"/>
          <w:sz w:val="20"/>
        </w:rPr>
        <w:t>usca</w:t>
      </w:r>
      <w:r w:rsidR="00B10D34">
        <w:rPr>
          <w:rFonts w:ascii="Work Sans" w:hAnsi="Work Sans"/>
          <w:sz w:val="20"/>
        </w:rPr>
        <w:t>, a</w:t>
      </w:r>
      <w:r w:rsidR="002A1DCA" w:rsidRPr="00E40D6C">
        <w:rPr>
          <w:rFonts w:ascii="Work Sans" w:hAnsi="Work Sans" w:cs="Arial Narrow"/>
          <w:sz w:val="20"/>
          <w:szCs w:val="20"/>
        </w:rPr>
        <w:t>sí:</w:t>
      </w:r>
    </w:p>
    <w:p w:rsidR="00016136" w:rsidRDefault="00016136" w:rsidP="00E40D6C">
      <w:pPr>
        <w:tabs>
          <w:tab w:val="left" w:pos="0"/>
        </w:tabs>
        <w:jc w:val="both"/>
        <w:rPr>
          <w:rFonts w:ascii="Work Sans" w:hAnsi="Work Sans" w:cs="Arial Narrow"/>
          <w:sz w:val="20"/>
          <w:szCs w:val="20"/>
        </w:rPr>
      </w:pPr>
    </w:p>
    <w:tbl>
      <w:tblPr>
        <w:tblStyle w:val="Tablaconcuadrcula"/>
        <w:tblW w:w="0" w:type="auto"/>
        <w:tblInd w:w="108" w:type="dxa"/>
        <w:tblLook w:val="04A0" w:firstRow="1" w:lastRow="0" w:firstColumn="1" w:lastColumn="0" w:noHBand="0" w:noVBand="1"/>
      </w:tblPr>
      <w:tblGrid>
        <w:gridCol w:w="1693"/>
        <w:gridCol w:w="2111"/>
        <w:gridCol w:w="1970"/>
        <w:gridCol w:w="2669"/>
      </w:tblGrid>
      <w:tr w:rsidR="000F0F47" w:rsidTr="00E30DBA">
        <w:tc>
          <w:tcPr>
            <w:tcW w:w="1701" w:type="dxa"/>
          </w:tcPr>
          <w:p w:rsidR="000F0F47" w:rsidRPr="00E060D4" w:rsidRDefault="00E30DBA" w:rsidP="00E30DBA">
            <w:pPr>
              <w:jc w:val="center"/>
              <w:rPr>
                <w:rFonts w:ascii="Work Sans" w:hAnsi="Work Sans"/>
                <w:sz w:val="20"/>
                <w:szCs w:val="20"/>
              </w:rPr>
            </w:pPr>
            <w:r>
              <w:rPr>
                <w:rFonts w:ascii="Work Sans" w:hAnsi="Work Sans" w:cs="Arial Narrow"/>
                <w:b/>
                <w:bCs/>
                <w:sz w:val="20"/>
                <w:szCs w:val="20"/>
              </w:rPr>
              <w:t>Categoría</w:t>
            </w:r>
          </w:p>
        </w:tc>
        <w:tc>
          <w:tcPr>
            <w:tcW w:w="2127" w:type="dxa"/>
          </w:tcPr>
          <w:p w:rsidR="000F0F47" w:rsidRDefault="000F0F47" w:rsidP="00E30DBA">
            <w:pPr>
              <w:jc w:val="center"/>
              <w:rPr>
                <w:rFonts w:ascii="Work Sans" w:hAnsi="Work Sans" w:cs="Arial Narrow"/>
                <w:b/>
                <w:bCs/>
                <w:sz w:val="20"/>
                <w:szCs w:val="20"/>
              </w:rPr>
            </w:pPr>
            <w:r w:rsidRPr="00E060D4">
              <w:rPr>
                <w:rFonts w:ascii="Work Sans" w:hAnsi="Work Sans" w:cs="Arial Narrow"/>
                <w:b/>
                <w:bCs/>
                <w:sz w:val="20"/>
                <w:szCs w:val="20"/>
              </w:rPr>
              <w:t>Peaje Andes</w:t>
            </w:r>
          </w:p>
          <w:p w:rsidR="00E30DBA" w:rsidRDefault="00E30DBA" w:rsidP="00E30DBA">
            <w:pPr>
              <w:jc w:val="center"/>
              <w:rPr>
                <w:rFonts w:ascii="Work Sans" w:hAnsi="Work Sans" w:cs="Arial Narrow"/>
                <w:b/>
                <w:bCs/>
                <w:sz w:val="20"/>
                <w:szCs w:val="20"/>
              </w:rPr>
            </w:pPr>
          </w:p>
          <w:p w:rsidR="00E30DBA" w:rsidRDefault="00E30DBA" w:rsidP="00E30DBA">
            <w:pPr>
              <w:jc w:val="center"/>
              <w:rPr>
                <w:rFonts w:ascii="Work Sans" w:hAnsi="Work Sans" w:cs="Arial Narrow"/>
                <w:b/>
                <w:bCs/>
                <w:sz w:val="20"/>
                <w:szCs w:val="20"/>
              </w:rPr>
            </w:pPr>
            <w:r>
              <w:rPr>
                <w:rFonts w:ascii="Work Sans" w:hAnsi="Work Sans" w:cs="Arial Narrow"/>
                <w:b/>
                <w:bCs/>
                <w:sz w:val="20"/>
                <w:szCs w:val="20"/>
              </w:rPr>
              <w:t>TARIFA</w:t>
            </w:r>
          </w:p>
          <w:p w:rsidR="00E30DBA" w:rsidRPr="00E30DBA" w:rsidRDefault="00E30DBA" w:rsidP="00E30DBA">
            <w:pPr>
              <w:jc w:val="center"/>
              <w:rPr>
                <w:rFonts w:ascii="Work Sans" w:hAnsi="Work Sans"/>
                <w:sz w:val="18"/>
                <w:szCs w:val="18"/>
              </w:rPr>
            </w:pPr>
            <w:r w:rsidRPr="00E30DBA">
              <w:rPr>
                <w:rFonts w:ascii="Work Sans" w:hAnsi="Work Sans" w:cs="Arial Narrow"/>
                <w:b/>
                <w:bCs/>
                <w:sz w:val="18"/>
                <w:szCs w:val="18"/>
              </w:rPr>
              <w:t>(No incluye FOSEVI)</w:t>
            </w:r>
          </w:p>
        </w:tc>
        <w:tc>
          <w:tcPr>
            <w:tcW w:w="1984" w:type="dxa"/>
          </w:tcPr>
          <w:p w:rsidR="000F0F47" w:rsidRDefault="000F0F47" w:rsidP="00E30DBA">
            <w:pPr>
              <w:jc w:val="center"/>
              <w:rPr>
                <w:rFonts w:ascii="Work Sans" w:hAnsi="Work Sans" w:cs="Arial Narrow"/>
                <w:b/>
                <w:bCs/>
                <w:sz w:val="20"/>
                <w:szCs w:val="20"/>
              </w:rPr>
            </w:pPr>
            <w:r w:rsidRPr="00E060D4">
              <w:rPr>
                <w:rFonts w:ascii="Work Sans" w:hAnsi="Work Sans" w:cs="Arial Narrow"/>
                <w:b/>
                <w:bCs/>
                <w:sz w:val="20"/>
                <w:szCs w:val="20"/>
              </w:rPr>
              <w:t>Peaje Fusca</w:t>
            </w:r>
          </w:p>
          <w:p w:rsidR="00E30DBA" w:rsidRDefault="00E30DBA" w:rsidP="00E30DBA">
            <w:pPr>
              <w:jc w:val="center"/>
              <w:rPr>
                <w:rFonts w:ascii="Work Sans" w:hAnsi="Work Sans" w:cs="Arial Narrow"/>
                <w:b/>
                <w:bCs/>
                <w:sz w:val="20"/>
                <w:szCs w:val="20"/>
              </w:rPr>
            </w:pPr>
          </w:p>
          <w:p w:rsidR="00E30DBA" w:rsidRDefault="00E30DBA" w:rsidP="00E30DBA">
            <w:pPr>
              <w:jc w:val="center"/>
              <w:rPr>
                <w:rFonts w:ascii="Work Sans" w:hAnsi="Work Sans" w:cs="Arial Narrow"/>
                <w:b/>
                <w:bCs/>
                <w:sz w:val="20"/>
                <w:szCs w:val="20"/>
              </w:rPr>
            </w:pPr>
            <w:r>
              <w:rPr>
                <w:rFonts w:ascii="Work Sans" w:hAnsi="Work Sans" w:cs="Arial Narrow"/>
                <w:b/>
                <w:bCs/>
                <w:sz w:val="20"/>
                <w:szCs w:val="20"/>
              </w:rPr>
              <w:t>TARIFA</w:t>
            </w:r>
          </w:p>
          <w:p w:rsidR="00E30DBA" w:rsidRPr="00E30DBA" w:rsidRDefault="00E30DBA" w:rsidP="00E30DBA">
            <w:pPr>
              <w:jc w:val="center"/>
              <w:rPr>
                <w:rFonts w:ascii="Work Sans" w:hAnsi="Work Sans"/>
                <w:sz w:val="18"/>
                <w:szCs w:val="18"/>
              </w:rPr>
            </w:pPr>
            <w:r w:rsidRPr="00E30DBA">
              <w:rPr>
                <w:rFonts w:ascii="Work Sans" w:hAnsi="Work Sans" w:cs="Arial Narrow"/>
                <w:b/>
                <w:bCs/>
                <w:sz w:val="18"/>
                <w:szCs w:val="18"/>
              </w:rPr>
              <w:t>(No incluye FOSEVI)</w:t>
            </w:r>
          </w:p>
        </w:tc>
        <w:tc>
          <w:tcPr>
            <w:tcW w:w="2693" w:type="dxa"/>
          </w:tcPr>
          <w:p w:rsidR="000F0F47" w:rsidRPr="00E30DBA" w:rsidRDefault="000F0F47" w:rsidP="00E30DBA">
            <w:pPr>
              <w:jc w:val="center"/>
              <w:rPr>
                <w:rFonts w:ascii="Work Sans" w:hAnsi="Work Sans"/>
                <w:b/>
                <w:sz w:val="20"/>
                <w:szCs w:val="20"/>
              </w:rPr>
            </w:pPr>
            <w:r w:rsidRPr="00E30DBA">
              <w:rPr>
                <w:rFonts w:ascii="Work Sans" w:hAnsi="Work Sans"/>
                <w:b/>
                <w:sz w:val="20"/>
                <w:szCs w:val="20"/>
              </w:rPr>
              <w:t>Cupos /Pasos</w:t>
            </w:r>
          </w:p>
        </w:tc>
      </w:tr>
      <w:tr w:rsidR="000F0F47" w:rsidTr="00E30DBA">
        <w:tc>
          <w:tcPr>
            <w:tcW w:w="1701"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Categoría IIE</w:t>
            </w:r>
          </w:p>
        </w:tc>
        <w:tc>
          <w:tcPr>
            <w:tcW w:w="2127"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14.000</w:t>
            </w:r>
          </w:p>
        </w:tc>
        <w:tc>
          <w:tcPr>
            <w:tcW w:w="1984"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14.000</w:t>
            </w:r>
          </w:p>
        </w:tc>
        <w:tc>
          <w:tcPr>
            <w:tcW w:w="2693" w:type="dxa"/>
          </w:tcPr>
          <w:p w:rsidR="000F0F47" w:rsidRPr="00E30DBA" w:rsidRDefault="000F0F47" w:rsidP="00630B2E">
            <w:pPr>
              <w:rPr>
                <w:rFonts w:ascii="Work Sans" w:hAnsi="Work Sans"/>
                <w:sz w:val="20"/>
                <w:szCs w:val="20"/>
              </w:rPr>
            </w:pPr>
            <w:r w:rsidRPr="00E30DBA">
              <w:rPr>
                <w:rFonts w:ascii="Work Sans" w:hAnsi="Work Sans"/>
                <w:sz w:val="20"/>
                <w:szCs w:val="20"/>
              </w:rPr>
              <w:t>100 cien pasos diarios.</w:t>
            </w:r>
          </w:p>
        </w:tc>
      </w:tr>
      <w:tr w:rsidR="000F0F47" w:rsidTr="00E30DBA">
        <w:tc>
          <w:tcPr>
            <w:tcW w:w="1701"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Categoría IE2</w:t>
            </w:r>
          </w:p>
        </w:tc>
        <w:tc>
          <w:tcPr>
            <w:tcW w:w="2127"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w:t>
            </w:r>
          </w:p>
        </w:tc>
        <w:tc>
          <w:tcPr>
            <w:tcW w:w="1984"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6.000</w:t>
            </w:r>
          </w:p>
        </w:tc>
        <w:tc>
          <w:tcPr>
            <w:tcW w:w="2693" w:type="dxa"/>
          </w:tcPr>
          <w:p w:rsidR="000F0F47" w:rsidRPr="00E30DBA" w:rsidRDefault="000F0F47" w:rsidP="00630B2E">
            <w:pPr>
              <w:rPr>
                <w:rFonts w:ascii="Work Sans" w:hAnsi="Work Sans"/>
                <w:sz w:val="20"/>
                <w:szCs w:val="20"/>
              </w:rPr>
            </w:pPr>
            <w:r w:rsidRPr="00E30DBA">
              <w:rPr>
                <w:rFonts w:ascii="Work Sans" w:hAnsi="Work Sans"/>
                <w:sz w:val="20"/>
                <w:szCs w:val="20"/>
              </w:rPr>
              <w:t>180 cupos.</w:t>
            </w:r>
          </w:p>
        </w:tc>
      </w:tr>
      <w:tr w:rsidR="000F0F47" w:rsidTr="00E30DBA">
        <w:tc>
          <w:tcPr>
            <w:tcW w:w="1701"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Categoría IIE2</w:t>
            </w:r>
          </w:p>
        </w:tc>
        <w:tc>
          <w:tcPr>
            <w:tcW w:w="2127"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15.400</w:t>
            </w:r>
          </w:p>
        </w:tc>
        <w:tc>
          <w:tcPr>
            <w:tcW w:w="1984" w:type="dxa"/>
          </w:tcPr>
          <w:p w:rsidR="000F0F47" w:rsidRPr="00E060D4" w:rsidRDefault="000F0F47" w:rsidP="00630B2E">
            <w:pPr>
              <w:rPr>
                <w:rFonts w:ascii="Work Sans" w:hAnsi="Work Sans"/>
                <w:sz w:val="20"/>
                <w:szCs w:val="20"/>
              </w:rPr>
            </w:pPr>
            <w:r w:rsidRPr="00E060D4">
              <w:rPr>
                <w:rFonts w:ascii="Work Sans" w:hAnsi="Work Sans" w:cs="Arial Narrow"/>
                <w:sz w:val="20"/>
                <w:szCs w:val="20"/>
              </w:rPr>
              <w:t>15.400</w:t>
            </w:r>
          </w:p>
        </w:tc>
        <w:tc>
          <w:tcPr>
            <w:tcW w:w="2693" w:type="dxa"/>
          </w:tcPr>
          <w:p w:rsidR="000F0F47" w:rsidRPr="00E30DBA" w:rsidRDefault="000F0F47" w:rsidP="00630B2E">
            <w:pPr>
              <w:rPr>
                <w:rFonts w:ascii="Work Sans" w:hAnsi="Work Sans"/>
                <w:sz w:val="20"/>
                <w:szCs w:val="20"/>
              </w:rPr>
            </w:pPr>
            <w:r w:rsidRPr="00E30DBA">
              <w:rPr>
                <w:rFonts w:ascii="Work Sans" w:hAnsi="Work Sans"/>
                <w:sz w:val="20"/>
                <w:szCs w:val="20"/>
              </w:rPr>
              <w:t>1000 mil pasos diarios.</w:t>
            </w:r>
          </w:p>
        </w:tc>
      </w:tr>
    </w:tbl>
    <w:p w:rsidR="000F0F47" w:rsidRDefault="000F0F47" w:rsidP="000F0F47"/>
    <w:p w:rsidR="002A1DCA" w:rsidRPr="00B10D34" w:rsidRDefault="00E40D6C" w:rsidP="002A1DCA">
      <w:pPr>
        <w:jc w:val="both"/>
        <w:rPr>
          <w:rFonts w:ascii="Work Sans" w:hAnsi="Work Sans" w:cs="Times New Roman"/>
          <w:b/>
          <w:sz w:val="20"/>
          <w:szCs w:val="20"/>
          <w:lang w:val="es" w:eastAsia="es-ES"/>
        </w:rPr>
      </w:pPr>
      <w:r w:rsidRPr="00B10D34">
        <w:rPr>
          <w:rFonts w:ascii="Work Sans" w:hAnsi="Work Sans" w:cs="Times New Roman"/>
          <w:b/>
          <w:sz w:val="20"/>
          <w:szCs w:val="20"/>
          <w:lang w:val="es" w:eastAsia="es-ES"/>
        </w:rPr>
        <w:t>PARÁGRAFO 1.-</w:t>
      </w:r>
      <w:r w:rsidR="002A1DCA" w:rsidRPr="00B10D34">
        <w:rPr>
          <w:rFonts w:ascii="Work Sans" w:hAnsi="Work Sans" w:cs="Times New Roman"/>
          <w:b/>
          <w:sz w:val="20"/>
          <w:szCs w:val="20"/>
          <w:lang w:val="es" w:eastAsia="es-ES"/>
        </w:rPr>
        <w:t xml:space="preserve"> </w:t>
      </w:r>
      <w:r w:rsidR="00332F54" w:rsidRPr="00B10D34">
        <w:rPr>
          <w:rFonts w:ascii="Work Sans" w:hAnsi="Work Sans" w:cs="Times New Roman"/>
          <w:bCs/>
          <w:sz w:val="20"/>
          <w:szCs w:val="20"/>
          <w:lang w:val="es" w:eastAsia="es-ES"/>
        </w:rPr>
        <w:t>La tarifa de la categoría</w:t>
      </w:r>
      <w:r w:rsidR="002A1DCA" w:rsidRPr="00B10D34">
        <w:rPr>
          <w:rFonts w:ascii="Work Sans" w:hAnsi="Work Sans" w:cs="Times New Roman"/>
          <w:bCs/>
          <w:sz w:val="20"/>
          <w:szCs w:val="20"/>
          <w:lang w:val="es" w:eastAsia="es-ES"/>
        </w:rPr>
        <w:t xml:space="preserve"> IIE</w:t>
      </w:r>
      <w:r w:rsidR="00DC327C">
        <w:rPr>
          <w:rStyle w:val="Refdecomentario"/>
          <w:rFonts w:ascii="Work Sans" w:hAnsi="Work Sans"/>
          <w:sz w:val="20"/>
          <w:szCs w:val="20"/>
          <w:lang w:bidi="ar-SA"/>
        </w:rPr>
        <w:t xml:space="preserve"> </w:t>
      </w:r>
      <w:r w:rsidR="00BF5A1E">
        <w:rPr>
          <w:rStyle w:val="Refdecomentario"/>
          <w:rFonts w:ascii="Work Sans" w:hAnsi="Work Sans"/>
          <w:sz w:val="20"/>
          <w:szCs w:val="20"/>
          <w:lang w:bidi="ar-SA"/>
        </w:rPr>
        <w:t xml:space="preserve">en las estaciones de peaje Andes y Fusca, </w:t>
      </w:r>
      <w:r w:rsidR="00332F54" w:rsidRPr="00B10D34">
        <w:rPr>
          <w:rFonts w:ascii="Work Sans" w:hAnsi="Work Sans" w:cs="Times New Roman"/>
          <w:bCs/>
          <w:sz w:val="20"/>
          <w:szCs w:val="20"/>
          <w:lang w:val="es" w:eastAsia="es-ES"/>
        </w:rPr>
        <w:lastRenderedPageBreak/>
        <w:t>aplica</w:t>
      </w:r>
      <w:r w:rsidR="004078AD" w:rsidRPr="00B10D34">
        <w:rPr>
          <w:rFonts w:ascii="Work Sans" w:hAnsi="Work Sans" w:cs="Times New Roman"/>
          <w:bCs/>
          <w:sz w:val="20"/>
          <w:szCs w:val="20"/>
          <w:lang w:val="es" w:eastAsia="es-ES"/>
        </w:rPr>
        <w:t xml:space="preserve"> para </w:t>
      </w:r>
      <w:r w:rsidR="002A1DCA" w:rsidRPr="00B10D34">
        <w:rPr>
          <w:rFonts w:ascii="Work Sans" w:hAnsi="Work Sans" w:cs="Times New Roman"/>
          <w:bCs/>
          <w:sz w:val="20"/>
          <w:szCs w:val="20"/>
          <w:lang w:val="es" w:eastAsia="es-ES"/>
        </w:rPr>
        <w:t xml:space="preserve"> los vehículos</w:t>
      </w:r>
      <w:r w:rsidR="002A1DCA" w:rsidRPr="00B10D34">
        <w:rPr>
          <w:rFonts w:ascii="Work Sans" w:hAnsi="Work Sans" w:cs="Arial Narrow"/>
          <w:sz w:val="20"/>
          <w:szCs w:val="20"/>
          <w:lang w:eastAsia="es-ES"/>
        </w:rPr>
        <w:t xml:space="preserve"> </w:t>
      </w:r>
      <w:r w:rsidR="004078AD" w:rsidRPr="00B10D34">
        <w:rPr>
          <w:rFonts w:ascii="Work Sans" w:hAnsi="Work Sans" w:cs="Arial Narrow"/>
          <w:sz w:val="20"/>
          <w:szCs w:val="20"/>
          <w:lang w:eastAsia="es-ES"/>
        </w:rPr>
        <w:t xml:space="preserve">de </w:t>
      </w:r>
      <w:r w:rsidR="002A1DCA" w:rsidRPr="00B10D34">
        <w:rPr>
          <w:rFonts w:ascii="Work Sans" w:hAnsi="Work Sans" w:cs="Arial Narrow"/>
          <w:sz w:val="20"/>
          <w:szCs w:val="20"/>
          <w:lang w:eastAsia="es-ES"/>
        </w:rPr>
        <w:t>servicio público de transporte de pasajeros</w:t>
      </w:r>
      <w:r w:rsidR="001174C6" w:rsidRPr="00B10D34">
        <w:rPr>
          <w:rFonts w:ascii="Work Sans" w:hAnsi="Work Sans" w:cs="Arial Narrow"/>
          <w:sz w:val="20"/>
          <w:szCs w:val="20"/>
          <w:lang w:eastAsia="es-ES"/>
        </w:rPr>
        <w:t xml:space="preserve"> por carretera</w:t>
      </w:r>
      <w:r w:rsidR="002A1DCA" w:rsidRPr="00B10D34">
        <w:rPr>
          <w:rFonts w:ascii="Work Sans" w:hAnsi="Work Sans" w:cs="Arial Narrow"/>
          <w:sz w:val="20"/>
          <w:szCs w:val="20"/>
          <w:lang w:eastAsia="es-ES"/>
        </w:rPr>
        <w:t xml:space="preserve"> </w:t>
      </w:r>
      <w:r w:rsidR="004078AD" w:rsidRPr="00B10D34">
        <w:rPr>
          <w:rFonts w:ascii="Work Sans" w:hAnsi="Work Sans" w:cs="Arial Narrow"/>
          <w:sz w:val="20"/>
          <w:szCs w:val="20"/>
          <w:lang w:eastAsia="es-ES"/>
        </w:rPr>
        <w:t>que estén vinculados a empresas de servicio público de transporte terrestre auto</w:t>
      </w:r>
      <w:r w:rsidR="00E96B93" w:rsidRPr="00B10D34">
        <w:rPr>
          <w:rFonts w:ascii="Work Sans" w:hAnsi="Work Sans" w:cs="Arial Narrow"/>
          <w:sz w:val="20"/>
          <w:szCs w:val="20"/>
          <w:lang w:eastAsia="es-ES"/>
        </w:rPr>
        <w:t xml:space="preserve">motor de pasajeros </w:t>
      </w:r>
      <w:r w:rsidR="001D1F48">
        <w:rPr>
          <w:rFonts w:ascii="Work Sans" w:hAnsi="Work Sans" w:cs="Arial Narrow"/>
          <w:sz w:val="20"/>
          <w:szCs w:val="20"/>
          <w:lang w:eastAsia="es-ES"/>
        </w:rPr>
        <w:t>por carretera</w:t>
      </w:r>
      <w:r w:rsidR="004078AD" w:rsidRPr="00B10D34">
        <w:rPr>
          <w:rFonts w:ascii="Work Sans" w:hAnsi="Work Sans" w:cs="Arial Narrow"/>
          <w:sz w:val="20"/>
          <w:szCs w:val="20"/>
          <w:lang w:eastAsia="es-ES"/>
        </w:rPr>
        <w:t xml:space="preserve"> habilitadas </w:t>
      </w:r>
      <w:r w:rsidR="001174C6" w:rsidRPr="00B10D34">
        <w:rPr>
          <w:rFonts w:ascii="Work Sans" w:hAnsi="Work Sans" w:cs="Arial Narrow"/>
          <w:sz w:val="20"/>
          <w:szCs w:val="20"/>
          <w:lang w:eastAsia="es-ES"/>
        </w:rPr>
        <w:t>por  el Ministerio de Transporte</w:t>
      </w:r>
      <w:r w:rsidR="00E642AD" w:rsidRPr="00B10D34">
        <w:rPr>
          <w:rFonts w:ascii="Work Sans" w:hAnsi="Work Sans" w:cs="Arial Narrow"/>
          <w:sz w:val="20"/>
          <w:szCs w:val="20"/>
          <w:lang w:eastAsia="es-ES"/>
        </w:rPr>
        <w:t xml:space="preserve"> </w:t>
      </w:r>
      <w:r w:rsidR="00E642AD" w:rsidRPr="00B10D34">
        <w:rPr>
          <w:rFonts w:ascii="Work Sans" w:hAnsi="Work Sans"/>
          <w:iCs/>
          <w:sz w:val="20"/>
          <w:szCs w:val="20"/>
        </w:rPr>
        <w:t>que operen la r</w:t>
      </w:r>
      <w:r w:rsidR="00B10D34" w:rsidRPr="00B10D34">
        <w:rPr>
          <w:rFonts w:ascii="Work Sans" w:hAnsi="Work Sans"/>
          <w:iCs/>
          <w:sz w:val="20"/>
          <w:szCs w:val="20"/>
        </w:rPr>
        <w:t>uta Bogotá  - Chía  y viceversa</w:t>
      </w:r>
      <w:r w:rsidR="005213FD">
        <w:rPr>
          <w:rFonts w:ascii="Work Sans" w:hAnsi="Work Sans" w:cs="Times New Roman"/>
          <w:bCs/>
          <w:sz w:val="20"/>
          <w:szCs w:val="20"/>
          <w:lang w:val="es" w:eastAsia="es-ES"/>
        </w:rPr>
        <w:t>.</w:t>
      </w:r>
      <w:r w:rsidR="002A1DCA" w:rsidRPr="00B10D34">
        <w:rPr>
          <w:rFonts w:ascii="Work Sans" w:hAnsi="Work Sans" w:cs="Times New Roman"/>
          <w:bCs/>
          <w:sz w:val="20"/>
          <w:szCs w:val="20"/>
          <w:lang w:val="es" w:eastAsia="es-ES"/>
        </w:rPr>
        <w:t xml:space="preserve"> </w:t>
      </w:r>
      <w:r w:rsidR="005213FD">
        <w:rPr>
          <w:rFonts w:ascii="Work Sans" w:hAnsi="Work Sans" w:cs="Times New Roman"/>
          <w:bCs/>
          <w:sz w:val="20"/>
          <w:szCs w:val="20"/>
          <w:lang w:val="es" w:eastAsia="es-ES"/>
        </w:rPr>
        <w:t>L</w:t>
      </w:r>
      <w:r w:rsidR="000E36FD" w:rsidRPr="00B10D34">
        <w:rPr>
          <w:rFonts w:ascii="Work Sans" w:hAnsi="Work Sans" w:cs="Times New Roman"/>
          <w:bCs/>
          <w:sz w:val="20"/>
          <w:szCs w:val="20"/>
          <w:lang w:val="es" w:eastAsia="es-ES"/>
        </w:rPr>
        <w:t>a</w:t>
      </w:r>
      <w:r w:rsidR="005213FD">
        <w:rPr>
          <w:rFonts w:ascii="Work Sans" w:hAnsi="Work Sans" w:cs="Times New Roman"/>
          <w:bCs/>
          <w:sz w:val="20"/>
          <w:szCs w:val="20"/>
          <w:lang w:val="es" w:eastAsia="es-ES"/>
        </w:rPr>
        <w:t xml:space="preserve"> </w:t>
      </w:r>
      <w:r w:rsidR="004078AD" w:rsidRPr="00B10D34">
        <w:rPr>
          <w:rFonts w:ascii="Work Sans" w:hAnsi="Work Sans" w:cs="Times New Roman"/>
          <w:bCs/>
          <w:sz w:val="20"/>
          <w:szCs w:val="20"/>
          <w:lang w:val="es" w:eastAsia="es-ES"/>
        </w:rPr>
        <w:t>tarifa</w:t>
      </w:r>
      <w:r w:rsidR="00EB4C5C" w:rsidRPr="00B10D34">
        <w:rPr>
          <w:rFonts w:ascii="Work Sans" w:hAnsi="Work Sans" w:cs="Times New Roman"/>
          <w:bCs/>
          <w:sz w:val="20"/>
          <w:szCs w:val="20"/>
          <w:lang w:val="es" w:eastAsia="es-ES"/>
        </w:rPr>
        <w:t xml:space="preserve"> diferencial</w:t>
      </w:r>
      <w:r w:rsidR="000E36FD" w:rsidRPr="00B10D34">
        <w:rPr>
          <w:rFonts w:ascii="Work Sans" w:hAnsi="Work Sans" w:cs="Times New Roman"/>
          <w:bCs/>
          <w:sz w:val="20"/>
          <w:szCs w:val="20"/>
          <w:lang w:val="es" w:eastAsia="es-ES"/>
        </w:rPr>
        <w:t xml:space="preserve"> entrará </w:t>
      </w:r>
      <w:r w:rsidR="002A1DCA" w:rsidRPr="00B10D34">
        <w:rPr>
          <w:rFonts w:ascii="Work Sans" w:hAnsi="Work Sans" w:cs="Times New Roman"/>
          <w:bCs/>
          <w:sz w:val="20"/>
          <w:szCs w:val="20"/>
          <w:lang w:val="es" w:eastAsia="es-ES"/>
        </w:rPr>
        <w:t xml:space="preserve"> a</w:t>
      </w:r>
      <w:r w:rsidR="000E36FD" w:rsidRPr="00B10D34">
        <w:rPr>
          <w:rFonts w:ascii="Work Sans" w:hAnsi="Work Sans" w:cs="Times New Roman"/>
          <w:bCs/>
          <w:sz w:val="20"/>
          <w:szCs w:val="20"/>
          <w:lang w:val="es" w:eastAsia="es-ES"/>
        </w:rPr>
        <w:t xml:space="preserve"> regir</w:t>
      </w:r>
      <w:r w:rsidR="00BF5A1E">
        <w:rPr>
          <w:rFonts w:ascii="Work Sans" w:hAnsi="Work Sans" w:cs="Times New Roman"/>
          <w:bCs/>
          <w:sz w:val="20"/>
          <w:szCs w:val="20"/>
          <w:lang w:val="es" w:eastAsia="es-ES"/>
        </w:rPr>
        <w:t xml:space="preserve"> </w:t>
      </w:r>
      <w:r w:rsidR="001174C6" w:rsidRPr="00B10D34">
        <w:rPr>
          <w:rFonts w:ascii="Work Sans" w:hAnsi="Work Sans" w:cs="Times New Roman"/>
          <w:bCs/>
          <w:sz w:val="20"/>
          <w:szCs w:val="20"/>
          <w:lang w:val="es" w:eastAsia="es-ES"/>
        </w:rPr>
        <w:t xml:space="preserve">a </w:t>
      </w:r>
      <w:r w:rsidR="002A1DCA" w:rsidRPr="00B10D34">
        <w:rPr>
          <w:rFonts w:ascii="Work Sans" w:hAnsi="Work Sans" w:cs="Times New Roman"/>
          <w:bCs/>
          <w:sz w:val="20"/>
          <w:szCs w:val="20"/>
          <w:lang w:val="es" w:eastAsia="es-ES"/>
        </w:rPr>
        <w:t>partir de la entrada en vigencia de la presente Resolución.</w:t>
      </w:r>
    </w:p>
    <w:p w:rsidR="002A1DCA" w:rsidRPr="00E642AD" w:rsidRDefault="002A1DCA" w:rsidP="002A1DCA">
      <w:pPr>
        <w:jc w:val="both"/>
        <w:rPr>
          <w:rFonts w:ascii="Work Sans" w:hAnsi="Work Sans" w:cs="Times New Roman"/>
          <w:b/>
          <w:sz w:val="20"/>
          <w:szCs w:val="20"/>
          <w:lang w:val="es" w:eastAsia="es-ES"/>
        </w:rPr>
      </w:pPr>
    </w:p>
    <w:p w:rsidR="002A1DCA" w:rsidRDefault="00E40D6C" w:rsidP="002A1DCA">
      <w:pPr>
        <w:jc w:val="both"/>
        <w:rPr>
          <w:rFonts w:ascii="Work Sans" w:hAnsi="Work Sans" w:cs="Arial Narrow"/>
          <w:sz w:val="20"/>
          <w:szCs w:val="20"/>
        </w:rPr>
      </w:pPr>
      <w:r>
        <w:rPr>
          <w:rFonts w:ascii="Work Sans" w:hAnsi="Work Sans" w:cs="Times New Roman"/>
          <w:b/>
          <w:sz w:val="20"/>
          <w:szCs w:val="20"/>
          <w:lang w:val="es" w:eastAsia="es-ES"/>
        </w:rPr>
        <w:t>PARÁGRAFO 2</w:t>
      </w:r>
      <w:r w:rsidRPr="00EB4C5C">
        <w:rPr>
          <w:rFonts w:ascii="Work Sans" w:hAnsi="Work Sans" w:cs="Times New Roman"/>
          <w:b/>
          <w:sz w:val="20"/>
          <w:szCs w:val="20"/>
          <w:lang w:val="es" w:eastAsia="es-ES"/>
        </w:rPr>
        <w:t>.-</w:t>
      </w:r>
      <w:r w:rsidR="002A1DCA" w:rsidRPr="00EB4C5C">
        <w:rPr>
          <w:rFonts w:ascii="Work Sans" w:hAnsi="Work Sans" w:cs="Times New Roman"/>
          <w:b/>
          <w:sz w:val="20"/>
          <w:szCs w:val="20"/>
          <w:lang w:val="es" w:eastAsia="es-ES"/>
        </w:rPr>
        <w:t xml:space="preserve"> </w:t>
      </w:r>
      <w:r w:rsidR="002A1DCA" w:rsidRPr="00EB4C5C">
        <w:rPr>
          <w:rFonts w:ascii="Work Sans" w:hAnsi="Work Sans" w:cs="Times New Roman"/>
          <w:bCs/>
          <w:sz w:val="20"/>
          <w:szCs w:val="20"/>
          <w:lang w:val="es" w:eastAsia="es-ES"/>
        </w:rPr>
        <w:t>La</w:t>
      </w:r>
      <w:r w:rsidR="004078AD" w:rsidRPr="00EB4C5C">
        <w:rPr>
          <w:rFonts w:ascii="Work Sans" w:hAnsi="Work Sans" w:cs="Times New Roman"/>
          <w:bCs/>
          <w:sz w:val="20"/>
          <w:szCs w:val="20"/>
          <w:lang w:val="es" w:eastAsia="es-ES"/>
        </w:rPr>
        <w:t xml:space="preserve"> tarifa de la</w:t>
      </w:r>
      <w:r w:rsidR="002A1DCA" w:rsidRPr="00EB4C5C">
        <w:rPr>
          <w:rFonts w:ascii="Work Sans" w:hAnsi="Work Sans" w:cs="Times New Roman"/>
          <w:bCs/>
          <w:sz w:val="20"/>
          <w:szCs w:val="20"/>
          <w:lang w:val="es" w:eastAsia="es-ES"/>
        </w:rPr>
        <w:t xml:space="preserve"> categoría</w:t>
      </w:r>
      <w:r w:rsidR="004078AD" w:rsidRPr="00EB4C5C">
        <w:rPr>
          <w:rFonts w:ascii="Work Sans" w:hAnsi="Work Sans" w:cs="Times New Roman"/>
          <w:bCs/>
          <w:sz w:val="20"/>
          <w:szCs w:val="20"/>
          <w:lang w:val="es" w:eastAsia="es-ES"/>
        </w:rPr>
        <w:t xml:space="preserve"> </w:t>
      </w:r>
      <w:r w:rsidR="002A1DCA" w:rsidRPr="00EB4C5C">
        <w:rPr>
          <w:rFonts w:ascii="Work Sans" w:hAnsi="Work Sans" w:cs="Times New Roman"/>
          <w:bCs/>
          <w:sz w:val="20"/>
          <w:szCs w:val="20"/>
          <w:lang w:val="es" w:eastAsia="es-ES"/>
        </w:rPr>
        <w:t>IE2</w:t>
      </w:r>
      <w:r w:rsidR="00C16174">
        <w:rPr>
          <w:rFonts w:ascii="Work Sans" w:hAnsi="Work Sans" w:cs="Times New Roman"/>
          <w:bCs/>
          <w:sz w:val="20"/>
          <w:szCs w:val="20"/>
          <w:lang w:val="es" w:eastAsia="es-ES"/>
        </w:rPr>
        <w:t xml:space="preserve"> </w:t>
      </w:r>
      <w:r w:rsidR="004078AD" w:rsidRPr="00EB4C5C">
        <w:rPr>
          <w:rFonts w:ascii="Work Sans" w:hAnsi="Work Sans" w:cs="Arial Narrow"/>
          <w:sz w:val="20"/>
          <w:szCs w:val="20"/>
          <w:lang w:val="es" w:eastAsia="es-ES"/>
        </w:rPr>
        <w:t xml:space="preserve">aplica </w:t>
      </w:r>
      <w:r w:rsidR="00BF5A1E">
        <w:rPr>
          <w:rFonts w:ascii="Work Sans" w:hAnsi="Work Sans" w:cs="Arial Narrow"/>
          <w:sz w:val="20"/>
          <w:szCs w:val="20"/>
          <w:lang w:val="es" w:eastAsia="es-ES"/>
        </w:rPr>
        <w:t>a</w:t>
      </w:r>
      <w:r w:rsidR="002A1DCA" w:rsidRPr="00EB4C5C">
        <w:rPr>
          <w:rFonts w:ascii="Work Sans" w:hAnsi="Work Sans" w:cs="Arial Narrow"/>
          <w:sz w:val="20"/>
          <w:szCs w:val="20"/>
          <w:lang w:val="es" w:eastAsia="es-ES"/>
        </w:rPr>
        <w:t xml:space="preserve"> los </w:t>
      </w:r>
      <w:r w:rsidR="00C16174">
        <w:rPr>
          <w:rFonts w:ascii="Work Sans" w:hAnsi="Work Sans"/>
          <w:sz w:val="20"/>
          <w:szCs w:val="20"/>
          <w:lang w:val="es"/>
        </w:rPr>
        <w:t>vehículos</w:t>
      </w:r>
      <w:r w:rsidR="00C16174">
        <w:rPr>
          <w:rFonts w:ascii="Work Sans" w:hAnsi="Work Sans" w:cs="Work Sans"/>
          <w:sz w:val="20"/>
          <w:szCs w:val="20"/>
        </w:rPr>
        <w:t xml:space="preserve"> de </w:t>
      </w:r>
      <w:r w:rsidR="00BF5A1E">
        <w:rPr>
          <w:rFonts w:ascii="Work Sans" w:hAnsi="Work Sans" w:cs="Work Sans"/>
          <w:sz w:val="20"/>
          <w:szCs w:val="20"/>
        </w:rPr>
        <w:t xml:space="preserve">las comunidades de </w:t>
      </w:r>
      <w:r w:rsidR="002A1DCA" w:rsidRPr="00EB4C5C">
        <w:rPr>
          <w:rFonts w:ascii="Work Sans" w:hAnsi="Work Sans" w:cs="Arial Narrow"/>
          <w:sz w:val="20"/>
          <w:szCs w:val="20"/>
          <w:lang w:val="es" w:eastAsia="es-ES"/>
        </w:rPr>
        <w:t>Fusca y Torca.</w:t>
      </w:r>
      <w:r w:rsidR="004078AD" w:rsidRPr="00EB4C5C">
        <w:rPr>
          <w:rFonts w:ascii="Work Sans" w:hAnsi="Work Sans" w:cs="Times New Roman"/>
          <w:sz w:val="20"/>
          <w:szCs w:val="20"/>
          <w:lang w:val="es" w:eastAsia="es-ES"/>
        </w:rPr>
        <w:t xml:space="preserve"> La aplicación de esta tarifa</w:t>
      </w:r>
      <w:r w:rsidR="002A1DCA" w:rsidRPr="00EB4C5C">
        <w:rPr>
          <w:rFonts w:ascii="Work Sans" w:hAnsi="Work Sans" w:cs="Times New Roman"/>
          <w:sz w:val="20"/>
          <w:szCs w:val="20"/>
          <w:lang w:val="es" w:eastAsia="es-ES"/>
        </w:rPr>
        <w:t xml:space="preserve"> entrará en vigencia</w:t>
      </w:r>
      <w:r w:rsidR="002A1DCA" w:rsidRPr="00EB4C5C">
        <w:rPr>
          <w:rFonts w:ascii="Work Sans" w:hAnsi="Work Sans" w:cs="Times New Roman"/>
          <w:b/>
          <w:sz w:val="20"/>
          <w:szCs w:val="20"/>
          <w:lang w:val="es" w:eastAsia="es-ES"/>
        </w:rPr>
        <w:t xml:space="preserve"> </w:t>
      </w:r>
      <w:r w:rsidR="004078AD" w:rsidRPr="00EB4C5C">
        <w:rPr>
          <w:rFonts w:ascii="Work Sans" w:hAnsi="Work Sans" w:cs="Arial Narrow"/>
          <w:sz w:val="20"/>
          <w:szCs w:val="20"/>
          <w:lang w:val="es" w:eastAsia="es-ES"/>
        </w:rPr>
        <w:t xml:space="preserve">a </w:t>
      </w:r>
      <w:r w:rsidR="004078AD" w:rsidRPr="00EB4C5C">
        <w:rPr>
          <w:rFonts w:ascii="Work Sans" w:hAnsi="Work Sans" w:cs="Arial Narrow"/>
          <w:sz w:val="20"/>
          <w:szCs w:val="20"/>
        </w:rPr>
        <w:t>partir</w:t>
      </w:r>
      <w:r w:rsidR="002A1DCA" w:rsidRPr="00EB4C5C">
        <w:rPr>
          <w:rFonts w:ascii="Work Sans" w:hAnsi="Work Sans" w:cs="Arial Narrow"/>
          <w:sz w:val="20"/>
          <w:szCs w:val="20"/>
        </w:rPr>
        <w:t xml:space="preserve"> del 16 de enero de 2023, siempre y cuando se encuentre en ejecución el proyecto</w:t>
      </w:r>
      <w:r w:rsidR="002A1DCA" w:rsidRPr="00BF5A1E">
        <w:rPr>
          <w:rFonts w:ascii="Work Sans" w:hAnsi="Work Sans" w:cs="Arial Narrow"/>
          <w:i/>
          <w:sz w:val="20"/>
          <w:szCs w:val="20"/>
        </w:rPr>
        <w:t xml:space="preserve"> “Accesos Norte Fase II”, </w:t>
      </w:r>
      <w:r w:rsidR="002A1DCA" w:rsidRPr="00EB4C5C">
        <w:rPr>
          <w:rFonts w:ascii="Work Sans" w:hAnsi="Work Sans" w:cs="Arial Narrow"/>
          <w:sz w:val="20"/>
          <w:szCs w:val="20"/>
        </w:rPr>
        <w:t xml:space="preserve">y se hubiese realizado el incremento establecido en el </w:t>
      </w:r>
      <w:r w:rsidR="00467147">
        <w:rPr>
          <w:rFonts w:ascii="Work Sans" w:hAnsi="Work Sans" w:cs="Arial Narrow"/>
          <w:sz w:val="20"/>
          <w:szCs w:val="20"/>
        </w:rPr>
        <w:t>a</w:t>
      </w:r>
      <w:r w:rsidR="00BF5A1E">
        <w:rPr>
          <w:rFonts w:ascii="Work Sans" w:hAnsi="Work Sans" w:cs="Arial Narrow"/>
          <w:sz w:val="20"/>
          <w:szCs w:val="20"/>
        </w:rPr>
        <w:t>rtículo 1</w:t>
      </w:r>
      <w:r w:rsidR="002A1DCA" w:rsidRPr="00EB4C5C">
        <w:rPr>
          <w:rFonts w:ascii="Work Sans" w:hAnsi="Work Sans" w:cs="Arial Narrow"/>
          <w:sz w:val="20"/>
          <w:szCs w:val="20"/>
        </w:rPr>
        <w:t xml:space="preserve"> de la presente Resolución.</w:t>
      </w:r>
    </w:p>
    <w:p w:rsidR="00C16174" w:rsidRDefault="00C16174" w:rsidP="002A1DCA">
      <w:pPr>
        <w:jc w:val="both"/>
        <w:rPr>
          <w:rFonts w:ascii="Work Sans" w:hAnsi="Work Sans" w:cs="Arial Narrow"/>
          <w:sz w:val="20"/>
          <w:szCs w:val="20"/>
        </w:rPr>
      </w:pPr>
    </w:p>
    <w:p w:rsidR="001B478F" w:rsidRPr="001B478F" w:rsidRDefault="002A1DCA" w:rsidP="001B478F">
      <w:pPr>
        <w:pStyle w:val="ANINormal"/>
        <w:rPr>
          <w:rFonts w:ascii="Work Sans" w:hAnsi="Work Sans"/>
          <w:bCs/>
          <w:spacing w:val="-3"/>
          <w:sz w:val="20"/>
          <w:szCs w:val="20"/>
          <w:lang w:val="es-ES_tradnl" w:eastAsia="es-MX"/>
        </w:rPr>
      </w:pPr>
      <w:r w:rsidRPr="001B478F">
        <w:rPr>
          <w:rFonts w:ascii="Work Sans" w:hAnsi="Work Sans" w:cs="Arial Narrow"/>
          <w:b/>
          <w:bCs/>
          <w:sz w:val="20"/>
          <w:szCs w:val="20"/>
          <w:lang w:val="es" w:eastAsia="es-ES"/>
        </w:rPr>
        <w:t>PARÁGRAFO 3</w:t>
      </w:r>
      <w:r w:rsidR="00E40D6C" w:rsidRPr="001B478F">
        <w:rPr>
          <w:rFonts w:ascii="Work Sans" w:hAnsi="Work Sans" w:cs="Arial Narrow"/>
          <w:b/>
          <w:bCs/>
          <w:sz w:val="20"/>
          <w:szCs w:val="20"/>
          <w:lang w:val="es" w:eastAsia="es-ES"/>
        </w:rPr>
        <w:t>.-</w:t>
      </w:r>
      <w:r w:rsidR="00BF5A1E">
        <w:rPr>
          <w:rFonts w:ascii="Work Sans" w:hAnsi="Work Sans" w:cs="Arial Narrow"/>
          <w:b/>
          <w:bCs/>
          <w:sz w:val="20"/>
          <w:szCs w:val="20"/>
          <w:lang w:val="es" w:eastAsia="es-ES"/>
        </w:rPr>
        <w:t xml:space="preserve"> </w:t>
      </w:r>
      <w:r w:rsidR="00BA496F" w:rsidRPr="001B478F">
        <w:rPr>
          <w:rFonts w:ascii="Work Sans" w:hAnsi="Work Sans" w:cs="Times New Roman"/>
          <w:bCs/>
          <w:sz w:val="20"/>
          <w:szCs w:val="20"/>
          <w:lang w:val="es" w:eastAsia="es-ES"/>
        </w:rPr>
        <w:t>La tarifa de la categoría IIE2</w:t>
      </w:r>
      <w:r w:rsidR="001B478F" w:rsidRPr="001B478F">
        <w:rPr>
          <w:rStyle w:val="Refdecomentario"/>
          <w:rFonts w:ascii="Work Sans" w:hAnsi="Work Sans"/>
          <w:sz w:val="20"/>
          <w:szCs w:val="20"/>
        </w:rPr>
        <w:t xml:space="preserve"> </w:t>
      </w:r>
      <w:r w:rsidR="00BF5A1E">
        <w:rPr>
          <w:rStyle w:val="Refdecomentario"/>
          <w:rFonts w:ascii="Work Sans" w:hAnsi="Work Sans"/>
          <w:sz w:val="20"/>
          <w:szCs w:val="20"/>
        </w:rPr>
        <w:t>en las estaciones de peaje Andes y Fusca</w:t>
      </w:r>
      <w:r w:rsidR="00BF5A1E">
        <w:rPr>
          <w:rStyle w:val="Refdecomentario"/>
          <w:rFonts w:ascii="Work Sans" w:hAnsi="Work Sans"/>
          <w:sz w:val="20"/>
          <w:szCs w:val="20"/>
        </w:rPr>
        <w:t>,</w:t>
      </w:r>
      <w:r w:rsidR="00BF5A1E" w:rsidRPr="001B478F">
        <w:rPr>
          <w:rFonts w:ascii="Work Sans" w:hAnsi="Work Sans" w:cs="Times New Roman"/>
          <w:bCs/>
          <w:sz w:val="20"/>
          <w:szCs w:val="20"/>
          <w:lang w:val="es" w:eastAsia="es-ES"/>
        </w:rPr>
        <w:t xml:space="preserve"> </w:t>
      </w:r>
      <w:r w:rsidR="00BA496F" w:rsidRPr="001B478F">
        <w:rPr>
          <w:rFonts w:ascii="Work Sans" w:hAnsi="Work Sans" w:cs="Times New Roman"/>
          <w:bCs/>
          <w:sz w:val="20"/>
          <w:szCs w:val="20"/>
          <w:lang w:val="es" w:eastAsia="es-ES"/>
        </w:rPr>
        <w:t xml:space="preserve">aplica </w:t>
      </w:r>
      <w:r w:rsidR="00BF5A1E">
        <w:rPr>
          <w:rFonts w:ascii="Work Sans" w:hAnsi="Work Sans" w:cs="Times New Roman"/>
          <w:bCs/>
          <w:sz w:val="20"/>
          <w:szCs w:val="20"/>
          <w:lang w:val="es" w:eastAsia="es-ES"/>
        </w:rPr>
        <w:t>a</w:t>
      </w:r>
      <w:r w:rsidR="00BA496F" w:rsidRPr="001B478F">
        <w:rPr>
          <w:rFonts w:ascii="Work Sans" w:hAnsi="Work Sans" w:cs="Times New Roman"/>
          <w:bCs/>
          <w:sz w:val="20"/>
          <w:szCs w:val="20"/>
          <w:lang w:val="es" w:eastAsia="es-ES"/>
        </w:rPr>
        <w:t xml:space="preserve"> los vehículos</w:t>
      </w:r>
      <w:r w:rsidR="00BA496F" w:rsidRPr="001B478F">
        <w:rPr>
          <w:rFonts w:ascii="Work Sans" w:hAnsi="Work Sans" w:cs="Arial Narrow"/>
          <w:sz w:val="20"/>
          <w:szCs w:val="20"/>
          <w:lang w:eastAsia="es-ES"/>
        </w:rPr>
        <w:t xml:space="preserve"> de servicio público de transporte de pasajeros por carretera que estén vinculados a empresas de servicio público de transporte terrestre automotor de pasajeros</w:t>
      </w:r>
      <w:r w:rsidR="001D1F48">
        <w:rPr>
          <w:rFonts w:ascii="Work Sans" w:hAnsi="Work Sans" w:cs="Arial Narrow"/>
          <w:sz w:val="20"/>
          <w:szCs w:val="20"/>
          <w:lang w:eastAsia="es-ES"/>
        </w:rPr>
        <w:t xml:space="preserve"> por carretera</w:t>
      </w:r>
      <w:r w:rsidR="00BA496F" w:rsidRPr="001B478F">
        <w:rPr>
          <w:rFonts w:ascii="Work Sans" w:hAnsi="Work Sans" w:cs="Arial Narrow"/>
          <w:sz w:val="20"/>
          <w:szCs w:val="20"/>
          <w:lang w:eastAsia="es-ES"/>
        </w:rPr>
        <w:t xml:space="preserve">  habilitadas por  el Ministerio de Transporte </w:t>
      </w:r>
      <w:r w:rsidR="00BA496F" w:rsidRPr="001B478F">
        <w:rPr>
          <w:rFonts w:ascii="Work Sans" w:hAnsi="Work Sans"/>
          <w:iCs/>
          <w:sz w:val="20"/>
          <w:szCs w:val="20"/>
        </w:rPr>
        <w:t>que operen la</w:t>
      </w:r>
      <w:r w:rsidR="001B478F" w:rsidRPr="001B478F">
        <w:rPr>
          <w:rFonts w:ascii="Work Sans" w:hAnsi="Work Sans"/>
          <w:iCs/>
          <w:sz w:val="20"/>
          <w:szCs w:val="20"/>
        </w:rPr>
        <w:t>s</w:t>
      </w:r>
      <w:r w:rsidR="00BA496F" w:rsidRPr="001B478F">
        <w:rPr>
          <w:rFonts w:ascii="Work Sans" w:hAnsi="Work Sans"/>
          <w:iCs/>
          <w:sz w:val="20"/>
          <w:szCs w:val="20"/>
        </w:rPr>
        <w:t xml:space="preserve"> ruta</w:t>
      </w:r>
      <w:r w:rsidR="001B478F" w:rsidRPr="001B478F">
        <w:rPr>
          <w:rFonts w:ascii="Work Sans" w:hAnsi="Work Sans"/>
          <w:iCs/>
          <w:sz w:val="20"/>
          <w:szCs w:val="20"/>
        </w:rPr>
        <w:t xml:space="preserve">s </w:t>
      </w:r>
      <w:r w:rsidR="00BA496F" w:rsidRPr="001B478F">
        <w:rPr>
          <w:rFonts w:ascii="Work Sans" w:hAnsi="Work Sans"/>
          <w:iCs/>
          <w:sz w:val="20"/>
          <w:szCs w:val="20"/>
        </w:rPr>
        <w:t xml:space="preserve"> Bogotá  - Chía  y viceversa</w:t>
      </w:r>
      <w:r w:rsidR="001B478F" w:rsidRPr="001B478F">
        <w:rPr>
          <w:rFonts w:ascii="Work Sans" w:hAnsi="Work Sans"/>
          <w:iCs/>
          <w:sz w:val="20"/>
          <w:szCs w:val="20"/>
        </w:rPr>
        <w:t xml:space="preserve"> </w:t>
      </w:r>
      <w:r w:rsidR="001B478F" w:rsidRPr="001B478F">
        <w:rPr>
          <w:rFonts w:ascii="Work Sans" w:hAnsi="Work Sans"/>
          <w:bCs/>
          <w:spacing w:val="-3"/>
          <w:sz w:val="20"/>
          <w:szCs w:val="20"/>
          <w:lang w:val="es-ES_tradnl" w:eastAsia="es-MX"/>
        </w:rPr>
        <w:t>y Bogotá – Cajicá y viceversa,</w:t>
      </w:r>
      <w:r w:rsidR="00B74968">
        <w:rPr>
          <w:rFonts w:ascii="Work Sans" w:hAnsi="Work Sans"/>
          <w:bCs/>
          <w:spacing w:val="-3"/>
          <w:sz w:val="20"/>
          <w:szCs w:val="20"/>
          <w:lang w:val="es-ES_tradnl" w:eastAsia="es-MX"/>
        </w:rPr>
        <w:t xml:space="preserve"> en las estaciones de peaje de Andes y Fusca,</w:t>
      </w:r>
      <w:r w:rsidR="001B478F" w:rsidRPr="001B478F">
        <w:rPr>
          <w:rFonts w:ascii="Work Sans" w:hAnsi="Work Sans"/>
          <w:bCs/>
          <w:spacing w:val="-3"/>
          <w:sz w:val="20"/>
          <w:szCs w:val="20"/>
          <w:lang w:val="es-ES_tradnl" w:eastAsia="es-MX"/>
        </w:rPr>
        <w:t xml:space="preserve"> </w:t>
      </w:r>
      <w:r w:rsidR="001B478F">
        <w:rPr>
          <w:rFonts w:ascii="Work Sans" w:hAnsi="Work Sans"/>
          <w:bCs/>
          <w:spacing w:val="-3"/>
          <w:sz w:val="20"/>
          <w:szCs w:val="20"/>
          <w:lang w:val="es-ES_tradnl" w:eastAsia="es-MX"/>
        </w:rPr>
        <w:t>d</w:t>
      </w:r>
      <w:r w:rsidR="001B478F" w:rsidRPr="001B478F">
        <w:rPr>
          <w:rFonts w:ascii="Work Sans" w:hAnsi="Work Sans"/>
          <w:bCs/>
          <w:spacing w:val="-3"/>
          <w:sz w:val="20"/>
          <w:szCs w:val="20"/>
          <w:lang w:val="es-ES_tradnl" w:eastAsia="es-MX"/>
        </w:rPr>
        <w:t>icha tarifa diferencial, de acuerdo con el Estudio de Tránsito, corresponderá al cobro actual de la tarifa de peajes las cuales no incluirán los incrementos proyectados en los años 2023 y 2026.</w:t>
      </w:r>
      <w:r w:rsidR="001B478F" w:rsidRPr="001B478F">
        <w:rPr>
          <w:rFonts w:ascii="Work Sans" w:hAnsi="Work Sans"/>
          <w:sz w:val="20"/>
          <w:szCs w:val="20"/>
          <w:shd w:val="clear" w:color="auto" w:fill="FFFFFF"/>
        </w:rPr>
        <w:t xml:space="preserve"> </w:t>
      </w:r>
    </w:p>
    <w:p w:rsidR="00E5636E" w:rsidRDefault="00272F5F" w:rsidP="00E5636E">
      <w:pPr>
        <w:pStyle w:val="Textoindependiente"/>
        <w:spacing w:before="1"/>
        <w:ind w:right="49"/>
        <w:jc w:val="both"/>
      </w:pPr>
      <w:r>
        <w:rPr>
          <w:rFonts w:ascii="Work Sans" w:hAnsi="Work Sans"/>
          <w:b/>
          <w:bCs/>
        </w:rPr>
        <w:t>PARÁGRAFO 4</w:t>
      </w:r>
      <w:r w:rsidR="00E5636E">
        <w:rPr>
          <w:rFonts w:ascii="Work Sans" w:hAnsi="Work Sans"/>
          <w:b/>
          <w:bCs/>
        </w:rPr>
        <w:t>.-</w:t>
      </w:r>
      <w:r w:rsidR="00E5636E">
        <w:rPr>
          <w:rFonts w:ascii="Work Sans" w:hAnsi="Work Sans"/>
        </w:rPr>
        <w:t xml:space="preserve"> </w:t>
      </w:r>
      <w:r w:rsidR="00E30DBA">
        <w:rPr>
          <w:rFonts w:ascii="Work Sans" w:hAnsi="Work Sans"/>
        </w:rPr>
        <w:t>L</w:t>
      </w:r>
      <w:r w:rsidR="00E5636E">
        <w:rPr>
          <w:rFonts w:ascii="Work Sans" w:hAnsi="Work Sans"/>
          <w:lang w:val="es-CO" w:eastAsia="es-CO"/>
        </w:rPr>
        <w:t xml:space="preserve">as tarifas diferenciales </w:t>
      </w:r>
      <w:r w:rsidR="00DA483B">
        <w:rPr>
          <w:rFonts w:ascii="Work Sans" w:hAnsi="Work Sans"/>
          <w:lang w:val="es-CO" w:eastAsia="es-CO"/>
        </w:rPr>
        <w:t xml:space="preserve">establecidas en el </w:t>
      </w:r>
      <w:r w:rsidR="00E5636E">
        <w:rPr>
          <w:rFonts w:ascii="Work Sans" w:hAnsi="Work Sans"/>
          <w:lang w:val="es-CO" w:eastAsia="es-CO"/>
        </w:rPr>
        <w:t>presente acto administrativo no incluyen el valor correspondiente al Programa de Seguridad en Carreteras – FOSEVI.</w:t>
      </w:r>
    </w:p>
    <w:p w:rsidR="006F1AFA" w:rsidRDefault="006F1AFA" w:rsidP="006F1AFA">
      <w:pPr>
        <w:jc w:val="both"/>
        <w:rPr>
          <w:rFonts w:ascii="Work Sans" w:hAnsi="Work Sans" w:cs="Work Sans"/>
          <w:sz w:val="20"/>
          <w:szCs w:val="20"/>
        </w:rPr>
      </w:pPr>
    </w:p>
    <w:p w:rsidR="002A1DCA" w:rsidRPr="00404772" w:rsidRDefault="006F1AFA" w:rsidP="002A1DCA">
      <w:pPr>
        <w:jc w:val="both"/>
        <w:rPr>
          <w:rFonts w:ascii="Work Sans" w:hAnsi="Work Sans" w:cs="Arial Narrow"/>
          <w:sz w:val="20"/>
          <w:szCs w:val="20"/>
          <w:lang w:val="es" w:eastAsia="es-ES"/>
        </w:rPr>
      </w:pPr>
      <w:r>
        <w:rPr>
          <w:rFonts w:ascii="Work Sans" w:hAnsi="Work Sans" w:cs="Arial Narrow"/>
          <w:b/>
          <w:bCs/>
          <w:sz w:val="20"/>
          <w:szCs w:val="20"/>
          <w:lang w:val="es-CO" w:eastAsia="es-ES"/>
        </w:rPr>
        <w:t>ARTÍCULO</w:t>
      </w:r>
      <w:r w:rsidR="00E40D6C">
        <w:rPr>
          <w:rFonts w:ascii="Work Sans" w:hAnsi="Work Sans" w:cs="Arial Narrow"/>
          <w:b/>
          <w:bCs/>
          <w:sz w:val="20"/>
          <w:szCs w:val="20"/>
          <w:lang w:val="es-CO" w:eastAsia="es-ES"/>
        </w:rPr>
        <w:t xml:space="preserve"> 4.-</w:t>
      </w:r>
      <w:r w:rsidR="002A1DCA" w:rsidRPr="00404772">
        <w:rPr>
          <w:rFonts w:ascii="Work Sans" w:hAnsi="Work Sans" w:cs="Arial Narrow"/>
          <w:b/>
          <w:bCs/>
          <w:sz w:val="20"/>
          <w:szCs w:val="20"/>
          <w:lang w:val="es-CO" w:eastAsia="es-ES"/>
        </w:rPr>
        <w:t xml:space="preserve"> </w:t>
      </w:r>
      <w:r w:rsidR="002A1DCA" w:rsidRPr="00404772">
        <w:rPr>
          <w:rFonts w:ascii="Work Sans" w:hAnsi="Work Sans" w:cs="Arial Narrow"/>
          <w:sz w:val="20"/>
          <w:szCs w:val="20"/>
          <w:lang w:val="es-CO" w:eastAsia="es-ES"/>
        </w:rPr>
        <w:t>La fijación de los requisitos para acreditar la calidad de beneficiario, el procedimiento para acceder al beneficio, los mecanismos de otorgamiento, reemplazo y control, y las causales de pérdida del beneficio de las tarifas diferenciales previstas en esta resolución corresponderá a la Agencia Nacional de Infraestructura.</w:t>
      </w:r>
    </w:p>
    <w:p w:rsidR="002A1DCA" w:rsidRPr="00404772" w:rsidRDefault="002A1DCA" w:rsidP="002A1DCA">
      <w:pPr>
        <w:jc w:val="both"/>
        <w:rPr>
          <w:rFonts w:ascii="Work Sans" w:hAnsi="Work Sans" w:cs="Arial Narrow"/>
          <w:b/>
          <w:bCs/>
          <w:sz w:val="20"/>
          <w:szCs w:val="20"/>
          <w:lang w:val="es" w:eastAsia="es-ES"/>
        </w:rPr>
      </w:pPr>
    </w:p>
    <w:p w:rsidR="002A1DCA" w:rsidRPr="00404772" w:rsidRDefault="006F1AFA" w:rsidP="002A1DCA">
      <w:pPr>
        <w:tabs>
          <w:tab w:val="left" w:pos="0"/>
        </w:tabs>
        <w:jc w:val="both"/>
      </w:pPr>
      <w:r>
        <w:rPr>
          <w:rStyle w:val="Ttulo3Car"/>
          <w:rFonts w:ascii="Work Sans" w:hAnsi="Work Sans" w:cs="Mangal"/>
          <w:bCs/>
          <w:sz w:val="20"/>
          <w:szCs w:val="20"/>
        </w:rPr>
        <w:t xml:space="preserve">ARTÍCULO </w:t>
      </w:r>
      <w:r w:rsidR="00E30DBA">
        <w:rPr>
          <w:rStyle w:val="Ttulo3Car"/>
          <w:rFonts w:ascii="Work Sans" w:hAnsi="Work Sans" w:cs="Mangal"/>
          <w:bCs/>
          <w:sz w:val="20"/>
          <w:szCs w:val="20"/>
        </w:rPr>
        <w:t>5</w:t>
      </w:r>
      <w:r w:rsidR="00E40D6C">
        <w:rPr>
          <w:rFonts w:ascii="Work Sans" w:hAnsi="Work Sans" w:cs="Times New Roman"/>
          <w:b/>
          <w:sz w:val="20"/>
          <w:szCs w:val="20"/>
        </w:rPr>
        <w:t>.-</w:t>
      </w:r>
      <w:r w:rsidR="002A1DCA" w:rsidRPr="00404772">
        <w:rPr>
          <w:rFonts w:ascii="Work Sans" w:hAnsi="Work Sans" w:cs="Times New Roman"/>
          <w:b/>
          <w:sz w:val="20"/>
          <w:szCs w:val="20"/>
        </w:rPr>
        <w:t xml:space="preserve"> </w:t>
      </w:r>
      <w:r w:rsidR="002A1DCA" w:rsidRPr="00404772">
        <w:rPr>
          <w:rFonts w:ascii="Work Sans" w:hAnsi="Work Sans" w:cs="Times New Roman"/>
          <w:sz w:val="20"/>
          <w:szCs w:val="20"/>
          <w:lang w:val="es" w:eastAsia="es-ES"/>
        </w:rPr>
        <w:t>La presente Resolución rige a partir de la fecha de su publicación.</w:t>
      </w:r>
    </w:p>
    <w:p w:rsidR="002A1DCA" w:rsidRPr="00404772" w:rsidRDefault="002A1DCA" w:rsidP="002A1DCA">
      <w:pPr>
        <w:jc w:val="both"/>
        <w:rPr>
          <w:rFonts w:ascii="Work Sans" w:hAnsi="Work Sans" w:cs="Times New Roman"/>
          <w:b/>
          <w:sz w:val="20"/>
          <w:szCs w:val="20"/>
          <w:lang w:eastAsia="es-ES"/>
        </w:rPr>
      </w:pPr>
    </w:p>
    <w:p w:rsidR="00165C4A" w:rsidRPr="002A1DCA" w:rsidRDefault="00165C4A" w:rsidP="002A1DCA">
      <w:pPr>
        <w:jc w:val="both"/>
        <w:rPr>
          <w:rFonts w:ascii="Work Sans" w:hAnsi="Work Sans" w:cs="Times New Roman"/>
          <w:b/>
          <w:sz w:val="20"/>
          <w:szCs w:val="20"/>
          <w:lang w:eastAsia="es-ES"/>
        </w:rPr>
      </w:pPr>
    </w:p>
    <w:p w:rsidR="00EB2498" w:rsidRDefault="001F4036">
      <w:pPr>
        <w:pStyle w:val="Standard"/>
        <w:autoSpaceDE w:val="0"/>
        <w:jc w:val="center"/>
      </w:pPr>
      <w:r>
        <w:rPr>
          <w:rFonts w:ascii="Work Sans" w:hAnsi="Work Sans" w:cs="Times New Roman"/>
          <w:b/>
          <w:bCs/>
          <w:sz w:val="20"/>
        </w:rPr>
        <w:t>PUBLÍQUESE Y CÚMPLASE,</w:t>
      </w:r>
    </w:p>
    <w:p w:rsidR="00EB2498" w:rsidRDefault="00EB2498">
      <w:pPr>
        <w:pStyle w:val="Standard"/>
        <w:autoSpaceDE w:val="0"/>
        <w:jc w:val="center"/>
        <w:rPr>
          <w:rFonts w:ascii="Work Sans" w:hAnsi="Work Sans" w:cs="Times New Roman"/>
          <w:sz w:val="20"/>
        </w:rPr>
      </w:pPr>
    </w:p>
    <w:p w:rsidR="00EB2498" w:rsidRDefault="00EB2498">
      <w:pPr>
        <w:tabs>
          <w:tab w:val="left" w:pos="0"/>
        </w:tabs>
        <w:jc w:val="both"/>
        <w:rPr>
          <w:rFonts w:ascii="Work Sans" w:hAnsi="Work Sans" w:cs="Times New Roman"/>
          <w:sz w:val="20"/>
          <w:szCs w:val="20"/>
          <w:lang w:val="es" w:eastAsia="es-ES"/>
        </w:rPr>
      </w:pPr>
    </w:p>
    <w:p w:rsidR="00E30DBA" w:rsidRDefault="00E30DBA">
      <w:pPr>
        <w:tabs>
          <w:tab w:val="left" w:pos="0"/>
        </w:tabs>
        <w:jc w:val="both"/>
        <w:rPr>
          <w:rFonts w:ascii="Work Sans" w:hAnsi="Work Sans" w:cs="Times New Roman"/>
          <w:sz w:val="20"/>
          <w:szCs w:val="20"/>
          <w:lang w:val="es" w:eastAsia="es-ES"/>
        </w:rPr>
      </w:pPr>
    </w:p>
    <w:p w:rsidR="00EB2498" w:rsidRDefault="00EB2498">
      <w:pPr>
        <w:tabs>
          <w:tab w:val="left" w:pos="0"/>
        </w:tabs>
        <w:jc w:val="center"/>
        <w:rPr>
          <w:rFonts w:ascii="Work Sans" w:hAnsi="Work Sans" w:cs="Times New Roman"/>
          <w:sz w:val="20"/>
          <w:szCs w:val="20"/>
          <w:lang w:val="es" w:eastAsia="es-ES"/>
        </w:rPr>
      </w:pPr>
    </w:p>
    <w:p w:rsidR="00EB2498" w:rsidRDefault="001F4036">
      <w:pPr>
        <w:widowControl/>
        <w:autoSpaceDE w:val="0"/>
        <w:ind w:left="-142" w:right="-86"/>
        <w:jc w:val="center"/>
        <w:rPr>
          <w:rFonts w:ascii="Work Sans" w:hAnsi="Work Sans" w:cs="Arial"/>
          <w:sz w:val="20"/>
          <w:szCs w:val="20"/>
          <w:lang w:val="es-CO" w:bidi="ar-SA"/>
        </w:rPr>
      </w:pPr>
      <w:r>
        <w:rPr>
          <w:rFonts w:ascii="Work Sans" w:hAnsi="Work Sans" w:cs="Arial"/>
          <w:sz w:val="20"/>
          <w:szCs w:val="20"/>
          <w:lang w:val="es-CO" w:bidi="ar-SA"/>
        </w:rPr>
        <w:t>${firma}</w:t>
      </w:r>
    </w:p>
    <w:p w:rsidR="00EB2498" w:rsidRDefault="00EB2498">
      <w:pPr>
        <w:tabs>
          <w:tab w:val="left" w:pos="0"/>
        </w:tabs>
        <w:jc w:val="center"/>
        <w:rPr>
          <w:rFonts w:ascii="Work Sans" w:hAnsi="Work Sans" w:cs="Times New Roman"/>
          <w:sz w:val="20"/>
          <w:szCs w:val="20"/>
          <w:lang w:val="es" w:eastAsia="es-ES"/>
        </w:rPr>
      </w:pPr>
    </w:p>
    <w:p w:rsidR="00EB2498" w:rsidRDefault="00EB2498">
      <w:pPr>
        <w:tabs>
          <w:tab w:val="left" w:pos="0"/>
        </w:tabs>
        <w:jc w:val="center"/>
        <w:rPr>
          <w:rFonts w:ascii="Work Sans" w:hAnsi="Work Sans" w:cs="Times New Roman"/>
          <w:sz w:val="20"/>
          <w:lang w:val="es" w:eastAsia="es-ES"/>
        </w:rPr>
      </w:pPr>
    </w:p>
    <w:p w:rsidR="00EB2498" w:rsidRDefault="00EB2498">
      <w:pPr>
        <w:tabs>
          <w:tab w:val="left" w:pos="0"/>
        </w:tabs>
        <w:jc w:val="both"/>
        <w:rPr>
          <w:rFonts w:ascii="Work Sans" w:hAnsi="Work Sans" w:cs="Times New Roman"/>
          <w:sz w:val="20"/>
          <w:szCs w:val="20"/>
          <w:lang w:val="es" w:eastAsia="es-ES"/>
        </w:rPr>
      </w:pPr>
    </w:p>
    <w:p w:rsidR="00EB2498" w:rsidRDefault="001F4036">
      <w:pPr>
        <w:tabs>
          <w:tab w:val="left" w:pos="0"/>
        </w:tabs>
        <w:jc w:val="center"/>
        <w:rPr>
          <w:rFonts w:ascii="Work Sans" w:hAnsi="Work Sans" w:cs="Times New Roman"/>
          <w:b/>
          <w:sz w:val="20"/>
          <w:szCs w:val="20"/>
          <w:lang w:val="es" w:eastAsia="es-ES"/>
        </w:rPr>
      </w:pPr>
      <w:r>
        <w:rPr>
          <w:rFonts w:ascii="Work Sans" w:hAnsi="Work Sans" w:cs="Times New Roman"/>
          <w:b/>
          <w:sz w:val="20"/>
          <w:szCs w:val="20"/>
          <w:lang w:val="es" w:eastAsia="es-ES"/>
        </w:rPr>
        <w:t>ÁNGELA MARÍA OROZCO GÓMEZ</w:t>
      </w:r>
    </w:p>
    <w:p w:rsidR="00EB2498" w:rsidRDefault="001F4036">
      <w:pPr>
        <w:tabs>
          <w:tab w:val="left" w:pos="-720"/>
        </w:tabs>
        <w:jc w:val="both"/>
        <w:rPr>
          <w:rFonts w:ascii="Work Sans" w:hAnsi="Work Sans" w:cs="Times New Roman"/>
          <w:spacing w:val="-3"/>
          <w:sz w:val="20"/>
          <w:szCs w:val="20"/>
          <w:lang w:eastAsia="es-ES"/>
        </w:rPr>
      </w:pPr>
      <w:r>
        <w:rPr>
          <w:rFonts w:ascii="Work Sans" w:hAnsi="Work Sans" w:cs="Times New Roman"/>
          <w:spacing w:val="-3"/>
          <w:sz w:val="20"/>
          <w:szCs w:val="20"/>
          <w:lang w:eastAsia="es-ES"/>
        </w:rPr>
        <w:tab/>
      </w:r>
    </w:p>
    <w:p w:rsidR="00EB2498" w:rsidRDefault="00EB2498">
      <w:pPr>
        <w:tabs>
          <w:tab w:val="left" w:pos="-720"/>
        </w:tabs>
        <w:jc w:val="both"/>
        <w:rPr>
          <w:rFonts w:ascii="Work Sans" w:hAnsi="Work Sans" w:cs="Times New Roman"/>
          <w:spacing w:val="-3"/>
          <w:sz w:val="20"/>
          <w:szCs w:val="20"/>
          <w:lang w:eastAsia="es-ES"/>
        </w:rPr>
      </w:pPr>
    </w:p>
    <w:p w:rsidR="00E30DBA" w:rsidRDefault="00E30DBA">
      <w:pPr>
        <w:tabs>
          <w:tab w:val="left" w:pos="-720"/>
        </w:tabs>
        <w:jc w:val="both"/>
        <w:rPr>
          <w:rFonts w:ascii="Work Sans" w:hAnsi="Work Sans" w:cs="Times New Roman"/>
          <w:spacing w:val="-3"/>
          <w:sz w:val="20"/>
          <w:szCs w:val="20"/>
          <w:lang w:eastAsia="es-ES"/>
        </w:rPr>
      </w:pPr>
    </w:p>
    <w:p w:rsidR="00EB2498" w:rsidRPr="00E6099A" w:rsidRDefault="00B74968">
      <w:pPr>
        <w:tabs>
          <w:tab w:val="left" w:pos="1755"/>
        </w:tabs>
        <w:jc w:val="both"/>
        <w:rPr>
          <w:rFonts w:ascii="Work Sans" w:hAnsi="Work Sans" w:cs="Arial"/>
          <w:sz w:val="16"/>
          <w:szCs w:val="16"/>
          <w:lang w:eastAsia="es-CO"/>
        </w:rPr>
      </w:pPr>
      <w:r w:rsidRPr="00B74968">
        <w:rPr>
          <w:rFonts w:ascii="Work Sans" w:hAnsi="Work Sans" w:cs="Arial"/>
          <w:sz w:val="16"/>
          <w:szCs w:val="16"/>
          <w:lang w:val="es-CO" w:bidi="ar-SA"/>
        </w:rPr>
        <w:t>Beatriz</w:t>
      </w:r>
      <w:r w:rsidR="00E6099A" w:rsidRPr="00B74968">
        <w:rPr>
          <w:rFonts w:ascii="Work Sans" w:hAnsi="Work Sans" w:cs="Arial"/>
          <w:sz w:val="16"/>
          <w:szCs w:val="16"/>
          <w:lang w:val="es-CO" w:bidi="ar-SA"/>
        </w:rPr>
        <w:t xml:space="preserve"> Helena García Guzmán</w:t>
      </w:r>
      <w:r w:rsidR="00E6099A" w:rsidRPr="00E6099A">
        <w:rPr>
          <w:rFonts w:ascii="Work Sans" w:hAnsi="Work Sans" w:cs="Arial"/>
          <w:sz w:val="16"/>
          <w:szCs w:val="16"/>
          <w:lang w:eastAsia="es-CO"/>
        </w:rPr>
        <w:t xml:space="preserve"> </w:t>
      </w:r>
      <w:r w:rsidR="001F4036" w:rsidRPr="00E6099A">
        <w:rPr>
          <w:rFonts w:ascii="Work Sans" w:hAnsi="Work Sans" w:cs="Arial"/>
          <w:sz w:val="16"/>
          <w:szCs w:val="16"/>
          <w:lang w:eastAsia="es-CO"/>
        </w:rPr>
        <w:t>-Jefe</w:t>
      </w:r>
      <w:r w:rsidR="00E6099A" w:rsidRPr="00E6099A">
        <w:rPr>
          <w:rFonts w:ascii="Work Sans" w:hAnsi="Work Sans" w:cs="Arial"/>
          <w:sz w:val="16"/>
          <w:szCs w:val="16"/>
          <w:lang w:eastAsia="es-CO"/>
        </w:rPr>
        <w:t xml:space="preserve"> Oficina Asesora de Jurídica</w:t>
      </w:r>
      <w:r w:rsidR="001F4036" w:rsidRPr="00E6099A">
        <w:rPr>
          <w:rFonts w:ascii="Work Sans" w:hAnsi="Work Sans" w:cs="Arial"/>
          <w:sz w:val="16"/>
          <w:szCs w:val="16"/>
          <w:lang w:eastAsia="es-CO"/>
        </w:rPr>
        <w:t xml:space="preserve"> - Ministerio de Transporte </w:t>
      </w:r>
    </w:p>
    <w:p w:rsidR="00E6099A" w:rsidRDefault="00E6099A">
      <w:pPr>
        <w:jc w:val="both"/>
        <w:rPr>
          <w:rFonts w:ascii="Work Sans" w:hAnsi="Work Sans" w:cs="Arial"/>
          <w:sz w:val="16"/>
          <w:szCs w:val="16"/>
          <w:lang w:eastAsia="es-CO"/>
        </w:rPr>
      </w:pPr>
      <w:r>
        <w:rPr>
          <w:rFonts w:ascii="Work Sans" w:hAnsi="Work Sans" w:cs="Arial"/>
          <w:sz w:val="16"/>
          <w:szCs w:val="16"/>
          <w:lang w:eastAsia="es-CO"/>
        </w:rPr>
        <w:t>Sol Ángel Cala Acosta – Asesora Despacho de la Ministra de Transporte</w:t>
      </w:r>
    </w:p>
    <w:p w:rsidR="00EB2498" w:rsidRPr="00E6099A" w:rsidRDefault="001F4036">
      <w:pPr>
        <w:jc w:val="both"/>
        <w:rPr>
          <w:rFonts w:ascii="Work Sans" w:hAnsi="Work Sans" w:cs="Arial"/>
          <w:sz w:val="16"/>
          <w:szCs w:val="16"/>
          <w:lang w:eastAsia="es-CO"/>
        </w:rPr>
      </w:pPr>
      <w:r w:rsidRPr="00E6099A">
        <w:rPr>
          <w:rFonts w:ascii="Work Sans" w:hAnsi="Work Sans" w:cs="Arial"/>
          <w:sz w:val="16"/>
          <w:szCs w:val="16"/>
          <w:lang w:eastAsia="es-CO"/>
        </w:rPr>
        <w:t xml:space="preserve">Manuel Felipe Gutiérrez Torres – Presidente Agencia Nacional de Infraestructura </w:t>
      </w:r>
    </w:p>
    <w:p w:rsidR="00EB2498" w:rsidRPr="00E6099A" w:rsidRDefault="001F4036">
      <w:pPr>
        <w:jc w:val="both"/>
        <w:rPr>
          <w:rFonts w:ascii="Work Sans" w:hAnsi="Work Sans" w:cs="Arial"/>
          <w:sz w:val="16"/>
          <w:szCs w:val="16"/>
          <w:lang w:eastAsia="es-CO"/>
        </w:rPr>
      </w:pPr>
      <w:r w:rsidRPr="00E6099A">
        <w:rPr>
          <w:rFonts w:ascii="Work Sans" w:hAnsi="Work Sans" w:cs="Arial"/>
          <w:sz w:val="16"/>
          <w:szCs w:val="16"/>
          <w:lang w:eastAsia="es-CO"/>
        </w:rPr>
        <w:t xml:space="preserve">Fernando Ramírez Laguado- Vicepresidente Jurídico, Agencia Nacional de Infraestructura </w:t>
      </w:r>
    </w:p>
    <w:p w:rsidR="00EB2498" w:rsidRPr="00E6099A" w:rsidRDefault="001F4036">
      <w:pPr>
        <w:rPr>
          <w:rFonts w:ascii="Work Sans" w:hAnsi="Work Sans" w:cs="Arial"/>
          <w:sz w:val="16"/>
          <w:szCs w:val="16"/>
          <w:lang w:eastAsia="es-CO"/>
        </w:rPr>
      </w:pPr>
      <w:r w:rsidRPr="00E6099A">
        <w:rPr>
          <w:rFonts w:ascii="Work Sans" w:hAnsi="Work Sans" w:cs="Arial"/>
          <w:sz w:val="16"/>
          <w:szCs w:val="16"/>
          <w:lang w:eastAsia="es-CO"/>
        </w:rPr>
        <w:t xml:space="preserve">Claudia Patricia Roa Orjuela – Asesora Oficina Asesora de Jurídica - Ministerio de Transporte </w:t>
      </w:r>
    </w:p>
    <w:p w:rsidR="00EB2498" w:rsidRPr="00E6099A" w:rsidRDefault="001F4036">
      <w:pPr>
        <w:rPr>
          <w:rFonts w:ascii="Work Sans" w:hAnsi="Work Sans" w:cs="Arial"/>
          <w:sz w:val="16"/>
          <w:szCs w:val="16"/>
          <w:lang w:eastAsia="es-CO"/>
        </w:rPr>
      </w:pPr>
      <w:r w:rsidRPr="00E6099A">
        <w:rPr>
          <w:rFonts w:ascii="Work Sans" w:hAnsi="Work Sans" w:cs="Arial"/>
          <w:sz w:val="16"/>
          <w:szCs w:val="16"/>
          <w:lang w:eastAsia="es-CO"/>
        </w:rPr>
        <w:t>Magda Paola Suarez Alejo – Abogada Oficina Asesora de Jurídica - Ministerio de Transporte</w:t>
      </w:r>
      <w:bookmarkStart w:id="2" w:name="_GoBack"/>
      <w:bookmarkEnd w:id="2"/>
    </w:p>
    <w:sectPr w:rsidR="00EB2498" w:rsidRPr="00E6099A">
      <w:headerReference w:type="default" r:id="rId9"/>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39" w:rsidRDefault="00604839">
      <w:r>
        <w:separator/>
      </w:r>
    </w:p>
  </w:endnote>
  <w:endnote w:type="continuationSeparator" w:id="0">
    <w:p w:rsidR="00604839" w:rsidRDefault="0060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angal">
    <w:altName w:val="Cambria Math"/>
    <w:panose1 w:val="00000400000000000000"/>
    <w:charset w:val="01"/>
    <w:family w:val="roman"/>
    <w:notTrueType/>
    <w:pitch w:val="variable"/>
    <w:sig w:usb0="00002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Work Sans">
    <w:altName w:val="Calibri"/>
    <w:panose1 w:val="00000500000000000000"/>
    <w:charset w:val="00"/>
    <w:family w:val="auto"/>
    <w:pitch w:val="variable"/>
    <w:sig w:usb0="00000007" w:usb1="00000001" w:usb2="00000000" w:usb3="00000000" w:csb0="00000093" w:csb1="00000000"/>
  </w:font>
  <w:font w:name="Arial Unicode MS">
    <w:panose1 w:val="020B0604020202020204"/>
    <w:charset w:val="00"/>
    <w:family w:val="roman"/>
    <w:notTrueType/>
    <w:pitch w:val="variable"/>
    <w:sig w:usb0="00000003" w:usb1="08070000" w:usb2="00000010" w:usb3="00000000" w:csb0="00020001" w:csb1="00000000"/>
  </w:font>
  <w:font w:name="LiberationSansNarrow-Italic">
    <w:panose1 w:val="00000000000000000000"/>
    <w:charset w:val="00"/>
    <w:family w:val="auto"/>
    <w:notTrueType/>
    <w:pitch w:val="default"/>
    <w:sig w:usb0="00000003" w:usb1="00000000" w:usb2="00000000" w:usb3="00000000" w:csb0="00000001" w:csb1="00000000"/>
  </w:font>
  <w:font w:name="LiberationSansNarrow">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de3of9">
    <w:altName w:val="Calibr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39" w:rsidRDefault="00604839">
      <w:r>
        <w:rPr>
          <w:color w:val="000000"/>
        </w:rPr>
        <w:separator/>
      </w:r>
    </w:p>
  </w:footnote>
  <w:footnote w:type="continuationSeparator" w:id="0">
    <w:p w:rsidR="00604839" w:rsidRDefault="00604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90" w:rsidRDefault="00D20DEF">
    <w:r w:rsidRPr="00D20DEF">
      <w:rPr>
        <w:noProof/>
        <w:lang w:val="es-CO" w:eastAsia="es-CO" w:bidi="ar-SA"/>
      </w:rPr>
      <w:drawing>
        <wp:inline distT="0" distB="0" distL="0" distR="0">
          <wp:extent cx="2124075" cy="32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323850"/>
                  </a:xfrm>
                  <a:prstGeom prst="rect">
                    <a:avLst/>
                  </a:prstGeom>
                  <a:noFill/>
                  <a:ln>
                    <a:noFill/>
                  </a:ln>
                </pic:spPr>
              </pic:pic>
            </a:graphicData>
          </a:graphic>
        </wp:inline>
      </w:drawing>
    </w:r>
  </w:p>
  <w:p w:rsidR="00045790" w:rsidRDefault="00045790">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045790" w:rsidRDefault="00045790">
    <w:pPr>
      <w:pStyle w:val="Encabezado"/>
      <w:jc w:val="center"/>
    </w:pPr>
    <w:r>
      <w:rPr>
        <w:rFonts w:ascii="Work Sans" w:hAnsi="Work Sans"/>
        <w:sz w:val="20"/>
      </w:rPr>
      <w:t xml:space="preserve">de </w:t>
    </w:r>
    <w:r>
      <w:rPr>
        <w:rFonts w:ascii="Work Sans" w:hAnsi="Work Sans" w:cs="Arial"/>
        <w:sz w:val="20"/>
        <w:lang w:val="es-CO"/>
      </w:rPr>
      <w:t>*F_RAD_S*</w:t>
    </w:r>
  </w:p>
  <w:p w:rsidR="00045790" w:rsidRDefault="00045790">
    <w:pPr>
      <w:pStyle w:val="Encabezado"/>
      <w:jc w:val="center"/>
      <w:rPr>
        <w:rFonts w:ascii="Code3of9" w:hAnsi="Code3of9" w:cs="Tahoma"/>
        <w:sz w:val="36"/>
        <w:szCs w:val="40"/>
      </w:rPr>
    </w:pPr>
    <w:r>
      <w:rPr>
        <w:rFonts w:ascii="Code3of9" w:hAnsi="Code3of9" w:cs="Tahoma"/>
        <w:sz w:val="36"/>
        <w:szCs w:val="40"/>
      </w:rPr>
      <w:t>**RAD_S**</w:t>
    </w:r>
  </w:p>
  <w:p w:rsidR="00045790" w:rsidRDefault="00045790">
    <w:pPr>
      <w:pStyle w:val="Encabezado"/>
      <w:jc w:val="center"/>
      <w:rPr>
        <w:rFonts w:ascii="Code3of9" w:hAnsi="Code3of9" w:cs="Tahoma"/>
        <w:sz w:val="36"/>
        <w:szCs w:val="40"/>
      </w:rPr>
    </w:pPr>
  </w:p>
  <w:p w:rsidR="00CA7813" w:rsidRPr="00D90B44" w:rsidRDefault="00CA7813" w:rsidP="00CA7813">
    <w:pPr>
      <w:autoSpaceDE w:val="0"/>
      <w:jc w:val="center"/>
      <w:rPr>
        <w:i/>
      </w:rPr>
    </w:pPr>
    <w:r w:rsidRPr="00D90B44">
      <w:rPr>
        <w:rFonts w:ascii="Work Sans" w:hAnsi="Work Sans" w:cs="Times New Roman"/>
        <w:i/>
        <w:iCs/>
        <w:color w:val="000000"/>
        <w:sz w:val="20"/>
        <w:szCs w:val="20"/>
        <w:lang w:eastAsia="es-ES"/>
      </w:rPr>
      <w:t xml:space="preserve">“Por la cual se establece un incremento en las tarifas </w:t>
    </w:r>
    <w:r>
      <w:rPr>
        <w:rFonts w:ascii="Work Sans" w:hAnsi="Work Sans" w:cs="Times New Roman"/>
        <w:i/>
        <w:iCs/>
        <w:color w:val="000000"/>
        <w:sz w:val="20"/>
        <w:szCs w:val="20"/>
        <w:lang w:eastAsia="es-ES"/>
      </w:rPr>
      <w:t xml:space="preserve">de </w:t>
    </w:r>
    <w:r w:rsidRPr="00D90B44">
      <w:rPr>
        <w:rFonts w:ascii="Work Sans" w:hAnsi="Work Sans" w:cs="Times New Roman"/>
        <w:i/>
        <w:iCs/>
        <w:color w:val="000000"/>
        <w:sz w:val="20"/>
        <w:szCs w:val="20"/>
        <w:lang w:eastAsia="es-ES"/>
      </w:rPr>
      <w:t xml:space="preserve">las estaciones de peaje </w:t>
    </w:r>
    <w:r>
      <w:rPr>
        <w:rFonts w:ascii="Work Sans" w:hAnsi="Work Sans" w:cs="Times New Roman"/>
        <w:i/>
        <w:iCs/>
        <w:color w:val="000000"/>
        <w:sz w:val="20"/>
        <w:szCs w:val="20"/>
        <w:lang w:eastAsia="es-ES"/>
      </w:rPr>
      <w:t xml:space="preserve">denominadas “Andes” “Fusca” </w:t>
    </w:r>
    <w:r w:rsidRPr="00D90B44">
      <w:rPr>
        <w:rFonts w:ascii="Work Sans" w:hAnsi="Work Sans" w:cs="Times New Roman"/>
        <w:i/>
        <w:iCs/>
        <w:color w:val="000000"/>
        <w:sz w:val="20"/>
        <w:szCs w:val="20"/>
        <w:lang w:eastAsia="es-ES"/>
      </w:rPr>
      <w:t xml:space="preserve">y </w:t>
    </w:r>
    <w:r w:rsidR="0087450A">
      <w:rPr>
        <w:rFonts w:ascii="Work Sans" w:hAnsi="Work Sans" w:cs="Times New Roman"/>
        <w:i/>
        <w:iCs/>
        <w:color w:val="000000"/>
        <w:sz w:val="20"/>
        <w:szCs w:val="20"/>
        <w:lang w:eastAsia="es-ES"/>
      </w:rPr>
      <w:t xml:space="preserve">en la </w:t>
    </w:r>
    <w:r w:rsidRPr="00D90B44">
      <w:rPr>
        <w:rFonts w:ascii="Work Sans" w:hAnsi="Work Sans" w:cs="Times New Roman"/>
        <w:i/>
        <w:iCs/>
        <w:color w:val="000000"/>
        <w:sz w:val="20"/>
        <w:szCs w:val="20"/>
        <w:lang w:eastAsia="es-ES"/>
      </w:rPr>
      <w:t xml:space="preserve">estación de </w:t>
    </w:r>
    <w:r w:rsidRPr="00D90B44">
      <w:rPr>
        <w:rFonts w:ascii="Work Sans" w:hAnsi="Work Sans"/>
        <w:bCs/>
        <w:i/>
        <w:iCs/>
        <w:sz w:val="20"/>
        <w:szCs w:val="20"/>
        <w:lang w:val="es"/>
      </w:rPr>
      <w:t>peaje ubicada en el acceso al puente curvo teletón</w:t>
    </w:r>
    <w:r w:rsidR="0087450A">
      <w:rPr>
        <w:rFonts w:ascii="Work Sans" w:hAnsi="Work Sans" w:cs="Times New Roman"/>
        <w:i/>
        <w:iCs/>
        <w:color w:val="000000"/>
        <w:sz w:val="20"/>
        <w:szCs w:val="20"/>
        <w:lang w:val="es" w:eastAsia="es-ES"/>
      </w:rPr>
      <w:t>,</w:t>
    </w:r>
    <w:r w:rsidRPr="00D90B44">
      <w:rPr>
        <w:rFonts w:ascii="Work Sans" w:hAnsi="Work Sans" w:cs="Times New Roman"/>
        <w:i/>
        <w:iCs/>
        <w:color w:val="000000"/>
        <w:sz w:val="20"/>
        <w:szCs w:val="20"/>
        <w:lang w:eastAsia="es-ES"/>
      </w:rPr>
      <w:t xml:space="preserve"> </w:t>
    </w:r>
    <w:r>
      <w:rPr>
        <w:rFonts w:ascii="Work Sans" w:hAnsi="Work Sans" w:cs="Times New Roman"/>
        <w:i/>
        <w:iCs/>
        <w:color w:val="000000"/>
        <w:sz w:val="20"/>
        <w:szCs w:val="20"/>
        <w:lang w:eastAsia="es-ES"/>
      </w:rPr>
      <w:t>en</w:t>
    </w:r>
    <w:r w:rsidRPr="00D90B44">
      <w:rPr>
        <w:rFonts w:ascii="Work Sans" w:hAnsi="Work Sans" w:cs="Times New Roman"/>
        <w:i/>
        <w:iCs/>
        <w:color w:val="000000"/>
        <w:sz w:val="20"/>
        <w:szCs w:val="20"/>
        <w:lang w:eastAsia="es-ES"/>
      </w:rPr>
      <w:t xml:space="preserve"> los años 2023 y 2026</w:t>
    </w:r>
    <w:r>
      <w:rPr>
        <w:rFonts w:ascii="Work Sans" w:hAnsi="Work Sans" w:cs="Times New Roman"/>
        <w:i/>
        <w:iCs/>
        <w:color w:val="000000"/>
        <w:sz w:val="20"/>
        <w:szCs w:val="20"/>
        <w:lang w:eastAsia="es-ES"/>
      </w:rPr>
      <w:t xml:space="preserve">, se establece la </w:t>
    </w:r>
    <w:r w:rsidRPr="00D90B44">
      <w:rPr>
        <w:rFonts w:ascii="Work Sans" w:hAnsi="Work Sans" w:cs="Times New Roman"/>
        <w:i/>
        <w:iCs/>
        <w:color w:val="000000"/>
        <w:sz w:val="20"/>
        <w:szCs w:val="20"/>
        <w:lang w:eastAsia="es-ES"/>
      </w:rPr>
      <w:t>fórmula de actualización y se establecen</w:t>
    </w:r>
    <w:r>
      <w:rPr>
        <w:rFonts w:ascii="Work Sans" w:hAnsi="Work Sans" w:cs="Times New Roman"/>
        <w:i/>
        <w:iCs/>
        <w:color w:val="000000"/>
        <w:sz w:val="20"/>
        <w:szCs w:val="20"/>
        <w:lang w:eastAsia="es-ES"/>
      </w:rPr>
      <w:t xml:space="preserve"> </w:t>
    </w:r>
    <w:r w:rsidRPr="00D90B44">
      <w:rPr>
        <w:rFonts w:ascii="Work Sans" w:hAnsi="Work Sans" w:cs="Times New Roman"/>
        <w:i/>
        <w:iCs/>
        <w:color w:val="000000"/>
        <w:sz w:val="20"/>
        <w:szCs w:val="20"/>
        <w:lang w:eastAsia="es-ES"/>
      </w:rPr>
      <w:t>tarifas diferenciales para las c</w:t>
    </w:r>
    <w:r>
      <w:rPr>
        <w:rFonts w:ascii="Work Sans" w:hAnsi="Work Sans" w:cs="Times New Roman"/>
        <w:i/>
        <w:iCs/>
        <w:color w:val="000000"/>
        <w:sz w:val="20"/>
        <w:szCs w:val="20"/>
        <w:lang w:eastAsia="es-ES"/>
      </w:rPr>
      <w:t>ategorías IE2, IIE y IIE2</w:t>
    </w:r>
    <w:r w:rsidRPr="00D90B44">
      <w:rPr>
        <w:rFonts w:ascii="Work Sans" w:hAnsi="Work Sans" w:cs="Times New Roman"/>
        <w:i/>
        <w:iCs/>
        <w:color w:val="000000"/>
        <w:sz w:val="20"/>
        <w:szCs w:val="20"/>
        <w:lang w:eastAsia="es-ES"/>
      </w:rPr>
      <w:t xml:space="preserve"> </w:t>
    </w:r>
    <w:r>
      <w:rPr>
        <w:rFonts w:ascii="Work Sans" w:hAnsi="Work Sans" w:cs="Times New Roman"/>
        <w:i/>
        <w:iCs/>
        <w:color w:val="000000"/>
        <w:sz w:val="20"/>
        <w:szCs w:val="20"/>
        <w:lang w:eastAsia="es-ES"/>
      </w:rPr>
      <w:t xml:space="preserve">en </w:t>
    </w:r>
    <w:r w:rsidRPr="00D90B44">
      <w:rPr>
        <w:rFonts w:ascii="Work Sans" w:hAnsi="Work Sans" w:cs="Times New Roman"/>
        <w:i/>
        <w:iCs/>
        <w:color w:val="000000"/>
        <w:sz w:val="20"/>
        <w:szCs w:val="20"/>
        <w:lang w:eastAsia="es-ES"/>
      </w:rPr>
      <w:t>las estaci</w:t>
    </w:r>
    <w:r>
      <w:rPr>
        <w:rFonts w:ascii="Work Sans" w:hAnsi="Work Sans" w:cs="Times New Roman"/>
        <w:i/>
        <w:iCs/>
        <w:color w:val="000000"/>
        <w:sz w:val="20"/>
        <w:szCs w:val="20"/>
        <w:lang w:eastAsia="es-ES"/>
      </w:rPr>
      <w:t xml:space="preserve">ones de peaje “Andes” y “Fusca” </w:t>
    </w:r>
  </w:p>
  <w:p w:rsidR="00CA7813" w:rsidRDefault="00CA7813">
    <w:pPr>
      <w:pStyle w:val="Encabezado"/>
      <w:jc w:val="center"/>
      <w:rPr>
        <w:rFonts w:ascii="Code3of9" w:hAnsi="Code3of9" w:cs="Tahoma"/>
        <w:sz w:val="36"/>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4722"/>
    <w:multiLevelType w:val="hybridMultilevel"/>
    <w:tmpl w:val="3B9429C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4E751DA"/>
    <w:multiLevelType w:val="multilevel"/>
    <w:tmpl w:val="E2ECFB78"/>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bCs/>
      </w:rPr>
    </w:lvl>
    <w:lvl w:ilvl="2">
      <w:start w:val="1"/>
      <w:numFmt w:val="decima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B9F130F"/>
    <w:multiLevelType w:val="multilevel"/>
    <w:tmpl w:val="98C8C738"/>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8B35150"/>
    <w:multiLevelType w:val="multilevel"/>
    <w:tmpl w:val="507288EE"/>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8E656FD"/>
    <w:multiLevelType w:val="multilevel"/>
    <w:tmpl w:val="D076C40C"/>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C2F6743"/>
    <w:multiLevelType w:val="multilevel"/>
    <w:tmpl w:val="5F524D54"/>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F0945B8"/>
    <w:multiLevelType w:val="multilevel"/>
    <w:tmpl w:val="DC9CE94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2881054E"/>
    <w:multiLevelType w:val="multilevel"/>
    <w:tmpl w:val="6A302616"/>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2BFD3428"/>
    <w:multiLevelType w:val="multilevel"/>
    <w:tmpl w:val="2E665A42"/>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320F2422"/>
    <w:multiLevelType w:val="multilevel"/>
    <w:tmpl w:val="B36020DC"/>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32B6202A"/>
    <w:multiLevelType w:val="multilevel"/>
    <w:tmpl w:val="20C0D9F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40820B63"/>
    <w:multiLevelType w:val="multilevel"/>
    <w:tmpl w:val="1B74ABCE"/>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41496273"/>
    <w:multiLevelType w:val="multilevel"/>
    <w:tmpl w:val="5408240A"/>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28B1A78"/>
    <w:multiLevelType w:val="multilevel"/>
    <w:tmpl w:val="330468E0"/>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37D4578"/>
    <w:multiLevelType w:val="multilevel"/>
    <w:tmpl w:val="C4988824"/>
    <w:lvl w:ilvl="0">
      <w:start w:val="1"/>
      <w:numFmt w:val="decimal"/>
      <w:lvlText w:val="%1."/>
      <w:lvlJc w:val="left"/>
      <w:pPr>
        <w:ind w:left="360" w:hanging="360"/>
      </w:pPr>
      <w:rPr>
        <w:rFonts w:cs="Times New Roman"/>
        <w:b/>
      </w:rPr>
    </w:lvl>
    <w:lvl w:ilvl="1">
      <w:start w:val="1"/>
      <w:numFmt w:val="decimal"/>
      <w:lvlText w:val="%1.%2"/>
      <w:lvlJc w:val="left"/>
      <w:pPr>
        <w:ind w:left="720" w:hanging="360"/>
      </w:pPr>
      <w:rPr>
        <w:rFonts w:cs="Times New Roman"/>
        <w:b/>
        <w:bCs/>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AB37E34"/>
    <w:multiLevelType w:val="multilevel"/>
    <w:tmpl w:val="AD9CC696"/>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4CB16D50"/>
    <w:multiLevelType w:val="multilevel"/>
    <w:tmpl w:val="C37E476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4462E7"/>
    <w:multiLevelType w:val="hybridMultilevel"/>
    <w:tmpl w:val="3B9429C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15:restartNumberingAfterBreak="0">
    <w:nsid w:val="56E97FB0"/>
    <w:multiLevelType w:val="hybridMultilevel"/>
    <w:tmpl w:val="1B54D128"/>
    <w:lvl w:ilvl="0" w:tplc="EF3A30B4">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E22F36"/>
    <w:multiLevelType w:val="multilevel"/>
    <w:tmpl w:val="C4A81BC2"/>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592930E4"/>
    <w:multiLevelType w:val="multilevel"/>
    <w:tmpl w:val="C354E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9F2529A"/>
    <w:multiLevelType w:val="multilevel"/>
    <w:tmpl w:val="62A26AD0"/>
    <w:lvl w:ilvl="0">
      <w:start w:val="1"/>
      <w:numFmt w:val="upperRoman"/>
      <w:pStyle w:val="Ttulo1"/>
      <w:lvlText w:val="CAPÍTULO %1"/>
      <w:lvlJc w:val="left"/>
      <w:pPr>
        <w:ind w:left="716" w:hanging="432"/>
      </w:pPr>
      <w:rPr>
        <w:rFonts w:cs="Times New Roman" w:hint="default"/>
        <w:b/>
        <w:bCs/>
        <w:caps/>
        <w:u w:val="single"/>
      </w:rPr>
    </w:lvl>
    <w:lvl w:ilvl="1">
      <w:start w:val="1"/>
      <w:numFmt w:val="decimal"/>
      <w:pStyle w:val="Ttulo2"/>
      <w:isLgl/>
      <w:lvlText w:val="%1.%2"/>
      <w:lvlJc w:val="left"/>
      <w:pPr>
        <w:ind w:left="576" w:hanging="576"/>
      </w:pPr>
      <w:rPr>
        <w:rFonts w:cs="Times New Roman" w:hint="default"/>
        <w:b w:val="0"/>
        <w:i w:val="0"/>
        <w:sz w:val="24"/>
        <w:szCs w:val="24"/>
      </w:rPr>
    </w:lvl>
    <w:lvl w:ilvl="2">
      <w:start w:val="1"/>
      <w:numFmt w:val="lowerLetter"/>
      <w:pStyle w:val="Ttulo3"/>
      <w:isLgl/>
      <w:lvlText w:val="%1.%2.%3."/>
      <w:lvlJc w:val="left"/>
      <w:pPr>
        <w:ind w:left="1428" w:hanging="720"/>
      </w:pPr>
      <w:rPr>
        <w:rFonts w:ascii="Times New Roman" w:hAnsi="Times New Roman" w:cs="Times New Roman" w:hint="default"/>
        <w:b w:val="0"/>
        <w:i w:val="0"/>
      </w:rPr>
    </w:lvl>
    <w:lvl w:ilvl="3">
      <w:start w:val="1"/>
      <w:numFmt w:val="lowerLetter"/>
      <w:pStyle w:val="Contents5"/>
      <w:lvlText w:val="(%4)"/>
      <w:lvlJc w:val="left"/>
      <w:pPr>
        <w:ind w:left="1290" w:hanging="864"/>
      </w:pPr>
      <w:rPr>
        <w:rFonts w:cs="Times New Roman" w:hint="default"/>
        <w:b w:val="0"/>
        <w:i w:val="0"/>
        <w:color w:val="auto"/>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i w:val="0"/>
        <w:iCs/>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2" w15:restartNumberingAfterBreak="0">
    <w:nsid w:val="5C4B00B7"/>
    <w:multiLevelType w:val="multilevel"/>
    <w:tmpl w:val="4016D860"/>
    <w:lvl w:ilvl="0">
      <w:start w:val="1"/>
      <w:numFmt w:val="lowerLetter"/>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3503769"/>
    <w:multiLevelType w:val="multilevel"/>
    <w:tmpl w:val="E1ECC2D4"/>
    <w:lvl w:ilvl="0">
      <w:start w:val="1"/>
      <w:numFmt w:val="low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15:restartNumberingAfterBreak="0">
    <w:nsid w:val="6BB66274"/>
    <w:multiLevelType w:val="multilevel"/>
    <w:tmpl w:val="8E64F9B6"/>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733C0885"/>
    <w:multiLevelType w:val="multilevel"/>
    <w:tmpl w:val="077EAA5E"/>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734F6807"/>
    <w:multiLevelType w:val="multilevel"/>
    <w:tmpl w:val="5E86D2C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79A91091"/>
    <w:multiLevelType w:val="multilevel"/>
    <w:tmpl w:val="729684EE"/>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5"/>
  </w:num>
  <w:num w:numId="2">
    <w:abstractNumId w:val="10"/>
  </w:num>
  <w:num w:numId="3">
    <w:abstractNumId w:val="11"/>
  </w:num>
  <w:num w:numId="4">
    <w:abstractNumId w:val="12"/>
  </w:num>
  <w:num w:numId="5">
    <w:abstractNumId w:val="24"/>
  </w:num>
  <w:num w:numId="6">
    <w:abstractNumId w:val="9"/>
  </w:num>
  <w:num w:numId="7">
    <w:abstractNumId w:val="2"/>
  </w:num>
  <w:num w:numId="8">
    <w:abstractNumId w:val="8"/>
  </w:num>
  <w:num w:numId="9">
    <w:abstractNumId w:val="4"/>
  </w:num>
  <w:num w:numId="10">
    <w:abstractNumId w:val="15"/>
  </w:num>
  <w:num w:numId="11">
    <w:abstractNumId w:val="26"/>
  </w:num>
  <w:num w:numId="12">
    <w:abstractNumId w:val="5"/>
  </w:num>
  <w:num w:numId="13">
    <w:abstractNumId w:val="27"/>
  </w:num>
  <w:num w:numId="14">
    <w:abstractNumId w:val="3"/>
  </w:num>
  <w:num w:numId="15">
    <w:abstractNumId w:val="19"/>
  </w:num>
  <w:num w:numId="16">
    <w:abstractNumId w:val="6"/>
  </w:num>
  <w:num w:numId="17">
    <w:abstractNumId w:val="7"/>
  </w:num>
  <w:num w:numId="18">
    <w:abstractNumId w:val="16"/>
  </w:num>
  <w:num w:numId="19">
    <w:abstractNumId w:val="13"/>
  </w:num>
  <w:num w:numId="20">
    <w:abstractNumId w:val="14"/>
  </w:num>
  <w:num w:numId="21">
    <w:abstractNumId w:val="20"/>
  </w:num>
  <w:num w:numId="22">
    <w:abstractNumId w:val="23"/>
  </w:num>
  <w:num w:numId="23">
    <w:abstractNumId w:val="22"/>
  </w:num>
  <w:num w:numId="24">
    <w:abstractNumId w:val="17"/>
  </w:num>
  <w:num w:numId="25">
    <w:abstractNumId w:val="0"/>
  </w:num>
  <w:num w:numId="26">
    <w:abstractNumId w:val="21"/>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98"/>
    <w:rsid w:val="00016136"/>
    <w:rsid w:val="00045790"/>
    <w:rsid w:val="000543A7"/>
    <w:rsid w:val="00066420"/>
    <w:rsid w:val="0009094E"/>
    <w:rsid w:val="000A0177"/>
    <w:rsid w:val="000A5C39"/>
    <w:rsid w:val="000C22D3"/>
    <w:rsid w:val="000E3561"/>
    <w:rsid w:val="000E36FD"/>
    <w:rsid w:val="000E6BCE"/>
    <w:rsid w:val="000F0F47"/>
    <w:rsid w:val="000F5EDA"/>
    <w:rsid w:val="00117252"/>
    <w:rsid w:val="001174C6"/>
    <w:rsid w:val="0014350C"/>
    <w:rsid w:val="00146E38"/>
    <w:rsid w:val="00156ED7"/>
    <w:rsid w:val="00165C4A"/>
    <w:rsid w:val="0019733D"/>
    <w:rsid w:val="001B478F"/>
    <w:rsid w:val="001C0A63"/>
    <w:rsid w:val="001D1F48"/>
    <w:rsid w:val="001D64CB"/>
    <w:rsid w:val="001F4036"/>
    <w:rsid w:val="002041AB"/>
    <w:rsid w:val="002118C2"/>
    <w:rsid w:val="00221E81"/>
    <w:rsid w:val="002304BB"/>
    <w:rsid w:val="0025289E"/>
    <w:rsid w:val="00272F5F"/>
    <w:rsid w:val="00282F13"/>
    <w:rsid w:val="002A1DCA"/>
    <w:rsid w:val="003128B6"/>
    <w:rsid w:val="00320277"/>
    <w:rsid w:val="00332F54"/>
    <w:rsid w:val="00342AE5"/>
    <w:rsid w:val="00343588"/>
    <w:rsid w:val="00363018"/>
    <w:rsid w:val="003C5D2B"/>
    <w:rsid w:val="003E0D8A"/>
    <w:rsid w:val="00404772"/>
    <w:rsid w:val="004078AD"/>
    <w:rsid w:val="00462536"/>
    <w:rsid w:val="00467147"/>
    <w:rsid w:val="00467425"/>
    <w:rsid w:val="00474E92"/>
    <w:rsid w:val="004946CA"/>
    <w:rsid w:val="005213FD"/>
    <w:rsid w:val="00533A18"/>
    <w:rsid w:val="00545879"/>
    <w:rsid w:val="0058155B"/>
    <w:rsid w:val="005818A7"/>
    <w:rsid w:val="005A1DC7"/>
    <w:rsid w:val="005B37EE"/>
    <w:rsid w:val="005B3DF8"/>
    <w:rsid w:val="005D1D5C"/>
    <w:rsid w:val="005F4346"/>
    <w:rsid w:val="00604839"/>
    <w:rsid w:val="00621DBA"/>
    <w:rsid w:val="00626D86"/>
    <w:rsid w:val="00630B2E"/>
    <w:rsid w:val="006A63AE"/>
    <w:rsid w:val="006B11F7"/>
    <w:rsid w:val="006B348A"/>
    <w:rsid w:val="006E169C"/>
    <w:rsid w:val="006E2B0B"/>
    <w:rsid w:val="006F1AFA"/>
    <w:rsid w:val="00727B28"/>
    <w:rsid w:val="00757002"/>
    <w:rsid w:val="007727AC"/>
    <w:rsid w:val="007B085A"/>
    <w:rsid w:val="007B0DFE"/>
    <w:rsid w:val="007D15AF"/>
    <w:rsid w:val="007F2DF3"/>
    <w:rsid w:val="00811A33"/>
    <w:rsid w:val="00817FCC"/>
    <w:rsid w:val="0087450A"/>
    <w:rsid w:val="0088311F"/>
    <w:rsid w:val="008D133C"/>
    <w:rsid w:val="008E197D"/>
    <w:rsid w:val="008E37C7"/>
    <w:rsid w:val="009556DC"/>
    <w:rsid w:val="00967A7B"/>
    <w:rsid w:val="009717FC"/>
    <w:rsid w:val="00973A4E"/>
    <w:rsid w:val="009873F7"/>
    <w:rsid w:val="009C2CB4"/>
    <w:rsid w:val="009D012E"/>
    <w:rsid w:val="009D0FFC"/>
    <w:rsid w:val="009F04D5"/>
    <w:rsid w:val="00A31D16"/>
    <w:rsid w:val="00A3418E"/>
    <w:rsid w:val="00A56331"/>
    <w:rsid w:val="00A6413C"/>
    <w:rsid w:val="00A6785D"/>
    <w:rsid w:val="00A81948"/>
    <w:rsid w:val="00AA5C19"/>
    <w:rsid w:val="00AE0C39"/>
    <w:rsid w:val="00AF5931"/>
    <w:rsid w:val="00B10D34"/>
    <w:rsid w:val="00B30E09"/>
    <w:rsid w:val="00B42625"/>
    <w:rsid w:val="00B54873"/>
    <w:rsid w:val="00B70500"/>
    <w:rsid w:val="00B74968"/>
    <w:rsid w:val="00B77580"/>
    <w:rsid w:val="00B8197B"/>
    <w:rsid w:val="00BA496F"/>
    <w:rsid w:val="00BA67AE"/>
    <w:rsid w:val="00BB6956"/>
    <w:rsid w:val="00BD3DB2"/>
    <w:rsid w:val="00BE329F"/>
    <w:rsid w:val="00BF5A1E"/>
    <w:rsid w:val="00C03794"/>
    <w:rsid w:val="00C057E7"/>
    <w:rsid w:val="00C16174"/>
    <w:rsid w:val="00C31631"/>
    <w:rsid w:val="00C42880"/>
    <w:rsid w:val="00C47620"/>
    <w:rsid w:val="00C60CEF"/>
    <w:rsid w:val="00CA7813"/>
    <w:rsid w:val="00CE704F"/>
    <w:rsid w:val="00CF1EE4"/>
    <w:rsid w:val="00D20DEF"/>
    <w:rsid w:val="00D50EB7"/>
    <w:rsid w:val="00D847DC"/>
    <w:rsid w:val="00D90B44"/>
    <w:rsid w:val="00D954A5"/>
    <w:rsid w:val="00DA483B"/>
    <w:rsid w:val="00DC327C"/>
    <w:rsid w:val="00E02270"/>
    <w:rsid w:val="00E060D4"/>
    <w:rsid w:val="00E17372"/>
    <w:rsid w:val="00E30DBA"/>
    <w:rsid w:val="00E40D6C"/>
    <w:rsid w:val="00E41464"/>
    <w:rsid w:val="00E5636E"/>
    <w:rsid w:val="00E6099A"/>
    <w:rsid w:val="00E642AD"/>
    <w:rsid w:val="00E7385E"/>
    <w:rsid w:val="00E90D98"/>
    <w:rsid w:val="00E96B93"/>
    <w:rsid w:val="00EB1CF0"/>
    <w:rsid w:val="00EB2498"/>
    <w:rsid w:val="00EB4C5C"/>
    <w:rsid w:val="00ED2525"/>
    <w:rsid w:val="00EE3D41"/>
    <w:rsid w:val="00EF2719"/>
    <w:rsid w:val="00EF3177"/>
    <w:rsid w:val="00F2358E"/>
    <w:rsid w:val="00F65DBB"/>
    <w:rsid w:val="00FB1FA5"/>
    <w:rsid w:val="00FB767C"/>
    <w:rsid w:val="00FF19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94940C-1506-48A3-90A1-199BA26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Liberation Serif"/>
        <w:lang w:val="es-CO" w:eastAsia="es-CO"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pPr>
    <w:rPr>
      <w:rFonts w:cs="Lohit Devanagari"/>
      <w:kern w:val="3"/>
      <w:sz w:val="24"/>
      <w:szCs w:val="24"/>
      <w:lang w:val="es-ES" w:eastAsia="zh-CN" w:bidi="hi-IN"/>
    </w:rPr>
  </w:style>
  <w:style w:type="paragraph" w:styleId="Ttulo1">
    <w:name w:val="heading 1"/>
    <w:aliases w:val="INFITULUA-T2,BONUS-T1,MT1,título 1,Edgar 1,1 ghost,g,Nombre Proyecto,Título 1-BCN,Título 1_rosado,1. Título 1,Título 11,Título 1A,Titre principal (1),T1,CAPITULO 1,TÃ.tulo 1,TÃ.tulo 1-BCN,TÃ.tulo 1_rosado,1. TÃ.tulo 1,TÃ.tulo 11,TÃ.tulo 1A"/>
    <w:basedOn w:val="Standard"/>
    <w:next w:val="Standard"/>
    <w:link w:val="Ttulo1Car"/>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Edgar 2,morcheba,Título 2_,Título 2 CAC,título 2 Car,título 2 Car Car,título 2,2.2 Car Car,2.2 Car,Título 2 -BCN,TITULO 2,2.2,TITULO2,Título 2 Car Car Car Car Car,Título 2 HECHICERA,SEGUNDO TITUTLO,TIT 2,ING-PORCE III (T2),Neg"/>
    <w:basedOn w:val="Standard"/>
    <w:next w:val="Standard"/>
    <w:link w:val="Ttulo2Car"/>
    <w:uiPriority w:val="9"/>
    <w:unhideWhenUsed/>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moloko,MT3,Título 3_,Título 3 CAC,Título 3 Car Car Car,titulo 3,título 3,ING-PORCE III (T3),Título DOS,Título 3 Car Car,Sous-titre (3),NIVEL 3,Título 3 AAL,11 pt"/>
    <w:basedOn w:val="Standard"/>
    <w:next w:val="Standard"/>
    <w:link w:val="Ttulo3Car"/>
    <w:uiPriority w:val="9"/>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semiHidden/>
    <w:unhideWhenUsed/>
    <w:qFormat/>
    <w:pPr>
      <w:keepNext/>
      <w:outlineLvl w:val="4"/>
    </w:pPr>
    <w:rPr>
      <w:rFonts w:ascii="Arial" w:hAnsi="Arial" w:cs="Arial"/>
      <w:b/>
      <w:bCs/>
      <w:sz w:val="28"/>
    </w:rPr>
  </w:style>
  <w:style w:type="paragraph" w:styleId="Ttulo6">
    <w:name w:val="heading 6"/>
    <w:basedOn w:val="Standard"/>
    <w:next w:val="Standard"/>
    <w:link w:val="Ttulo6Car"/>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qFormat/>
    <w:pPr>
      <w:keepNext/>
      <w:outlineLvl w:val="6"/>
    </w:pPr>
    <w:rPr>
      <w:rFonts w:ascii="Arial" w:hAnsi="Arial" w:cs="Arial"/>
    </w:rPr>
  </w:style>
  <w:style w:type="paragraph" w:styleId="Ttulo8">
    <w:name w:val="heading 8"/>
    <w:basedOn w:val="Standard"/>
    <w:next w:val="Standard"/>
    <w:link w:val="Ttulo8Car"/>
    <w:uiPriority w:val="9"/>
    <w:qFormat/>
    <w:pPr>
      <w:keepNext/>
      <w:tabs>
        <w:tab w:val="left" w:pos="-720"/>
      </w:tabs>
      <w:jc w:val="center"/>
      <w:outlineLvl w:val="7"/>
    </w:pPr>
    <w:rPr>
      <w:sz w:val="28"/>
    </w:rPr>
  </w:style>
  <w:style w:type="paragraph" w:styleId="Ttulo9">
    <w:name w:val="heading 9"/>
    <w:basedOn w:val="Standard"/>
    <w:next w:val="Standard"/>
    <w:link w:val="Ttulo9Car"/>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Edgar 1 Car,1 ghost Car,g Car,Nombre Proyecto Car,Título 1-BCN Car,Título 1_rosado Car,1. Título 1 Car,Título 11 Car,Título 1A Car,Titre principal (1) Car,T1 Car,CAPITULO 1 Car"/>
    <w:basedOn w:val="Fuentedeprrafopredeter"/>
    <w:link w:val="Ttulo1"/>
    <w:uiPriority w:val="9"/>
    <w:locked/>
    <w:rPr>
      <w:rFonts w:ascii="Calibri Light" w:hAnsi="Calibri Light" w:cs="Times New Roman"/>
      <w:b/>
      <w:kern w:val="3"/>
      <w:sz w:val="29"/>
    </w:rPr>
  </w:style>
  <w:style w:type="character" w:customStyle="1" w:styleId="Ttulo2Car">
    <w:name w:val="Título 2 Car"/>
    <w:aliases w:val="BONUS-T2 Car,Edgar 2 Car,morcheba Car,Título 2_ Car,Título 2 CAC Car,título 2 Car Car1,título 2 Car Car Car,título 2 Car1,2.2 Car Car Car,2.2 Car Car1,Título 2 -BCN Car,TITULO 2 Car,2.2 Car1,TITULO2 Car,Título 2 Car Car Car Car Car Car"/>
    <w:basedOn w:val="Fuentedeprrafopredeter"/>
    <w:link w:val="Ttulo2"/>
    <w:uiPriority w:val="9"/>
    <w:locked/>
    <w:rPr>
      <w:rFonts w:ascii="Calibri Light" w:hAnsi="Calibri Light" w:cs="Times New Roman"/>
      <w:b/>
      <w:i/>
      <w:sz w:val="25"/>
    </w:rPr>
  </w:style>
  <w:style w:type="character" w:customStyle="1" w:styleId="Ttulo3Car">
    <w:name w:val="Título 3 Car"/>
    <w:aliases w:val="BONUS-T3 Final Car,Edgar 3 Car,1.1.1Título 3 Car,Título 3-BCN Car,3 bullet Car,2 Car,H3 Car,1 Car,1Título 3 Car,moloko Car,MT3 Car,Título 3_ Car,Título 3 CAC Car,Título 3 Car Car Car Car,titulo 3 Car,título 3 Car,ING-PORCE III (T3) Car"/>
    <w:basedOn w:val="Fuentedeprrafopredeter"/>
    <w:link w:val="Ttulo3"/>
    <w:uiPriority w:val="9"/>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val="es"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val="es"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val="es" w:eastAsia="es-ES" w:bidi="ar-SA"/>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Normal"/>
    <w:next w:val="Normal"/>
    <w:uiPriority w:val="35"/>
    <w:pPr>
      <w:spacing w:after="200"/>
    </w:pPr>
    <w:rPr>
      <w:rFonts w:cs="Mangal"/>
      <w:i/>
      <w:iCs/>
      <w:color w:val="1F497D"/>
      <w:sz w:val="18"/>
      <w:szCs w:val="16"/>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aliases w:val="titulo 5,Bolita,HOJA,Lista vistosa - Énfasis 11,Lista vistosa - Énfasis 111,Colorful List - Accent 11,Viñeta 2,Párrafo de lista3,BOLA,Párrafo de lista21,Guión,BOLADEF,Titulo 8,figura,parrafo,Párrafo de lista (analisis predial),Estilo 3"/>
    <w:basedOn w:val="Standard"/>
    <w:uiPriority w:val="34"/>
    <w:qFormat/>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uiPriority w:val="99"/>
    <w:rPr>
      <w:rFonts w:cs="Times New Roman"/>
      <w:color w:val="0000FF"/>
      <w:u w:val="single"/>
    </w:rPr>
  </w:style>
  <w:style w:type="paragraph" w:styleId="Textonotaalfinal">
    <w:name w:val="endnote text"/>
    <w:basedOn w:val="Normal"/>
    <w:link w:val="TextonotaalfinalCar"/>
    <w:uiPriority w:val="99"/>
    <w:rPr>
      <w:rFonts w:cs="Mangal"/>
      <w:sz w:val="20"/>
      <w:szCs w:val="18"/>
    </w:rPr>
  </w:style>
  <w:style w:type="character" w:customStyle="1" w:styleId="TextonotaalfinalCar">
    <w:name w:val="Texto nota al final Car"/>
    <w:basedOn w:val="Fuentedeprrafopredeter"/>
    <w:link w:val="Textonotaalfinal"/>
    <w:uiPriority w:val="99"/>
    <w:locked/>
    <w:rPr>
      <w:rFonts w:cs="Mangal"/>
      <w:kern w:val="3"/>
      <w:sz w:val="18"/>
      <w:szCs w:val="18"/>
      <w:lang w:val="es-ES" w:eastAsia="zh-CN" w:bidi="hi-IN"/>
    </w:rPr>
  </w:style>
  <w:style w:type="character" w:styleId="Refdenotaalfinal">
    <w:name w:val="endnote reference"/>
    <w:basedOn w:val="Fuentedeprrafopredeter"/>
    <w:uiPriority w:val="99"/>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uiPriority w:val="22"/>
    <w:rPr>
      <w:rFonts w:cs="Times New Roman"/>
      <w:b/>
      <w:bCs/>
    </w:rPr>
  </w:style>
  <w:style w:type="paragraph" w:customStyle="1" w:styleId="Normal1">
    <w:name w:val="Normal 1"/>
    <w:basedOn w:val="Sangranormal"/>
    <w:qFormat/>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pPr>
      <w:ind w:left="708"/>
    </w:pPr>
    <w:rPr>
      <w:rFonts w:cs="Mangal"/>
      <w:szCs w:val="21"/>
    </w:rPr>
  </w:style>
  <w:style w:type="paragraph" w:customStyle="1" w:styleId="Default">
    <w:name w:val="Default"/>
    <w:pPr>
      <w:suppressAutoHyphens/>
      <w:autoSpaceDE w:val="0"/>
      <w:autoSpaceDN w:val="0"/>
      <w:textAlignment w:val="auto"/>
    </w:pPr>
    <w:rPr>
      <w:rFonts w:ascii="Times New Roman" w:hAnsi="Times New Roman" w:cs="Times New Roman"/>
      <w:color w:val="000000"/>
      <w:sz w:val="24"/>
      <w:szCs w:val="24"/>
      <w:lang w:val="es-MX" w:eastAsia="en-US"/>
    </w:rPr>
  </w:style>
  <w:style w:type="character" w:customStyle="1" w:styleId="PrrafodelistaCar">
    <w:name w:val="Párrafo de lista Car"/>
    <w:aliases w:val="titulo 5 Car,Bolita Car,HOJA Car,Colorful List Accent 1 Car,Lista vistosa - Énfasis 11 Car,Colorful List - Accent 11 Car,Viñeta 2 Car,Párrafo de lista3 Car,BOLA Car,Párrafo de lista21 Car,Guión Car,BOLADEF Car,Titulo 8 Car"/>
    <w:uiPriority w:val="99"/>
    <w:rPr>
      <w:rFonts w:ascii="Courier New" w:hAnsi="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val="es" w:eastAsia="es-E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ANINormalCar">
    <w:name w:val="ANI Normal Car"/>
    <w:rPr>
      <w:rFonts w:ascii="Arial Narrow" w:hAnsi="Arial Narrow"/>
      <w:color w:val="000000"/>
      <w:sz w:val="24"/>
      <w:lang w:val="x-none" w:eastAsia="en-US"/>
    </w:rPr>
  </w:style>
  <w:style w:type="character" w:customStyle="1" w:styleId="Mencinsinresolver1">
    <w:name w:val="Mención sin resolver1"/>
    <w:rPr>
      <w:color w:val="808080"/>
      <w:shd w:val="clear" w:color="auto" w:fill="E6E6E6"/>
    </w:rPr>
  </w:style>
  <w:style w:type="paragraph" w:styleId="Textoindependiente">
    <w:name w:val="Body Text"/>
    <w:basedOn w:val="Normal"/>
    <w:link w:val="TextoindependienteCar"/>
    <w:uiPriority w:val="99"/>
    <w:pPr>
      <w:autoSpaceDE w:val="0"/>
      <w:textAlignment w:val="auto"/>
    </w:pPr>
    <w:rPr>
      <w:rFonts w:ascii="Arial" w:hAnsi="Arial" w:cs="Arial"/>
      <w:kern w:val="0"/>
      <w:sz w:val="20"/>
      <w:szCs w:val="20"/>
      <w:lang w:eastAsia="es-ES" w:bidi="ar-SA"/>
    </w:rPr>
  </w:style>
  <w:style w:type="character" w:customStyle="1" w:styleId="TextoindependienteCar">
    <w:name w:val="Texto independiente Car"/>
    <w:basedOn w:val="Fuentedeprrafopredeter"/>
    <w:link w:val="Textoindependiente"/>
    <w:uiPriority w:val="99"/>
    <w:locked/>
    <w:rPr>
      <w:rFonts w:ascii="Arial" w:hAnsi="Arial" w:cs="Arial"/>
      <w:lang w:val="es-ES" w:eastAsia="es-ES"/>
    </w:rPr>
  </w:style>
  <w:style w:type="character" w:customStyle="1" w:styleId="Fuentedeprrafopredeter0">
    <w:name w:val="Fuente de párrafo predeter"/>
  </w:style>
  <w:style w:type="table" w:styleId="Tablaconcuadrcula">
    <w:name w:val="Table Grid"/>
    <w:basedOn w:val="Tablanormal"/>
    <w:uiPriority w:val="59"/>
    <w:rsid w:val="00016136"/>
    <w:pPr>
      <w:textAlignment w:val="auto"/>
    </w:pPr>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pPr>
      <w:numPr>
        <w:numId w:val="7"/>
      </w:numPr>
    </w:pPr>
  </w:style>
  <w:style w:type="numbering" w:customStyle="1" w:styleId="WW8Num11">
    <w:name w:val="WW8Num11"/>
    <w:pPr>
      <w:numPr>
        <w:numId w:val="14"/>
      </w:numPr>
    </w:pPr>
  </w:style>
  <w:style w:type="numbering" w:customStyle="1" w:styleId="WW8Num7">
    <w:name w:val="WW8Num7"/>
    <w:pPr>
      <w:numPr>
        <w:numId w:val="9"/>
      </w:numPr>
    </w:pPr>
  </w:style>
  <w:style w:type="numbering" w:customStyle="1" w:styleId="WW8Num6">
    <w:name w:val="WW8Num6"/>
    <w:pPr>
      <w:numPr>
        <w:numId w:val="12"/>
      </w:numPr>
    </w:pPr>
  </w:style>
  <w:style w:type="numbering" w:customStyle="1" w:styleId="WW8Num16">
    <w:name w:val="WW8Num16"/>
    <w:pPr>
      <w:numPr>
        <w:numId w:val="16"/>
      </w:numPr>
    </w:pPr>
  </w:style>
  <w:style w:type="numbering" w:customStyle="1" w:styleId="WW8Num19">
    <w:name w:val="WW8Num19"/>
    <w:pPr>
      <w:numPr>
        <w:numId w:val="17"/>
      </w:numPr>
    </w:pPr>
  </w:style>
  <w:style w:type="numbering" w:customStyle="1" w:styleId="WW8Num4">
    <w:name w:val="WW8Num4"/>
    <w:pPr>
      <w:numPr>
        <w:numId w:val="8"/>
      </w:numPr>
    </w:pPr>
  </w:style>
  <w:style w:type="numbering" w:customStyle="1" w:styleId="WW8Num8">
    <w:name w:val="WW8Num8"/>
    <w:pPr>
      <w:numPr>
        <w:numId w:val="6"/>
      </w:numPr>
    </w:pPr>
  </w:style>
  <w:style w:type="numbering" w:customStyle="1" w:styleId="WW8Num14">
    <w:name w:val="WW8Num14"/>
    <w:pPr>
      <w:numPr>
        <w:numId w:val="2"/>
      </w:numPr>
    </w:pPr>
  </w:style>
  <w:style w:type="numbering" w:customStyle="1" w:styleId="WW8Num1">
    <w:name w:val="WW8Num1"/>
    <w:pPr>
      <w:numPr>
        <w:numId w:val="3"/>
      </w:numPr>
    </w:pPr>
  </w:style>
  <w:style w:type="numbering" w:customStyle="1" w:styleId="WW8Num10">
    <w:name w:val="WW8Num10"/>
    <w:pPr>
      <w:numPr>
        <w:numId w:val="4"/>
      </w:numPr>
    </w:pPr>
  </w:style>
  <w:style w:type="numbering" w:customStyle="1" w:styleId="WW8Num17">
    <w:name w:val="WW8Num17"/>
    <w:pPr>
      <w:numPr>
        <w:numId w:val="19"/>
      </w:numPr>
    </w:pPr>
  </w:style>
  <w:style w:type="numbering" w:customStyle="1" w:styleId="WW8Num5">
    <w:name w:val="WW8Num5"/>
    <w:pPr>
      <w:numPr>
        <w:numId w:val="10"/>
      </w:numPr>
    </w:pPr>
  </w:style>
  <w:style w:type="numbering" w:customStyle="1" w:styleId="WW8Num9">
    <w:name w:val="WW8Num9"/>
    <w:pPr>
      <w:numPr>
        <w:numId w:val="18"/>
      </w:numPr>
    </w:pPr>
  </w:style>
  <w:style w:type="numbering" w:customStyle="1" w:styleId="WW8Num15">
    <w:name w:val="WW8Num15"/>
    <w:pPr>
      <w:numPr>
        <w:numId w:val="15"/>
      </w:numPr>
    </w:pPr>
  </w:style>
  <w:style w:type="numbering" w:customStyle="1" w:styleId="WW8Num18">
    <w:name w:val="WW8Num18"/>
    <w:pPr>
      <w:numPr>
        <w:numId w:val="5"/>
      </w:numPr>
    </w:pPr>
  </w:style>
  <w:style w:type="numbering" w:customStyle="1" w:styleId="WW8Num2">
    <w:name w:val="WW8Num2"/>
    <w:pPr>
      <w:numPr>
        <w:numId w:val="1"/>
      </w:numPr>
    </w:pPr>
  </w:style>
  <w:style w:type="numbering" w:customStyle="1" w:styleId="WW8Num13">
    <w:name w:val="WW8Num13"/>
    <w:pPr>
      <w:numPr>
        <w:numId w:val="11"/>
      </w:numPr>
    </w:pPr>
  </w:style>
  <w:style w:type="numbering" w:customStyle="1" w:styleId="WW8Num12">
    <w:name w:val="WW8Num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biblioteca.uexternado.edu.co:2223/lexbase/normas/leyes/1993/L0080de1993.htm" TargetMode="Externa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6374</Words>
  <Characters>35059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Claudia Patricia Roa Orjuela</cp:lastModifiedBy>
  <cp:revision>2</cp:revision>
  <cp:lastPrinted>2020-04-03T23:17:00Z</cp:lastPrinted>
  <dcterms:created xsi:type="dcterms:W3CDTF">2021-04-24T01:40:00Z</dcterms:created>
  <dcterms:modified xsi:type="dcterms:W3CDTF">2021-04-24T01:40:00Z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