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BFF" w:rsidRPr="005B2A57" w:rsidRDefault="006E5BFF" w:rsidP="006E5BFF">
      <w:pPr>
        <w:pStyle w:val="Puesto"/>
        <w:rPr>
          <w:rFonts w:ascii="Arial Narrow" w:hAnsi="Arial Narrow" w:cs="Gisha"/>
          <w:color w:val="auto"/>
          <w:sz w:val="28"/>
          <w:szCs w:val="28"/>
        </w:rPr>
      </w:pPr>
      <w:bookmarkStart w:id="0" w:name="_GoBack"/>
      <w:bookmarkEnd w:id="0"/>
      <w:r w:rsidRPr="005B2A57">
        <w:rPr>
          <w:rFonts w:ascii="Arial Narrow" w:hAnsi="Arial Narrow" w:cs="Gisha"/>
          <w:color w:val="auto"/>
          <w:sz w:val="28"/>
          <w:szCs w:val="28"/>
        </w:rPr>
        <w:t xml:space="preserve">NOTAS EXPLICATIVAS A LOS </w:t>
      </w:r>
      <w:r>
        <w:rPr>
          <w:rFonts w:ascii="Arial Narrow" w:hAnsi="Arial Narrow" w:cs="Gisha"/>
          <w:color w:val="auto"/>
          <w:sz w:val="28"/>
          <w:szCs w:val="28"/>
        </w:rPr>
        <w:t>ESTADOS CONTABLES</w:t>
      </w:r>
      <w:r w:rsidRPr="005B2A57">
        <w:rPr>
          <w:rFonts w:ascii="Arial Narrow" w:hAnsi="Arial Narrow" w:cs="Gisha"/>
          <w:color w:val="auto"/>
          <w:sz w:val="28"/>
          <w:szCs w:val="28"/>
        </w:rPr>
        <w:t xml:space="preserve"> </w:t>
      </w:r>
    </w:p>
    <w:p w:rsidR="006E5BFF" w:rsidRPr="005B2A57" w:rsidRDefault="006E5BFF" w:rsidP="006E5BFF">
      <w:pPr>
        <w:pStyle w:val="Puesto"/>
        <w:rPr>
          <w:rFonts w:ascii="Arial Narrow" w:hAnsi="Arial Narrow" w:cs="Gisha"/>
          <w:color w:val="auto"/>
          <w:sz w:val="28"/>
          <w:szCs w:val="28"/>
        </w:rPr>
      </w:pPr>
      <w:r w:rsidRPr="005B2A57">
        <w:rPr>
          <w:rFonts w:ascii="Arial Narrow" w:hAnsi="Arial Narrow" w:cs="Gisha"/>
          <w:color w:val="auto"/>
          <w:sz w:val="28"/>
          <w:szCs w:val="28"/>
        </w:rPr>
        <w:t xml:space="preserve">A FECHA DE CORTE DICIEMBRE 31 DE </w:t>
      </w:r>
      <w:r w:rsidR="003122D7">
        <w:rPr>
          <w:rFonts w:ascii="Arial Narrow" w:hAnsi="Arial Narrow" w:cs="Gisha"/>
          <w:color w:val="auto"/>
          <w:sz w:val="28"/>
          <w:szCs w:val="28"/>
        </w:rPr>
        <w:t>2015</w:t>
      </w:r>
    </w:p>
    <w:p w:rsidR="006E5BFF" w:rsidRPr="005B2A57" w:rsidRDefault="006E5BFF" w:rsidP="006E5BFF">
      <w:pPr>
        <w:rPr>
          <w:rFonts w:ascii="Arial Narrow" w:hAnsi="Arial Narrow" w:cs="Gisha"/>
        </w:rPr>
      </w:pPr>
    </w:p>
    <w:p w:rsidR="006E5BFF" w:rsidRPr="005B2A57" w:rsidRDefault="006E5BFF" w:rsidP="006E5BFF">
      <w:pPr>
        <w:rPr>
          <w:rFonts w:ascii="Arial Narrow" w:hAnsi="Arial Narrow" w:cs="Gisha"/>
        </w:rPr>
      </w:pPr>
    </w:p>
    <w:p w:rsidR="006E5BFF" w:rsidRPr="005B2A57" w:rsidRDefault="006E5BFF" w:rsidP="00873358">
      <w:pPr>
        <w:pStyle w:val="Ttulo1"/>
        <w:numPr>
          <w:ilvl w:val="0"/>
          <w:numId w:val="1"/>
        </w:numPr>
        <w:jc w:val="both"/>
        <w:rPr>
          <w:rFonts w:ascii="Arial Narrow" w:hAnsi="Arial Narrow" w:cs="Gisha"/>
          <w:i w:val="0"/>
          <w:iCs w:val="0"/>
          <w:vanish w:val="0"/>
          <w:color w:val="auto"/>
          <w:sz w:val="22"/>
          <w:szCs w:val="22"/>
          <w:u w:val="none"/>
        </w:rPr>
      </w:pPr>
      <w:r w:rsidRPr="005B2A57">
        <w:rPr>
          <w:rFonts w:ascii="Arial Narrow" w:hAnsi="Arial Narrow" w:cs="Gisha"/>
          <w:i w:val="0"/>
          <w:iCs w:val="0"/>
          <w:vanish w:val="0"/>
          <w:color w:val="auto"/>
          <w:sz w:val="22"/>
          <w:szCs w:val="22"/>
          <w:u w:val="none"/>
        </w:rPr>
        <w:t>NOTAS DE CARÁCTER GENERAL</w:t>
      </w:r>
    </w:p>
    <w:p w:rsidR="006E5BFF" w:rsidRPr="005B2A57" w:rsidRDefault="006E5BFF" w:rsidP="006E5BFF">
      <w:p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rPr>
      </w:pPr>
    </w:p>
    <w:p w:rsidR="006E5BFF" w:rsidRPr="005B2A57" w:rsidRDefault="006E5BFF" w:rsidP="00873358">
      <w:pPr>
        <w:pStyle w:val="Prrafodelista"/>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cs="Gisha"/>
          <w:b/>
          <w:bCs/>
          <w:sz w:val="22"/>
          <w:szCs w:val="22"/>
        </w:rPr>
      </w:pPr>
      <w:r w:rsidRPr="005B2A57">
        <w:rPr>
          <w:rFonts w:cs="Gisha"/>
          <w:b/>
          <w:bCs/>
          <w:sz w:val="22"/>
          <w:szCs w:val="22"/>
        </w:rPr>
        <w:t>NATURALEZA JURÍDICA Y FUNCIONES DE COMETIDO ESTATAL.</w:t>
      </w:r>
    </w:p>
    <w:p w:rsidR="006E5BFF" w:rsidRPr="005B2A57" w:rsidRDefault="006E5BFF" w:rsidP="006E5BF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rPr>
      </w:pPr>
    </w:p>
    <w:p w:rsidR="006E5BFF" w:rsidRPr="005B2A57" w:rsidRDefault="006E5BFF" w:rsidP="006E5BF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b/>
          <w:bCs/>
          <w:sz w:val="22"/>
          <w:szCs w:val="22"/>
        </w:rPr>
      </w:pPr>
      <w:r w:rsidRPr="005B2A57">
        <w:rPr>
          <w:rFonts w:ascii="Arial Narrow" w:hAnsi="Arial Narrow" w:cs="Gisha"/>
          <w:b/>
          <w:bCs/>
          <w:sz w:val="22"/>
          <w:szCs w:val="22"/>
        </w:rPr>
        <w:t xml:space="preserve">N1. 1 NATURALEZA JURIDICA: </w:t>
      </w:r>
    </w:p>
    <w:p w:rsidR="006E5BFF" w:rsidRPr="005B2A57" w:rsidRDefault="006E5BFF" w:rsidP="006E5BF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b/>
          <w:bCs/>
          <w:sz w:val="22"/>
          <w:szCs w:val="22"/>
        </w:rPr>
      </w:pPr>
    </w:p>
    <w:p w:rsidR="006E5BFF" w:rsidRPr="005B2A57" w:rsidRDefault="006E5BFF" w:rsidP="006E5BFF">
      <w:pPr>
        <w:jc w:val="both"/>
        <w:rPr>
          <w:rFonts w:ascii="Arial Narrow" w:hAnsi="Arial Narrow"/>
          <w:color w:val="000000"/>
          <w:sz w:val="22"/>
          <w:szCs w:val="22"/>
        </w:rPr>
      </w:pPr>
      <w:r w:rsidRPr="005B2A57">
        <w:rPr>
          <w:rFonts w:ascii="Arial Narrow" w:hAnsi="Arial Narrow"/>
          <w:color w:val="000000"/>
          <w:sz w:val="22"/>
          <w:szCs w:val="22"/>
        </w:rPr>
        <w:t>Mediante el Decreto  4165 de 3 de noviembre de 2011 se modificó la naturaleza jurídica y denominación de INCO y se fijan otras disposiciones, al efecto el artículo 1° previó:</w:t>
      </w:r>
    </w:p>
    <w:p w:rsidR="006E5BFF" w:rsidRPr="005B2A57" w:rsidRDefault="006E5BFF" w:rsidP="006E5BFF">
      <w:pPr>
        <w:jc w:val="both"/>
        <w:rPr>
          <w:rFonts w:ascii="Arial Narrow" w:hAnsi="Arial Narrow"/>
          <w:color w:val="000000"/>
          <w:sz w:val="22"/>
          <w:szCs w:val="22"/>
        </w:rPr>
      </w:pPr>
    </w:p>
    <w:p w:rsidR="006E5BFF" w:rsidRPr="00240156" w:rsidRDefault="006E5BFF" w:rsidP="006E5BFF">
      <w:pPr>
        <w:ind w:left="567"/>
        <w:jc w:val="both"/>
        <w:rPr>
          <w:rFonts w:ascii="Arial Narrow" w:hAnsi="Arial Narrow"/>
          <w:i/>
          <w:color w:val="000000"/>
          <w:sz w:val="20"/>
          <w:szCs w:val="20"/>
        </w:rPr>
      </w:pPr>
      <w:r w:rsidRPr="005B2A57">
        <w:rPr>
          <w:rFonts w:ascii="Arial Narrow" w:hAnsi="Arial Narrow"/>
          <w:i/>
          <w:color w:val="000000"/>
          <w:sz w:val="22"/>
          <w:szCs w:val="22"/>
        </w:rPr>
        <w:t>“</w:t>
      </w:r>
      <w:r w:rsidRPr="00240156">
        <w:rPr>
          <w:rFonts w:ascii="Arial Narrow" w:hAnsi="Arial Narrow"/>
          <w:i/>
          <w:color w:val="000000"/>
          <w:sz w:val="20"/>
          <w:szCs w:val="20"/>
        </w:rPr>
        <w:t xml:space="preserve">ARTÍCULO 1o. </w:t>
      </w:r>
      <w:r w:rsidRPr="00240156">
        <w:rPr>
          <w:rFonts w:ascii="Arial Narrow" w:hAnsi="Arial Narrow"/>
          <w:i/>
          <w:iCs/>
          <w:color w:val="000000"/>
          <w:sz w:val="20"/>
          <w:szCs w:val="20"/>
        </w:rPr>
        <w:t>CAMBIO DE NATURALEZA JURÍDICA Y DENOMINACIÓN DEL INSTITUTO NACIONAL DE CONCESIONES.</w:t>
      </w:r>
      <w:r w:rsidRPr="00240156">
        <w:rPr>
          <w:rFonts w:ascii="Arial Narrow" w:hAnsi="Arial Narrow"/>
          <w:i/>
          <w:color w:val="000000"/>
          <w:sz w:val="20"/>
          <w:szCs w:val="20"/>
        </w:rPr>
        <w:t xml:space="preserve"> Cambiase la naturaleza jurídica del Instituto Nacional de Concesiones (INCO) de establecimiento público a Agencia Nacional Estatal de Naturaleza Especial, del sector descentralizado de la Rama Ejecutiva del Orden Nacional, con personería jurídica, patrimonio propio y autonomía administrativa, financiera y técnica, que se denominará Agencia Nacional de Infraestructura, adscrita al Ministerio de Transporte.”</w:t>
      </w:r>
    </w:p>
    <w:p w:rsidR="006E5BFF" w:rsidRPr="005B2A57" w:rsidRDefault="006E5BFF" w:rsidP="006E5BFF">
      <w:pPr>
        <w:jc w:val="both"/>
        <w:rPr>
          <w:rFonts w:ascii="Arial Narrow" w:hAnsi="Arial Narrow"/>
          <w:i/>
          <w:color w:val="000000"/>
          <w:sz w:val="22"/>
          <w:szCs w:val="22"/>
        </w:rPr>
      </w:pPr>
    </w:p>
    <w:p w:rsidR="006E5BFF" w:rsidRPr="005B2A57" w:rsidRDefault="006E5BFF" w:rsidP="006E5BF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b/>
          <w:bCs/>
          <w:sz w:val="22"/>
          <w:szCs w:val="22"/>
        </w:rPr>
      </w:pPr>
      <w:r w:rsidRPr="005B2A57">
        <w:rPr>
          <w:rFonts w:ascii="Arial Narrow" w:hAnsi="Arial Narrow" w:cs="Gisha"/>
          <w:b/>
          <w:bCs/>
          <w:sz w:val="22"/>
          <w:szCs w:val="22"/>
        </w:rPr>
        <w:t>N1.2 FUNCIÓN SOCIAL O COMETIDO ESTATAL Y OBJETIVOS:</w:t>
      </w:r>
    </w:p>
    <w:p w:rsidR="006E5BFF" w:rsidRPr="005B2A57" w:rsidRDefault="006E5BFF" w:rsidP="006E5BFF">
      <w:pPr>
        <w:pStyle w:val="cuerpotexto"/>
        <w:tabs>
          <w:tab w:val="left" w:pos="0"/>
        </w:tabs>
        <w:ind w:firstLine="0"/>
        <w:rPr>
          <w:rFonts w:ascii="Arial Narrow" w:hAnsi="Arial Narrow" w:cs="Gisha"/>
          <w:color w:val="auto"/>
          <w:sz w:val="22"/>
          <w:szCs w:val="22"/>
        </w:rPr>
      </w:pPr>
    </w:p>
    <w:p w:rsidR="006E5BFF" w:rsidRPr="005B2A57" w:rsidRDefault="006E5BFF" w:rsidP="006E5BFF">
      <w:pPr>
        <w:pStyle w:val="Sangradetextonormal"/>
        <w:ind w:left="0"/>
        <w:jc w:val="both"/>
        <w:rPr>
          <w:rFonts w:ascii="Arial Narrow" w:hAnsi="Arial Narrow" w:cs="Gisha"/>
          <w:sz w:val="22"/>
          <w:szCs w:val="22"/>
        </w:rPr>
      </w:pPr>
      <w:bookmarkStart w:id="1" w:name="OLE_LINK7"/>
      <w:bookmarkStart w:id="2" w:name="OLE_LINK46"/>
      <w:r w:rsidRPr="005B2A57">
        <w:rPr>
          <w:rFonts w:ascii="Arial Narrow" w:hAnsi="Arial Narrow" w:cs="Gisha"/>
          <w:sz w:val="22"/>
          <w:szCs w:val="22"/>
        </w:rPr>
        <w:t xml:space="preserve">El artículo 3 del </w:t>
      </w:r>
      <w:r w:rsidRPr="005B2A57">
        <w:rPr>
          <w:rFonts w:ascii="Arial Narrow" w:hAnsi="Arial Narrow"/>
          <w:color w:val="000000"/>
          <w:sz w:val="22"/>
          <w:szCs w:val="22"/>
        </w:rPr>
        <w:t xml:space="preserve">Decreto  4165 de 3 de noviembre de 2011 </w:t>
      </w:r>
      <w:r w:rsidRPr="005B2A57">
        <w:rPr>
          <w:rFonts w:ascii="Arial Narrow" w:hAnsi="Arial Narrow" w:cs="Gisha"/>
          <w:sz w:val="22"/>
          <w:szCs w:val="22"/>
        </w:rPr>
        <w:t xml:space="preserve">señaló el objeto de la Agencia Nacional de Infraestructura así: </w:t>
      </w:r>
    </w:p>
    <w:p w:rsidR="006E5BFF" w:rsidRPr="00240156" w:rsidRDefault="00240156" w:rsidP="006E5BFF">
      <w:pPr>
        <w:pStyle w:val="Encabezado"/>
        <w:tabs>
          <w:tab w:val="clear" w:pos="4252"/>
          <w:tab w:val="clear" w:pos="8504"/>
        </w:tabs>
        <w:ind w:left="567"/>
        <w:jc w:val="both"/>
        <w:rPr>
          <w:rFonts w:ascii="Arial Narrow" w:hAnsi="Arial Narrow" w:cs="Gisha"/>
          <w:b/>
          <w:bCs/>
          <w:i/>
          <w:color w:val="auto"/>
          <w:sz w:val="20"/>
          <w:szCs w:val="20"/>
        </w:rPr>
      </w:pPr>
      <w:bookmarkStart w:id="3" w:name="3"/>
      <w:bookmarkEnd w:id="1"/>
      <w:bookmarkEnd w:id="2"/>
      <w:r>
        <w:rPr>
          <w:rFonts w:ascii="Arial Narrow" w:hAnsi="Arial Narrow" w:cs="Gisha"/>
          <w:i/>
          <w:color w:val="auto"/>
          <w:sz w:val="20"/>
          <w:szCs w:val="20"/>
          <w:lang w:eastAsia="es-CO"/>
        </w:rPr>
        <w:t>“</w:t>
      </w:r>
      <w:r w:rsidR="006E5BFF" w:rsidRPr="00240156">
        <w:rPr>
          <w:rFonts w:ascii="Arial Narrow" w:hAnsi="Arial Narrow" w:cs="Gisha"/>
          <w:i/>
          <w:color w:val="auto"/>
          <w:sz w:val="20"/>
          <w:szCs w:val="20"/>
          <w:lang w:eastAsia="es-CO"/>
        </w:rPr>
        <w:t xml:space="preserve">ARTÍCULO 3o. </w:t>
      </w:r>
      <w:r w:rsidR="006E5BFF" w:rsidRPr="00240156">
        <w:rPr>
          <w:rFonts w:ascii="Arial Narrow" w:hAnsi="Arial Narrow" w:cs="Gisha"/>
          <w:i/>
          <w:iCs/>
          <w:color w:val="auto"/>
          <w:sz w:val="20"/>
          <w:szCs w:val="20"/>
          <w:lang w:eastAsia="es-CO"/>
        </w:rPr>
        <w:t>OBJETO</w:t>
      </w:r>
      <w:r w:rsidR="006E5BFF" w:rsidRPr="00240156">
        <w:rPr>
          <w:rFonts w:ascii="Arial Narrow" w:hAnsi="Arial Narrow" w:cs="Gisha"/>
          <w:i/>
          <w:color w:val="auto"/>
          <w:sz w:val="20"/>
          <w:szCs w:val="20"/>
          <w:lang w:eastAsia="es-CO"/>
        </w:rPr>
        <w:t>.</w:t>
      </w:r>
      <w:bookmarkEnd w:id="3"/>
      <w:r w:rsidR="006E5BFF" w:rsidRPr="00240156">
        <w:rPr>
          <w:rFonts w:ascii="Arial Narrow" w:hAnsi="Arial Narrow" w:cs="Gisha"/>
          <w:i/>
          <w:color w:val="auto"/>
          <w:sz w:val="20"/>
          <w:szCs w:val="20"/>
          <w:lang w:eastAsia="es-CO"/>
        </w:rPr>
        <w:t xml:space="preserve"> Como consecuencia del cambio de naturaleza, la Agencia Nacional de Infraestructura, tendrá por objeto planear, coordinar, estructurar, contratar, ejecutar, administrar y evaluar proyectos de concesiones y otras formas de Asociación Público Privada (APP), para el diseño, construcción, mantenimiento, operación, administración y/o explotación de la infraestructura pública de transporte en todos sus modos y de los servicios conexos o relacionados y el desarrollo de proyectos de asociación público privada para otro tipo de infraestructura pública cuando así lo determine expresamente el Gobierno Nacional respecto de infraestructuras semejantes a las enunciadas en este artículo, dentro del respeto a las normas que regulan la distribución de funciones y competencias y su asignación</w:t>
      </w:r>
      <w:r>
        <w:rPr>
          <w:rFonts w:ascii="Arial Narrow" w:hAnsi="Arial Narrow" w:cs="Gisha"/>
          <w:i/>
          <w:color w:val="auto"/>
          <w:sz w:val="20"/>
          <w:szCs w:val="20"/>
          <w:lang w:eastAsia="es-CO"/>
        </w:rPr>
        <w:t>”</w:t>
      </w:r>
      <w:r w:rsidR="006E5BFF" w:rsidRPr="00240156">
        <w:rPr>
          <w:rFonts w:ascii="Arial Narrow" w:hAnsi="Arial Narrow" w:cs="Gisha"/>
          <w:i/>
          <w:color w:val="auto"/>
          <w:sz w:val="20"/>
          <w:szCs w:val="20"/>
          <w:lang w:eastAsia="es-CO"/>
        </w:rPr>
        <w:t>.</w:t>
      </w:r>
    </w:p>
    <w:p w:rsidR="006E5BFF" w:rsidRPr="005B2A57" w:rsidRDefault="006E5BFF" w:rsidP="006E5BFF">
      <w:pPr>
        <w:rPr>
          <w:rFonts w:ascii="Arial Narrow" w:hAnsi="Arial Narrow" w:cs="Gisha"/>
          <w:b/>
          <w:bCs/>
          <w:sz w:val="22"/>
          <w:szCs w:val="22"/>
        </w:rPr>
      </w:pPr>
    </w:p>
    <w:p w:rsidR="006E5BFF" w:rsidRPr="005B2A57" w:rsidRDefault="006E5BFF" w:rsidP="006E5BF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jc w:val="both"/>
        <w:rPr>
          <w:rFonts w:ascii="Arial Narrow" w:hAnsi="Arial Narrow" w:cs="Gisha"/>
          <w:b/>
          <w:bCs/>
          <w:sz w:val="22"/>
          <w:szCs w:val="22"/>
        </w:rPr>
      </w:pPr>
      <w:r w:rsidRPr="005B2A57">
        <w:rPr>
          <w:rFonts w:ascii="Arial Narrow" w:hAnsi="Arial Narrow" w:cs="Gisha"/>
          <w:b/>
          <w:bCs/>
          <w:sz w:val="22"/>
          <w:szCs w:val="22"/>
        </w:rPr>
        <w:t>N2.  POLÍTICAS Y PRÁCTICAS CONTABLES</w:t>
      </w:r>
    </w:p>
    <w:p w:rsidR="006E5BFF" w:rsidRPr="005B2A57" w:rsidRDefault="006E5BFF" w:rsidP="006E5BF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b/>
          <w:bCs/>
          <w:sz w:val="22"/>
          <w:szCs w:val="22"/>
        </w:rPr>
      </w:pPr>
    </w:p>
    <w:p w:rsidR="006E5BFF" w:rsidRPr="005B2A57" w:rsidRDefault="006E5BFF" w:rsidP="006E5BF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rPr>
      </w:pPr>
      <w:r w:rsidRPr="005B2A57">
        <w:rPr>
          <w:rFonts w:ascii="Arial Narrow" w:hAnsi="Arial Narrow" w:cs="Gisha"/>
          <w:b/>
          <w:bCs/>
          <w:sz w:val="22"/>
          <w:szCs w:val="22"/>
        </w:rPr>
        <w:t>N2.1 APLICACIÓN DEL MARCO CONCEPTUAL DEL PGCP</w:t>
      </w:r>
      <w:r w:rsidRPr="005B2A57">
        <w:rPr>
          <w:rFonts w:ascii="Arial Narrow" w:hAnsi="Arial Narrow" w:cs="Gisha"/>
          <w:sz w:val="22"/>
          <w:szCs w:val="22"/>
        </w:rPr>
        <w:t>:</w:t>
      </w:r>
    </w:p>
    <w:p w:rsidR="006E5BFF" w:rsidRPr="005B2A57" w:rsidRDefault="006E5BFF" w:rsidP="006E5BF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rPr>
      </w:pPr>
    </w:p>
    <w:p w:rsidR="006E5BFF" w:rsidRPr="00BC0A96" w:rsidRDefault="006E5BFF" w:rsidP="006E5BF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rPr>
      </w:pPr>
      <w:r w:rsidRPr="005B2A57">
        <w:rPr>
          <w:rFonts w:ascii="Arial Narrow" w:hAnsi="Arial Narrow" w:cs="Gisha"/>
          <w:sz w:val="22"/>
          <w:szCs w:val="22"/>
          <w:lang w:val="es-CO"/>
        </w:rPr>
        <w:t>La Contaduría General de la Nación (</w:t>
      </w:r>
      <w:r>
        <w:rPr>
          <w:rFonts w:ascii="Arial Narrow" w:hAnsi="Arial Narrow" w:cs="Gisha"/>
          <w:sz w:val="22"/>
          <w:szCs w:val="22"/>
          <w:lang w:val="es-CO"/>
        </w:rPr>
        <w:t xml:space="preserve">en adelante </w:t>
      </w:r>
      <w:r w:rsidRPr="005B2A57">
        <w:rPr>
          <w:rFonts w:ascii="Arial Narrow" w:hAnsi="Arial Narrow" w:cs="Gisha"/>
          <w:sz w:val="22"/>
          <w:szCs w:val="22"/>
          <w:lang w:val="es-CO"/>
        </w:rPr>
        <w:t>CGN) en s</w:t>
      </w:r>
      <w:r w:rsidRPr="00BC0A96">
        <w:rPr>
          <w:rFonts w:ascii="Arial Narrow" w:hAnsi="Arial Narrow" w:cs="Gisha"/>
          <w:sz w:val="22"/>
          <w:szCs w:val="22"/>
          <w:lang w:val="es-CO"/>
        </w:rPr>
        <w:t>eptiembre de 2007 adoptó el Régime</w:t>
      </w:r>
      <w:r>
        <w:rPr>
          <w:rFonts w:ascii="Arial Narrow" w:hAnsi="Arial Narrow" w:cs="Gisha"/>
          <w:sz w:val="22"/>
          <w:szCs w:val="22"/>
          <w:lang w:val="es-CO"/>
        </w:rPr>
        <w:t>n de Contabilidad Pública (RCP);</w:t>
      </w:r>
      <w:r w:rsidRPr="00BC0A96">
        <w:rPr>
          <w:rFonts w:ascii="Arial Narrow" w:hAnsi="Arial Narrow" w:cs="Gisha"/>
          <w:sz w:val="22"/>
          <w:szCs w:val="22"/>
          <w:lang w:val="es-CO"/>
        </w:rPr>
        <w:t xml:space="preserve"> estableció la conformación y definió el ámbito de aplicación, p</w:t>
      </w:r>
      <w:r w:rsidRPr="00BC0A96">
        <w:rPr>
          <w:rFonts w:ascii="Arial Narrow" w:hAnsi="Arial Narrow" w:cs="Gisha"/>
          <w:sz w:val="22"/>
          <w:szCs w:val="22"/>
        </w:rPr>
        <w:t>ara el proceso de identificación, registro, preparación y revel</w:t>
      </w:r>
      <w:r>
        <w:rPr>
          <w:rFonts w:ascii="Arial Narrow" w:hAnsi="Arial Narrow" w:cs="Gisha"/>
          <w:sz w:val="22"/>
          <w:szCs w:val="22"/>
        </w:rPr>
        <w:t>ación de los</w:t>
      </w:r>
      <w:r w:rsidRPr="00BC0A96">
        <w:rPr>
          <w:rFonts w:ascii="Arial Narrow" w:hAnsi="Arial Narrow" w:cs="Gisha"/>
          <w:sz w:val="22"/>
          <w:szCs w:val="22"/>
        </w:rPr>
        <w:t xml:space="preserve"> Estados Contables</w:t>
      </w:r>
      <w:r>
        <w:rPr>
          <w:rFonts w:ascii="Arial Narrow" w:hAnsi="Arial Narrow" w:cs="Gisha"/>
          <w:sz w:val="22"/>
          <w:szCs w:val="22"/>
        </w:rPr>
        <w:t xml:space="preserve"> de las Entidades sujetas a la aplicación de dicho régimen.</w:t>
      </w:r>
      <w:r w:rsidRPr="00BC0A96">
        <w:rPr>
          <w:rFonts w:ascii="Arial Narrow" w:hAnsi="Arial Narrow" w:cs="Gisha"/>
          <w:sz w:val="22"/>
          <w:szCs w:val="22"/>
        </w:rPr>
        <w:t xml:space="preserve"> En este sentido</w:t>
      </w:r>
      <w:r>
        <w:rPr>
          <w:rFonts w:ascii="Arial Narrow" w:hAnsi="Arial Narrow" w:cs="Gisha"/>
          <w:sz w:val="22"/>
          <w:szCs w:val="22"/>
        </w:rPr>
        <w:t>,</w:t>
      </w:r>
      <w:r w:rsidRPr="00BC0A96">
        <w:rPr>
          <w:rFonts w:ascii="Arial Narrow" w:hAnsi="Arial Narrow" w:cs="Gisha"/>
          <w:sz w:val="22"/>
          <w:szCs w:val="22"/>
        </w:rPr>
        <w:t xml:space="preserve"> la entidad aplica lo contenido en el marco conceptual de la Contabilidad Pública y en el Catálogo General de Cuentas del Régimen de la Contabilidad Pública, así como las normas y procedimientos establecidos por la CGN en materia de registro oficial de los libros y preparación de los documentos soporte. </w:t>
      </w:r>
    </w:p>
    <w:p w:rsidR="006E5BFF" w:rsidRPr="00BC0A96" w:rsidRDefault="006E5BFF" w:rsidP="006E5BF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rPr>
      </w:pPr>
    </w:p>
    <w:p w:rsidR="006E5BFF" w:rsidRDefault="006E5BFF" w:rsidP="006E5BF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rPr>
      </w:pPr>
      <w:r w:rsidRPr="00294813">
        <w:rPr>
          <w:rFonts w:ascii="Arial Narrow" w:hAnsi="Arial Narrow" w:cs="Gisha"/>
          <w:sz w:val="22"/>
          <w:szCs w:val="22"/>
        </w:rPr>
        <w:t xml:space="preserve">En aplicación de la Resolución 119 del 2006, expedida por la CGN, se conformó el Comité Técnico de Sostenibilidad del Sistema de Contabilidad del Instituto Nacional de Concesiones – INCO hoy Agencia Nacional de Infraestructura, mediante Resolución 067 del 25 de Enero de 2007, </w:t>
      </w:r>
      <w:r>
        <w:rPr>
          <w:rFonts w:ascii="Arial Narrow" w:hAnsi="Arial Narrow" w:cs="Gisha"/>
          <w:sz w:val="22"/>
          <w:szCs w:val="22"/>
        </w:rPr>
        <w:t xml:space="preserve">acto administrativo el cual fue </w:t>
      </w:r>
      <w:r w:rsidRPr="00294813">
        <w:rPr>
          <w:rFonts w:ascii="Arial Narrow" w:hAnsi="Arial Narrow" w:cs="Gisha"/>
          <w:sz w:val="22"/>
          <w:szCs w:val="22"/>
        </w:rPr>
        <w:t>derogad</w:t>
      </w:r>
      <w:r>
        <w:rPr>
          <w:rFonts w:ascii="Arial Narrow" w:hAnsi="Arial Narrow" w:cs="Gisha"/>
          <w:sz w:val="22"/>
          <w:szCs w:val="22"/>
        </w:rPr>
        <w:t>o</w:t>
      </w:r>
      <w:r w:rsidRPr="00294813">
        <w:rPr>
          <w:rFonts w:ascii="Arial Narrow" w:hAnsi="Arial Narrow" w:cs="Gisha"/>
          <w:sz w:val="22"/>
          <w:szCs w:val="22"/>
        </w:rPr>
        <w:t xml:space="preserve"> mediante la Resolución No. 334 de junio de 2012</w:t>
      </w:r>
      <w:r>
        <w:rPr>
          <w:rFonts w:ascii="Arial Narrow" w:hAnsi="Arial Narrow" w:cs="Gisha"/>
          <w:sz w:val="22"/>
          <w:szCs w:val="22"/>
        </w:rPr>
        <w:t xml:space="preserve"> en la que se</w:t>
      </w:r>
      <w:r w:rsidRPr="00294813">
        <w:rPr>
          <w:rFonts w:ascii="Arial Narrow" w:hAnsi="Arial Narrow" w:cs="Gisha"/>
          <w:sz w:val="22"/>
          <w:szCs w:val="22"/>
        </w:rPr>
        <w:t xml:space="preserve"> </w:t>
      </w:r>
      <w:r>
        <w:rPr>
          <w:rFonts w:ascii="Arial Narrow" w:hAnsi="Arial Narrow" w:cs="Gisha"/>
          <w:sz w:val="22"/>
          <w:szCs w:val="22"/>
        </w:rPr>
        <w:t>ajustó la</w:t>
      </w:r>
      <w:r w:rsidRPr="00294813">
        <w:rPr>
          <w:rFonts w:ascii="Arial Narrow" w:hAnsi="Arial Narrow" w:cs="Gisha"/>
          <w:sz w:val="22"/>
          <w:szCs w:val="22"/>
        </w:rPr>
        <w:t xml:space="preserve"> conforma</w:t>
      </w:r>
      <w:r>
        <w:rPr>
          <w:rFonts w:ascii="Arial Narrow" w:hAnsi="Arial Narrow" w:cs="Gisha"/>
          <w:sz w:val="22"/>
          <w:szCs w:val="22"/>
        </w:rPr>
        <w:t xml:space="preserve">ción de </w:t>
      </w:r>
      <w:r w:rsidRPr="00294813">
        <w:rPr>
          <w:rFonts w:ascii="Arial Narrow" w:hAnsi="Arial Narrow" w:cs="Gisha"/>
          <w:sz w:val="22"/>
          <w:szCs w:val="22"/>
        </w:rPr>
        <w:t>dicho Comité</w:t>
      </w:r>
      <w:r>
        <w:rPr>
          <w:rFonts w:ascii="Arial Narrow" w:hAnsi="Arial Narrow" w:cs="Gisha"/>
          <w:sz w:val="22"/>
          <w:szCs w:val="22"/>
        </w:rPr>
        <w:t>, según la estructura orgánica prevista en el Decreto 4165 de 3 de noviembre de 2011 y la planta de personal de la Agencia Nacional de Infraestructura adoptada en el Decreto 0665 de 29 de marzo de 2012.</w:t>
      </w:r>
    </w:p>
    <w:p w:rsidR="006E5BFF" w:rsidRDefault="006E5BFF" w:rsidP="006E5BF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rPr>
      </w:pPr>
    </w:p>
    <w:p w:rsidR="006E5BFF" w:rsidRPr="00860FAA" w:rsidRDefault="006E5BFF" w:rsidP="006E5BF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rPr>
      </w:pPr>
      <w:r w:rsidRPr="00860FAA">
        <w:rPr>
          <w:rFonts w:ascii="Arial Narrow" w:hAnsi="Arial Narrow"/>
          <w:color w:val="000000"/>
          <w:sz w:val="22"/>
          <w:szCs w:val="22"/>
        </w:rPr>
        <w:lastRenderedPageBreak/>
        <w:t xml:space="preserve">Además, considerando que en el Decreto 1745 de 13 de agosto de 2013 se modificó la estructura de la Agencia Nacional de Infraestructura, creando una Vicepresidencia Ejecutiva, mediante Resolución 429 de 2014, se modificó el artículo primero de la </w:t>
      </w:r>
      <w:r w:rsidRPr="00860FAA">
        <w:rPr>
          <w:rFonts w:ascii="Arial Narrow" w:hAnsi="Arial Narrow" w:cs="Gisha"/>
          <w:sz w:val="22"/>
          <w:szCs w:val="22"/>
        </w:rPr>
        <w:t xml:space="preserve">Resolución No. 334 de junio de 2012, incluyendo </w:t>
      </w:r>
      <w:r w:rsidR="00D92DCE" w:rsidRPr="00860FAA">
        <w:rPr>
          <w:rFonts w:ascii="Arial Narrow" w:hAnsi="Arial Narrow" w:cs="Gisha"/>
          <w:sz w:val="22"/>
          <w:szCs w:val="22"/>
        </w:rPr>
        <w:t xml:space="preserve">al Vicepresidente Ejecutivo </w:t>
      </w:r>
      <w:r w:rsidRPr="00860FAA">
        <w:rPr>
          <w:rFonts w:ascii="Arial Narrow" w:hAnsi="Arial Narrow" w:cs="Gisha"/>
          <w:sz w:val="22"/>
          <w:szCs w:val="22"/>
        </w:rPr>
        <w:t>en la conformación del Comité Técnico de Sostenibilidad del Sistema de Contabilidad de la Age</w:t>
      </w:r>
      <w:r w:rsidR="00D92DCE">
        <w:rPr>
          <w:rFonts w:ascii="Arial Narrow" w:hAnsi="Arial Narrow" w:cs="Gisha"/>
          <w:sz w:val="22"/>
          <w:szCs w:val="22"/>
        </w:rPr>
        <w:t>ncia</w:t>
      </w:r>
      <w:r w:rsidRPr="00860FAA">
        <w:rPr>
          <w:rFonts w:ascii="Arial Narrow" w:hAnsi="Arial Narrow" w:cs="Gisha"/>
          <w:sz w:val="22"/>
          <w:szCs w:val="22"/>
        </w:rPr>
        <w:t>.</w:t>
      </w:r>
    </w:p>
    <w:p w:rsidR="006E5BFF" w:rsidRDefault="006E5BFF" w:rsidP="006E5BF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rPr>
      </w:pPr>
    </w:p>
    <w:p w:rsidR="006E5BFF" w:rsidRDefault="006E5BFF" w:rsidP="006E5BF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b/>
          <w:bCs/>
          <w:sz w:val="22"/>
          <w:szCs w:val="22"/>
        </w:rPr>
      </w:pPr>
    </w:p>
    <w:p w:rsidR="006E5BFF" w:rsidRPr="00BC0A96" w:rsidRDefault="006E5BFF" w:rsidP="006E5BF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b/>
          <w:bCs/>
          <w:sz w:val="22"/>
          <w:szCs w:val="22"/>
        </w:rPr>
      </w:pPr>
      <w:r w:rsidRPr="00BC0A96">
        <w:rPr>
          <w:rFonts w:ascii="Arial Narrow" w:hAnsi="Arial Narrow" w:cs="Gisha"/>
          <w:b/>
          <w:bCs/>
          <w:sz w:val="22"/>
          <w:szCs w:val="22"/>
        </w:rPr>
        <w:t>N2.2 POLÍTICAS DE LA GESTION CONTABLE</w:t>
      </w:r>
    </w:p>
    <w:p w:rsidR="006E5BFF" w:rsidRDefault="006E5BFF" w:rsidP="006E5BF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rPr>
      </w:pPr>
    </w:p>
    <w:p w:rsidR="006E5BFF" w:rsidRPr="00294813" w:rsidRDefault="004908D2" w:rsidP="006E5BF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bCs/>
          <w:sz w:val="22"/>
          <w:szCs w:val="22"/>
        </w:rPr>
      </w:pPr>
      <w:r>
        <w:rPr>
          <w:rFonts w:ascii="Arial Narrow" w:hAnsi="Arial Narrow" w:cs="Gisha"/>
          <w:sz w:val="22"/>
          <w:szCs w:val="22"/>
          <w:lang w:val="es-CO"/>
        </w:rPr>
        <w:t>L</w:t>
      </w:r>
      <w:r w:rsidR="006E5BFF" w:rsidRPr="00BC0A96">
        <w:rPr>
          <w:rFonts w:ascii="Arial Narrow" w:hAnsi="Arial Narrow" w:cs="Gisha"/>
          <w:sz w:val="22"/>
          <w:szCs w:val="22"/>
          <w:lang w:val="es-CO"/>
        </w:rPr>
        <w:t xml:space="preserve">os Estados Contables se </w:t>
      </w:r>
      <w:r>
        <w:rPr>
          <w:rFonts w:ascii="Arial Narrow" w:hAnsi="Arial Narrow" w:cs="Gisha"/>
          <w:sz w:val="22"/>
          <w:szCs w:val="22"/>
          <w:lang w:val="es-CO"/>
        </w:rPr>
        <w:t>realizaron</w:t>
      </w:r>
      <w:r w:rsidR="006E5BFF">
        <w:rPr>
          <w:rFonts w:ascii="Arial Narrow" w:hAnsi="Arial Narrow" w:cs="Gisha"/>
          <w:sz w:val="22"/>
          <w:szCs w:val="22"/>
          <w:lang w:val="es-CO"/>
        </w:rPr>
        <w:t xml:space="preserve"> según lo contemplado en l</w:t>
      </w:r>
      <w:r w:rsidR="006E5BFF" w:rsidRPr="00BC0A96">
        <w:rPr>
          <w:rFonts w:ascii="Arial Narrow" w:hAnsi="Arial Narrow" w:cs="Gisha"/>
          <w:sz w:val="22"/>
          <w:szCs w:val="22"/>
          <w:lang w:val="es-CO"/>
        </w:rPr>
        <w:t>as normas y principios de cont</w:t>
      </w:r>
      <w:r w:rsidR="006E5BFF">
        <w:rPr>
          <w:rFonts w:ascii="Arial Narrow" w:hAnsi="Arial Narrow" w:cs="Gisha"/>
          <w:sz w:val="22"/>
          <w:szCs w:val="22"/>
          <w:lang w:val="es-CO"/>
        </w:rPr>
        <w:t>abilidad de E</w:t>
      </w:r>
      <w:r w:rsidR="006E5BFF" w:rsidRPr="00BC0A96">
        <w:rPr>
          <w:rFonts w:ascii="Arial Narrow" w:hAnsi="Arial Narrow" w:cs="Gisha"/>
          <w:sz w:val="22"/>
          <w:szCs w:val="22"/>
          <w:lang w:val="es-CO"/>
        </w:rPr>
        <w:t>ntidades Públicas C</w:t>
      </w:r>
      <w:r w:rsidR="006E5BFF">
        <w:rPr>
          <w:rFonts w:ascii="Arial Narrow" w:hAnsi="Arial Narrow" w:cs="Gisha"/>
          <w:sz w:val="22"/>
          <w:szCs w:val="22"/>
          <w:lang w:val="es-CO"/>
        </w:rPr>
        <w:t>olombianas emitidas</w:t>
      </w:r>
      <w:r w:rsidR="006E5BFF" w:rsidRPr="00BC0A96">
        <w:rPr>
          <w:rFonts w:ascii="Arial Narrow" w:hAnsi="Arial Narrow" w:cs="Gisha"/>
          <w:sz w:val="22"/>
          <w:szCs w:val="22"/>
          <w:lang w:val="es-CO"/>
        </w:rPr>
        <w:t xml:space="preserve"> por la Contaduría General de la Nación (CGN)</w:t>
      </w:r>
      <w:r w:rsidR="006E5BFF" w:rsidRPr="00BC0A96">
        <w:rPr>
          <w:rFonts w:ascii="Arial Narrow" w:hAnsi="Arial Narrow" w:cs="Gisha"/>
          <w:sz w:val="22"/>
          <w:szCs w:val="22"/>
        </w:rPr>
        <w:t>.</w:t>
      </w:r>
      <w:r w:rsidR="006E5BFF">
        <w:rPr>
          <w:rFonts w:ascii="Arial Narrow" w:hAnsi="Arial Narrow" w:cs="Gisha"/>
          <w:sz w:val="22"/>
          <w:szCs w:val="22"/>
        </w:rPr>
        <w:t xml:space="preserve"> </w:t>
      </w:r>
      <w:r w:rsidR="006E5BFF" w:rsidRPr="00294813">
        <w:rPr>
          <w:rFonts w:ascii="Arial Narrow" w:hAnsi="Arial Narrow" w:cs="Gisha"/>
          <w:bCs/>
          <w:sz w:val="22"/>
          <w:szCs w:val="22"/>
        </w:rPr>
        <w:t>Dentro de estos principios se destacan</w:t>
      </w:r>
      <w:r>
        <w:rPr>
          <w:rFonts w:ascii="Arial Narrow" w:hAnsi="Arial Narrow" w:cs="Gisha"/>
          <w:bCs/>
          <w:sz w:val="22"/>
          <w:szCs w:val="22"/>
        </w:rPr>
        <w:t xml:space="preserve"> Causación, Valuación, Provisiones, Unidad de medida, D</w:t>
      </w:r>
      <w:r w:rsidR="004F46B3">
        <w:rPr>
          <w:rFonts w:ascii="Arial Narrow" w:hAnsi="Arial Narrow" w:cs="Gisha"/>
          <w:bCs/>
          <w:sz w:val="22"/>
          <w:szCs w:val="22"/>
        </w:rPr>
        <w:t>epreciación</w:t>
      </w:r>
      <w:r w:rsidR="003408EA">
        <w:rPr>
          <w:rFonts w:ascii="Arial Narrow" w:hAnsi="Arial Narrow" w:cs="Gisha"/>
          <w:bCs/>
          <w:sz w:val="22"/>
          <w:szCs w:val="22"/>
        </w:rPr>
        <w:t>:</w:t>
      </w:r>
    </w:p>
    <w:p w:rsidR="006E5BFF" w:rsidRDefault="006E5BFF" w:rsidP="006E5BF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bCs/>
          <w:sz w:val="22"/>
          <w:szCs w:val="22"/>
        </w:rPr>
      </w:pPr>
    </w:p>
    <w:p w:rsidR="006E5BFF" w:rsidRPr="00BC0A96" w:rsidRDefault="006E5BFF" w:rsidP="006E5BF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rPr>
      </w:pPr>
      <w:r w:rsidRPr="00BC0A96">
        <w:rPr>
          <w:rFonts w:ascii="Arial Narrow" w:hAnsi="Arial Narrow" w:cs="Gisha"/>
          <w:bCs/>
          <w:sz w:val="22"/>
          <w:szCs w:val="22"/>
        </w:rPr>
        <w:t xml:space="preserve">CAUSACIÓN: </w:t>
      </w:r>
      <w:r w:rsidRPr="00BC0A96">
        <w:rPr>
          <w:rFonts w:ascii="Arial Narrow" w:hAnsi="Arial Narrow" w:cs="Gisha"/>
          <w:sz w:val="22"/>
          <w:szCs w:val="22"/>
        </w:rPr>
        <w:t>Los costos y gastos, se contabilizan sobre la bas</w:t>
      </w:r>
      <w:r w:rsidR="00D92DCE">
        <w:rPr>
          <w:rFonts w:ascii="Arial Narrow" w:hAnsi="Arial Narrow" w:cs="Gisha"/>
          <w:sz w:val="22"/>
          <w:szCs w:val="22"/>
        </w:rPr>
        <w:t xml:space="preserve">e de la causación, </w:t>
      </w:r>
      <w:r w:rsidRPr="00BC0A96">
        <w:rPr>
          <w:rFonts w:ascii="Arial Narrow" w:hAnsi="Arial Narrow" w:cs="Gisha"/>
          <w:sz w:val="22"/>
          <w:szCs w:val="22"/>
        </w:rPr>
        <w:t>es decir, cuando se han perfeccionado las transacciones con terceros y en consecuencia, se han adquirido derechos y</w:t>
      </w:r>
      <w:r>
        <w:rPr>
          <w:rFonts w:ascii="Arial Narrow" w:hAnsi="Arial Narrow" w:cs="Gisha"/>
          <w:sz w:val="22"/>
          <w:szCs w:val="22"/>
        </w:rPr>
        <w:t>/o</w:t>
      </w:r>
      <w:r w:rsidRPr="00BC0A96">
        <w:rPr>
          <w:rFonts w:ascii="Arial Narrow" w:hAnsi="Arial Narrow" w:cs="Gisha"/>
          <w:sz w:val="22"/>
          <w:szCs w:val="22"/>
        </w:rPr>
        <w:t xml:space="preserve"> </w:t>
      </w:r>
      <w:r>
        <w:rPr>
          <w:rFonts w:ascii="Arial Narrow" w:hAnsi="Arial Narrow" w:cs="Gisha"/>
          <w:sz w:val="22"/>
          <w:szCs w:val="22"/>
        </w:rPr>
        <w:t xml:space="preserve">se han </w:t>
      </w:r>
      <w:r w:rsidRPr="00BC0A96">
        <w:rPr>
          <w:rFonts w:ascii="Arial Narrow" w:hAnsi="Arial Narrow" w:cs="Gisha"/>
          <w:sz w:val="22"/>
          <w:szCs w:val="22"/>
        </w:rPr>
        <w:t xml:space="preserve">asumido obligaciones o cuando han ocurrido hechos económicos de origen interno o externo que puedan influir en la estructura de los recursos de la Entidad. </w:t>
      </w:r>
    </w:p>
    <w:p w:rsidR="006E5BFF" w:rsidRPr="00BC0A96" w:rsidRDefault="006E5BFF" w:rsidP="006E5BF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rPr>
      </w:pPr>
    </w:p>
    <w:p w:rsidR="006E5BFF" w:rsidRPr="00BC0A96" w:rsidRDefault="006E5BFF" w:rsidP="006E5BFF">
      <w:pPr>
        <w:pStyle w:val="Ttulo9"/>
        <w:spacing w:line="240" w:lineRule="auto"/>
        <w:rPr>
          <w:rFonts w:ascii="Arial Narrow" w:hAnsi="Arial Narrow" w:cs="Gisha"/>
          <w:b w:val="0"/>
          <w:bCs w:val="0"/>
          <w:sz w:val="22"/>
          <w:szCs w:val="22"/>
        </w:rPr>
      </w:pPr>
      <w:r w:rsidRPr="00BC0A96">
        <w:rPr>
          <w:rFonts w:ascii="Arial Narrow" w:hAnsi="Arial Narrow" w:cs="Gisha"/>
          <w:b w:val="0"/>
          <w:sz w:val="22"/>
          <w:szCs w:val="22"/>
        </w:rPr>
        <w:t xml:space="preserve">VALUACIÓN: </w:t>
      </w:r>
      <w:r w:rsidRPr="00BC0A96">
        <w:rPr>
          <w:rFonts w:ascii="Arial Narrow" w:hAnsi="Arial Narrow" w:cs="Gisha"/>
          <w:b w:val="0"/>
          <w:bCs w:val="0"/>
          <w:sz w:val="22"/>
          <w:szCs w:val="22"/>
        </w:rPr>
        <w:t>Los hechos económicos y financieros que se cuantifican se registran al costo, fijado por la cantidad de dinero convenido, y los demás costos y gastos necesarios para poner los bienes en condiciones de utilización, así como los ajustes por diferencia en cambio sobre las obligaciones y derechos contraídos en moneda extranjera.</w:t>
      </w:r>
    </w:p>
    <w:p w:rsidR="006E5BFF" w:rsidRPr="00BC0A96" w:rsidRDefault="006E5BFF" w:rsidP="006E5BFF">
      <w:pPr>
        <w:pStyle w:val="Textoindependiente"/>
        <w:rPr>
          <w:rFonts w:ascii="Arial Narrow" w:hAnsi="Arial Narrow" w:cs="Gisha"/>
          <w:b w:val="0"/>
          <w:bCs w:val="0"/>
          <w:i w:val="0"/>
          <w:iCs w:val="0"/>
          <w:vanish w:val="0"/>
          <w:color w:val="auto"/>
          <w:sz w:val="22"/>
          <w:szCs w:val="22"/>
          <w:u w:val="none"/>
          <w:lang w:val="es-ES"/>
        </w:rPr>
      </w:pPr>
    </w:p>
    <w:p w:rsidR="006E5BFF" w:rsidRPr="00BC0A96" w:rsidRDefault="006E5BFF" w:rsidP="006E5BFF">
      <w:pPr>
        <w:pStyle w:val="Ttulo7"/>
        <w:jc w:val="both"/>
        <w:rPr>
          <w:rFonts w:ascii="Arial Narrow" w:hAnsi="Arial Narrow" w:cs="Gisha"/>
          <w:b w:val="0"/>
          <w:bCs w:val="0"/>
          <w:color w:val="auto"/>
          <w:sz w:val="22"/>
          <w:szCs w:val="22"/>
        </w:rPr>
      </w:pPr>
      <w:r w:rsidRPr="00BC0A96">
        <w:rPr>
          <w:rFonts w:ascii="Arial Narrow" w:hAnsi="Arial Narrow" w:cs="Gisha"/>
          <w:b w:val="0"/>
          <w:color w:val="auto"/>
          <w:sz w:val="22"/>
          <w:szCs w:val="22"/>
        </w:rPr>
        <w:t xml:space="preserve">PROVISIONES: </w:t>
      </w:r>
      <w:r w:rsidRPr="00BC0A96">
        <w:rPr>
          <w:rFonts w:ascii="Arial Narrow" w:hAnsi="Arial Narrow" w:cs="Gisha"/>
          <w:b w:val="0"/>
          <w:bCs w:val="0"/>
          <w:color w:val="auto"/>
          <w:sz w:val="22"/>
          <w:szCs w:val="22"/>
        </w:rPr>
        <w:t>Los pasivos estimados se contabilizan atendiendo el origen y dependiendo del hecho  futuro, estos pasivos son justificados, cuantificados y reconocidos por el valor estimado de acuerdo con criterios y disposiciones legales. Una vez la estimación</w:t>
      </w:r>
      <w:r w:rsidR="004908D2">
        <w:rPr>
          <w:rFonts w:ascii="Arial Narrow" w:hAnsi="Arial Narrow" w:cs="Gisha"/>
          <w:b w:val="0"/>
          <w:bCs w:val="0"/>
          <w:color w:val="auto"/>
          <w:sz w:val="22"/>
          <w:szCs w:val="22"/>
        </w:rPr>
        <w:t xml:space="preserve"> se materialice, se reclasifica</w:t>
      </w:r>
      <w:r w:rsidRPr="00BC0A96">
        <w:rPr>
          <w:rFonts w:ascii="Arial Narrow" w:hAnsi="Arial Narrow" w:cs="Gisha"/>
          <w:b w:val="0"/>
          <w:bCs w:val="0"/>
          <w:color w:val="auto"/>
          <w:sz w:val="22"/>
          <w:szCs w:val="22"/>
        </w:rPr>
        <w:t xml:space="preserve"> como un pasivo real o se extingue la provisión</w:t>
      </w:r>
      <w:r>
        <w:rPr>
          <w:rFonts w:ascii="Arial Narrow" w:hAnsi="Arial Narrow" w:cs="Gisha"/>
          <w:b w:val="0"/>
          <w:bCs w:val="0"/>
          <w:color w:val="auto"/>
          <w:sz w:val="22"/>
          <w:szCs w:val="22"/>
        </w:rPr>
        <w:t>,</w:t>
      </w:r>
      <w:r w:rsidR="004908D2">
        <w:rPr>
          <w:rFonts w:ascii="Arial Narrow" w:hAnsi="Arial Narrow" w:cs="Gisha"/>
          <w:b w:val="0"/>
          <w:bCs w:val="0"/>
          <w:color w:val="auto"/>
          <w:sz w:val="22"/>
          <w:szCs w:val="22"/>
        </w:rPr>
        <w:t xml:space="preserve"> según corresponda</w:t>
      </w:r>
      <w:r w:rsidRPr="00BC0A96">
        <w:rPr>
          <w:rFonts w:ascii="Arial Narrow" w:hAnsi="Arial Narrow" w:cs="Gisha"/>
          <w:b w:val="0"/>
          <w:bCs w:val="0"/>
          <w:color w:val="auto"/>
          <w:sz w:val="22"/>
          <w:szCs w:val="22"/>
        </w:rPr>
        <w:t xml:space="preserve">. </w:t>
      </w:r>
    </w:p>
    <w:p w:rsidR="006E5BFF" w:rsidRPr="00740112" w:rsidRDefault="006E5BFF" w:rsidP="006E5BFF">
      <w:pPr>
        <w:jc w:val="both"/>
        <w:rPr>
          <w:rFonts w:ascii="Arial Narrow" w:hAnsi="Arial Narrow" w:cs="Gisha"/>
          <w:sz w:val="22"/>
          <w:szCs w:val="22"/>
          <w:lang w:val="es-ES_tradnl"/>
        </w:rPr>
      </w:pPr>
    </w:p>
    <w:p w:rsidR="006E5BFF" w:rsidRPr="00BC0A96" w:rsidRDefault="006E5BFF" w:rsidP="006E5BFF">
      <w:pPr>
        <w:pStyle w:val="Ttulo9"/>
        <w:spacing w:line="240" w:lineRule="auto"/>
        <w:rPr>
          <w:rFonts w:ascii="Arial Narrow" w:hAnsi="Arial Narrow" w:cs="Gisha"/>
          <w:b w:val="0"/>
          <w:sz w:val="22"/>
          <w:szCs w:val="22"/>
        </w:rPr>
      </w:pPr>
      <w:r w:rsidRPr="00BC0A96">
        <w:rPr>
          <w:rFonts w:ascii="Arial Narrow" w:hAnsi="Arial Narrow" w:cs="Gisha"/>
          <w:b w:val="0"/>
          <w:sz w:val="22"/>
          <w:szCs w:val="22"/>
        </w:rPr>
        <w:t xml:space="preserve">UNIDAD DE MEDIDA: </w:t>
      </w:r>
      <w:r w:rsidRPr="00BC0A96">
        <w:rPr>
          <w:rFonts w:ascii="Arial Narrow" w:hAnsi="Arial Narrow" w:cs="Gisha"/>
          <w:b w:val="0"/>
          <w:bCs w:val="0"/>
          <w:sz w:val="22"/>
          <w:szCs w:val="22"/>
        </w:rPr>
        <w:t>El peso Colombiano es la unidad monetaria de medida utilizada para valorar y registrar las operaciones económicas, financieras y patrimoniales de la entidad.</w:t>
      </w:r>
    </w:p>
    <w:p w:rsidR="006E5BFF" w:rsidRPr="00BC0A96" w:rsidRDefault="006E5BFF" w:rsidP="006E5BF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rPr>
      </w:pPr>
    </w:p>
    <w:p w:rsidR="006E5BFF" w:rsidRPr="00BC0A96" w:rsidRDefault="006E5BFF" w:rsidP="006E5BFF">
      <w:pPr>
        <w:pStyle w:val="Ttulo9"/>
        <w:spacing w:line="240" w:lineRule="auto"/>
        <w:rPr>
          <w:rFonts w:ascii="Arial Narrow" w:hAnsi="Arial Narrow" w:cs="Gisha"/>
          <w:b w:val="0"/>
          <w:bCs w:val="0"/>
          <w:sz w:val="22"/>
          <w:szCs w:val="22"/>
        </w:rPr>
      </w:pPr>
      <w:r w:rsidRPr="00BC0A96">
        <w:rPr>
          <w:rFonts w:ascii="Arial Narrow" w:hAnsi="Arial Narrow" w:cs="Gisha"/>
          <w:b w:val="0"/>
          <w:sz w:val="22"/>
          <w:szCs w:val="22"/>
        </w:rPr>
        <w:t xml:space="preserve">DEPRECIACIÓN: </w:t>
      </w:r>
      <w:r w:rsidRPr="00BC0A96">
        <w:rPr>
          <w:rFonts w:ascii="Arial Narrow" w:hAnsi="Arial Narrow" w:cs="Gisha"/>
          <w:b w:val="0"/>
          <w:bCs w:val="0"/>
          <w:sz w:val="22"/>
          <w:szCs w:val="22"/>
        </w:rPr>
        <w:t>El método utilizado para el cálculo de la depreciación es el de línea recta  para cada bien,  de acuerdo con la vida útil estimada, que para la entidad se tomó como se ilustra a continuación:</w:t>
      </w:r>
    </w:p>
    <w:p w:rsidR="006E5BFF" w:rsidRPr="00BC0A96" w:rsidRDefault="006E5BFF" w:rsidP="006E5BFF">
      <w:pPr>
        <w:rPr>
          <w:rFonts w:ascii="Arial Narrow" w:hAnsi="Arial Narrow" w:cs="Gisha"/>
          <w:sz w:val="22"/>
          <w:szCs w:val="22"/>
        </w:rPr>
      </w:pPr>
    </w:p>
    <w:p w:rsidR="006E5BFF" w:rsidRPr="00BC0A96" w:rsidRDefault="00637B23" w:rsidP="004C06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418" w:hanging="1418"/>
        <w:jc w:val="center"/>
        <w:rPr>
          <w:rFonts w:ascii="Arial Narrow" w:hAnsi="Arial Narrow" w:cs="Gisha"/>
          <w:bCs/>
          <w:sz w:val="22"/>
          <w:szCs w:val="22"/>
        </w:rPr>
      </w:pPr>
      <w:r w:rsidRPr="00637B23">
        <w:rPr>
          <w:noProof/>
          <w:lang w:val="es-CO" w:eastAsia="es-CO"/>
        </w:rPr>
        <w:drawing>
          <wp:inline distT="0" distB="0" distL="0" distR="0">
            <wp:extent cx="4429125" cy="1000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9125" cy="1000125"/>
                    </a:xfrm>
                    <a:prstGeom prst="rect">
                      <a:avLst/>
                    </a:prstGeom>
                    <a:noFill/>
                    <a:ln>
                      <a:noFill/>
                    </a:ln>
                  </pic:spPr>
                </pic:pic>
              </a:graphicData>
            </a:graphic>
          </wp:inline>
        </w:drawing>
      </w:r>
    </w:p>
    <w:p w:rsidR="006E5BFF" w:rsidRPr="00BC0A96" w:rsidRDefault="006E5BFF" w:rsidP="006E5BF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bCs/>
          <w:sz w:val="22"/>
          <w:szCs w:val="22"/>
        </w:rPr>
      </w:pPr>
    </w:p>
    <w:p w:rsidR="006E5BFF" w:rsidRDefault="006E5BFF" w:rsidP="006E5BF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b/>
          <w:bCs/>
          <w:sz w:val="22"/>
          <w:szCs w:val="22"/>
        </w:rPr>
      </w:pPr>
    </w:p>
    <w:p w:rsidR="006E5BFF" w:rsidRPr="00BC0A96" w:rsidRDefault="006E5BFF" w:rsidP="006E5BF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b/>
          <w:bCs/>
          <w:sz w:val="22"/>
          <w:szCs w:val="22"/>
        </w:rPr>
      </w:pPr>
      <w:r>
        <w:rPr>
          <w:rFonts w:ascii="Arial Narrow" w:hAnsi="Arial Narrow" w:cs="Gisha"/>
          <w:b/>
          <w:bCs/>
          <w:sz w:val="22"/>
          <w:szCs w:val="22"/>
        </w:rPr>
        <w:t>N2.</w:t>
      </w:r>
      <w:r w:rsidRPr="00294813">
        <w:rPr>
          <w:rFonts w:ascii="Arial Narrow" w:hAnsi="Arial Narrow" w:cs="Gisha"/>
          <w:b/>
          <w:bCs/>
          <w:sz w:val="22"/>
          <w:szCs w:val="22"/>
        </w:rPr>
        <w:t>3</w:t>
      </w:r>
      <w:r w:rsidRPr="00740112">
        <w:rPr>
          <w:rFonts w:ascii="Arial Narrow" w:hAnsi="Arial Narrow" w:cs="Gisha"/>
          <w:b/>
          <w:bCs/>
          <w:color w:val="FF0000"/>
          <w:sz w:val="22"/>
          <w:szCs w:val="22"/>
        </w:rPr>
        <w:t xml:space="preserve"> </w:t>
      </w:r>
      <w:r w:rsidRPr="00BC0A96">
        <w:rPr>
          <w:rFonts w:ascii="Arial Narrow" w:hAnsi="Arial Narrow" w:cs="Gisha"/>
          <w:b/>
          <w:bCs/>
          <w:sz w:val="22"/>
          <w:szCs w:val="22"/>
        </w:rPr>
        <w:t>REGISTRO OFICIAL DE LOS LIBROS DE CONTABILIDAD Y DOCUMENTOS SOPORTE.</w:t>
      </w:r>
    </w:p>
    <w:p w:rsidR="006E5BFF" w:rsidRPr="00BC0A96" w:rsidRDefault="006E5BFF" w:rsidP="006E5BF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rPr>
      </w:pPr>
    </w:p>
    <w:p w:rsidR="006E5BFF" w:rsidRPr="00BC0A96" w:rsidRDefault="006E5BFF" w:rsidP="006E5BF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ascii="Arial Narrow" w:hAnsi="Arial Narrow" w:cs="Gisha"/>
          <w:sz w:val="22"/>
          <w:szCs w:val="22"/>
        </w:rPr>
      </w:pPr>
      <w:r w:rsidRPr="00BC0A96">
        <w:rPr>
          <w:rFonts w:ascii="Arial Narrow" w:hAnsi="Arial Narrow" w:cs="Gisha"/>
          <w:sz w:val="22"/>
          <w:szCs w:val="22"/>
        </w:rPr>
        <w:t>En materia de registro oficial de libros y preparación de los documentos soporte, la entidad aplica las normas y procedimientos establecidos por la Contaduría General de la Nación, los cuales garantizan el registro, utilización, veracidad y custodia de</w:t>
      </w:r>
      <w:r>
        <w:rPr>
          <w:rFonts w:ascii="Arial Narrow" w:hAnsi="Arial Narrow" w:cs="Gisha"/>
          <w:sz w:val="22"/>
          <w:szCs w:val="22"/>
        </w:rPr>
        <w:t xml:space="preserve"> estos documentos</w:t>
      </w:r>
      <w:r w:rsidRPr="00BC0A96">
        <w:rPr>
          <w:rFonts w:ascii="Arial Narrow" w:hAnsi="Arial Narrow" w:cs="Gisha"/>
          <w:sz w:val="22"/>
          <w:szCs w:val="22"/>
        </w:rPr>
        <w:t>.</w:t>
      </w:r>
    </w:p>
    <w:p w:rsidR="00240156" w:rsidRDefault="00240156" w:rsidP="006E5BFF">
      <w:pPr>
        <w:pStyle w:val="Lista"/>
        <w:ind w:left="0" w:firstLine="0"/>
        <w:jc w:val="both"/>
        <w:rPr>
          <w:rFonts w:ascii="Arial Narrow" w:hAnsi="Arial Narrow" w:cs="Gisha"/>
          <w:color w:val="auto"/>
          <w:sz w:val="22"/>
          <w:szCs w:val="22"/>
        </w:rPr>
      </w:pPr>
    </w:p>
    <w:p w:rsidR="006E5BFF" w:rsidRPr="00BC0A96" w:rsidRDefault="006E5BFF" w:rsidP="006E5BFF">
      <w:pPr>
        <w:pStyle w:val="Lista"/>
        <w:ind w:left="0" w:firstLine="0"/>
        <w:jc w:val="both"/>
        <w:rPr>
          <w:rFonts w:ascii="Arial Narrow" w:hAnsi="Arial Narrow" w:cs="Gisha"/>
          <w:color w:val="auto"/>
          <w:sz w:val="22"/>
          <w:szCs w:val="22"/>
        </w:rPr>
      </w:pPr>
      <w:r w:rsidRPr="00BC0A96">
        <w:rPr>
          <w:rFonts w:ascii="Arial Narrow" w:hAnsi="Arial Narrow" w:cs="Gisha"/>
          <w:color w:val="auto"/>
          <w:sz w:val="22"/>
          <w:szCs w:val="22"/>
        </w:rPr>
        <w:t xml:space="preserve">Estos </w:t>
      </w:r>
      <w:r>
        <w:rPr>
          <w:rFonts w:ascii="Arial Narrow" w:hAnsi="Arial Narrow" w:cs="Gisha"/>
          <w:color w:val="auto"/>
          <w:sz w:val="22"/>
          <w:szCs w:val="22"/>
        </w:rPr>
        <w:t>l</w:t>
      </w:r>
      <w:r w:rsidRPr="00BC0A96">
        <w:rPr>
          <w:rFonts w:ascii="Arial Narrow" w:hAnsi="Arial Narrow" w:cs="Gisha"/>
          <w:color w:val="auto"/>
          <w:sz w:val="22"/>
          <w:szCs w:val="22"/>
        </w:rPr>
        <w:t>ibros</w:t>
      </w:r>
      <w:r>
        <w:rPr>
          <w:rFonts w:ascii="Arial Narrow" w:hAnsi="Arial Narrow" w:cs="Gisha"/>
          <w:color w:val="auto"/>
          <w:sz w:val="22"/>
          <w:szCs w:val="22"/>
        </w:rPr>
        <w:t xml:space="preserve"> </w:t>
      </w:r>
      <w:r w:rsidRPr="00BC0A96">
        <w:rPr>
          <w:rFonts w:ascii="Arial Narrow" w:hAnsi="Arial Narrow" w:cs="Gisha"/>
          <w:color w:val="auto"/>
          <w:sz w:val="22"/>
          <w:szCs w:val="22"/>
        </w:rPr>
        <w:t>Diario y Mayor, están actualizados a Diciembre 31 de 201</w:t>
      </w:r>
      <w:r w:rsidR="003122D7">
        <w:rPr>
          <w:rFonts w:ascii="Arial Narrow" w:hAnsi="Arial Narrow" w:cs="Gisha"/>
          <w:color w:val="auto"/>
          <w:sz w:val="22"/>
          <w:szCs w:val="22"/>
        </w:rPr>
        <w:t>5</w:t>
      </w:r>
      <w:r w:rsidRPr="00BC0A96">
        <w:rPr>
          <w:rFonts w:ascii="Arial Narrow" w:hAnsi="Arial Narrow" w:cs="Gisha"/>
          <w:color w:val="auto"/>
          <w:sz w:val="22"/>
          <w:szCs w:val="22"/>
        </w:rPr>
        <w:t xml:space="preserve"> y comprenden la totalidad de los registros de las operaciones originadas en las diferentes áreas que integran la </w:t>
      </w:r>
      <w:r>
        <w:rPr>
          <w:rFonts w:ascii="Arial Narrow" w:hAnsi="Arial Narrow" w:cs="Gisha"/>
          <w:color w:val="auto"/>
          <w:sz w:val="22"/>
          <w:szCs w:val="22"/>
        </w:rPr>
        <w:t>Agencia.</w:t>
      </w:r>
      <w:r w:rsidRPr="00BC0A96">
        <w:rPr>
          <w:rFonts w:ascii="Arial Narrow" w:hAnsi="Arial Narrow" w:cs="Gisha"/>
          <w:color w:val="auto"/>
          <w:sz w:val="22"/>
          <w:szCs w:val="22"/>
        </w:rPr>
        <w:t xml:space="preserve"> En el área contable reposan todos los soportes y documentos fuentes para el registro de la información, así como en el aplicativo SIIF NACION II</w:t>
      </w:r>
      <w:r>
        <w:rPr>
          <w:rFonts w:ascii="Arial Narrow" w:hAnsi="Arial Narrow" w:cs="Gisha"/>
          <w:color w:val="auto"/>
          <w:sz w:val="22"/>
          <w:szCs w:val="22"/>
        </w:rPr>
        <w:t xml:space="preserve"> y </w:t>
      </w:r>
      <w:r w:rsidRPr="000333E9">
        <w:rPr>
          <w:rFonts w:ascii="Arial Narrow" w:hAnsi="Arial Narrow" w:cs="Gisha"/>
          <w:color w:val="auto"/>
          <w:sz w:val="22"/>
          <w:szCs w:val="22"/>
        </w:rPr>
        <w:t>el sistema de información financiera SINFAD como auxiliar de los códigos contables</w:t>
      </w:r>
      <w:r w:rsidRPr="00BC0A96">
        <w:rPr>
          <w:rFonts w:ascii="Arial Narrow" w:hAnsi="Arial Narrow" w:cs="Gisha"/>
          <w:color w:val="auto"/>
          <w:sz w:val="22"/>
          <w:szCs w:val="22"/>
        </w:rPr>
        <w:t>.</w:t>
      </w:r>
    </w:p>
    <w:p w:rsidR="006E5BFF" w:rsidRPr="009F6DFC" w:rsidRDefault="006E5BFF" w:rsidP="006E5BFF">
      <w:pPr>
        <w:pStyle w:val="Lista"/>
        <w:ind w:left="0" w:firstLine="0"/>
        <w:jc w:val="both"/>
        <w:rPr>
          <w:rFonts w:ascii="Arial Narrow" w:hAnsi="Arial Narrow" w:cs="Gisha"/>
          <w:color w:val="auto"/>
          <w:sz w:val="22"/>
          <w:szCs w:val="22"/>
        </w:rPr>
      </w:pPr>
    </w:p>
    <w:p w:rsidR="006E5BFF" w:rsidRPr="00BC0A96" w:rsidRDefault="006E5BFF" w:rsidP="006E5BFF">
      <w:pPr>
        <w:pStyle w:val="Lista"/>
        <w:ind w:left="0" w:firstLine="0"/>
        <w:jc w:val="both"/>
        <w:rPr>
          <w:rFonts w:ascii="Arial Narrow" w:hAnsi="Arial Narrow" w:cs="Gisha"/>
          <w:color w:val="auto"/>
          <w:sz w:val="22"/>
          <w:szCs w:val="22"/>
          <w:lang w:val="es-CO"/>
        </w:rPr>
      </w:pPr>
      <w:r w:rsidRPr="00BC0A96">
        <w:rPr>
          <w:rFonts w:ascii="Arial Narrow" w:hAnsi="Arial Narrow" w:cs="Gisha"/>
          <w:color w:val="auto"/>
          <w:sz w:val="22"/>
          <w:szCs w:val="22"/>
          <w:lang w:val="es-CO"/>
        </w:rPr>
        <w:t>Adicionalmente en lo pertinente a la información contable se precisa que:</w:t>
      </w:r>
    </w:p>
    <w:p w:rsidR="006E5BFF" w:rsidRPr="00BC0A96" w:rsidRDefault="006E5BFF" w:rsidP="006E5BFF">
      <w:pPr>
        <w:pStyle w:val="Lista"/>
        <w:ind w:left="0" w:firstLine="0"/>
        <w:jc w:val="both"/>
        <w:rPr>
          <w:rFonts w:ascii="Arial Narrow" w:hAnsi="Arial Narrow" w:cs="Gisha"/>
          <w:color w:val="auto"/>
          <w:sz w:val="22"/>
          <w:szCs w:val="22"/>
          <w:lang w:val="es-CO"/>
        </w:rPr>
      </w:pPr>
    </w:p>
    <w:p w:rsidR="006E5BFF" w:rsidRPr="00BC0A96" w:rsidRDefault="006E5BFF" w:rsidP="00873358">
      <w:pPr>
        <w:pStyle w:val="Prrafodelista"/>
        <w:numPr>
          <w:ilvl w:val="0"/>
          <w:numId w:val="3"/>
        </w:numPr>
        <w:spacing w:after="200" w:line="276" w:lineRule="auto"/>
        <w:contextualSpacing/>
        <w:jc w:val="both"/>
        <w:rPr>
          <w:rFonts w:cs="Gisha"/>
          <w:sz w:val="22"/>
          <w:szCs w:val="22"/>
          <w:lang w:val="es-ES"/>
        </w:rPr>
      </w:pPr>
      <w:r w:rsidRPr="00BC0A96">
        <w:rPr>
          <w:rFonts w:cs="Gisha"/>
          <w:sz w:val="22"/>
          <w:szCs w:val="22"/>
          <w:lang w:val="es-ES"/>
        </w:rPr>
        <w:t xml:space="preserve">Según lo previsto en el artículo 7 del Decreto 178 de 2003, los órganos ejecutores del Presupuesto Nacional  obligatoriamente deben </w:t>
      </w:r>
      <w:r w:rsidRPr="00BC0A96">
        <w:rPr>
          <w:rFonts w:cs="Gisha"/>
          <w:i/>
          <w:sz w:val="22"/>
          <w:szCs w:val="22"/>
          <w:lang w:val="es-ES"/>
        </w:rPr>
        <w:t>“… registrar en línea sus transacciones en el SIIF Nación…”.</w:t>
      </w:r>
    </w:p>
    <w:p w:rsidR="006E5BFF" w:rsidRPr="00BC0A96" w:rsidRDefault="006E5BFF" w:rsidP="006E5BFF">
      <w:pPr>
        <w:pStyle w:val="Prrafodelista"/>
        <w:jc w:val="both"/>
        <w:rPr>
          <w:rFonts w:cs="Gisha"/>
          <w:sz w:val="22"/>
          <w:szCs w:val="22"/>
          <w:lang w:val="es-ES"/>
        </w:rPr>
      </w:pPr>
    </w:p>
    <w:p w:rsidR="006E5BFF" w:rsidRPr="00BC0A96" w:rsidRDefault="006E5BFF" w:rsidP="00873358">
      <w:pPr>
        <w:pStyle w:val="Prrafodelista"/>
        <w:numPr>
          <w:ilvl w:val="0"/>
          <w:numId w:val="3"/>
        </w:numPr>
        <w:spacing w:after="200" w:line="276" w:lineRule="auto"/>
        <w:contextualSpacing/>
        <w:jc w:val="both"/>
        <w:rPr>
          <w:rFonts w:cs="Gisha"/>
          <w:sz w:val="22"/>
          <w:szCs w:val="22"/>
          <w:lang w:val="es-ES"/>
        </w:rPr>
      </w:pPr>
      <w:r w:rsidRPr="00BC0A96">
        <w:rPr>
          <w:rFonts w:cs="Gisha"/>
          <w:sz w:val="22"/>
          <w:szCs w:val="22"/>
          <w:lang w:val="es-ES"/>
        </w:rPr>
        <w:t>El literal d) del artículo 6 del Decreto 2789 de 2004 establece que la información registrada en el Sistema Integrado de Información Financiera –SIIF- es la fuente válida para la generación de información contable básica para la obtención de los informes y  estados contables requeridos por la Contaduría General de la Nación.</w:t>
      </w:r>
    </w:p>
    <w:p w:rsidR="006E5BFF" w:rsidRPr="00BC0A96" w:rsidRDefault="006E5BFF" w:rsidP="006E5BFF">
      <w:pPr>
        <w:pStyle w:val="Prrafodelista"/>
        <w:rPr>
          <w:rFonts w:cs="Gisha"/>
          <w:sz w:val="22"/>
          <w:szCs w:val="22"/>
          <w:lang w:val="es-ES"/>
        </w:rPr>
      </w:pPr>
    </w:p>
    <w:p w:rsidR="006E5BFF" w:rsidRPr="00BC0A96" w:rsidRDefault="006E5BFF" w:rsidP="006E5BFF">
      <w:pPr>
        <w:jc w:val="both"/>
        <w:rPr>
          <w:rFonts w:ascii="Arial Narrow" w:hAnsi="Arial Narrow" w:cs="Gisha"/>
          <w:sz w:val="22"/>
          <w:szCs w:val="22"/>
        </w:rPr>
      </w:pPr>
      <w:r w:rsidRPr="00BC0A96">
        <w:rPr>
          <w:rFonts w:ascii="Arial Narrow" w:hAnsi="Arial Narrow" w:cs="Gisha"/>
          <w:sz w:val="22"/>
          <w:szCs w:val="22"/>
        </w:rPr>
        <w:t>Conforme lo anterior, se han generado los estados contables de la Agencia a través del aplicativo SIIF Nación II</w:t>
      </w:r>
      <w:r>
        <w:rPr>
          <w:rFonts w:ascii="Arial Narrow" w:hAnsi="Arial Narrow" w:cs="Gisha"/>
          <w:sz w:val="22"/>
          <w:szCs w:val="22"/>
        </w:rPr>
        <w:t xml:space="preserve">. </w:t>
      </w:r>
    </w:p>
    <w:p w:rsidR="006E5BFF" w:rsidRPr="00BC0A96" w:rsidRDefault="006E5BFF" w:rsidP="006E5BFF">
      <w:pPr>
        <w:pStyle w:val="Sangra2detindependiente"/>
        <w:spacing w:line="240" w:lineRule="auto"/>
        <w:ind w:left="0" w:firstLine="0"/>
        <w:rPr>
          <w:rFonts w:ascii="Arial Narrow" w:hAnsi="Arial Narrow" w:cs="Gisha"/>
          <w:b w:val="0"/>
          <w:color w:val="auto"/>
          <w:sz w:val="22"/>
          <w:szCs w:val="22"/>
        </w:rPr>
      </w:pPr>
    </w:p>
    <w:p w:rsidR="006E5BFF" w:rsidRDefault="006E5BFF" w:rsidP="006E5BFF">
      <w:pPr>
        <w:pStyle w:val="Sangra2detindependiente"/>
        <w:spacing w:line="240" w:lineRule="auto"/>
        <w:ind w:left="0" w:firstLine="0"/>
        <w:rPr>
          <w:rFonts w:ascii="Arial Narrow" w:hAnsi="Arial Narrow" w:cs="Gisha"/>
          <w:color w:val="auto"/>
          <w:sz w:val="22"/>
          <w:szCs w:val="22"/>
        </w:rPr>
      </w:pPr>
    </w:p>
    <w:p w:rsidR="006E5BFF" w:rsidRPr="00BC0A96" w:rsidRDefault="006E5BFF" w:rsidP="006E5BFF">
      <w:pPr>
        <w:pStyle w:val="Sangra2detindependiente"/>
        <w:spacing w:line="240" w:lineRule="auto"/>
        <w:ind w:left="0" w:firstLine="0"/>
        <w:rPr>
          <w:rFonts w:ascii="Arial Narrow" w:hAnsi="Arial Narrow" w:cs="Gisha"/>
          <w:color w:val="auto"/>
          <w:sz w:val="22"/>
          <w:szCs w:val="22"/>
        </w:rPr>
      </w:pPr>
      <w:r>
        <w:rPr>
          <w:rFonts w:ascii="Arial Narrow" w:hAnsi="Arial Narrow" w:cs="Gisha"/>
          <w:color w:val="auto"/>
          <w:sz w:val="22"/>
          <w:szCs w:val="22"/>
        </w:rPr>
        <w:t>N</w:t>
      </w:r>
      <w:r w:rsidRPr="00294813">
        <w:rPr>
          <w:rFonts w:ascii="Arial Narrow" w:hAnsi="Arial Narrow" w:cs="Gisha"/>
          <w:color w:val="auto"/>
          <w:sz w:val="22"/>
          <w:szCs w:val="22"/>
        </w:rPr>
        <w:t>.3</w:t>
      </w:r>
      <w:r w:rsidRPr="00740112">
        <w:rPr>
          <w:rFonts w:ascii="Arial Narrow" w:hAnsi="Arial Narrow" w:cs="Gisha"/>
          <w:color w:val="FF0000"/>
          <w:sz w:val="22"/>
          <w:szCs w:val="22"/>
        </w:rPr>
        <w:t xml:space="preserve"> </w:t>
      </w:r>
      <w:r w:rsidRPr="00BC0A96">
        <w:rPr>
          <w:rFonts w:ascii="Arial Narrow" w:hAnsi="Arial Narrow" w:cs="Gisha"/>
          <w:color w:val="auto"/>
          <w:sz w:val="22"/>
          <w:szCs w:val="22"/>
        </w:rPr>
        <w:t>LIMITACIONES Y/O DEFICIENCIAS DE TIPO OPERATIVO O ADMINISTRATIVO  EN EL PROCESO CONTABLE.</w:t>
      </w:r>
    </w:p>
    <w:p w:rsidR="006E5BFF" w:rsidRPr="00BC0A96" w:rsidRDefault="006E5BFF" w:rsidP="006E5BFF">
      <w:pPr>
        <w:pStyle w:val="Sangra2detindependiente"/>
        <w:spacing w:line="240" w:lineRule="auto"/>
        <w:ind w:left="0" w:firstLine="0"/>
        <w:rPr>
          <w:rFonts w:ascii="Arial Narrow" w:hAnsi="Arial Narrow" w:cs="Gisha"/>
          <w:b w:val="0"/>
          <w:color w:val="auto"/>
          <w:sz w:val="22"/>
          <w:szCs w:val="22"/>
        </w:rPr>
      </w:pPr>
    </w:p>
    <w:p w:rsidR="006E5BFF" w:rsidRPr="00BC0A96" w:rsidRDefault="006E5BFF" w:rsidP="006E5BFF">
      <w:pPr>
        <w:jc w:val="both"/>
        <w:rPr>
          <w:rFonts w:ascii="Arial Narrow" w:hAnsi="Arial Narrow" w:cs="Arial"/>
          <w:i/>
          <w:sz w:val="22"/>
          <w:szCs w:val="22"/>
        </w:rPr>
      </w:pPr>
      <w:r w:rsidRPr="00BC0A96">
        <w:rPr>
          <w:rFonts w:ascii="Arial Narrow" w:hAnsi="Arial Narrow" w:cs="Arial"/>
          <w:sz w:val="22"/>
          <w:szCs w:val="22"/>
        </w:rPr>
        <w:t>El Ministerio de Hacienda</w:t>
      </w:r>
      <w:r>
        <w:rPr>
          <w:rFonts w:ascii="Arial Narrow" w:hAnsi="Arial Narrow" w:cs="Arial"/>
          <w:sz w:val="22"/>
          <w:szCs w:val="22"/>
        </w:rPr>
        <w:t xml:space="preserve"> y Crédito Público</w:t>
      </w:r>
      <w:r w:rsidRPr="00BC0A96">
        <w:rPr>
          <w:rFonts w:ascii="Arial Narrow" w:hAnsi="Arial Narrow" w:cs="Arial"/>
          <w:sz w:val="22"/>
          <w:szCs w:val="22"/>
        </w:rPr>
        <w:t xml:space="preserve"> en la Circular Externa 028 del 30 de agosto de 2012,  informó que: “</w:t>
      </w:r>
      <w:r w:rsidRPr="00BC0A96">
        <w:rPr>
          <w:rFonts w:ascii="Arial Narrow" w:hAnsi="Arial Narrow" w:cs="Arial"/>
          <w:i/>
          <w:sz w:val="22"/>
          <w:szCs w:val="22"/>
        </w:rPr>
        <w:t>la contabilidad oficial que se reporte al CHIP será la registrada en el SIIF Nación, Por tal razón, las entidades que hacen parte el Presupuesto General de la Nación deberán cargar en el presente año en dicha aplicación, los saldos contables iniciales reportados en el CHIP c</w:t>
      </w:r>
      <w:r>
        <w:rPr>
          <w:rFonts w:ascii="Arial Narrow" w:hAnsi="Arial Narrow" w:cs="Arial"/>
          <w:i/>
          <w:sz w:val="22"/>
          <w:szCs w:val="22"/>
        </w:rPr>
        <w:t>omo saldos finales del año 2011</w:t>
      </w:r>
      <w:r w:rsidRPr="00BC0A96">
        <w:rPr>
          <w:rFonts w:ascii="Arial Narrow" w:hAnsi="Arial Narrow" w:cs="Arial"/>
          <w:i/>
          <w:sz w:val="22"/>
          <w:szCs w:val="22"/>
        </w:rPr>
        <w:t xml:space="preserve">”.  </w:t>
      </w:r>
    </w:p>
    <w:p w:rsidR="006E5BFF" w:rsidRPr="00BC0A96" w:rsidRDefault="006E5BFF" w:rsidP="006E5BFF">
      <w:pPr>
        <w:jc w:val="both"/>
        <w:rPr>
          <w:rFonts w:ascii="Arial Narrow" w:hAnsi="Arial Narrow" w:cs="Arial"/>
          <w:sz w:val="22"/>
          <w:szCs w:val="22"/>
        </w:rPr>
      </w:pPr>
    </w:p>
    <w:p w:rsidR="006E5BFF" w:rsidRPr="00BC0A96" w:rsidRDefault="006E5BFF" w:rsidP="006E5BFF">
      <w:pPr>
        <w:jc w:val="both"/>
        <w:rPr>
          <w:rFonts w:ascii="Arial Narrow" w:hAnsi="Arial Narrow" w:cs="Gisha"/>
          <w:sz w:val="22"/>
          <w:szCs w:val="22"/>
        </w:rPr>
      </w:pPr>
      <w:r>
        <w:rPr>
          <w:rFonts w:ascii="Arial Narrow" w:hAnsi="Arial Narrow" w:cs="Gisha"/>
          <w:sz w:val="22"/>
          <w:szCs w:val="22"/>
        </w:rPr>
        <w:t>En la vigencia 201</w:t>
      </w:r>
      <w:r w:rsidR="003122D7">
        <w:rPr>
          <w:rFonts w:ascii="Arial Narrow" w:hAnsi="Arial Narrow" w:cs="Gisha"/>
          <w:sz w:val="22"/>
          <w:szCs w:val="22"/>
        </w:rPr>
        <w:t>5</w:t>
      </w:r>
      <w:r>
        <w:rPr>
          <w:rFonts w:ascii="Arial Narrow" w:hAnsi="Arial Narrow" w:cs="Gisha"/>
          <w:sz w:val="22"/>
          <w:szCs w:val="22"/>
        </w:rPr>
        <w:t xml:space="preserve"> fue</w:t>
      </w:r>
      <w:r w:rsidRPr="00BC0A96">
        <w:rPr>
          <w:rFonts w:ascii="Arial Narrow" w:hAnsi="Arial Narrow" w:cs="Gisha"/>
          <w:sz w:val="22"/>
          <w:szCs w:val="22"/>
        </w:rPr>
        <w:t xml:space="preserve"> nece</w:t>
      </w:r>
      <w:r>
        <w:rPr>
          <w:rFonts w:ascii="Arial Narrow" w:hAnsi="Arial Narrow" w:cs="Gisha"/>
          <w:sz w:val="22"/>
          <w:szCs w:val="22"/>
        </w:rPr>
        <w:t xml:space="preserve">sario </w:t>
      </w:r>
      <w:r w:rsidR="006C6004">
        <w:rPr>
          <w:rFonts w:ascii="Arial Narrow" w:hAnsi="Arial Narrow" w:cs="Gisha"/>
          <w:sz w:val="22"/>
          <w:szCs w:val="22"/>
        </w:rPr>
        <w:t>reclasificar</w:t>
      </w:r>
      <w:r w:rsidRPr="00BC0A96">
        <w:rPr>
          <w:rFonts w:ascii="Arial Narrow" w:hAnsi="Arial Narrow" w:cs="Gisha"/>
          <w:sz w:val="22"/>
          <w:szCs w:val="22"/>
        </w:rPr>
        <w:t xml:space="preserve"> diferentes cuentas y terceros en el aplicativo SIIF Nación II, debido a que las matrices contables</w:t>
      </w:r>
      <w:r w:rsidR="006C6004">
        <w:rPr>
          <w:rFonts w:ascii="Arial Narrow" w:hAnsi="Arial Narrow" w:cs="Gisha"/>
          <w:sz w:val="22"/>
          <w:szCs w:val="22"/>
        </w:rPr>
        <w:t xml:space="preserve"> </w:t>
      </w:r>
      <w:r w:rsidR="006C6004" w:rsidRPr="00BC0A96">
        <w:rPr>
          <w:rFonts w:ascii="Arial Narrow" w:hAnsi="Arial Narrow" w:cs="Gisha"/>
          <w:sz w:val="22"/>
          <w:szCs w:val="22"/>
        </w:rPr>
        <w:t>para obligaciones e ingresos</w:t>
      </w:r>
      <w:r w:rsidRPr="00BC0A96">
        <w:rPr>
          <w:rFonts w:ascii="Arial Narrow" w:hAnsi="Arial Narrow" w:cs="Gisha"/>
          <w:sz w:val="22"/>
          <w:szCs w:val="22"/>
        </w:rPr>
        <w:t xml:space="preserve"> parametrizadas por la Contaduría Genera</w:t>
      </w:r>
      <w:r w:rsidR="006C6004">
        <w:rPr>
          <w:rFonts w:ascii="Arial Narrow" w:hAnsi="Arial Narrow" w:cs="Gisha"/>
          <w:sz w:val="22"/>
          <w:szCs w:val="22"/>
        </w:rPr>
        <w:t>l de la Nación,</w:t>
      </w:r>
      <w:r w:rsidRPr="00BC0A96">
        <w:rPr>
          <w:rFonts w:ascii="Arial Narrow" w:hAnsi="Arial Narrow" w:cs="Gisha"/>
          <w:sz w:val="22"/>
          <w:szCs w:val="22"/>
        </w:rPr>
        <w:t xml:space="preserve"> </w:t>
      </w:r>
      <w:r>
        <w:rPr>
          <w:rFonts w:ascii="Arial Narrow" w:hAnsi="Arial Narrow" w:cs="Gisha"/>
          <w:sz w:val="22"/>
          <w:szCs w:val="22"/>
        </w:rPr>
        <w:t>están</w:t>
      </w:r>
      <w:r w:rsidRPr="00BC0A96">
        <w:rPr>
          <w:rFonts w:ascii="Arial Narrow" w:hAnsi="Arial Narrow" w:cs="Gisha"/>
          <w:sz w:val="22"/>
          <w:szCs w:val="22"/>
        </w:rPr>
        <w:t xml:space="preserve"> dada</w:t>
      </w:r>
      <w:r>
        <w:rPr>
          <w:rFonts w:ascii="Arial Narrow" w:hAnsi="Arial Narrow" w:cs="Gisha"/>
          <w:sz w:val="22"/>
          <w:szCs w:val="22"/>
        </w:rPr>
        <w:t>s</w:t>
      </w:r>
      <w:r w:rsidR="006C6004">
        <w:rPr>
          <w:rFonts w:ascii="Arial Narrow" w:hAnsi="Arial Narrow" w:cs="Gisha"/>
          <w:sz w:val="22"/>
          <w:szCs w:val="22"/>
        </w:rPr>
        <w:t xml:space="preserve"> por </w:t>
      </w:r>
      <w:r w:rsidRPr="00BC0A96">
        <w:rPr>
          <w:rFonts w:ascii="Arial Narrow" w:hAnsi="Arial Narrow" w:cs="Gisha"/>
          <w:sz w:val="22"/>
          <w:szCs w:val="22"/>
        </w:rPr>
        <w:t>l</w:t>
      </w:r>
      <w:r w:rsidR="006C6004">
        <w:rPr>
          <w:rFonts w:ascii="Arial Narrow" w:hAnsi="Arial Narrow" w:cs="Gisha"/>
          <w:sz w:val="22"/>
          <w:szCs w:val="22"/>
        </w:rPr>
        <w:t>os</w:t>
      </w:r>
      <w:r w:rsidRPr="00BC0A96">
        <w:rPr>
          <w:rFonts w:ascii="Arial Narrow" w:hAnsi="Arial Narrow" w:cs="Gisha"/>
          <w:sz w:val="22"/>
          <w:szCs w:val="22"/>
        </w:rPr>
        <w:t xml:space="preserve"> concepto</w:t>
      </w:r>
      <w:r w:rsidR="006C6004">
        <w:rPr>
          <w:rFonts w:ascii="Arial Narrow" w:hAnsi="Arial Narrow" w:cs="Gisha"/>
          <w:sz w:val="22"/>
          <w:szCs w:val="22"/>
        </w:rPr>
        <w:t>s</w:t>
      </w:r>
      <w:r w:rsidRPr="00BC0A96">
        <w:rPr>
          <w:rFonts w:ascii="Arial Narrow" w:hAnsi="Arial Narrow" w:cs="Gisha"/>
          <w:sz w:val="22"/>
          <w:szCs w:val="22"/>
        </w:rPr>
        <w:t xml:space="preserve"> </w:t>
      </w:r>
      <w:r w:rsidR="006C6004">
        <w:rPr>
          <w:rFonts w:ascii="Arial Narrow" w:hAnsi="Arial Narrow" w:cs="Gisha"/>
          <w:sz w:val="22"/>
          <w:szCs w:val="22"/>
        </w:rPr>
        <w:t>presupuestales de</w:t>
      </w:r>
      <w:r w:rsidRPr="00BC0A96">
        <w:rPr>
          <w:rFonts w:ascii="Arial Narrow" w:hAnsi="Arial Narrow" w:cs="Gisha"/>
          <w:sz w:val="22"/>
          <w:szCs w:val="22"/>
        </w:rPr>
        <w:t xml:space="preserve"> ingreso y gasto y </w:t>
      </w:r>
      <w:r>
        <w:rPr>
          <w:rFonts w:ascii="Arial Narrow" w:hAnsi="Arial Narrow" w:cs="Gisha"/>
          <w:sz w:val="22"/>
          <w:szCs w:val="22"/>
        </w:rPr>
        <w:t xml:space="preserve">al analizar los </w:t>
      </w:r>
      <w:r w:rsidRPr="00BC0A96">
        <w:rPr>
          <w:rFonts w:ascii="Arial Narrow" w:hAnsi="Arial Narrow" w:cs="Gisha"/>
          <w:sz w:val="22"/>
          <w:szCs w:val="22"/>
        </w:rPr>
        <w:t>h</w:t>
      </w:r>
      <w:r>
        <w:rPr>
          <w:rFonts w:ascii="Arial Narrow" w:hAnsi="Arial Narrow" w:cs="Gisha"/>
          <w:sz w:val="22"/>
          <w:szCs w:val="22"/>
        </w:rPr>
        <w:t>echos económicos financieros soportes de las ope</w:t>
      </w:r>
      <w:r w:rsidR="006C6004">
        <w:rPr>
          <w:rFonts w:ascii="Arial Narrow" w:hAnsi="Arial Narrow" w:cs="Gisha"/>
          <w:sz w:val="22"/>
          <w:szCs w:val="22"/>
        </w:rPr>
        <w:t xml:space="preserve">raciones contables, se requiere proceder a realizar </w:t>
      </w:r>
      <w:r>
        <w:rPr>
          <w:rFonts w:ascii="Arial Narrow" w:hAnsi="Arial Narrow" w:cs="Gisha"/>
          <w:sz w:val="22"/>
          <w:szCs w:val="22"/>
        </w:rPr>
        <w:t>reclasificaciones y ajustes.</w:t>
      </w:r>
    </w:p>
    <w:p w:rsidR="006E5BFF" w:rsidRDefault="006E5BFF" w:rsidP="006E5BFF">
      <w:pPr>
        <w:pStyle w:val="Lista"/>
        <w:ind w:left="0" w:firstLine="0"/>
        <w:jc w:val="both"/>
        <w:rPr>
          <w:rFonts w:ascii="Arial Narrow" w:hAnsi="Arial Narrow" w:cs="Gisha"/>
          <w:bCs/>
          <w:color w:val="auto"/>
          <w:sz w:val="22"/>
          <w:szCs w:val="22"/>
        </w:rPr>
      </w:pPr>
    </w:p>
    <w:p w:rsidR="006E5BFF" w:rsidRDefault="006E5BFF" w:rsidP="006E5BFF">
      <w:pPr>
        <w:pStyle w:val="Lista"/>
        <w:ind w:left="0" w:firstLine="0"/>
        <w:jc w:val="both"/>
        <w:rPr>
          <w:rFonts w:ascii="Arial Narrow" w:hAnsi="Arial Narrow" w:cs="Gisha"/>
          <w:bCs/>
          <w:color w:val="auto"/>
          <w:sz w:val="22"/>
          <w:szCs w:val="22"/>
        </w:rPr>
      </w:pPr>
      <w:r>
        <w:rPr>
          <w:rFonts w:ascii="Arial Narrow" w:hAnsi="Arial Narrow" w:cs="Gisha"/>
          <w:bCs/>
          <w:color w:val="auto"/>
          <w:sz w:val="22"/>
          <w:szCs w:val="22"/>
        </w:rPr>
        <w:t xml:space="preserve">Los inconvenientes que se han presentado y las necesidades de mejora en el sistema SIIF Nación II fueron comunicados al doctor David Fernando Morales Domínguez, </w:t>
      </w:r>
      <w:r w:rsidR="00660141" w:rsidRPr="00660141">
        <w:rPr>
          <w:rFonts w:ascii="Arial Narrow" w:hAnsi="Arial Narrow" w:cs="Gisha"/>
          <w:bCs/>
          <w:color w:val="auto"/>
          <w:sz w:val="22"/>
          <w:szCs w:val="22"/>
        </w:rPr>
        <w:t>Administrador del Sistema SIIF</w:t>
      </w:r>
      <w:r w:rsidR="00660141">
        <w:rPr>
          <w:rFonts w:ascii="Arial Narrow" w:hAnsi="Arial Narrow" w:cs="Gisha"/>
          <w:bCs/>
          <w:color w:val="auto"/>
          <w:sz w:val="22"/>
          <w:szCs w:val="22"/>
        </w:rPr>
        <w:t>,</w:t>
      </w:r>
      <w:r w:rsidR="00660141">
        <w:rPr>
          <w:rFonts w:ascii="Arial Narrow" w:hAnsi="Arial Narrow" w:cs="Gisha"/>
          <w:bCs/>
          <w:color w:val="FF0000"/>
          <w:sz w:val="22"/>
          <w:szCs w:val="22"/>
        </w:rPr>
        <w:t xml:space="preserve"> </w:t>
      </w:r>
      <w:r>
        <w:rPr>
          <w:rFonts w:ascii="Arial Narrow" w:hAnsi="Arial Narrow" w:cs="Gisha"/>
          <w:bCs/>
          <w:color w:val="auto"/>
          <w:sz w:val="22"/>
          <w:szCs w:val="22"/>
        </w:rPr>
        <w:t>mediante comunicación con radicado ANI 2013-401-019055-1 del 20 de noviembre de 2013 y al doctor Pedro Luis Bohórquez, Contador General de la Nación, mediante comunicación con radicado ANI 2013-401-018573-2 del 14 de noviembre de 2013.</w:t>
      </w:r>
    </w:p>
    <w:p w:rsidR="006E5BFF" w:rsidRDefault="006E5BFF" w:rsidP="006E5BFF">
      <w:pPr>
        <w:pStyle w:val="Lista"/>
        <w:ind w:left="0" w:firstLine="0"/>
        <w:jc w:val="both"/>
        <w:rPr>
          <w:rFonts w:ascii="Arial Narrow" w:hAnsi="Arial Narrow" w:cs="Gisha"/>
          <w:bCs/>
          <w:color w:val="auto"/>
          <w:sz w:val="22"/>
          <w:szCs w:val="22"/>
        </w:rPr>
      </w:pPr>
    </w:p>
    <w:p w:rsidR="006E5BFF" w:rsidRDefault="006E5BFF" w:rsidP="006E5BFF">
      <w:pPr>
        <w:pStyle w:val="Lista"/>
        <w:ind w:left="0" w:firstLine="0"/>
        <w:jc w:val="both"/>
        <w:rPr>
          <w:rFonts w:ascii="Arial Narrow" w:hAnsi="Arial Narrow" w:cs="Gisha"/>
          <w:bCs/>
          <w:color w:val="auto"/>
          <w:sz w:val="22"/>
          <w:szCs w:val="22"/>
        </w:rPr>
      </w:pPr>
      <w:r>
        <w:rPr>
          <w:rFonts w:ascii="Arial Narrow" w:hAnsi="Arial Narrow" w:cs="Gisha"/>
          <w:bCs/>
          <w:color w:val="auto"/>
          <w:sz w:val="22"/>
          <w:szCs w:val="22"/>
        </w:rPr>
        <w:t xml:space="preserve">Al respecto, la Contaduría General de la Nación mediante comunicación  CGN No. 20134700068181 del 12 de diciembre de 2013 comunicó a la Agencia: </w:t>
      </w:r>
    </w:p>
    <w:p w:rsidR="006E5BFF" w:rsidRDefault="006E5BFF" w:rsidP="006E5BFF">
      <w:pPr>
        <w:pStyle w:val="Lista"/>
        <w:ind w:left="0" w:firstLine="0"/>
        <w:jc w:val="both"/>
        <w:rPr>
          <w:rFonts w:ascii="Arial Narrow" w:hAnsi="Arial Narrow" w:cs="Gisha"/>
          <w:bCs/>
          <w:color w:val="auto"/>
          <w:sz w:val="22"/>
          <w:szCs w:val="22"/>
        </w:rPr>
      </w:pPr>
    </w:p>
    <w:p w:rsidR="006E5BFF" w:rsidRPr="00240156" w:rsidRDefault="006E5BFF" w:rsidP="006E5BFF">
      <w:pPr>
        <w:pStyle w:val="Lista"/>
        <w:ind w:left="705" w:right="708" w:hanging="705"/>
        <w:jc w:val="both"/>
        <w:rPr>
          <w:rFonts w:ascii="Arial Narrow" w:hAnsi="Arial Narrow" w:cs="Gisha"/>
          <w:bCs/>
          <w:color w:val="auto"/>
        </w:rPr>
      </w:pPr>
      <w:r w:rsidRPr="00240156">
        <w:rPr>
          <w:rFonts w:ascii="Arial Narrow" w:hAnsi="Arial Narrow" w:cs="Gisha"/>
          <w:bCs/>
          <w:i/>
          <w:color w:val="auto"/>
        </w:rPr>
        <w:t>“… c</w:t>
      </w:r>
      <w:r w:rsidRPr="00240156">
        <w:rPr>
          <w:rFonts w:ascii="Arial Narrow" w:hAnsi="Arial Narrow" w:cs="Gisha"/>
          <w:bCs/>
          <w:color w:val="auto"/>
        </w:rPr>
        <w:t xml:space="preserve">. </w:t>
      </w:r>
      <w:r w:rsidRPr="00240156">
        <w:rPr>
          <w:rFonts w:ascii="Arial Narrow" w:hAnsi="Arial Narrow" w:cs="Gisha"/>
          <w:bCs/>
          <w:color w:val="auto"/>
        </w:rPr>
        <w:tab/>
      </w:r>
      <w:r w:rsidRPr="00240156">
        <w:rPr>
          <w:rFonts w:ascii="Arial Narrow" w:hAnsi="Arial Narrow" w:cs="Gisha"/>
          <w:b/>
          <w:bCs/>
          <w:i/>
          <w:color w:val="auto"/>
        </w:rPr>
        <w:t>No se  contempla el reconocimiento de algunas operaciones que aunque no generan pago o erogación para la entidad si son de vital importancia para revelar su situación financiera, tales como: depreciaciones, provisiones, amortizaciones, inventarios, entre otros.</w:t>
      </w:r>
      <w:r w:rsidRPr="00240156">
        <w:rPr>
          <w:rFonts w:ascii="Arial Narrow" w:hAnsi="Arial Narrow" w:cs="Gisha"/>
          <w:bCs/>
          <w:i/>
          <w:color w:val="auto"/>
        </w:rPr>
        <w:t xml:space="preserve"> Dado que actualmente falta por desarrollar en el sistema los macroprocesos de: administración de portafolios, nómina, almacén e inventarios, depreciaciones, amortizaciones, provisiones, facturación y cartera, conciliaciones bancarias, caja principal, manejo de los impuestos derivados de la caja menor, se hace necesario que la entidad de aplicación  al parágrafo único del artículo 6 del Decreto 2674 de 2012, el cual señala que: “ Las aplicaciones administradas por las entidades y órganos que hacen parte del Presupuesto General de la nación, empleadas para registrar negocios no previstos en el SIIF Nación, servirán como auxiliares de los códigos contables que conforman los estados contables. Dicha información hará parte integral del Sistemas Integrado de Información Financiera SIIF Nación.” y realizar los registros en el sistema por archivo plano o por la funcionalidad que dispone el sistema para este tipo de registros.”</w:t>
      </w:r>
    </w:p>
    <w:p w:rsidR="006E5BFF" w:rsidRPr="00BC0A96" w:rsidRDefault="006E5BFF" w:rsidP="006E5BFF">
      <w:pPr>
        <w:pStyle w:val="Lista"/>
        <w:ind w:left="0" w:firstLine="0"/>
        <w:jc w:val="both"/>
        <w:rPr>
          <w:rFonts w:ascii="Arial Narrow" w:hAnsi="Arial Narrow" w:cs="Gisha"/>
          <w:bCs/>
          <w:color w:val="auto"/>
          <w:sz w:val="22"/>
          <w:szCs w:val="22"/>
        </w:rPr>
      </w:pPr>
      <w:r>
        <w:rPr>
          <w:rFonts w:ascii="Arial Narrow" w:hAnsi="Arial Narrow" w:cs="Gisha"/>
          <w:bCs/>
          <w:color w:val="auto"/>
          <w:sz w:val="22"/>
          <w:szCs w:val="22"/>
        </w:rPr>
        <w:t xml:space="preserve">   </w:t>
      </w:r>
    </w:p>
    <w:p w:rsidR="006E5BFF" w:rsidRPr="008317F0" w:rsidRDefault="006E5BFF" w:rsidP="006E5BFF">
      <w:pPr>
        <w:pStyle w:val="Lista"/>
        <w:ind w:left="0" w:firstLine="0"/>
        <w:jc w:val="both"/>
        <w:rPr>
          <w:rFonts w:ascii="Arial Narrow" w:hAnsi="Arial Narrow" w:cs="Gisha"/>
          <w:bCs/>
          <w:color w:val="auto"/>
          <w:sz w:val="22"/>
          <w:szCs w:val="22"/>
        </w:rPr>
      </w:pPr>
      <w:r w:rsidRPr="008317F0">
        <w:rPr>
          <w:rFonts w:ascii="Arial Narrow" w:hAnsi="Arial Narrow" w:cs="Gisha"/>
          <w:bCs/>
          <w:color w:val="auto"/>
          <w:sz w:val="22"/>
          <w:szCs w:val="22"/>
        </w:rPr>
        <w:t xml:space="preserve">Así las cosas, </w:t>
      </w:r>
      <w:r w:rsidR="006C6004">
        <w:rPr>
          <w:rFonts w:ascii="Arial Narrow" w:hAnsi="Arial Narrow" w:cs="Gisha"/>
          <w:bCs/>
          <w:color w:val="auto"/>
          <w:sz w:val="22"/>
          <w:szCs w:val="22"/>
        </w:rPr>
        <w:t xml:space="preserve">con fundamento en lo dispuesto en el </w:t>
      </w:r>
      <w:r w:rsidR="006C6004" w:rsidRPr="006C6004">
        <w:rPr>
          <w:rFonts w:ascii="Arial Narrow" w:hAnsi="Arial Narrow" w:cs="Gisha"/>
          <w:bCs/>
          <w:color w:val="auto"/>
          <w:sz w:val="22"/>
          <w:szCs w:val="22"/>
        </w:rPr>
        <w:t>artículo 6 del Decreto 2674 de 2012</w:t>
      </w:r>
      <w:r w:rsidR="006C6004">
        <w:rPr>
          <w:rFonts w:ascii="Arial Narrow" w:hAnsi="Arial Narrow" w:cs="Gisha"/>
          <w:bCs/>
          <w:color w:val="auto"/>
          <w:sz w:val="22"/>
          <w:szCs w:val="22"/>
        </w:rPr>
        <w:t xml:space="preserve"> </w:t>
      </w:r>
      <w:r w:rsidRPr="008317F0">
        <w:rPr>
          <w:rFonts w:ascii="Arial Narrow" w:hAnsi="Arial Narrow" w:cs="Gisha"/>
          <w:bCs/>
          <w:color w:val="auto"/>
          <w:sz w:val="22"/>
          <w:szCs w:val="22"/>
        </w:rPr>
        <w:t>la Agencia d</w:t>
      </w:r>
      <w:r w:rsidR="00240156">
        <w:rPr>
          <w:rFonts w:ascii="Arial Narrow" w:hAnsi="Arial Narrow" w:cs="Gisha"/>
          <w:bCs/>
          <w:color w:val="auto"/>
          <w:sz w:val="22"/>
          <w:szCs w:val="22"/>
        </w:rPr>
        <w:t>ebió utilizar su Sistema de Información F</w:t>
      </w:r>
      <w:r w:rsidRPr="008317F0">
        <w:rPr>
          <w:rFonts w:ascii="Arial Narrow" w:hAnsi="Arial Narrow" w:cs="Gisha"/>
          <w:bCs/>
          <w:color w:val="auto"/>
          <w:sz w:val="22"/>
          <w:szCs w:val="22"/>
        </w:rPr>
        <w:t xml:space="preserve">inanciera </w:t>
      </w:r>
      <w:r w:rsidR="00240156">
        <w:rPr>
          <w:rFonts w:ascii="Arial Narrow" w:hAnsi="Arial Narrow" w:cs="Gisha"/>
          <w:bCs/>
          <w:color w:val="auto"/>
          <w:sz w:val="22"/>
          <w:szCs w:val="22"/>
        </w:rPr>
        <w:t>-</w:t>
      </w:r>
      <w:r w:rsidRPr="008317F0">
        <w:rPr>
          <w:rFonts w:ascii="Arial Narrow" w:hAnsi="Arial Narrow" w:cs="Gisha"/>
          <w:bCs/>
          <w:color w:val="auto"/>
          <w:sz w:val="22"/>
          <w:szCs w:val="22"/>
        </w:rPr>
        <w:t>SINFAD, como auxiliar de los códigos contables</w:t>
      </w:r>
      <w:r w:rsidR="00240156">
        <w:rPr>
          <w:rFonts w:ascii="Arial Narrow" w:hAnsi="Arial Narrow" w:cs="Gisha"/>
          <w:bCs/>
          <w:color w:val="auto"/>
          <w:sz w:val="22"/>
          <w:szCs w:val="22"/>
        </w:rPr>
        <w:t xml:space="preserve">, sin perjuicio de lo cual con corte a </w:t>
      </w:r>
      <w:r w:rsidRPr="008317F0">
        <w:rPr>
          <w:rFonts w:ascii="Arial Narrow" w:hAnsi="Arial Narrow" w:cs="Gisha"/>
          <w:bCs/>
          <w:color w:val="auto"/>
          <w:sz w:val="22"/>
          <w:szCs w:val="22"/>
        </w:rPr>
        <w:t>diciembre 31 de 201</w:t>
      </w:r>
      <w:r w:rsidR="003122D7">
        <w:rPr>
          <w:rFonts w:ascii="Arial Narrow" w:hAnsi="Arial Narrow" w:cs="Gisha"/>
          <w:bCs/>
          <w:color w:val="auto"/>
          <w:sz w:val="22"/>
          <w:szCs w:val="22"/>
        </w:rPr>
        <w:t>5</w:t>
      </w:r>
      <w:r w:rsidR="00240156">
        <w:rPr>
          <w:rFonts w:ascii="Arial Narrow" w:hAnsi="Arial Narrow" w:cs="Gisha"/>
          <w:bCs/>
          <w:color w:val="auto"/>
          <w:sz w:val="22"/>
          <w:szCs w:val="22"/>
        </w:rPr>
        <w:t>, los</w:t>
      </w:r>
      <w:r w:rsidRPr="008317F0">
        <w:rPr>
          <w:rFonts w:ascii="Arial Narrow" w:hAnsi="Arial Narrow" w:cs="Gisha"/>
          <w:bCs/>
          <w:color w:val="auto"/>
          <w:sz w:val="22"/>
          <w:szCs w:val="22"/>
        </w:rPr>
        <w:t xml:space="preserve"> sistema</w:t>
      </w:r>
      <w:r w:rsidR="00240156">
        <w:rPr>
          <w:rFonts w:ascii="Arial Narrow" w:hAnsi="Arial Narrow" w:cs="Gisha"/>
          <w:bCs/>
          <w:color w:val="auto"/>
          <w:sz w:val="22"/>
          <w:szCs w:val="22"/>
        </w:rPr>
        <w:t>s</w:t>
      </w:r>
      <w:r w:rsidRPr="008317F0">
        <w:rPr>
          <w:rFonts w:ascii="Arial Narrow" w:hAnsi="Arial Narrow" w:cs="Gisha"/>
          <w:bCs/>
          <w:color w:val="auto"/>
          <w:sz w:val="22"/>
          <w:szCs w:val="22"/>
        </w:rPr>
        <w:t xml:space="preserve"> SINFAD y SIIF están debidamente conciliados.  </w:t>
      </w:r>
    </w:p>
    <w:p w:rsidR="006E5BFF" w:rsidRDefault="006E5BFF" w:rsidP="006E5BFF">
      <w:pPr>
        <w:pStyle w:val="Lista"/>
        <w:ind w:left="0" w:firstLine="0"/>
        <w:jc w:val="both"/>
        <w:rPr>
          <w:rFonts w:ascii="Arial Narrow" w:hAnsi="Arial Narrow" w:cs="Gisha"/>
          <w:bCs/>
          <w:color w:val="auto"/>
          <w:sz w:val="22"/>
          <w:szCs w:val="22"/>
        </w:rPr>
      </w:pPr>
    </w:p>
    <w:p w:rsidR="006E5BFF" w:rsidRPr="00BC0A96" w:rsidRDefault="006E5BFF" w:rsidP="006E5BFF">
      <w:pPr>
        <w:pStyle w:val="Lista"/>
        <w:ind w:left="0" w:firstLine="0"/>
        <w:jc w:val="both"/>
        <w:rPr>
          <w:rFonts w:ascii="Arial Narrow" w:hAnsi="Arial Narrow" w:cs="Gisha"/>
          <w:bCs/>
          <w:color w:val="auto"/>
          <w:sz w:val="22"/>
          <w:szCs w:val="22"/>
        </w:rPr>
      </w:pPr>
      <w:r>
        <w:rPr>
          <w:rFonts w:ascii="Arial Narrow" w:hAnsi="Arial Narrow" w:cs="Gisha"/>
          <w:bCs/>
          <w:color w:val="auto"/>
          <w:sz w:val="22"/>
          <w:szCs w:val="22"/>
        </w:rPr>
        <w:lastRenderedPageBreak/>
        <w:t>Lo anterior, está acorde igualmente con lo consignado en el Instructivo 00</w:t>
      </w:r>
      <w:r w:rsidR="00F0565D">
        <w:rPr>
          <w:rFonts w:ascii="Arial Narrow" w:hAnsi="Arial Narrow" w:cs="Gisha"/>
          <w:bCs/>
          <w:color w:val="auto"/>
          <w:sz w:val="22"/>
          <w:szCs w:val="22"/>
        </w:rPr>
        <w:t>6</w:t>
      </w:r>
      <w:r>
        <w:rPr>
          <w:rFonts w:ascii="Arial Narrow" w:hAnsi="Arial Narrow" w:cs="Gisha"/>
          <w:bCs/>
          <w:color w:val="auto"/>
          <w:sz w:val="22"/>
          <w:szCs w:val="22"/>
        </w:rPr>
        <w:t xml:space="preserve"> del </w:t>
      </w:r>
      <w:r w:rsidR="00F0565D">
        <w:rPr>
          <w:rFonts w:ascii="Arial Narrow" w:hAnsi="Arial Narrow" w:cs="Gisha"/>
          <w:bCs/>
          <w:color w:val="auto"/>
          <w:sz w:val="22"/>
          <w:szCs w:val="22"/>
        </w:rPr>
        <w:t>09</w:t>
      </w:r>
      <w:r>
        <w:rPr>
          <w:rFonts w:ascii="Arial Narrow" w:hAnsi="Arial Narrow" w:cs="Gisha"/>
          <w:bCs/>
          <w:color w:val="auto"/>
          <w:sz w:val="22"/>
          <w:szCs w:val="22"/>
        </w:rPr>
        <w:t xml:space="preserve"> de diciembre de 201</w:t>
      </w:r>
      <w:r w:rsidR="00F0565D">
        <w:rPr>
          <w:rFonts w:ascii="Arial Narrow" w:hAnsi="Arial Narrow" w:cs="Gisha"/>
          <w:bCs/>
          <w:color w:val="auto"/>
          <w:sz w:val="22"/>
          <w:szCs w:val="22"/>
        </w:rPr>
        <w:t>5</w:t>
      </w:r>
      <w:r>
        <w:rPr>
          <w:rFonts w:ascii="Arial Narrow" w:hAnsi="Arial Narrow" w:cs="Gisha"/>
          <w:bCs/>
          <w:color w:val="auto"/>
          <w:sz w:val="22"/>
          <w:szCs w:val="22"/>
        </w:rPr>
        <w:t xml:space="preserve"> emitido por la Contaduría General de la Nación, en cuyo </w:t>
      </w:r>
      <w:r w:rsidR="00240156">
        <w:rPr>
          <w:rFonts w:ascii="Arial Narrow" w:hAnsi="Arial Narrow" w:cs="Gisha"/>
          <w:bCs/>
          <w:color w:val="auto"/>
          <w:sz w:val="22"/>
          <w:szCs w:val="22"/>
        </w:rPr>
        <w:t>literal h del numeral 6</w:t>
      </w:r>
      <w:r w:rsidR="00FD1A60">
        <w:rPr>
          <w:rFonts w:ascii="Arial Narrow" w:hAnsi="Arial Narrow" w:cs="Gisha"/>
          <w:bCs/>
          <w:color w:val="auto"/>
          <w:sz w:val="22"/>
          <w:szCs w:val="22"/>
        </w:rPr>
        <w:t xml:space="preserve"> </w:t>
      </w:r>
      <w:r>
        <w:rPr>
          <w:rFonts w:ascii="Arial Narrow" w:hAnsi="Arial Narrow" w:cs="Gisha"/>
          <w:bCs/>
          <w:color w:val="auto"/>
          <w:sz w:val="22"/>
          <w:szCs w:val="22"/>
        </w:rPr>
        <w:t xml:space="preserve">se </w:t>
      </w:r>
      <w:r w:rsidR="00240156">
        <w:rPr>
          <w:rFonts w:ascii="Arial Narrow" w:hAnsi="Arial Narrow" w:cs="Gisha"/>
          <w:bCs/>
          <w:color w:val="auto"/>
          <w:sz w:val="22"/>
          <w:szCs w:val="22"/>
        </w:rPr>
        <w:t>indicó</w:t>
      </w:r>
      <w:r>
        <w:rPr>
          <w:rFonts w:ascii="Arial Narrow" w:hAnsi="Arial Narrow" w:cs="Gisha"/>
          <w:bCs/>
          <w:color w:val="auto"/>
          <w:sz w:val="22"/>
          <w:szCs w:val="22"/>
        </w:rPr>
        <w:t xml:space="preserve">: </w:t>
      </w:r>
      <w:r w:rsidRPr="00C47064">
        <w:rPr>
          <w:rFonts w:ascii="Arial Narrow" w:hAnsi="Arial Narrow" w:cs="Gisha"/>
          <w:bCs/>
          <w:i/>
          <w:color w:val="auto"/>
          <w:sz w:val="22"/>
          <w:szCs w:val="22"/>
        </w:rPr>
        <w:t>“</w:t>
      </w:r>
      <w:r>
        <w:rPr>
          <w:rFonts w:ascii="Arial Narrow" w:hAnsi="Arial Narrow" w:cs="Gisha"/>
          <w:bCs/>
          <w:i/>
          <w:color w:val="auto"/>
          <w:sz w:val="22"/>
          <w:szCs w:val="22"/>
        </w:rPr>
        <w:t>De conformidad con el parágrafo del artículo 6 del Decreto 2674 de 2012, l</w:t>
      </w:r>
      <w:r w:rsidRPr="00C47064">
        <w:rPr>
          <w:rFonts w:ascii="Arial Narrow" w:hAnsi="Arial Narrow" w:cs="Gisha"/>
          <w:bCs/>
          <w:i/>
          <w:color w:val="auto"/>
          <w:sz w:val="22"/>
          <w:szCs w:val="22"/>
        </w:rPr>
        <w:t xml:space="preserve">os sistemas complementarios para la información contable tales como: nómina, rentas por cobrar, </w:t>
      </w:r>
      <w:r>
        <w:rPr>
          <w:rFonts w:ascii="Arial Narrow" w:hAnsi="Arial Narrow" w:cs="Gisha"/>
          <w:bCs/>
          <w:i/>
          <w:color w:val="auto"/>
          <w:sz w:val="22"/>
          <w:szCs w:val="22"/>
        </w:rPr>
        <w:t>bienes y servicios</w:t>
      </w:r>
      <w:r w:rsidRPr="00C47064">
        <w:rPr>
          <w:rFonts w:ascii="Arial Narrow" w:hAnsi="Arial Narrow" w:cs="Gisha"/>
          <w:bCs/>
          <w:i/>
          <w:color w:val="auto"/>
          <w:sz w:val="22"/>
          <w:szCs w:val="22"/>
        </w:rPr>
        <w:t xml:space="preserve">, inventarios, operaciones de crédito público, agregación y consolidación de las unidades ejecutoras, entre otros, </w:t>
      </w:r>
      <w:r w:rsidRPr="00C47064">
        <w:rPr>
          <w:rFonts w:ascii="Arial Narrow" w:hAnsi="Arial Narrow" w:cs="Gisha"/>
          <w:bCs/>
          <w:i/>
          <w:color w:val="auto"/>
          <w:sz w:val="22"/>
          <w:szCs w:val="22"/>
          <w:u w:val="single"/>
        </w:rPr>
        <w:t xml:space="preserve">deberán permanecer </w:t>
      </w:r>
      <w:r>
        <w:rPr>
          <w:rFonts w:ascii="Arial Narrow" w:hAnsi="Arial Narrow" w:cs="Gisha"/>
          <w:bCs/>
          <w:i/>
          <w:color w:val="auto"/>
          <w:sz w:val="22"/>
          <w:szCs w:val="22"/>
          <w:u w:val="single"/>
        </w:rPr>
        <w:t xml:space="preserve">como sistemas auxiliares </w:t>
      </w:r>
      <w:r w:rsidRPr="00C47064">
        <w:rPr>
          <w:rFonts w:ascii="Arial Narrow" w:hAnsi="Arial Narrow" w:cs="Gisha"/>
          <w:bCs/>
          <w:i/>
          <w:color w:val="auto"/>
          <w:sz w:val="22"/>
          <w:szCs w:val="22"/>
          <w:u w:val="single"/>
        </w:rPr>
        <w:t>hasta tanto se hayan implementado en el SIIF</w:t>
      </w:r>
      <w:r>
        <w:rPr>
          <w:rFonts w:ascii="Arial Narrow" w:hAnsi="Arial Narrow" w:cs="Gisha"/>
          <w:bCs/>
          <w:i/>
          <w:color w:val="auto"/>
          <w:sz w:val="22"/>
          <w:szCs w:val="22"/>
          <w:u w:val="single"/>
        </w:rPr>
        <w:t xml:space="preserve"> Nación</w:t>
      </w:r>
      <w:r w:rsidRPr="00C47064">
        <w:rPr>
          <w:rFonts w:ascii="Arial Narrow" w:hAnsi="Arial Narrow" w:cs="Gisha"/>
          <w:bCs/>
          <w:i/>
          <w:color w:val="auto"/>
          <w:sz w:val="22"/>
          <w:szCs w:val="22"/>
          <w:u w:val="single"/>
        </w:rPr>
        <w:t xml:space="preserve"> los procesos necesarios para efectos del control y registro del total de las transacciones</w:t>
      </w:r>
      <w:r w:rsidRPr="00C47064">
        <w:rPr>
          <w:rFonts w:ascii="Arial Narrow" w:hAnsi="Arial Narrow" w:cs="Gisha"/>
          <w:bCs/>
          <w:i/>
          <w:color w:val="auto"/>
          <w:sz w:val="22"/>
          <w:szCs w:val="22"/>
        </w:rPr>
        <w:t>”</w:t>
      </w:r>
      <w:r>
        <w:rPr>
          <w:rFonts w:ascii="Arial Narrow" w:hAnsi="Arial Narrow" w:cs="Gisha"/>
          <w:bCs/>
          <w:color w:val="auto"/>
          <w:sz w:val="22"/>
          <w:szCs w:val="22"/>
        </w:rPr>
        <w:t xml:space="preserve"> </w:t>
      </w:r>
      <w:r w:rsidRPr="00BC0A96">
        <w:rPr>
          <w:rFonts w:ascii="Arial Narrow" w:hAnsi="Arial Narrow" w:cs="Gisha"/>
          <w:bCs/>
          <w:color w:val="auto"/>
          <w:sz w:val="22"/>
          <w:szCs w:val="22"/>
        </w:rPr>
        <w:t xml:space="preserve"> </w:t>
      </w:r>
      <w:r>
        <w:rPr>
          <w:rFonts w:ascii="Arial Narrow" w:hAnsi="Arial Narrow" w:cs="Gisha"/>
          <w:bCs/>
          <w:color w:val="auto"/>
          <w:sz w:val="22"/>
          <w:szCs w:val="22"/>
        </w:rPr>
        <w:t>(Subrayas fuera de texto)</w:t>
      </w:r>
    </w:p>
    <w:p w:rsidR="006E5BFF" w:rsidRPr="00BC0A96" w:rsidRDefault="006E5BFF" w:rsidP="006E5BFF">
      <w:pPr>
        <w:pStyle w:val="Lista"/>
        <w:ind w:left="0" w:firstLine="0"/>
        <w:jc w:val="both"/>
        <w:rPr>
          <w:rFonts w:ascii="Arial Narrow" w:hAnsi="Arial Narrow" w:cs="Gisha"/>
          <w:bCs/>
          <w:color w:val="auto"/>
          <w:sz w:val="22"/>
          <w:szCs w:val="22"/>
        </w:rPr>
      </w:pPr>
    </w:p>
    <w:p w:rsidR="006E5BFF" w:rsidRDefault="006E5BFF" w:rsidP="006E5BFF">
      <w:pPr>
        <w:pStyle w:val="Lista"/>
        <w:ind w:left="0" w:firstLine="0"/>
        <w:jc w:val="both"/>
        <w:rPr>
          <w:rFonts w:ascii="Arial Narrow" w:hAnsi="Arial Narrow" w:cs="Gisha"/>
          <w:b/>
          <w:bCs/>
          <w:color w:val="auto"/>
          <w:sz w:val="22"/>
          <w:szCs w:val="22"/>
        </w:rPr>
      </w:pPr>
    </w:p>
    <w:p w:rsidR="006E5BFF" w:rsidRPr="005B2A57" w:rsidRDefault="006E5BFF" w:rsidP="006E5BFF">
      <w:pPr>
        <w:pStyle w:val="Lista"/>
        <w:ind w:left="0" w:firstLine="0"/>
        <w:jc w:val="both"/>
        <w:rPr>
          <w:rFonts w:ascii="Arial Narrow" w:hAnsi="Arial Narrow" w:cs="Gisha"/>
          <w:b/>
          <w:bCs/>
          <w:color w:val="auto"/>
          <w:sz w:val="22"/>
          <w:szCs w:val="22"/>
        </w:rPr>
      </w:pPr>
      <w:r w:rsidRPr="005B2A57">
        <w:rPr>
          <w:rFonts w:ascii="Arial Narrow" w:hAnsi="Arial Narrow" w:cs="Gisha"/>
          <w:b/>
          <w:bCs/>
          <w:color w:val="auto"/>
          <w:sz w:val="22"/>
          <w:szCs w:val="22"/>
        </w:rPr>
        <w:t xml:space="preserve">EFECTOS Y CAMBIOS SIGNIFICATIVOS EN LA INFORMACIÓN CONTABLE                        </w:t>
      </w:r>
    </w:p>
    <w:p w:rsidR="006E5BFF" w:rsidRDefault="006E5BFF" w:rsidP="006E5BFF">
      <w:pPr>
        <w:pStyle w:val="Lista"/>
        <w:ind w:left="0" w:firstLine="0"/>
        <w:jc w:val="both"/>
        <w:rPr>
          <w:rFonts w:ascii="Arial Narrow" w:hAnsi="Arial Narrow" w:cs="Gisha"/>
          <w:b/>
          <w:bCs/>
          <w:color w:val="auto"/>
          <w:sz w:val="22"/>
          <w:szCs w:val="22"/>
        </w:rPr>
      </w:pPr>
    </w:p>
    <w:p w:rsidR="006E5BFF" w:rsidRPr="005B2A57" w:rsidRDefault="006E5BFF" w:rsidP="006E5BFF">
      <w:pPr>
        <w:pStyle w:val="Lista"/>
        <w:ind w:left="0" w:firstLine="0"/>
        <w:jc w:val="both"/>
        <w:rPr>
          <w:rFonts w:ascii="Arial Narrow" w:hAnsi="Arial Narrow" w:cs="Gisha"/>
          <w:color w:val="auto"/>
          <w:sz w:val="22"/>
          <w:szCs w:val="22"/>
          <w:lang w:val="es-CO"/>
        </w:rPr>
      </w:pPr>
      <w:r w:rsidRPr="005B2A57">
        <w:rPr>
          <w:rFonts w:ascii="Arial Narrow" w:hAnsi="Arial Narrow" w:cs="Gisha"/>
          <w:b/>
          <w:bCs/>
          <w:color w:val="auto"/>
          <w:sz w:val="22"/>
          <w:szCs w:val="22"/>
        </w:rPr>
        <w:t>POR APLICACIÓN DE NORMAS CONTABLES:</w:t>
      </w:r>
      <w:r w:rsidRPr="005B2A57">
        <w:rPr>
          <w:rFonts w:ascii="Arial Narrow" w:hAnsi="Arial Narrow" w:cs="Gisha"/>
          <w:color w:val="auto"/>
          <w:sz w:val="22"/>
          <w:szCs w:val="22"/>
          <w:lang w:val="es-CO"/>
        </w:rPr>
        <w:t xml:space="preserve"> </w:t>
      </w:r>
    </w:p>
    <w:p w:rsidR="006E5BFF" w:rsidRDefault="006E5BFF" w:rsidP="006E5BFF">
      <w:pPr>
        <w:pStyle w:val="Lista"/>
        <w:ind w:left="0" w:firstLine="0"/>
        <w:jc w:val="both"/>
        <w:rPr>
          <w:rFonts w:ascii="Arial Narrow" w:hAnsi="Arial Narrow" w:cs="Gisha"/>
          <w:color w:val="auto"/>
          <w:sz w:val="22"/>
          <w:szCs w:val="22"/>
          <w:lang w:val="es-CO"/>
        </w:rPr>
      </w:pPr>
    </w:p>
    <w:p w:rsidR="006E5BFF" w:rsidRPr="00312E48" w:rsidRDefault="006E5BFF" w:rsidP="00853B3A">
      <w:pPr>
        <w:pStyle w:val="Prrafodelista"/>
        <w:numPr>
          <w:ilvl w:val="0"/>
          <w:numId w:val="7"/>
        </w:numPr>
        <w:jc w:val="both"/>
        <w:rPr>
          <w:i/>
          <w:sz w:val="22"/>
          <w:szCs w:val="22"/>
        </w:rPr>
      </w:pPr>
      <w:r w:rsidRPr="00312E48">
        <w:rPr>
          <w:rFonts w:cs="Arial"/>
          <w:sz w:val="22"/>
          <w:szCs w:val="22"/>
        </w:rPr>
        <w:t xml:space="preserve">La Contaduría General de la Nación </w:t>
      </w:r>
      <w:r w:rsidR="00240156">
        <w:rPr>
          <w:rFonts w:cs="Arial"/>
          <w:sz w:val="22"/>
          <w:szCs w:val="22"/>
        </w:rPr>
        <w:t>mediante</w:t>
      </w:r>
      <w:r w:rsidRPr="00312E48">
        <w:rPr>
          <w:rFonts w:cs="Arial"/>
          <w:sz w:val="22"/>
          <w:szCs w:val="22"/>
        </w:rPr>
        <w:t xml:space="preserve"> radicado</w:t>
      </w:r>
      <w:r>
        <w:rPr>
          <w:rFonts w:cs="Arial"/>
          <w:sz w:val="22"/>
          <w:szCs w:val="22"/>
        </w:rPr>
        <w:t xml:space="preserve"> ANI</w:t>
      </w:r>
      <w:r w:rsidRPr="00312E48">
        <w:rPr>
          <w:rFonts w:cs="Arial"/>
          <w:sz w:val="22"/>
          <w:szCs w:val="22"/>
        </w:rPr>
        <w:t xml:space="preserve"> No. </w:t>
      </w:r>
      <w:r w:rsidR="00106681">
        <w:rPr>
          <w:sz w:val="22"/>
          <w:szCs w:val="22"/>
        </w:rPr>
        <w:t>2015-409-029831-2</w:t>
      </w:r>
      <w:r>
        <w:rPr>
          <w:sz w:val="22"/>
          <w:szCs w:val="22"/>
        </w:rPr>
        <w:t xml:space="preserve"> </w:t>
      </w:r>
      <w:r w:rsidRPr="00312E48">
        <w:rPr>
          <w:sz w:val="22"/>
          <w:szCs w:val="22"/>
        </w:rPr>
        <w:t xml:space="preserve">del </w:t>
      </w:r>
      <w:r>
        <w:rPr>
          <w:sz w:val="22"/>
          <w:szCs w:val="22"/>
        </w:rPr>
        <w:t>2</w:t>
      </w:r>
      <w:r w:rsidR="00106681">
        <w:rPr>
          <w:sz w:val="22"/>
          <w:szCs w:val="22"/>
        </w:rPr>
        <w:t>2</w:t>
      </w:r>
      <w:r w:rsidRPr="00312E48">
        <w:rPr>
          <w:sz w:val="22"/>
          <w:szCs w:val="22"/>
        </w:rPr>
        <w:t>/0</w:t>
      </w:r>
      <w:r w:rsidR="00106681">
        <w:rPr>
          <w:sz w:val="22"/>
          <w:szCs w:val="22"/>
        </w:rPr>
        <w:t>5</w:t>
      </w:r>
      <w:r w:rsidRPr="00312E48">
        <w:rPr>
          <w:sz w:val="22"/>
          <w:szCs w:val="22"/>
        </w:rPr>
        <w:t>/201</w:t>
      </w:r>
      <w:r w:rsidR="00106681">
        <w:rPr>
          <w:sz w:val="22"/>
          <w:szCs w:val="22"/>
        </w:rPr>
        <w:t>5</w:t>
      </w:r>
      <w:r w:rsidRPr="00312E48">
        <w:rPr>
          <w:sz w:val="22"/>
          <w:szCs w:val="22"/>
        </w:rPr>
        <w:t xml:space="preserve">, </w:t>
      </w:r>
      <w:r w:rsidR="00240156">
        <w:rPr>
          <w:sz w:val="22"/>
          <w:szCs w:val="22"/>
        </w:rPr>
        <w:t xml:space="preserve">rindió concepto solicitado por la Agencia </w:t>
      </w:r>
      <w:r>
        <w:rPr>
          <w:sz w:val="22"/>
          <w:szCs w:val="22"/>
        </w:rPr>
        <w:t xml:space="preserve">en relación </w:t>
      </w:r>
      <w:r w:rsidR="00106681">
        <w:rPr>
          <w:sz w:val="22"/>
          <w:szCs w:val="22"/>
        </w:rPr>
        <w:t xml:space="preserve">con el estado de aplicación de las Normas Internacionales de Contabilidad para el Sector Público (NICSP) </w:t>
      </w:r>
      <w:r w:rsidR="00240156">
        <w:rPr>
          <w:sz w:val="22"/>
          <w:szCs w:val="22"/>
        </w:rPr>
        <w:t xml:space="preserve">en particular, </w:t>
      </w:r>
      <w:r w:rsidR="00106681">
        <w:rPr>
          <w:sz w:val="22"/>
          <w:szCs w:val="22"/>
        </w:rPr>
        <w:t>para la Agencia Nacional de Infraestructura</w:t>
      </w:r>
      <w:r>
        <w:rPr>
          <w:sz w:val="22"/>
          <w:szCs w:val="22"/>
        </w:rPr>
        <w:t xml:space="preserve">, </w:t>
      </w:r>
      <w:r w:rsidR="00240156">
        <w:rPr>
          <w:sz w:val="22"/>
          <w:szCs w:val="22"/>
        </w:rPr>
        <w:t xml:space="preserve">considerando, en suma, </w:t>
      </w:r>
      <w:r>
        <w:rPr>
          <w:sz w:val="22"/>
          <w:szCs w:val="22"/>
        </w:rPr>
        <w:t>lo siguiente:</w:t>
      </w:r>
    </w:p>
    <w:p w:rsidR="006E5BFF" w:rsidRPr="00312E48" w:rsidRDefault="006E5BFF" w:rsidP="006E5BFF">
      <w:pPr>
        <w:pStyle w:val="Prrafodelista"/>
        <w:ind w:left="720"/>
        <w:jc w:val="both"/>
        <w:rPr>
          <w:i/>
          <w:sz w:val="22"/>
          <w:szCs w:val="22"/>
        </w:rPr>
      </w:pPr>
    </w:p>
    <w:p w:rsidR="006E5BFF" w:rsidRPr="00240156" w:rsidRDefault="006E5BFF" w:rsidP="005722F1">
      <w:pPr>
        <w:pStyle w:val="Prrafodelista"/>
        <w:ind w:left="1134" w:right="566"/>
        <w:jc w:val="both"/>
        <w:rPr>
          <w:i/>
          <w:sz w:val="20"/>
        </w:rPr>
      </w:pPr>
      <w:r w:rsidRPr="00240156">
        <w:rPr>
          <w:i/>
          <w:sz w:val="20"/>
        </w:rPr>
        <w:t>“</w:t>
      </w:r>
      <w:r w:rsidR="005722F1" w:rsidRPr="00240156">
        <w:rPr>
          <w:i/>
          <w:sz w:val="20"/>
        </w:rPr>
        <w:t xml:space="preserve">…  Con relación a las entidades de gobierno, la Contaduría General de la Nación viene desarrollando el marco normativo de contabilidad que les será aplicable, el cual tiene como referente las Normas Internacionales de Contabilidad del Sector Público (NICSP) y se tiene previsto expedir en el segundo semestre de 2015, </w:t>
      </w:r>
      <w:r w:rsidR="00F426C5" w:rsidRPr="00240156">
        <w:rPr>
          <w:i/>
          <w:sz w:val="20"/>
        </w:rPr>
        <w:t>para ser aplicado en el año 2017.</w:t>
      </w:r>
    </w:p>
    <w:p w:rsidR="006E5BFF" w:rsidRPr="00240156" w:rsidRDefault="006E5BFF" w:rsidP="006E5BFF">
      <w:pPr>
        <w:pStyle w:val="Prrafodelista"/>
        <w:ind w:left="1134" w:right="566"/>
        <w:jc w:val="both"/>
        <w:rPr>
          <w:i/>
          <w:sz w:val="20"/>
        </w:rPr>
      </w:pPr>
    </w:p>
    <w:p w:rsidR="00F426C5" w:rsidRPr="00240156" w:rsidRDefault="00F426C5" w:rsidP="00240156">
      <w:pPr>
        <w:pStyle w:val="Prrafodelista"/>
        <w:ind w:left="1134" w:right="566"/>
        <w:jc w:val="both"/>
        <w:rPr>
          <w:i/>
          <w:sz w:val="20"/>
        </w:rPr>
      </w:pPr>
      <w:r w:rsidRPr="00240156">
        <w:rPr>
          <w:i/>
          <w:sz w:val="20"/>
        </w:rPr>
        <w:t>En consecuencia, la Agencia Nacional de Infraestructura, por tratarse de una entidad de gobierno, debe continuar aplicando el Plan General de Contabilidad Pública, el Manual de Procedimientos y la Doctrina Contable Pública del Régimen de Contabilidad Pública, incluido el “Procedimiento contable para el reconocimiento y revelación de los hechos relacionados con las concesiones de la infraestructura de transporte”, hasta tanto la Contaduría General de la Nación expida el acto administrativo que incorpore al Régimen de Contabilidad Pública, marco normativo de contabilidad para entidades de gobierno.”</w:t>
      </w:r>
    </w:p>
    <w:p w:rsidR="00B06A84" w:rsidRPr="00A32A63" w:rsidRDefault="00B06A84" w:rsidP="00240156">
      <w:pPr>
        <w:pStyle w:val="Textoindependiente"/>
        <w:rPr>
          <w:rFonts w:ascii="Arial Narrow" w:hAnsi="Arial Narrow"/>
          <w:b w:val="0"/>
          <w:bCs w:val="0"/>
        </w:rPr>
      </w:pPr>
      <w:r>
        <w:rPr>
          <w:rFonts w:cs="Gisha"/>
          <w:sz w:val="22"/>
          <w:szCs w:val="22"/>
        </w:rPr>
        <w:t xml:space="preserve">Al respecto, </w:t>
      </w:r>
      <w:r w:rsidRPr="00A32A63">
        <w:rPr>
          <w:rFonts w:ascii="Arial Narrow" w:hAnsi="Arial Narrow"/>
          <w:b w:val="0"/>
          <w:bCs w:val="0"/>
        </w:rPr>
        <w:t xml:space="preserve">con la Ley 1314 de 2009 y la Resolución 533 de 2015, se estableció la directriz de alcanzar e implementar los estándares internacionales de información financiera y demás trámites que requiere la administración, de acuerdo con  las actividades y funciones administrativas y misionales de la Entidad </w:t>
      </w:r>
    </w:p>
    <w:p w:rsidR="00B06A84" w:rsidRPr="00A32A63" w:rsidRDefault="00B06A84" w:rsidP="00240156">
      <w:pPr>
        <w:ind w:right="85"/>
        <w:jc w:val="both"/>
        <w:rPr>
          <w:rFonts w:ascii="Arial Narrow" w:hAnsi="Arial Narrow"/>
          <w:bCs/>
        </w:rPr>
      </w:pPr>
    </w:p>
    <w:p w:rsidR="00B06A84" w:rsidRPr="00240156" w:rsidRDefault="0082234A" w:rsidP="0082234A">
      <w:pPr>
        <w:ind w:left="426" w:right="73"/>
        <w:jc w:val="both"/>
        <w:rPr>
          <w:rFonts w:ascii="Arial Narrow" w:hAnsi="Arial Narrow"/>
          <w:bCs/>
          <w:sz w:val="22"/>
          <w:szCs w:val="22"/>
        </w:rPr>
      </w:pPr>
      <w:r w:rsidRPr="00240156">
        <w:rPr>
          <w:rFonts w:ascii="Arial Narrow" w:hAnsi="Arial Narrow"/>
          <w:bCs/>
          <w:sz w:val="22"/>
          <w:szCs w:val="22"/>
        </w:rPr>
        <w:t>Al respecto,</w:t>
      </w:r>
      <w:r w:rsidR="00240156">
        <w:rPr>
          <w:rFonts w:ascii="Arial Narrow" w:hAnsi="Arial Narrow"/>
          <w:bCs/>
          <w:sz w:val="22"/>
          <w:szCs w:val="22"/>
        </w:rPr>
        <w:t xml:space="preserve"> se indica que </w:t>
      </w:r>
      <w:r w:rsidRPr="00240156">
        <w:rPr>
          <w:rFonts w:ascii="Arial Narrow" w:hAnsi="Arial Narrow"/>
          <w:bCs/>
          <w:sz w:val="22"/>
          <w:szCs w:val="22"/>
        </w:rPr>
        <w:t>l</w:t>
      </w:r>
      <w:r w:rsidR="00B06A84" w:rsidRPr="00240156">
        <w:rPr>
          <w:rFonts w:ascii="Arial Narrow" w:hAnsi="Arial Narrow"/>
          <w:bCs/>
          <w:sz w:val="22"/>
          <w:szCs w:val="22"/>
        </w:rPr>
        <w:t xml:space="preserve">a Agencia Nacional de Infraestructura </w:t>
      </w:r>
      <w:r w:rsidR="00240156">
        <w:rPr>
          <w:rFonts w:ascii="Arial Narrow" w:hAnsi="Arial Narrow"/>
          <w:bCs/>
          <w:sz w:val="22"/>
          <w:szCs w:val="22"/>
        </w:rPr>
        <w:t xml:space="preserve"> a partir del 1º </w:t>
      </w:r>
      <w:r w:rsidR="00240156" w:rsidRPr="00240156">
        <w:rPr>
          <w:rFonts w:ascii="Arial Narrow" w:hAnsi="Arial Narrow"/>
          <w:bCs/>
          <w:sz w:val="22"/>
          <w:szCs w:val="22"/>
        </w:rPr>
        <w:t>de enero de 2017</w:t>
      </w:r>
      <w:r w:rsidR="00240156">
        <w:rPr>
          <w:rFonts w:ascii="Arial Narrow" w:hAnsi="Arial Narrow"/>
          <w:bCs/>
          <w:sz w:val="22"/>
          <w:szCs w:val="22"/>
        </w:rPr>
        <w:t xml:space="preserve"> </w:t>
      </w:r>
      <w:r w:rsidR="00B06A84" w:rsidRPr="00240156">
        <w:rPr>
          <w:rFonts w:ascii="Arial Narrow" w:hAnsi="Arial Narrow"/>
          <w:bCs/>
          <w:sz w:val="22"/>
          <w:szCs w:val="22"/>
        </w:rPr>
        <w:t>deberá preparar</w:t>
      </w:r>
      <w:r w:rsidR="00240156">
        <w:rPr>
          <w:rFonts w:ascii="Arial Narrow" w:hAnsi="Arial Narrow"/>
          <w:bCs/>
          <w:sz w:val="22"/>
          <w:szCs w:val="22"/>
        </w:rPr>
        <w:t xml:space="preserve"> sus</w:t>
      </w:r>
      <w:r w:rsidR="00B06A84" w:rsidRPr="00240156">
        <w:rPr>
          <w:rFonts w:ascii="Arial Narrow" w:hAnsi="Arial Narrow"/>
          <w:bCs/>
          <w:sz w:val="22"/>
          <w:szCs w:val="22"/>
        </w:rPr>
        <w:t xml:space="preserve"> estados financieros bajo las Normas internacionales de contabilidad del Sector Público (NICSP</w:t>
      </w:r>
      <w:r w:rsidR="00240156">
        <w:rPr>
          <w:rFonts w:ascii="Arial Narrow" w:hAnsi="Arial Narrow"/>
          <w:bCs/>
          <w:sz w:val="22"/>
          <w:szCs w:val="22"/>
        </w:rPr>
        <w:t>),</w:t>
      </w:r>
      <w:r w:rsidR="00B06A84" w:rsidRPr="00240156">
        <w:rPr>
          <w:rFonts w:ascii="Arial Narrow" w:hAnsi="Arial Narrow"/>
          <w:bCs/>
          <w:sz w:val="22"/>
          <w:szCs w:val="22"/>
        </w:rPr>
        <w:t xml:space="preserve"> </w:t>
      </w:r>
      <w:r w:rsidR="00240156">
        <w:rPr>
          <w:rFonts w:ascii="Arial Narrow" w:hAnsi="Arial Narrow"/>
          <w:bCs/>
          <w:sz w:val="22"/>
          <w:szCs w:val="22"/>
        </w:rPr>
        <w:t xml:space="preserve">según </w:t>
      </w:r>
      <w:r w:rsidR="00B06A84" w:rsidRPr="00240156">
        <w:rPr>
          <w:rFonts w:ascii="Arial Narrow" w:hAnsi="Arial Narrow"/>
          <w:bCs/>
          <w:sz w:val="22"/>
          <w:szCs w:val="22"/>
        </w:rPr>
        <w:t>el  cronograma d</w:t>
      </w:r>
      <w:r w:rsidR="00240156">
        <w:rPr>
          <w:rFonts w:ascii="Arial Narrow" w:hAnsi="Arial Narrow"/>
          <w:bCs/>
          <w:sz w:val="22"/>
          <w:szCs w:val="22"/>
        </w:rPr>
        <w:t>e aplicación establecido en el a</w:t>
      </w:r>
      <w:r w:rsidR="00B06A84" w:rsidRPr="00240156">
        <w:rPr>
          <w:rFonts w:ascii="Arial Narrow" w:hAnsi="Arial Narrow"/>
          <w:bCs/>
          <w:sz w:val="22"/>
          <w:szCs w:val="22"/>
        </w:rPr>
        <w:t xml:space="preserve">rtículo 4 de la Resolución 533 de 2015 </w:t>
      </w:r>
      <w:r w:rsidR="00240156">
        <w:rPr>
          <w:rFonts w:ascii="Arial Narrow" w:hAnsi="Arial Narrow"/>
          <w:bCs/>
          <w:sz w:val="22"/>
          <w:szCs w:val="22"/>
        </w:rPr>
        <w:t>expedida por</w:t>
      </w:r>
      <w:r w:rsidR="00B06A84" w:rsidRPr="00240156">
        <w:rPr>
          <w:rFonts w:ascii="Arial Narrow" w:hAnsi="Arial Narrow"/>
          <w:bCs/>
          <w:sz w:val="22"/>
          <w:szCs w:val="22"/>
        </w:rPr>
        <w:t xml:space="preserve"> la Contaduría</w:t>
      </w:r>
      <w:r w:rsidR="00240156">
        <w:rPr>
          <w:rFonts w:ascii="Arial Narrow" w:hAnsi="Arial Narrow"/>
          <w:bCs/>
          <w:sz w:val="22"/>
          <w:szCs w:val="22"/>
        </w:rPr>
        <w:t xml:space="preserve"> General de la Nación, en el cual se determinan los </w:t>
      </w:r>
      <w:r w:rsidR="00B06A84" w:rsidRPr="00240156">
        <w:rPr>
          <w:rFonts w:ascii="Arial Narrow" w:hAnsi="Arial Narrow"/>
          <w:bCs/>
          <w:sz w:val="22"/>
          <w:szCs w:val="22"/>
        </w:rPr>
        <w:t>períodos de implementación para</w:t>
      </w:r>
      <w:r w:rsidR="00240156">
        <w:rPr>
          <w:rFonts w:ascii="Arial Narrow" w:hAnsi="Arial Narrow"/>
          <w:bCs/>
          <w:sz w:val="22"/>
          <w:szCs w:val="22"/>
        </w:rPr>
        <w:t xml:space="preserve"> las entidades del gobierno. En consecuencia, </w:t>
      </w:r>
      <w:r w:rsidR="00B06A84" w:rsidRPr="00240156">
        <w:rPr>
          <w:rFonts w:ascii="Arial Narrow" w:hAnsi="Arial Narrow"/>
          <w:bCs/>
          <w:sz w:val="22"/>
          <w:szCs w:val="22"/>
        </w:rPr>
        <w:t>la Agencia debe dar cumplimiento a los períodos de preparación obligatoria y primer período de aplicación así:</w:t>
      </w:r>
    </w:p>
    <w:p w:rsidR="00B06A84" w:rsidRPr="00A32A63" w:rsidRDefault="00B06A84" w:rsidP="00B06A84">
      <w:pPr>
        <w:ind w:left="103" w:right="73"/>
        <w:jc w:val="both"/>
        <w:rPr>
          <w:rFonts w:ascii="Arial Narrow" w:hAnsi="Arial Narrow"/>
          <w:bCs/>
        </w:rPr>
      </w:pPr>
    </w:p>
    <w:p w:rsidR="00B06A84" w:rsidRDefault="00B06A84" w:rsidP="00853B3A">
      <w:pPr>
        <w:numPr>
          <w:ilvl w:val="0"/>
          <w:numId w:val="11"/>
        </w:numPr>
        <w:ind w:left="993" w:right="73"/>
        <w:jc w:val="both"/>
        <w:rPr>
          <w:rFonts w:ascii="Arial Narrow" w:hAnsi="Arial Narrow"/>
          <w:sz w:val="22"/>
          <w:szCs w:val="22"/>
          <w:lang w:val="es-CO"/>
        </w:rPr>
      </w:pPr>
      <w:r w:rsidRPr="00240156">
        <w:rPr>
          <w:rFonts w:ascii="Arial Narrow" w:hAnsi="Arial Narrow"/>
          <w:sz w:val="22"/>
          <w:szCs w:val="22"/>
          <w:lang w:val="es-CO"/>
        </w:rPr>
        <w:t xml:space="preserve">Período de Preparación Obligatoria: </w:t>
      </w:r>
      <w:r w:rsidR="00240156">
        <w:rPr>
          <w:rFonts w:ascii="Arial Narrow" w:hAnsi="Arial Narrow"/>
          <w:sz w:val="22"/>
          <w:szCs w:val="22"/>
          <w:lang w:val="es-CO"/>
        </w:rPr>
        <w:t>Comprendido entre la f</w:t>
      </w:r>
      <w:r w:rsidRPr="00240156">
        <w:rPr>
          <w:rFonts w:ascii="Arial Narrow" w:hAnsi="Arial Narrow"/>
          <w:sz w:val="22"/>
          <w:szCs w:val="22"/>
          <w:lang w:val="es-CO"/>
        </w:rPr>
        <w:t xml:space="preserve">echa publicación de la Resolución 533 de </w:t>
      </w:r>
      <w:r w:rsidR="00B154F7">
        <w:rPr>
          <w:rFonts w:ascii="Arial Narrow" w:hAnsi="Arial Narrow"/>
          <w:sz w:val="22"/>
          <w:szCs w:val="22"/>
          <w:lang w:val="es-CO"/>
        </w:rPr>
        <w:t xml:space="preserve">8 de octubre de </w:t>
      </w:r>
      <w:r w:rsidRPr="00240156">
        <w:rPr>
          <w:rFonts w:ascii="Arial Narrow" w:hAnsi="Arial Narrow"/>
          <w:sz w:val="22"/>
          <w:szCs w:val="22"/>
          <w:lang w:val="es-CO"/>
        </w:rPr>
        <w:t>2015</w:t>
      </w:r>
      <w:r w:rsidR="00240156">
        <w:rPr>
          <w:rFonts w:ascii="Arial Narrow" w:hAnsi="Arial Narrow"/>
          <w:sz w:val="22"/>
          <w:szCs w:val="22"/>
          <w:lang w:val="es-CO"/>
        </w:rPr>
        <w:t xml:space="preserve"> </w:t>
      </w:r>
      <w:r w:rsidRPr="00240156">
        <w:rPr>
          <w:rFonts w:ascii="Arial Narrow" w:hAnsi="Arial Narrow"/>
          <w:sz w:val="22"/>
          <w:szCs w:val="22"/>
          <w:lang w:val="es-CO"/>
        </w:rPr>
        <w:t>y el 31 de diciembre de 2016. En este periodo las entidades formularán y ejecutarán, bajo el liderazgo de la alta dirección, los planes de acción relacionados con la preparación para la implementación obligatoria del Marco Normativo, teniendo en cuenta los plazos y requisitos que establezca la CGN.</w:t>
      </w:r>
    </w:p>
    <w:p w:rsidR="00240156" w:rsidRPr="00240156" w:rsidRDefault="00240156" w:rsidP="00240156">
      <w:pPr>
        <w:ind w:left="993" w:right="73"/>
        <w:jc w:val="both"/>
        <w:rPr>
          <w:rFonts w:ascii="Arial Narrow" w:hAnsi="Arial Narrow"/>
          <w:sz w:val="22"/>
          <w:szCs w:val="22"/>
          <w:lang w:val="es-CO"/>
        </w:rPr>
      </w:pPr>
    </w:p>
    <w:p w:rsidR="00B06A84" w:rsidRPr="00240156" w:rsidRDefault="00B06A84" w:rsidP="00853B3A">
      <w:pPr>
        <w:numPr>
          <w:ilvl w:val="0"/>
          <w:numId w:val="11"/>
        </w:numPr>
        <w:ind w:left="993" w:right="73"/>
        <w:jc w:val="both"/>
        <w:rPr>
          <w:rFonts w:ascii="Arial Narrow" w:hAnsi="Arial Narrow"/>
          <w:sz w:val="22"/>
          <w:szCs w:val="22"/>
          <w:lang w:val="es-CO"/>
        </w:rPr>
      </w:pPr>
      <w:r w:rsidRPr="00240156">
        <w:rPr>
          <w:rFonts w:ascii="Arial Narrow" w:hAnsi="Arial Narrow"/>
          <w:sz w:val="22"/>
          <w:szCs w:val="22"/>
          <w:lang w:val="es-CO"/>
        </w:rPr>
        <w:t xml:space="preserve">Primer Período de aplicación: </w:t>
      </w:r>
      <w:r w:rsidR="00240156">
        <w:rPr>
          <w:rFonts w:ascii="Arial Narrow" w:hAnsi="Arial Narrow"/>
          <w:sz w:val="22"/>
          <w:szCs w:val="22"/>
          <w:lang w:val="es-CO"/>
        </w:rPr>
        <w:t>Comprendido e</w:t>
      </w:r>
      <w:r w:rsidRPr="00240156">
        <w:rPr>
          <w:rFonts w:ascii="Arial Narrow" w:hAnsi="Arial Narrow"/>
          <w:sz w:val="22"/>
          <w:szCs w:val="22"/>
          <w:lang w:val="es-CO"/>
        </w:rPr>
        <w:t>ntre el 1 de enero y el 31 de diciembre de 2017</w:t>
      </w:r>
      <w:r w:rsidR="00240156">
        <w:rPr>
          <w:rFonts w:ascii="Arial Narrow" w:hAnsi="Arial Narrow"/>
          <w:sz w:val="22"/>
          <w:szCs w:val="22"/>
          <w:lang w:val="es-CO"/>
        </w:rPr>
        <w:t xml:space="preserve">. Durante este periodo, </w:t>
      </w:r>
      <w:r w:rsidR="00240156" w:rsidRPr="00240156">
        <w:rPr>
          <w:rFonts w:ascii="Arial Narrow" w:hAnsi="Arial Narrow"/>
          <w:sz w:val="22"/>
          <w:szCs w:val="22"/>
          <w:lang w:val="es-CO"/>
        </w:rPr>
        <w:t>para todos los efectos</w:t>
      </w:r>
      <w:r w:rsidRPr="00240156">
        <w:rPr>
          <w:rFonts w:ascii="Arial Narrow" w:hAnsi="Arial Narrow"/>
          <w:sz w:val="22"/>
          <w:szCs w:val="22"/>
          <w:lang w:val="es-CO"/>
        </w:rPr>
        <w:t xml:space="preserve"> la contabilidad se llevará bajo el nuevo marco normativo. </w:t>
      </w:r>
    </w:p>
    <w:p w:rsidR="00B06A84" w:rsidRPr="00240156" w:rsidRDefault="00B06A84" w:rsidP="00B06A84">
      <w:pPr>
        <w:tabs>
          <w:tab w:val="left" w:pos="5295"/>
        </w:tabs>
        <w:ind w:right="85"/>
        <w:jc w:val="both"/>
        <w:rPr>
          <w:rFonts w:ascii="Arial Narrow" w:hAnsi="Arial Narrow"/>
          <w:bCs/>
          <w:sz w:val="22"/>
          <w:szCs w:val="22"/>
        </w:rPr>
      </w:pPr>
      <w:r w:rsidRPr="00240156">
        <w:rPr>
          <w:rFonts w:ascii="Arial Narrow" w:hAnsi="Arial Narrow"/>
          <w:bCs/>
          <w:sz w:val="22"/>
          <w:szCs w:val="22"/>
        </w:rPr>
        <w:tab/>
      </w:r>
    </w:p>
    <w:p w:rsidR="00DD14BD" w:rsidRPr="00DD14BD" w:rsidRDefault="00DD14BD" w:rsidP="00853B3A">
      <w:pPr>
        <w:pStyle w:val="Prrafodelista"/>
        <w:numPr>
          <w:ilvl w:val="0"/>
          <w:numId w:val="7"/>
        </w:numPr>
        <w:jc w:val="both"/>
        <w:rPr>
          <w:i/>
          <w:sz w:val="22"/>
          <w:szCs w:val="22"/>
        </w:rPr>
      </w:pPr>
      <w:r w:rsidRPr="00312E48">
        <w:rPr>
          <w:rFonts w:cs="Arial"/>
          <w:sz w:val="22"/>
          <w:szCs w:val="22"/>
        </w:rPr>
        <w:t xml:space="preserve">La Contaduría General de la Nación </w:t>
      </w:r>
      <w:r>
        <w:rPr>
          <w:rFonts w:cs="Arial"/>
          <w:sz w:val="22"/>
          <w:szCs w:val="22"/>
        </w:rPr>
        <w:t xml:space="preserve">a solicitud de la Agencia, </w:t>
      </w:r>
      <w:r w:rsidR="00472A78">
        <w:rPr>
          <w:rFonts w:cs="Arial"/>
          <w:sz w:val="22"/>
          <w:szCs w:val="22"/>
        </w:rPr>
        <w:t>mediante oficio</w:t>
      </w:r>
      <w:r w:rsidRPr="00312E48">
        <w:rPr>
          <w:rFonts w:cs="Arial"/>
          <w:sz w:val="22"/>
          <w:szCs w:val="22"/>
        </w:rPr>
        <w:t xml:space="preserve"> radicado</w:t>
      </w:r>
      <w:r w:rsidR="00472A78">
        <w:rPr>
          <w:rFonts w:cs="Arial"/>
          <w:sz w:val="22"/>
          <w:szCs w:val="22"/>
        </w:rPr>
        <w:t xml:space="preserve"> en la Agencia bajo el No. </w:t>
      </w:r>
      <w:r w:rsidRPr="00312E48">
        <w:rPr>
          <w:sz w:val="22"/>
          <w:szCs w:val="22"/>
        </w:rPr>
        <w:t>201</w:t>
      </w:r>
      <w:r>
        <w:rPr>
          <w:sz w:val="22"/>
          <w:szCs w:val="22"/>
        </w:rPr>
        <w:t>5-409-068349-2 del 21 de octubre de 2015</w:t>
      </w:r>
      <w:r w:rsidRPr="00312E48">
        <w:rPr>
          <w:sz w:val="22"/>
          <w:szCs w:val="22"/>
        </w:rPr>
        <w:t xml:space="preserve">, concluyó </w:t>
      </w:r>
      <w:r>
        <w:rPr>
          <w:sz w:val="22"/>
          <w:szCs w:val="22"/>
        </w:rPr>
        <w:t xml:space="preserve">en relación con los saldos por conciliar </w:t>
      </w:r>
      <w:r w:rsidR="006D0B9A">
        <w:rPr>
          <w:sz w:val="22"/>
          <w:szCs w:val="22"/>
        </w:rPr>
        <w:t xml:space="preserve">de Operaciones Reciprocas </w:t>
      </w:r>
      <w:r>
        <w:rPr>
          <w:sz w:val="22"/>
          <w:szCs w:val="22"/>
        </w:rPr>
        <w:t xml:space="preserve">con </w:t>
      </w:r>
      <w:r w:rsidR="00472A78">
        <w:rPr>
          <w:sz w:val="22"/>
          <w:szCs w:val="22"/>
        </w:rPr>
        <w:t>FONADE, ICBF Y SENA</w:t>
      </w:r>
      <w:r>
        <w:rPr>
          <w:sz w:val="22"/>
          <w:szCs w:val="22"/>
        </w:rPr>
        <w:t>,</w:t>
      </w:r>
      <w:r w:rsidR="00472A78">
        <w:rPr>
          <w:sz w:val="22"/>
          <w:szCs w:val="22"/>
        </w:rPr>
        <w:t xml:space="preserve"> en síntesis,</w:t>
      </w:r>
      <w:r>
        <w:rPr>
          <w:sz w:val="22"/>
          <w:szCs w:val="22"/>
        </w:rPr>
        <w:t xml:space="preserve"> lo siguiente:</w:t>
      </w:r>
    </w:p>
    <w:p w:rsidR="00DD14BD" w:rsidRDefault="00DD14BD" w:rsidP="00DD14BD">
      <w:pPr>
        <w:pStyle w:val="Prrafodelista"/>
        <w:ind w:left="720"/>
        <w:jc w:val="both"/>
        <w:rPr>
          <w:sz w:val="22"/>
          <w:szCs w:val="22"/>
        </w:rPr>
      </w:pPr>
    </w:p>
    <w:p w:rsidR="00DD14BD" w:rsidRPr="00472A78" w:rsidRDefault="00DD14BD" w:rsidP="00DD14B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134" w:right="566"/>
        <w:rPr>
          <w:rFonts w:ascii="Arial Narrow" w:hAnsi="Arial Narrow" w:cs="Times New Roman"/>
          <w:b w:val="0"/>
          <w:bCs w:val="0"/>
          <w:i/>
          <w:color w:val="auto"/>
          <w:sz w:val="20"/>
          <w:szCs w:val="20"/>
          <w:lang w:val="es-CO"/>
        </w:rPr>
      </w:pPr>
      <w:r w:rsidRPr="00472A78">
        <w:rPr>
          <w:rFonts w:ascii="Arial Narrow" w:hAnsi="Arial Narrow"/>
          <w:b w:val="0"/>
          <w:i/>
          <w:sz w:val="20"/>
          <w:szCs w:val="20"/>
        </w:rPr>
        <w:t>“…</w:t>
      </w:r>
      <w:r w:rsidRPr="00472A78">
        <w:rPr>
          <w:rFonts w:ascii="Arial Narrow" w:hAnsi="Arial Narrow" w:cs="Times New Roman"/>
          <w:b w:val="0"/>
          <w:bCs w:val="0"/>
          <w:i/>
          <w:color w:val="auto"/>
          <w:sz w:val="20"/>
          <w:szCs w:val="20"/>
          <w:lang w:val="es-CO"/>
        </w:rPr>
        <w:t xml:space="preserve">Saldos por conciliar generados con FONADE: </w:t>
      </w:r>
      <w:r w:rsidR="00FA58B4" w:rsidRPr="00472A78">
        <w:rPr>
          <w:rFonts w:ascii="Arial Narrow" w:hAnsi="Arial Narrow" w:cs="Times New Roman"/>
          <w:b w:val="0"/>
          <w:bCs w:val="0"/>
          <w:i/>
          <w:color w:val="auto"/>
          <w:sz w:val="20"/>
          <w:szCs w:val="20"/>
          <w:lang w:val="es-CO"/>
        </w:rPr>
        <w:t xml:space="preserve">a efecto de conciliar los saldos que persisten, relativos a los recursos entregados en administración </w:t>
      </w:r>
      <w:r w:rsidR="00472A78" w:rsidRPr="00B154F7">
        <w:rPr>
          <w:rFonts w:ascii="Arial Narrow" w:hAnsi="Arial Narrow" w:cs="Times New Roman"/>
          <w:b w:val="0"/>
          <w:bCs w:val="0"/>
          <w:i/>
          <w:color w:val="auto"/>
          <w:sz w:val="20"/>
          <w:szCs w:val="20"/>
          <w:lang w:val="es-CO"/>
        </w:rPr>
        <w:t>a</w:t>
      </w:r>
      <w:r w:rsidR="00472A78" w:rsidRPr="00472A78">
        <w:rPr>
          <w:rFonts w:ascii="Arial Narrow" w:hAnsi="Arial Narrow" w:cs="Times New Roman"/>
          <w:b w:val="0"/>
          <w:bCs w:val="0"/>
          <w:i/>
          <w:color w:val="auto"/>
          <w:sz w:val="20"/>
          <w:szCs w:val="20"/>
          <w:lang w:val="es-CO"/>
        </w:rPr>
        <w:t xml:space="preserve"> </w:t>
      </w:r>
      <w:r w:rsidR="00FA58B4" w:rsidRPr="00472A78">
        <w:rPr>
          <w:rFonts w:ascii="Arial Narrow" w:hAnsi="Arial Narrow" w:cs="Times New Roman"/>
          <w:b w:val="0"/>
          <w:bCs w:val="0"/>
          <w:i/>
          <w:color w:val="auto"/>
          <w:sz w:val="20"/>
          <w:szCs w:val="20"/>
          <w:lang w:val="es-CO"/>
        </w:rPr>
        <w:t xml:space="preserve">FONADE, es necesario realizar procedimientos administrativos que le </w:t>
      </w:r>
      <w:r w:rsidR="00FA58B4" w:rsidRPr="00472A78">
        <w:rPr>
          <w:rFonts w:ascii="Arial Narrow" w:hAnsi="Arial Narrow" w:cs="Times New Roman"/>
          <w:b w:val="0"/>
          <w:bCs w:val="0"/>
          <w:i/>
          <w:color w:val="auto"/>
          <w:sz w:val="20"/>
          <w:szCs w:val="20"/>
          <w:lang w:val="es-CO"/>
        </w:rPr>
        <w:lastRenderedPageBreak/>
        <w:t xml:space="preserve">permitan a la Agencia Nacional de Infraestructura – ANI obtener los informes de ejecución </w:t>
      </w:r>
      <w:r w:rsidR="00ED58F7" w:rsidRPr="00472A78">
        <w:rPr>
          <w:rFonts w:ascii="Arial Narrow" w:hAnsi="Arial Narrow" w:cs="Times New Roman"/>
          <w:b w:val="0"/>
          <w:bCs w:val="0"/>
          <w:i/>
          <w:color w:val="auto"/>
          <w:sz w:val="20"/>
          <w:szCs w:val="20"/>
          <w:lang w:val="es-CO"/>
        </w:rPr>
        <w:t xml:space="preserve">financiera en periodos </w:t>
      </w:r>
      <w:r w:rsidR="003F31A6" w:rsidRPr="00472A78">
        <w:rPr>
          <w:rFonts w:ascii="Arial Narrow" w:hAnsi="Arial Narrow" w:cs="Times New Roman"/>
          <w:b w:val="0"/>
          <w:bCs w:val="0"/>
          <w:i/>
          <w:color w:val="auto"/>
          <w:sz w:val="20"/>
          <w:szCs w:val="20"/>
          <w:lang w:val="es-CO"/>
        </w:rPr>
        <w:t>más</w:t>
      </w:r>
      <w:r w:rsidR="00ED58F7" w:rsidRPr="00472A78">
        <w:rPr>
          <w:rFonts w:ascii="Arial Narrow" w:hAnsi="Arial Narrow" w:cs="Times New Roman"/>
          <w:b w:val="0"/>
          <w:bCs w:val="0"/>
          <w:i/>
          <w:color w:val="auto"/>
          <w:sz w:val="20"/>
          <w:szCs w:val="20"/>
          <w:lang w:val="es-CO"/>
        </w:rPr>
        <w:t xml:space="preserve"> </w:t>
      </w:r>
      <w:r w:rsidR="00ED0301" w:rsidRPr="00472A78">
        <w:rPr>
          <w:rFonts w:ascii="Arial Narrow" w:hAnsi="Arial Narrow" w:cs="Times New Roman"/>
          <w:b w:val="0"/>
          <w:bCs w:val="0"/>
          <w:i/>
          <w:color w:val="auto"/>
          <w:sz w:val="20"/>
          <w:szCs w:val="20"/>
          <w:lang w:val="es-CO"/>
        </w:rPr>
        <w:t>cortos,</w:t>
      </w:r>
      <w:r w:rsidR="00ED58F7" w:rsidRPr="00472A78">
        <w:rPr>
          <w:rFonts w:ascii="Arial Narrow" w:hAnsi="Arial Narrow" w:cs="Times New Roman"/>
          <w:b w:val="0"/>
          <w:bCs w:val="0"/>
          <w:i/>
          <w:color w:val="auto"/>
          <w:sz w:val="20"/>
          <w:szCs w:val="20"/>
          <w:lang w:val="es-CO"/>
        </w:rPr>
        <w:t xml:space="preserve"> a efectos de que en los cortes trimestrales no se generen saldos por conciliar.</w:t>
      </w:r>
      <w:r w:rsidRPr="00472A78">
        <w:rPr>
          <w:rFonts w:ascii="Arial Narrow" w:hAnsi="Arial Narrow" w:cs="Times New Roman"/>
          <w:b w:val="0"/>
          <w:bCs w:val="0"/>
          <w:i/>
          <w:color w:val="auto"/>
          <w:sz w:val="20"/>
          <w:szCs w:val="20"/>
          <w:lang w:val="es-CO"/>
        </w:rPr>
        <w:t>”</w:t>
      </w:r>
    </w:p>
    <w:p w:rsidR="0027794E" w:rsidRPr="00472A78" w:rsidRDefault="0027794E" w:rsidP="00DD14B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134" w:right="566"/>
        <w:rPr>
          <w:rFonts w:ascii="Arial Narrow" w:hAnsi="Arial Narrow" w:cs="Times New Roman"/>
          <w:b w:val="0"/>
          <w:bCs w:val="0"/>
          <w:i/>
          <w:color w:val="auto"/>
          <w:sz w:val="20"/>
          <w:szCs w:val="20"/>
          <w:lang w:val="es-CO"/>
        </w:rPr>
      </w:pPr>
    </w:p>
    <w:p w:rsidR="0027794E" w:rsidRPr="00472A78" w:rsidRDefault="0027794E" w:rsidP="0027794E">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134" w:right="566"/>
        <w:rPr>
          <w:rFonts w:ascii="Arial Narrow" w:hAnsi="Arial Narrow" w:cs="Times New Roman"/>
          <w:b w:val="0"/>
          <w:bCs w:val="0"/>
          <w:i/>
          <w:color w:val="auto"/>
          <w:sz w:val="20"/>
          <w:szCs w:val="20"/>
          <w:lang w:val="es-CO"/>
        </w:rPr>
      </w:pPr>
      <w:r w:rsidRPr="00472A78">
        <w:rPr>
          <w:rFonts w:ascii="Arial Narrow" w:hAnsi="Arial Narrow"/>
          <w:b w:val="0"/>
          <w:i/>
          <w:sz w:val="20"/>
          <w:szCs w:val="20"/>
        </w:rPr>
        <w:t xml:space="preserve">“…ICBF y SENA: </w:t>
      </w:r>
      <w:r w:rsidRPr="00472A78">
        <w:rPr>
          <w:rFonts w:ascii="Arial Narrow" w:hAnsi="Arial Narrow" w:cs="Times New Roman"/>
          <w:b w:val="0"/>
          <w:bCs w:val="0"/>
          <w:i/>
          <w:color w:val="auto"/>
          <w:sz w:val="20"/>
          <w:szCs w:val="20"/>
          <w:lang w:val="es-CO"/>
        </w:rPr>
        <w:t xml:space="preserve">no existe un mecanismo establecido que permita que los saldos por conciliar generados por los pagos de los aportes del Sistema de Seguridad Social sean “0” , teniendo en cuenta la diferencia de momentos para el registro de los mismos por parte de las entidades involucradas en la transacción, de ahí que la Contaduría General de la </w:t>
      </w:r>
      <w:r w:rsidR="009F7809" w:rsidRPr="00472A78">
        <w:rPr>
          <w:rFonts w:ascii="Arial Narrow" w:hAnsi="Arial Narrow" w:cs="Times New Roman"/>
          <w:b w:val="0"/>
          <w:bCs w:val="0"/>
          <w:i/>
          <w:color w:val="auto"/>
          <w:sz w:val="20"/>
          <w:szCs w:val="20"/>
          <w:lang w:val="es-CO"/>
        </w:rPr>
        <w:t>Nación</w:t>
      </w:r>
      <w:r w:rsidRPr="00472A78">
        <w:rPr>
          <w:rFonts w:ascii="Arial Narrow" w:hAnsi="Arial Narrow" w:cs="Times New Roman"/>
          <w:b w:val="0"/>
          <w:bCs w:val="0"/>
          <w:i/>
          <w:color w:val="auto"/>
          <w:sz w:val="20"/>
          <w:szCs w:val="20"/>
          <w:lang w:val="es-CO"/>
        </w:rPr>
        <w:t xml:space="preserve"> (CGN), los haya identificado como “ Por el momento del devengo o causación “, por tanto las entidades deben continuar reportando la información, como lo vienen haciendo.  ”</w:t>
      </w:r>
    </w:p>
    <w:p w:rsidR="00881456" w:rsidRDefault="00881456" w:rsidP="0027794E">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134" w:right="566"/>
        <w:rPr>
          <w:rFonts w:ascii="Arial Narrow" w:hAnsi="Arial Narrow" w:cs="Times New Roman"/>
          <w:b w:val="0"/>
          <w:bCs w:val="0"/>
          <w:i/>
          <w:color w:val="auto"/>
          <w:sz w:val="21"/>
          <w:szCs w:val="21"/>
          <w:lang w:val="es-CO"/>
        </w:rPr>
      </w:pPr>
    </w:p>
    <w:p w:rsidR="003D7136" w:rsidRPr="00713DC7" w:rsidRDefault="00472A78" w:rsidP="00853B3A">
      <w:pPr>
        <w:pStyle w:val="Prrafodelista"/>
        <w:numPr>
          <w:ilvl w:val="0"/>
          <w:numId w:val="7"/>
        </w:numPr>
        <w:jc w:val="both"/>
        <w:rPr>
          <w:i/>
          <w:sz w:val="22"/>
          <w:szCs w:val="22"/>
        </w:rPr>
      </w:pPr>
      <w:r w:rsidRPr="00312E48">
        <w:rPr>
          <w:rFonts w:cs="Arial"/>
          <w:sz w:val="22"/>
          <w:szCs w:val="22"/>
        </w:rPr>
        <w:t>La Contaduría General de la Nación</w:t>
      </w:r>
      <w:r>
        <w:rPr>
          <w:rFonts w:cs="Arial"/>
          <w:sz w:val="22"/>
          <w:szCs w:val="22"/>
        </w:rPr>
        <w:t>, mediante oficio</w:t>
      </w:r>
      <w:r w:rsidRPr="00312E48">
        <w:rPr>
          <w:rFonts w:cs="Arial"/>
          <w:sz w:val="22"/>
          <w:szCs w:val="22"/>
        </w:rPr>
        <w:t xml:space="preserve"> radicado</w:t>
      </w:r>
      <w:r>
        <w:rPr>
          <w:rFonts w:cs="Arial"/>
          <w:sz w:val="22"/>
          <w:szCs w:val="22"/>
        </w:rPr>
        <w:t xml:space="preserve"> en la Agencia bajo el </w:t>
      </w:r>
      <w:r w:rsidRPr="00312E48">
        <w:rPr>
          <w:rFonts w:cs="Arial"/>
          <w:sz w:val="22"/>
          <w:szCs w:val="22"/>
        </w:rPr>
        <w:t xml:space="preserve">No. </w:t>
      </w:r>
      <w:r>
        <w:rPr>
          <w:sz w:val="22"/>
          <w:szCs w:val="22"/>
        </w:rPr>
        <w:t xml:space="preserve">2015-409-072717-2 </w:t>
      </w:r>
      <w:r w:rsidRPr="00312E48">
        <w:rPr>
          <w:sz w:val="22"/>
          <w:szCs w:val="22"/>
        </w:rPr>
        <w:t xml:space="preserve">del </w:t>
      </w:r>
      <w:r>
        <w:rPr>
          <w:sz w:val="22"/>
          <w:szCs w:val="22"/>
        </w:rPr>
        <w:t>08 de noviembre de 2015</w:t>
      </w:r>
      <w:r w:rsidR="003D7136" w:rsidRPr="00312E48">
        <w:rPr>
          <w:sz w:val="22"/>
          <w:szCs w:val="22"/>
        </w:rPr>
        <w:t xml:space="preserve">, </w:t>
      </w:r>
      <w:r>
        <w:rPr>
          <w:sz w:val="22"/>
          <w:szCs w:val="22"/>
        </w:rPr>
        <w:t>rindió concepto solicitado por la Agencia en torno a</w:t>
      </w:r>
      <w:r w:rsidR="003D7136">
        <w:rPr>
          <w:sz w:val="22"/>
          <w:szCs w:val="22"/>
        </w:rPr>
        <w:t xml:space="preserve">l registro contable de los aportes que realiza la Nación para inversiones en infraestructura concesionada, recursos </w:t>
      </w:r>
      <w:r>
        <w:rPr>
          <w:sz w:val="22"/>
          <w:szCs w:val="22"/>
        </w:rPr>
        <w:t>los cuales se administran</w:t>
      </w:r>
      <w:r w:rsidR="003D7136">
        <w:rPr>
          <w:sz w:val="22"/>
          <w:szCs w:val="22"/>
        </w:rPr>
        <w:t xml:space="preserve"> a través de </w:t>
      </w:r>
      <w:r>
        <w:rPr>
          <w:sz w:val="22"/>
          <w:szCs w:val="22"/>
        </w:rPr>
        <w:t>patrimonios a</w:t>
      </w:r>
      <w:r w:rsidR="003D7136">
        <w:rPr>
          <w:sz w:val="22"/>
          <w:szCs w:val="22"/>
        </w:rPr>
        <w:t>utónomos</w:t>
      </w:r>
      <w:r>
        <w:rPr>
          <w:sz w:val="22"/>
          <w:szCs w:val="22"/>
        </w:rPr>
        <w:t xml:space="preserve"> constituidos por los concesionarios para el manejo de los recursos afectos a los proyectos, así:</w:t>
      </w:r>
    </w:p>
    <w:p w:rsidR="00713DC7" w:rsidRPr="00713DC7" w:rsidRDefault="00713DC7" w:rsidP="00713DC7">
      <w:pPr>
        <w:ind w:left="360"/>
        <w:jc w:val="both"/>
        <w:rPr>
          <w:i/>
          <w:sz w:val="22"/>
          <w:szCs w:val="22"/>
        </w:rPr>
      </w:pPr>
    </w:p>
    <w:p w:rsidR="003D7136" w:rsidRPr="00472A78" w:rsidRDefault="003D7136" w:rsidP="00713DC7">
      <w:pPr>
        <w:pStyle w:val="Prrafodelista"/>
        <w:ind w:left="1276" w:right="537"/>
        <w:jc w:val="both"/>
        <w:rPr>
          <w:i/>
          <w:sz w:val="20"/>
        </w:rPr>
      </w:pPr>
      <w:r w:rsidRPr="00472A78">
        <w:rPr>
          <w:i/>
          <w:sz w:val="20"/>
        </w:rPr>
        <w:t xml:space="preserve">“ … Los aportes efectuados por la entidad contable pública se deben reconocer </w:t>
      </w:r>
      <w:r w:rsidRPr="00472A78">
        <w:rPr>
          <w:i/>
          <w:sz w:val="20"/>
          <w:u w:val="single"/>
        </w:rPr>
        <w:t>por el valor desembolsado</w:t>
      </w:r>
      <w:r w:rsidRPr="00472A78">
        <w:rPr>
          <w:sz w:val="20"/>
        </w:rPr>
        <w:t xml:space="preserve"> </w:t>
      </w:r>
      <w:r w:rsidRPr="00472A78">
        <w:rPr>
          <w:i/>
          <w:sz w:val="20"/>
        </w:rPr>
        <w:t>con un débito en la subcuenta que identifique el tipo de red, de la cuenta 1706- BIENES DE USO PÚBLICO EN CONSTRUCIÓN – CONCESIONES y un débito en la subcuenta que corresponda de la cuenta 1110- DEPOSITOS EN INSTITUCIONES FINANCIEROS, o en la subcuenta 142404- Encargo</w:t>
      </w:r>
      <w:r w:rsidR="00713DC7" w:rsidRPr="00472A78">
        <w:rPr>
          <w:i/>
          <w:sz w:val="20"/>
        </w:rPr>
        <w:t xml:space="preserve"> fiduciario – Fiducia de administración, de la cuenta 1424- RECURSOS ENTREGADOS EN ADMINISTRACION.”</w:t>
      </w:r>
      <w:r w:rsidRPr="00472A78">
        <w:rPr>
          <w:i/>
          <w:sz w:val="20"/>
        </w:rPr>
        <w:t xml:space="preserve"> </w:t>
      </w:r>
    </w:p>
    <w:p w:rsidR="003D7136" w:rsidRPr="003D7136" w:rsidRDefault="003D7136" w:rsidP="003D7136">
      <w:pPr>
        <w:pStyle w:val="Prrafodelista"/>
        <w:ind w:left="720"/>
        <w:jc w:val="both"/>
        <w:rPr>
          <w:i/>
          <w:sz w:val="22"/>
          <w:szCs w:val="22"/>
        </w:rPr>
      </w:pPr>
    </w:p>
    <w:p w:rsidR="00881456" w:rsidRPr="00472A78" w:rsidRDefault="00881456" w:rsidP="005F79C4">
      <w:pPr>
        <w:pStyle w:val="Prrafodelista"/>
        <w:numPr>
          <w:ilvl w:val="0"/>
          <w:numId w:val="7"/>
        </w:numPr>
        <w:jc w:val="both"/>
        <w:rPr>
          <w:i/>
          <w:sz w:val="22"/>
          <w:szCs w:val="22"/>
        </w:rPr>
      </w:pPr>
      <w:r w:rsidRPr="00472A78">
        <w:rPr>
          <w:rFonts w:cs="Arial"/>
          <w:sz w:val="22"/>
          <w:szCs w:val="22"/>
        </w:rPr>
        <w:t>La Contaduría General de la Nación</w:t>
      </w:r>
      <w:r w:rsidR="00472A78" w:rsidRPr="00472A78">
        <w:rPr>
          <w:rFonts w:cs="Arial"/>
          <w:sz w:val="22"/>
          <w:szCs w:val="22"/>
        </w:rPr>
        <w:t xml:space="preserve">, </w:t>
      </w:r>
      <w:r w:rsidRPr="00472A78">
        <w:rPr>
          <w:rFonts w:cs="Arial"/>
          <w:sz w:val="22"/>
          <w:szCs w:val="22"/>
        </w:rPr>
        <w:t xml:space="preserve"> </w:t>
      </w:r>
      <w:r w:rsidR="00472A78" w:rsidRPr="00472A78">
        <w:rPr>
          <w:rFonts w:cs="Arial"/>
          <w:sz w:val="22"/>
          <w:szCs w:val="22"/>
        </w:rPr>
        <w:t xml:space="preserve">mediante oficio radicado en la Agencia bajo el No. </w:t>
      </w:r>
      <w:r w:rsidRPr="00472A78">
        <w:rPr>
          <w:sz w:val="22"/>
          <w:szCs w:val="22"/>
        </w:rPr>
        <w:t xml:space="preserve">2015-409-075252-2 del 17 de noviembre de 2015, </w:t>
      </w:r>
      <w:r w:rsidR="00472A78" w:rsidRPr="00472A78">
        <w:rPr>
          <w:sz w:val="22"/>
          <w:szCs w:val="22"/>
        </w:rPr>
        <w:t xml:space="preserve">rindió concepto solicitado por la Agencia en torno </w:t>
      </w:r>
      <w:r w:rsidRPr="00472A78">
        <w:rPr>
          <w:sz w:val="22"/>
          <w:szCs w:val="22"/>
        </w:rPr>
        <w:t xml:space="preserve">a </w:t>
      </w:r>
      <w:r w:rsidR="009F7809" w:rsidRPr="00472A78">
        <w:rPr>
          <w:sz w:val="22"/>
          <w:szCs w:val="22"/>
        </w:rPr>
        <w:t>Operaciones Reciprocas</w:t>
      </w:r>
      <w:r w:rsidRPr="00472A78">
        <w:rPr>
          <w:sz w:val="22"/>
          <w:szCs w:val="22"/>
        </w:rPr>
        <w:t>,</w:t>
      </w:r>
      <w:r w:rsidR="00472A78" w:rsidRPr="00472A78">
        <w:rPr>
          <w:sz w:val="22"/>
          <w:szCs w:val="22"/>
        </w:rPr>
        <w:t xml:space="preserve"> en los siguientes términos: </w:t>
      </w:r>
    </w:p>
    <w:p w:rsidR="00472A78" w:rsidRDefault="00472A78" w:rsidP="0088145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134" w:right="566"/>
        <w:rPr>
          <w:i/>
          <w:sz w:val="22"/>
          <w:szCs w:val="22"/>
        </w:rPr>
      </w:pPr>
    </w:p>
    <w:p w:rsidR="00174882" w:rsidRDefault="00881456" w:rsidP="0088145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134" w:right="566"/>
        <w:rPr>
          <w:rFonts w:ascii="Arial Narrow" w:hAnsi="Arial Narrow" w:cs="Times New Roman"/>
          <w:b w:val="0"/>
          <w:bCs w:val="0"/>
          <w:i/>
          <w:color w:val="auto"/>
          <w:sz w:val="21"/>
          <w:szCs w:val="21"/>
          <w:lang w:val="es-CO"/>
        </w:rPr>
      </w:pPr>
      <w:r w:rsidRPr="0024728C">
        <w:rPr>
          <w:b w:val="0"/>
          <w:i/>
          <w:sz w:val="21"/>
          <w:szCs w:val="21"/>
        </w:rPr>
        <w:t>“</w:t>
      </w:r>
      <w:r>
        <w:rPr>
          <w:rFonts w:ascii="Arial Narrow" w:hAnsi="Arial Narrow" w:cs="Times New Roman"/>
          <w:b w:val="0"/>
          <w:bCs w:val="0"/>
          <w:i/>
          <w:color w:val="auto"/>
          <w:sz w:val="21"/>
          <w:szCs w:val="21"/>
          <w:lang w:val="es-CO"/>
        </w:rPr>
        <w:t xml:space="preserve">Central de Inversiones – CISA: El instructivo </w:t>
      </w:r>
      <w:r w:rsidR="00174882">
        <w:rPr>
          <w:rFonts w:ascii="Arial Narrow" w:hAnsi="Arial Narrow" w:cs="Times New Roman"/>
          <w:b w:val="0"/>
          <w:bCs w:val="0"/>
          <w:i/>
          <w:color w:val="auto"/>
          <w:sz w:val="21"/>
          <w:szCs w:val="21"/>
          <w:lang w:val="es-CO"/>
        </w:rPr>
        <w:t>No. 003</w:t>
      </w:r>
      <w:r w:rsidR="00472A78">
        <w:rPr>
          <w:rFonts w:ascii="Arial Narrow" w:hAnsi="Arial Narrow" w:cs="Times New Roman"/>
          <w:b w:val="0"/>
          <w:bCs w:val="0"/>
          <w:i/>
          <w:color w:val="auto"/>
          <w:sz w:val="21"/>
          <w:szCs w:val="21"/>
          <w:lang w:val="es-CO"/>
        </w:rPr>
        <w:t xml:space="preserve"> del 10 de diciembre de 2014  “</w:t>
      </w:r>
      <w:r w:rsidR="00174882">
        <w:rPr>
          <w:rFonts w:ascii="Arial Narrow" w:hAnsi="Arial Narrow" w:cs="Times New Roman"/>
          <w:b w:val="0"/>
          <w:bCs w:val="0"/>
          <w:i/>
          <w:color w:val="auto"/>
          <w:sz w:val="21"/>
          <w:szCs w:val="21"/>
          <w:lang w:val="es-CO"/>
        </w:rPr>
        <w:t>Instrucciones relacionadas con el cambio de perio</w:t>
      </w:r>
      <w:r w:rsidR="00ED0301">
        <w:rPr>
          <w:rFonts w:ascii="Arial Narrow" w:hAnsi="Arial Narrow" w:cs="Times New Roman"/>
          <w:b w:val="0"/>
          <w:bCs w:val="0"/>
          <w:i/>
          <w:color w:val="auto"/>
          <w:sz w:val="21"/>
          <w:szCs w:val="21"/>
          <w:lang w:val="es-CO"/>
        </w:rPr>
        <w:t>d</w:t>
      </w:r>
      <w:r w:rsidR="00174882">
        <w:rPr>
          <w:rFonts w:ascii="Arial Narrow" w:hAnsi="Arial Narrow" w:cs="Times New Roman"/>
          <w:b w:val="0"/>
          <w:bCs w:val="0"/>
          <w:i/>
          <w:color w:val="auto"/>
          <w:sz w:val="21"/>
          <w:szCs w:val="21"/>
          <w:lang w:val="es-CO"/>
        </w:rPr>
        <w:t xml:space="preserve">o 2014-2015, el reporte de información a la </w:t>
      </w:r>
      <w:r w:rsidR="00ED0301">
        <w:rPr>
          <w:rFonts w:ascii="Arial Narrow" w:hAnsi="Arial Narrow" w:cs="Times New Roman"/>
          <w:b w:val="0"/>
          <w:bCs w:val="0"/>
          <w:i/>
          <w:color w:val="auto"/>
          <w:sz w:val="21"/>
          <w:szCs w:val="21"/>
          <w:lang w:val="es-CO"/>
        </w:rPr>
        <w:t>Contaduría</w:t>
      </w:r>
      <w:r w:rsidR="00174882">
        <w:rPr>
          <w:rFonts w:ascii="Arial Narrow" w:hAnsi="Arial Narrow" w:cs="Times New Roman"/>
          <w:b w:val="0"/>
          <w:bCs w:val="0"/>
          <w:i/>
          <w:color w:val="auto"/>
          <w:sz w:val="21"/>
          <w:szCs w:val="21"/>
          <w:lang w:val="es-CO"/>
        </w:rPr>
        <w:t xml:space="preserve"> General de la </w:t>
      </w:r>
      <w:r w:rsidR="00ED0301">
        <w:rPr>
          <w:rFonts w:ascii="Arial Narrow" w:hAnsi="Arial Narrow" w:cs="Times New Roman"/>
          <w:b w:val="0"/>
          <w:bCs w:val="0"/>
          <w:i/>
          <w:color w:val="auto"/>
          <w:sz w:val="21"/>
          <w:szCs w:val="21"/>
          <w:lang w:val="es-CO"/>
        </w:rPr>
        <w:t>Nación</w:t>
      </w:r>
      <w:r w:rsidR="00174882">
        <w:rPr>
          <w:rFonts w:ascii="Arial Narrow" w:hAnsi="Arial Narrow" w:cs="Times New Roman"/>
          <w:b w:val="0"/>
          <w:bCs w:val="0"/>
          <w:i/>
          <w:color w:val="auto"/>
          <w:sz w:val="21"/>
          <w:szCs w:val="21"/>
          <w:lang w:val="es-CO"/>
        </w:rPr>
        <w:t xml:space="preserve"> y otros asuntos del proceso contable “, en el numeral 2.3.20 IVA no descontable, indica: </w:t>
      </w:r>
    </w:p>
    <w:p w:rsidR="00174882" w:rsidRDefault="00174882" w:rsidP="0088145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134" w:right="566"/>
        <w:rPr>
          <w:rFonts w:ascii="Arial Narrow" w:hAnsi="Arial Narrow" w:cs="Times New Roman"/>
          <w:b w:val="0"/>
          <w:bCs w:val="0"/>
          <w:i/>
          <w:color w:val="auto"/>
          <w:sz w:val="21"/>
          <w:szCs w:val="21"/>
          <w:lang w:val="es-CO"/>
        </w:rPr>
      </w:pPr>
    </w:p>
    <w:p w:rsidR="00881456" w:rsidRDefault="009F7E57" w:rsidP="0088145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134" w:right="566"/>
        <w:rPr>
          <w:rFonts w:ascii="Arial Narrow" w:hAnsi="Arial Narrow" w:cs="Times New Roman"/>
          <w:b w:val="0"/>
          <w:bCs w:val="0"/>
          <w:i/>
          <w:color w:val="auto"/>
          <w:sz w:val="21"/>
          <w:szCs w:val="21"/>
          <w:lang w:val="es-CO"/>
        </w:rPr>
      </w:pPr>
      <w:r>
        <w:rPr>
          <w:rFonts w:ascii="Arial Narrow" w:hAnsi="Arial Narrow" w:cs="Times New Roman"/>
          <w:b w:val="0"/>
          <w:bCs w:val="0"/>
          <w:i/>
          <w:color w:val="auto"/>
          <w:sz w:val="21"/>
          <w:szCs w:val="21"/>
          <w:lang w:val="es-CO"/>
        </w:rPr>
        <w:t>“El</w:t>
      </w:r>
      <w:r w:rsidR="00174882">
        <w:rPr>
          <w:rFonts w:ascii="Arial Narrow" w:hAnsi="Arial Narrow" w:cs="Times New Roman"/>
          <w:b w:val="0"/>
          <w:bCs w:val="0"/>
          <w:i/>
          <w:color w:val="auto"/>
          <w:sz w:val="21"/>
          <w:szCs w:val="21"/>
          <w:lang w:val="es-CO"/>
        </w:rPr>
        <w:t xml:space="preserve"> valor del IVA por compra de bienes y servicios, cuando no es descontable y se registra como un mayor valor de los costos o gastos </w:t>
      </w:r>
      <w:r>
        <w:rPr>
          <w:rFonts w:ascii="Arial Narrow" w:hAnsi="Arial Narrow" w:cs="Times New Roman"/>
          <w:b w:val="0"/>
          <w:bCs w:val="0"/>
          <w:i/>
          <w:color w:val="auto"/>
          <w:sz w:val="21"/>
          <w:szCs w:val="21"/>
          <w:lang w:val="es-CO"/>
        </w:rPr>
        <w:t>incurridos,</w:t>
      </w:r>
      <w:r w:rsidR="00174882">
        <w:rPr>
          <w:rFonts w:ascii="Arial Narrow" w:hAnsi="Arial Narrow" w:cs="Times New Roman"/>
          <w:b w:val="0"/>
          <w:bCs w:val="0"/>
          <w:i/>
          <w:color w:val="auto"/>
          <w:sz w:val="21"/>
          <w:szCs w:val="21"/>
          <w:lang w:val="es-CO"/>
        </w:rPr>
        <w:t xml:space="preserve"> no deberá reportarse como operación reciproca en el formulario CGN_2005_002_Operaciones _Reciprocas.</w:t>
      </w:r>
    </w:p>
    <w:p w:rsidR="009F7E57" w:rsidRDefault="009F7E57" w:rsidP="0088145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134" w:right="566"/>
        <w:rPr>
          <w:rFonts w:ascii="Arial Narrow" w:hAnsi="Arial Narrow" w:cs="Times New Roman"/>
          <w:b w:val="0"/>
          <w:bCs w:val="0"/>
          <w:i/>
          <w:color w:val="auto"/>
          <w:sz w:val="21"/>
          <w:szCs w:val="21"/>
          <w:lang w:val="es-CO"/>
        </w:rPr>
      </w:pPr>
    </w:p>
    <w:p w:rsidR="009F7E57" w:rsidRDefault="009F7E57" w:rsidP="0088145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134" w:right="566"/>
        <w:rPr>
          <w:rFonts w:ascii="Arial Narrow" w:hAnsi="Arial Narrow" w:cs="Times New Roman"/>
          <w:b w:val="0"/>
          <w:bCs w:val="0"/>
          <w:i/>
          <w:color w:val="auto"/>
          <w:sz w:val="21"/>
          <w:szCs w:val="21"/>
          <w:lang w:val="es-CO"/>
        </w:rPr>
      </w:pPr>
      <w:r>
        <w:rPr>
          <w:rFonts w:ascii="Arial Narrow" w:hAnsi="Arial Narrow" w:cs="Times New Roman"/>
          <w:b w:val="0"/>
          <w:bCs w:val="0"/>
          <w:i/>
          <w:color w:val="auto"/>
          <w:sz w:val="21"/>
          <w:szCs w:val="21"/>
          <w:lang w:val="es-CO"/>
        </w:rPr>
        <w:t>“</w:t>
      </w:r>
      <w:r w:rsidR="00523A03">
        <w:rPr>
          <w:rFonts w:ascii="Arial Narrow" w:hAnsi="Arial Narrow" w:cs="Times New Roman"/>
          <w:b w:val="0"/>
          <w:bCs w:val="0"/>
          <w:i/>
          <w:color w:val="auto"/>
          <w:sz w:val="21"/>
          <w:szCs w:val="21"/>
          <w:lang w:val="es-CO"/>
        </w:rPr>
        <w:t>Administración</w:t>
      </w:r>
      <w:r>
        <w:rPr>
          <w:rFonts w:ascii="Arial Narrow" w:hAnsi="Arial Narrow" w:cs="Times New Roman"/>
          <w:b w:val="0"/>
          <w:bCs w:val="0"/>
          <w:i/>
          <w:color w:val="auto"/>
          <w:sz w:val="21"/>
          <w:szCs w:val="21"/>
          <w:lang w:val="es-CO"/>
        </w:rPr>
        <w:t xml:space="preserve"> de Fondos de la </w:t>
      </w:r>
      <w:r w:rsidR="00523A03">
        <w:rPr>
          <w:rFonts w:ascii="Arial Narrow" w:hAnsi="Arial Narrow" w:cs="Times New Roman"/>
          <w:b w:val="0"/>
          <w:bCs w:val="0"/>
          <w:i/>
          <w:color w:val="auto"/>
          <w:sz w:val="21"/>
          <w:szCs w:val="21"/>
          <w:lang w:val="es-CO"/>
        </w:rPr>
        <w:t>Protección</w:t>
      </w:r>
      <w:r>
        <w:rPr>
          <w:rFonts w:ascii="Arial Narrow" w:hAnsi="Arial Narrow" w:cs="Times New Roman"/>
          <w:b w:val="0"/>
          <w:bCs w:val="0"/>
          <w:i/>
          <w:color w:val="auto"/>
          <w:sz w:val="21"/>
          <w:szCs w:val="21"/>
          <w:lang w:val="es-CO"/>
        </w:rPr>
        <w:t xml:space="preserve"> </w:t>
      </w:r>
      <w:r w:rsidR="00523A03">
        <w:rPr>
          <w:rFonts w:ascii="Arial Narrow" w:hAnsi="Arial Narrow" w:cs="Times New Roman"/>
          <w:b w:val="0"/>
          <w:bCs w:val="0"/>
          <w:i/>
          <w:color w:val="auto"/>
          <w:sz w:val="21"/>
          <w:szCs w:val="21"/>
          <w:lang w:val="es-CO"/>
        </w:rPr>
        <w:t>Social: Adjunto el concepto número</w:t>
      </w:r>
      <w:r w:rsidR="00472A78">
        <w:rPr>
          <w:rFonts w:ascii="Arial Narrow" w:hAnsi="Arial Narrow" w:cs="Times New Roman"/>
          <w:b w:val="0"/>
          <w:bCs w:val="0"/>
          <w:i/>
          <w:color w:val="auto"/>
          <w:sz w:val="21"/>
          <w:szCs w:val="21"/>
          <w:lang w:val="es-CO"/>
        </w:rPr>
        <w:t xml:space="preserve"> </w:t>
      </w:r>
      <w:r w:rsidR="00523A03">
        <w:rPr>
          <w:rFonts w:ascii="Arial Narrow" w:hAnsi="Arial Narrow" w:cs="Times New Roman"/>
          <w:b w:val="0"/>
          <w:bCs w:val="0"/>
          <w:i/>
          <w:color w:val="auto"/>
          <w:sz w:val="21"/>
          <w:szCs w:val="21"/>
          <w:lang w:val="es-CO"/>
        </w:rPr>
        <w:t xml:space="preserve">20152000038321 del 9 de octubre de 2015, emitido por la  </w:t>
      </w:r>
      <w:r w:rsidR="009F7809">
        <w:rPr>
          <w:rFonts w:ascii="Arial Narrow" w:hAnsi="Arial Narrow" w:cs="Times New Roman"/>
          <w:b w:val="0"/>
          <w:bCs w:val="0"/>
          <w:i/>
          <w:color w:val="auto"/>
          <w:sz w:val="21"/>
          <w:szCs w:val="21"/>
          <w:lang w:val="es-CO"/>
        </w:rPr>
        <w:t>Contaduría</w:t>
      </w:r>
      <w:r w:rsidR="00523A03">
        <w:rPr>
          <w:rFonts w:ascii="Arial Narrow" w:hAnsi="Arial Narrow" w:cs="Times New Roman"/>
          <w:b w:val="0"/>
          <w:bCs w:val="0"/>
          <w:i/>
          <w:color w:val="auto"/>
          <w:sz w:val="21"/>
          <w:szCs w:val="21"/>
          <w:lang w:val="es-CO"/>
        </w:rPr>
        <w:t xml:space="preserve"> General de la </w:t>
      </w:r>
      <w:r w:rsidR="009F7809">
        <w:rPr>
          <w:rFonts w:ascii="Arial Narrow" w:hAnsi="Arial Narrow" w:cs="Times New Roman"/>
          <w:b w:val="0"/>
          <w:bCs w:val="0"/>
          <w:i/>
          <w:color w:val="auto"/>
          <w:sz w:val="21"/>
          <w:szCs w:val="21"/>
          <w:lang w:val="es-CO"/>
        </w:rPr>
        <w:t>Nación</w:t>
      </w:r>
      <w:r w:rsidR="00472A78">
        <w:rPr>
          <w:rFonts w:ascii="Arial Narrow" w:hAnsi="Arial Narrow" w:cs="Times New Roman"/>
          <w:b w:val="0"/>
          <w:bCs w:val="0"/>
          <w:i/>
          <w:color w:val="auto"/>
          <w:sz w:val="21"/>
          <w:szCs w:val="21"/>
          <w:lang w:val="es-CO"/>
        </w:rPr>
        <w:t xml:space="preserve"> en el</w:t>
      </w:r>
      <w:r w:rsidR="00523A03">
        <w:rPr>
          <w:rFonts w:ascii="Arial Narrow" w:hAnsi="Arial Narrow" w:cs="Times New Roman"/>
          <w:b w:val="0"/>
          <w:bCs w:val="0"/>
          <w:i/>
          <w:color w:val="auto"/>
          <w:sz w:val="21"/>
          <w:szCs w:val="21"/>
          <w:lang w:val="es-CO"/>
        </w:rPr>
        <w:t xml:space="preserve"> cual indican los registros contables que deben </w:t>
      </w:r>
      <w:r w:rsidR="009F7809">
        <w:rPr>
          <w:rFonts w:ascii="Arial Narrow" w:hAnsi="Arial Narrow" w:cs="Times New Roman"/>
          <w:b w:val="0"/>
          <w:bCs w:val="0"/>
          <w:i/>
          <w:color w:val="auto"/>
          <w:sz w:val="21"/>
          <w:szCs w:val="21"/>
          <w:lang w:val="es-CO"/>
        </w:rPr>
        <w:t>efectuarse</w:t>
      </w:r>
      <w:r w:rsidR="00523A03">
        <w:rPr>
          <w:rFonts w:ascii="Arial Narrow" w:hAnsi="Arial Narrow" w:cs="Times New Roman"/>
          <w:b w:val="0"/>
          <w:bCs w:val="0"/>
          <w:i/>
          <w:color w:val="auto"/>
          <w:sz w:val="21"/>
          <w:szCs w:val="21"/>
          <w:lang w:val="es-CO"/>
        </w:rPr>
        <w:t xml:space="preserve"> en relación con los aportes al sistema de seguridad social en salud. Para lo anterior, a partir del corte de diciembre de 2015, se ajustar</w:t>
      </w:r>
      <w:r w:rsidR="00B12D80">
        <w:rPr>
          <w:rFonts w:ascii="Arial Narrow" w:hAnsi="Arial Narrow" w:cs="Times New Roman"/>
          <w:b w:val="0"/>
          <w:bCs w:val="0"/>
          <w:i/>
          <w:color w:val="auto"/>
          <w:sz w:val="21"/>
          <w:szCs w:val="21"/>
          <w:lang w:val="es-CO"/>
        </w:rPr>
        <w:t>á</w:t>
      </w:r>
      <w:r w:rsidR="00523A03">
        <w:rPr>
          <w:rFonts w:ascii="Arial Narrow" w:hAnsi="Arial Narrow" w:cs="Times New Roman"/>
          <w:b w:val="0"/>
          <w:bCs w:val="0"/>
          <w:i/>
          <w:color w:val="auto"/>
          <w:sz w:val="21"/>
          <w:szCs w:val="21"/>
          <w:lang w:val="es-CO"/>
        </w:rPr>
        <w:t>n las reglas de eliminación incluyendo los enfrentamientos indicados en el concepto</w:t>
      </w:r>
      <w:r w:rsidR="009F7809">
        <w:rPr>
          <w:rFonts w:ascii="Arial Narrow" w:hAnsi="Arial Narrow" w:cs="Times New Roman"/>
          <w:b w:val="0"/>
          <w:bCs w:val="0"/>
          <w:i/>
          <w:color w:val="auto"/>
          <w:sz w:val="21"/>
          <w:szCs w:val="21"/>
          <w:lang w:val="es-CO"/>
        </w:rPr>
        <w:t>.”</w:t>
      </w:r>
    </w:p>
    <w:p w:rsidR="009F7809" w:rsidRDefault="009F7809" w:rsidP="0088145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134" w:right="566"/>
        <w:rPr>
          <w:rFonts w:ascii="Arial Narrow" w:hAnsi="Arial Narrow" w:cs="Times New Roman"/>
          <w:b w:val="0"/>
          <w:bCs w:val="0"/>
          <w:i/>
          <w:color w:val="auto"/>
          <w:sz w:val="21"/>
          <w:szCs w:val="21"/>
          <w:lang w:val="es-CO"/>
        </w:rPr>
      </w:pPr>
    </w:p>
    <w:p w:rsidR="009F7809" w:rsidRDefault="007875D3" w:rsidP="0088145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134" w:right="566"/>
        <w:rPr>
          <w:rFonts w:ascii="Arial Narrow" w:hAnsi="Arial Narrow" w:cs="Times New Roman"/>
          <w:b w:val="0"/>
          <w:bCs w:val="0"/>
          <w:i/>
          <w:color w:val="auto"/>
          <w:sz w:val="21"/>
          <w:szCs w:val="21"/>
          <w:lang w:val="es-CO"/>
        </w:rPr>
      </w:pPr>
      <w:r>
        <w:rPr>
          <w:rFonts w:ascii="Arial Narrow" w:hAnsi="Arial Narrow" w:cs="Times New Roman"/>
          <w:b w:val="0"/>
          <w:bCs w:val="0"/>
          <w:i/>
          <w:color w:val="auto"/>
          <w:sz w:val="21"/>
          <w:szCs w:val="21"/>
          <w:lang w:val="es-CO"/>
        </w:rPr>
        <w:t>“Empresa</w:t>
      </w:r>
      <w:r w:rsidR="009F7809">
        <w:rPr>
          <w:rFonts w:ascii="Arial Narrow" w:hAnsi="Arial Narrow" w:cs="Times New Roman"/>
          <w:b w:val="0"/>
          <w:bCs w:val="0"/>
          <w:i/>
          <w:color w:val="auto"/>
          <w:sz w:val="21"/>
          <w:szCs w:val="21"/>
          <w:lang w:val="es-CO"/>
        </w:rPr>
        <w:t xml:space="preserve"> de Energía de Cundinamarca y Municipio de Pereira: El instructivo No. 003 del 10 de diciembre de 2014 referido anteriormente</w:t>
      </w:r>
      <w:r w:rsidR="00B12D80">
        <w:rPr>
          <w:rFonts w:ascii="Arial Narrow" w:hAnsi="Arial Narrow" w:cs="Times New Roman"/>
          <w:b w:val="0"/>
          <w:bCs w:val="0"/>
          <w:i/>
          <w:color w:val="auto"/>
          <w:sz w:val="21"/>
          <w:szCs w:val="21"/>
          <w:lang w:val="es-CO"/>
        </w:rPr>
        <w:t>,</w:t>
      </w:r>
      <w:r w:rsidR="009F7809">
        <w:rPr>
          <w:rFonts w:ascii="Arial Narrow" w:hAnsi="Arial Narrow" w:cs="Times New Roman"/>
          <w:b w:val="0"/>
          <w:bCs w:val="0"/>
          <w:i/>
          <w:color w:val="auto"/>
          <w:sz w:val="21"/>
          <w:szCs w:val="21"/>
          <w:lang w:val="es-CO"/>
        </w:rPr>
        <w:t xml:space="preserve"> en el numeral 2.3.4 Reporte de operaciones a través de encargos fiduciarios, indica:</w:t>
      </w:r>
    </w:p>
    <w:p w:rsidR="009F7809" w:rsidRDefault="009F7809" w:rsidP="0088145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134" w:right="566"/>
        <w:rPr>
          <w:rFonts w:ascii="Arial Narrow" w:hAnsi="Arial Narrow" w:cs="Times New Roman"/>
          <w:b w:val="0"/>
          <w:bCs w:val="0"/>
          <w:i/>
          <w:color w:val="auto"/>
          <w:sz w:val="21"/>
          <w:szCs w:val="21"/>
          <w:lang w:val="es-CO"/>
        </w:rPr>
      </w:pPr>
    </w:p>
    <w:p w:rsidR="009F7809" w:rsidRPr="00472A78" w:rsidRDefault="009F7809" w:rsidP="00472A7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418" w:right="900"/>
        <w:rPr>
          <w:rFonts w:ascii="Arial Narrow" w:hAnsi="Arial Narrow" w:cs="Times New Roman"/>
          <w:b w:val="0"/>
          <w:bCs w:val="0"/>
          <w:i/>
          <w:color w:val="auto"/>
          <w:sz w:val="20"/>
          <w:szCs w:val="20"/>
          <w:lang w:val="es-CO"/>
        </w:rPr>
      </w:pPr>
      <w:r w:rsidRPr="00472A78">
        <w:rPr>
          <w:rFonts w:ascii="Arial Narrow" w:hAnsi="Arial Narrow" w:cs="Times New Roman"/>
          <w:b w:val="0"/>
          <w:bCs w:val="0"/>
          <w:i/>
          <w:color w:val="auto"/>
          <w:sz w:val="20"/>
          <w:szCs w:val="20"/>
          <w:lang w:val="es-CO"/>
        </w:rPr>
        <w:t xml:space="preserve">“En los casos en que se realicen transacciones a través de encargos fiduciarios, el reporte de las operaciones reciprocas deberá hacerse entre el fideicomitente y el tercero (entidad pública) con el que se tenga el derecho o la obligación y no con la sociedad </w:t>
      </w:r>
      <w:r w:rsidR="007875D3" w:rsidRPr="00472A78">
        <w:rPr>
          <w:rFonts w:ascii="Arial Narrow" w:hAnsi="Arial Narrow" w:cs="Times New Roman"/>
          <w:b w:val="0"/>
          <w:bCs w:val="0"/>
          <w:i/>
          <w:color w:val="auto"/>
          <w:sz w:val="20"/>
          <w:szCs w:val="20"/>
          <w:lang w:val="es-CO"/>
        </w:rPr>
        <w:t xml:space="preserve">fiduciaria. Para estos </w:t>
      </w:r>
      <w:r w:rsidR="00BA5217" w:rsidRPr="00472A78">
        <w:rPr>
          <w:rFonts w:ascii="Arial Narrow" w:hAnsi="Arial Narrow" w:cs="Times New Roman"/>
          <w:b w:val="0"/>
          <w:bCs w:val="0"/>
          <w:i/>
          <w:color w:val="auto"/>
          <w:sz w:val="20"/>
          <w:szCs w:val="20"/>
          <w:lang w:val="es-CO"/>
        </w:rPr>
        <w:t xml:space="preserve">efectos, las entidades deberán adoptar </w:t>
      </w:r>
      <w:r w:rsidR="000F6A0E" w:rsidRPr="00472A78">
        <w:rPr>
          <w:rFonts w:ascii="Arial Narrow" w:hAnsi="Arial Narrow" w:cs="Times New Roman"/>
          <w:b w:val="0"/>
          <w:bCs w:val="0"/>
          <w:i/>
          <w:color w:val="auto"/>
          <w:sz w:val="20"/>
          <w:szCs w:val="20"/>
          <w:lang w:val="es-CO"/>
        </w:rPr>
        <w:t>las medidas necesarias conducentes a garantizar la adecuada identificación de las entidades contables p</w:t>
      </w:r>
      <w:r w:rsidR="00B12D80" w:rsidRPr="00472A78">
        <w:rPr>
          <w:rFonts w:ascii="Arial Narrow" w:hAnsi="Arial Narrow" w:cs="Times New Roman"/>
          <w:b w:val="0"/>
          <w:bCs w:val="0"/>
          <w:i/>
          <w:color w:val="auto"/>
          <w:sz w:val="20"/>
          <w:szCs w:val="20"/>
          <w:lang w:val="es-CO"/>
        </w:rPr>
        <w:t>ú</w:t>
      </w:r>
      <w:r w:rsidR="000F6A0E" w:rsidRPr="00472A78">
        <w:rPr>
          <w:rFonts w:ascii="Arial Narrow" w:hAnsi="Arial Narrow" w:cs="Times New Roman"/>
          <w:b w:val="0"/>
          <w:bCs w:val="0"/>
          <w:i/>
          <w:color w:val="auto"/>
          <w:sz w:val="20"/>
          <w:szCs w:val="20"/>
          <w:lang w:val="es-CO"/>
        </w:rPr>
        <w:t>blicas intervinientes en las operaciones reciprocas, así como el flujo de la información necesaria para el reporte...”.</w:t>
      </w:r>
    </w:p>
    <w:p w:rsidR="000F6A0E" w:rsidRDefault="000F6A0E" w:rsidP="0088145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134" w:right="566"/>
        <w:rPr>
          <w:rFonts w:ascii="Arial Narrow" w:hAnsi="Arial Narrow" w:cs="Times New Roman"/>
          <w:b w:val="0"/>
          <w:bCs w:val="0"/>
          <w:i/>
          <w:color w:val="auto"/>
          <w:sz w:val="21"/>
          <w:szCs w:val="21"/>
          <w:lang w:val="es-CO"/>
        </w:rPr>
      </w:pPr>
    </w:p>
    <w:p w:rsidR="000F6A0E" w:rsidRDefault="000F6A0E" w:rsidP="0088145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134" w:right="566"/>
        <w:rPr>
          <w:rFonts w:ascii="Arial Narrow" w:hAnsi="Arial Narrow" w:cs="Times New Roman"/>
          <w:b w:val="0"/>
          <w:bCs w:val="0"/>
          <w:i/>
          <w:color w:val="auto"/>
          <w:sz w:val="21"/>
          <w:szCs w:val="21"/>
          <w:lang w:val="es-CO"/>
        </w:rPr>
      </w:pPr>
      <w:r>
        <w:rPr>
          <w:rFonts w:ascii="Arial Narrow" w:hAnsi="Arial Narrow" w:cs="Times New Roman"/>
          <w:b w:val="0"/>
          <w:bCs w:val="0"/>
          <w:i/>
          <w:color w:val="auto"/>
          <w:sz w:val="21"/>
          <w:szCs w:val="21"/>
          <w:lang w:val="es-CO"/>
        </w:rPr>
        <w:lastRenderedPageBreak/>
        <w:t xml:space="preserve">“Financiera de Desarrollo Nacional: Al analizar los saldos por conciliar de la ANI con corte de septiembre no se observan transacciones reciprocas </w:t>
      </w:r>
      <w:r w:rsidR="000549B0">
        <w:rPr>
          <w:rFonts w:ascii="Arial Narrow" w:hAnsi="Arial Narrow" w:cs="Times New Roman"/>
          <w:b w:val="0"/>
          <w:bCs w:val="0"/>
          <w:i/>
          <w:color w:val="auto"/>
          <w:sz w:val="21"/>
          <w:szCs w:val="21"/>
          <w:lang w:val="es-CO"/>
        </w:rPr>
        <w:t>con la Financiera de Desarrollo Nacional, por lo anterior, se solicita especificar las transacciones que generan saldos por conciliar con esta entidad, y de ser necesario dar cumplimiento al numeral 2.3.23. Subcuentas no incluidas en las reglas de eliminación, del instructivo No. 003 del 10 de diciembre de 2014 referido anteriormente:</w:t>
      </w:r>
    </w:p>
    <w:p w:rsidR="000549B0" w:rsidRDefault="000549B0" w:rsidP="0088145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134" w:right="566"/>
        <w:rPr>
          <w:rFonts w:ascii="Arial Narrow" w:hAnsi="Arial Narrow" w:cs="Times New Roman"/>
          <w:b w:val="0"/>
          <w:bCs w:val="0"/>
          <w:i/>
          <w:color w:val="auto"/>
          <w:sz w:val="21"/>
          <w:szCs w:val="21"/>
          <w:lang w:val="es-CO"/>
        </w:rPr>
      </w:pPr>
    </w:p>
    <w:p w:rsidR="000549B0" w:rsidRPr="00472A78" w:rsidRDefault="000549B0" w:rsidP="00472A7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9781"/>
        </w:tabs>
        <w:ind w:left="1134" w:right="962"/>
        <w:rPr>
          <w:rFonts w:ascii="Arial Narrow" w:hAnsi="Arial Narrow" w:cs="Times New Roman"/>
          <w:b w:val="0"/>
          <w:bCs w:val="0"/>
          <w:i/>
          <w:color w:val="auto"/>
          <w:sz w:val="20"/>
          <w:szCs w:val="20"/>
          <w:lang w:val="es-CO"/>
        </w:rPr>
      </w:pPr>
      <w:r w:rsidRPr="00472A78">
        <w:rPr>
          <w:rFonts w:ascii="Arial Narrow" w:hAnsi="Arial Narrow" w:cs="Times New Roman"/>
          <w:b w:val="0"/>
          <w:bCs w:val="0"/>
          <w:i/>
          <w:color w:val="auto"/>
          <w:sz w:val="20"/>
          <w:szCs w:val="20"/>
          <w:lang w:val="es-CO"/>
        </w:rPr>
        <w:t>“…No obstante, si la entidad considera que una subcuenta debe ser incluida, deberá remitir la solicitud al correo “cgnconsolidacionontaduria.gov.co” indicando: Subcuenta a incluir, origen y descripción de la transacción, entidades publica participes y las subcuentas que consideren que deben ser reciprocas “.</w:t>
      </w:r>
    </w:p>
    <w:p w:rsidR="00B12D80" w:rsidRPr="00472A78" w:rsidRDefault="00B12D80" w:rsidP="0088145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134" w:right="566"/>
        <w:rPr>
          <w:rFonts w:ascii="Arial Narrow" w:hAnsi="Arial Narrow" w:cs="Times New Roman"/>
          <w:b w:val="0"/>
          <w:bCs w:val="0"/>
          <w:i/>
          <w:color w:val="auto"/>
          <w:sz w:val="20"/>
          <w:szCs w:val="20"/>
          <w:lang w:val="es-CO"/>
        </w:rPr>
      </w:pPr>
    </w:p>
    <w:p w:rsidR="00567DA8" w:rsidRDefault="00B12D80" w:rsidP="0088145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134" w:right="566"/>
        <w:rPr>
          <w:rFonts w:ascii="Arial Narrow" w:hAnsi="Arial Narrow" w:cs="Times New Roman"/>
          <w:b w:val="0"/>
          <w:bCs w:val="0"/>
          <w:i/>
          <w:color w:val="auto"/>
          <w:sz w:val="21"/>
          <w:szCs w:val="21"/>
          <w:lang w:val="es-CO"/>
        </w:rPr>
      </w:pPr>
      <w:r>
        <w:rPr>
          <w:rFonts w:ascii="Arial Narrow" w:hAnsi="Arial Narrow" w:cs="Times New Roman"/>
          <w:b w:val="0"/>
          <w:bCs w:val="0"/>
          <w:i/>
          <w:color w:val="auto"/>
          <w:sz w:val="21"/>
          <w:szCs w:val="21"/>
          <w:lang w:val="es-CO"/>
        </w:rPr>
        <w:t>No obstante lo anterior, la CGN está analizando los diferentes enfrentamientos que se incluirán en la Categoría de Convergencia, aplicable a todas las entidades a partir del corte de marzo de 2017</w:t>
      </w:r>
      <w:r w:rsidR="00472A78">
        <w:rPr>
          <w:rFonts w:ascii="Arial Narrow" w:hAnsi="Arial Narrow" w:cs="Times New Roman"/>
          <w:b w:val="0"/>
          <w:bCs w:val="0"/>
          <w:i/>
          <w:color w:val="auto"/>
          <w:sz w:val="21"/>
          <w:szCs w:val="21"/>
          <w:lang w:val="es-CO"/>
        </w:rPr>
        <w:t>”</w:t>
      </w:r>
      <w:r>
        <w:rPr>
          <w:rFonts w:ascii="Arial Narrow" w:hAnsi="Arial Narrow" w:cs="Times New Roman"/>
          <w:b w:val="0"/>
          <w:bCs w:val="0"/>
          <w:i/>
          <w:color w:val="auto"/>
          <w:sz w:val="21"/>
          <w:szCs w:val="21"/>
          <w:lang w:val="es-CO"/>
        </w:rPr>
        <w:t>.</w:t>
      </w:r>
    </w:p>
    <w:p w:rsidR="00567DA8" w:rsidRDefault="00567DA8" w:rsidP="0088145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134" w:right="566"/>
        <w:rPr>
          <w:rFonts w:ascii="Arial Narrow" w:hAnsi="Arial Narrow" w:cs="Times New Roman"/>
          <w:b w:val="0"/>
          <w:bCs w:val="0"/>
          <w:i/>
          <w:color w:val="auto"/>
          <w:sz w:val="21"/>
          <w:szCs w:val="21"/>
          <w:lang w:val="es-CO"/>
        </w:rPr>
      </w:pPr>
    </w:p>
    <w:p w:rsidR="00567DA8" w:rsidRPr="00567DA8" w:rsidRDefault="00567DA8" w:rsidP="00853B3A">
      <w:pPr>
        <w:pStyle w:val="Prrafodelista"/>
        <w:numPr>
          <w:ilvl w:val="0"/>
          <w:numId w:val="7"/>
        </w:numPr>
        <w:jc w:val="both"/>
        <w:rPr>
          <w:i/>
          <w:sz w:val="22"/>
          <w:szCs w:val="22"/>
        </w:rPr>
      </w:pPr>
      <w:r w:rsidRPr="00567DA8">
        <w:rPr>
          <w:rFonts w:cs="Arial"/>
          <w:sz w:val="22"/>
          <w:szCs w:val="22"/>
        </w:rPr>
        <w:t>La Contaduría General de la Nació</w:t>
      </w:r>
      <w:r w:rsidR="004F2978">
        <w:rPr>
          <w:rFonts w:cs="Arial"/>
          <w:sz w:val="22"/>
          <w:szCs w:val="22"/>
        </w:rPr>
        <w:t xml:space="preserve">n a solicitud de la Agencia, mediante oficio radicado bajo el No. </w:t>
      </w:r>
      <w:r w:rsidRPr="00567DA8">
        <w:rPr>
          <w:sz w:val="22"/>
          <w:szCs w:val="22"/>
        </w:rPr>
        <w:t xml:space="preserve">No. 2016-409-000999-2 del 7 de enero de 2016, concluyó en relación </w:t>
      </w:r>
      <w:r w:rsidR="004F2978">
        <w:rPr>
          <w:sz w:val="22"/>
          <w:szCs w:val="22"/>
        </w:rPr>
        <w:t xml:space="preserve">con </w:t>
      </w:r>
      <w:r w:rsidRPr="00567DA8">
        <w:rPr>
          <w:sz w:val="22"/>
          <w:szCs w:val="22"/>
        </w:rPr>
        <w:t xml:space="preserve">Saldos por Operaciones Reciprocas, </w:t>
      </w:r>
      <w:r w:rsidR="004F2978">
        <w:rPr>
          <w:sz w:val="22"/>
          <w:szCs w:val="22"/>
        </w:rPr>
        <w:t xml:space="preserve">en suma, </w:t>
      </w:r>
      <w:r w:rsidRPr="00567DA8">
        <w:rPr>
          <w:sz w:val="22"/>
          <w:szCs w:val="22"/>
        </w:rPr>
        <w:t>lo siguiente:</w:t>
      </w:r>
    </w:p>
    <w:p w:rsidR="00567DA8" w:rsidRPr="00567DA8" w:rsidRDefault="00567DA8" w:rsidP="00567DA8">
      <w:pPr>
        <w:jc w:val="both"/>
        <w:rPr>
          <w:i/>
          <w:sz w:val="22"/>
          <w:szCs w:val="22"/>
        </w:rPr>
      </w:pPr>
    </w:p>
    <w:p w:rsidR="00567DA8" w:rsidRPr="004F2978" w:rsidRDefault="00567DA8" w:rsidP="00567DA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134" w:right="566"/>
        <w:rPr>
          <w:rFonts w:ascii="Arial Narrow" w:hAnsi="Arial Narrow" w:cs="Times New Roman"/>
          <w:b w:val="0"/>
          <w:bCs w:val="0"/>
          <w:i/>
          <w:color w:val="auto"/>
          <w:sz w:val="20"/>
          <w:szCs w:val="20"/>
          <w:lang w:val="es-CO"/>
        </w:rPr>
      </w:pPr>
      <w:r w:rsidRPr="004F2978">
        <w:rPr>
          <w:rFonts w:ascii="Arial Narrow" w:hAnsi="Arial Narrow" w:cs="Times New Roman"/>
          <w:b w:val="0"/>
          <w:bCs w:val="0"/>
          <w:i/>
          <w:color w:val="auto"/>
          <w:sz w:val="20"/>
          <w:szCs w:val="20"/>
          <w:lang w:val="es-CO"/>
        </w:rPr>
        <w:t>“…Ahora bien con el fin de aclarar su inquietud presentada en torno a los saldos por operaciones reciprocas originadas en el devengo o causación</w:t>
      </w:r>
      <w:r w:rsidR="00C807DC" w:rsidRPr="004F2978">
        <w:rPr>
          <w:rFonts w:ascii="Arial Narrow" w:hAnsi="Arial Narrow" w:cs="Times New Roman"/>
          <w:b w:val="0"/>
          <w:bCs w:val="0"/>
          <w:i/>
          <w:color w:val="auto"/>
          <w:sz w:val="20"/>
          <w:szCs w:val="20"/>
          <w:lang w:val="es-CO"/>
        </w:rPr>
        <w:t xml:space="preserve">, le informo que no existe un mecanismo </w:t>
      </w:r>
      <w:r w:rsidR="00CB0CF8" w:rsidRPr="004F2978">
        <w:rPr>
          <w:rFonts w:ascii="Arial Narrow" w:hAnsi="Arial Narrow" w:cs="Times New Roman"/>
          <w:b w:val="0"/>
          <w:bCs w:val="0"/>
          <w:i/>
          <w:color w:val="auto"/>
          <w:sz w:val="20"/>
          <w:szCs w:val="20"/>
          <w:lang w:val="es-CO"/>
        </w:rPr>
        <w:t xml:space="preserve">establecido que permita que estos saldos por conciliar generados sean “0”, teniendo en cuenta la diferencia de momentos para el registro de los mismos por parte de las entidades involucradas en la transacción, de ahí que la </w:t>
      </w:r>
      <w:r w:rsidR="00573588" w:rsidRPr="004F2978">
        <w:rPr>
          <w:rFonts w:ascii="Arial Narrow" w:hAnsi="Arial Narrow" w:cs="Times New Roman"/>
          <w:b w:val="0"/>
          <w:bCs w:val="0"/>
          <w:i/>
          <w:color w:val="auto"/>
          <w:sz w:val="20"/>
          <w:szCs w:val="20"/>
          <w:lang w:val="es-CO"/>
        </w:rPr>
        <w:t>Contaduría</w:t>
      </w:r>
      <w:r w:rsidR="00CB0CF8" w:rsidRPr="004F2978">
        <w:rPr>
          <w:rFonts w:ascii="Arial Narrow" w:hAnsi="Arial Narrow" w:cs="Times New Roman"/>
          <w:b w:val="0"/>
          <w:bCs w:val="0"/>
          <w:i/>
          <w:color w:val="auto"/>
          <w:sz w:val="20"/>
          <w:szCs w:val="20"/>
          <w:lang w:val="es-CO"/>
        </w:rPr>
        <w:t xml:space="preserve"> General de la </w:t>
      </w:r>
      <w:r w:rsidR="00573588" w:rsidRPr="004F2978">
        <w:rPr>
          <w:rFonts w:ascii="Arial Narrow" w:hAnsi="Arial Narrow" w:cs="Times New Roman"/>
          <w:b w:val="0"/>
          <w:bCs w:val="0"/>
          <w:i/>
          <w:color w:val="auto"/>
          <w:sz w:val="20"/>
          <w:szCs w:val="20"/>
          <w:lang w:val="es-CO"/>
        </w:rPr>
        <w:t>Nación</w:t>
      </w:r>
      <w:r w:rsidR="00CB0CF8" w:rsidRPr="004F2978">
        <w:rPr>
          <w:rFonts w:ascii="Arial Narrow" w:hAnsi="Arial Narrow" w:cs="Times New Roman"/>
          <w:b w:val="0"/>
          <w:bCs w:val="0"/>
          <w:i/>
          <w:color w:val="auto"/>
          <w:sz w:val="20"/>
          <w:szCs w:val="20"/>
          <w:lang w:val="es-CO"/>
        </w:rPr>
        <w:t xml:space="preserve"> (CGN), los haya identificado como “Por el momento del devengo o causación “, por tanto las entidades deben continuar reportando la información, como lo vienen haciendo.</w:t>
      </w:r>
    </w:p>
    <w:p w:rsidR="00CB0CF8" w:rsidRPr="004F2978" w:rsidRDefault="00CB0CF8" w:rsidP="00567DA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134" w:right="566"/>
        <w:rPr>
          <w:rFonts w:ascii="Arial Narrow" w:hAnsi="Arial Narrow" w:cs="Times New Roman"/>
          <w:b w:val="0"/>
          <w:bCs w:val="0"/>
          <w:i/>
          <w:color w:val="auto"/>
          <w:sz w:val="20"/>
          <w:szCs w:val="20"/>
          <w:lang w:val="es-CO"/>
        </w:rPr>
      </w:pPr>
    </w:p>
    <w:p w:rsidR="00CB0CF8" w:rsidRPr="004F2978" w:rsidRDefault="00CB0CF8" w:rsidP="00567DA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134" w:right="566"/>
        <w:rPr>
          <w:rFonts w:ascii="Arial Narrow" w:hAnsi="Arial Narrow" w:cs="Times New Roman"/>
          <w:b w:val="0"/>
          <w:bCs w:val="0"/>
          <w:i/>
          <w:color w:val="auto"/>
          <w:sz w:val="20"/>
          <w:szCs w:val="20"/>
          <w:lang w:val="es-CO"/>
        </w:rPr>
      </w:pPr>
      <w:r w:rsidRPr="004F2978">
        <w:rPr>
          <w:rFonts w:ascii="Arial Narrow" w:hAnsi="Arial Narrow" w:cs="Times New Roman"/>
          <w:b w:val="0"/>
          <w:bCs w:val="0"/>
          <w:i/>
          <w:color w:val="auto"/>
          <w:sz w:val="20"/>
          <w:szCs w:val="20"/>
          <w:lang w:val="es-CO"/>
        </w:rPr>
        <w:t>En relación con los saldos de operaciones reciprocas con la Imprenta  Nacional, como a bien usted lo afirma “corresponde a ingreso originado en un pago realizado por un tercero ajeno a los recursos de la agencia” y por lo tanto el ajuste lo debe efectuar la Imprenta Nacional. “</w:t>
      </w:r>
    </w:p>
    <w:p w:rsidR="00D840C1" w:rsidRDefault="00D840C1" w:rsidP="00567DA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134" w:right="566"/>
        <w:rPr>
          <w:rFonts w:ascii="Arial Narrow" w:hAnsi="Arial Narrow" w:cs="Times New Roman"/>
          <w:b w:val="0"/>
          <w:bCs w:val="0"/>
          <w:i/>
          <w:color w:val="auto"/>
          <w:sz w:val="21"/>
          <w:szCs w:val="21"/>
          <w:lang w:val="es-CO"/>
        </w:rPr>
      </w:pPr>
    </w:p>
    <w:p w:rsidR="00D840C1" w:rsidRPr="00FD3315" w:rsidRDefault="00D840C1" w:rsidP="00853B3A">
      <w:pPr>
        <w:pStyle w:val="Prrafodelista"/>
        <w:numPr>
          <w:ilvl w:val="0"/>
          <w:numId w:val="7"/>
        </w:numPr>
        <w:jc w:val="both"/>
        <w:rPr>
          <w:i/>
          <w:sz w:val="22"/>
          <w:szCs w:val="22"/>
        </w:rPr>
      </w:pPr>
      <w:r w:rsidRPr="00567DA8">
        <w:rPr>
          <w:rFonts w:cs="Arial"/>
          <w:sz w:val="22"/>
          <w:szCs w:val="22"/>
        </w:rPr>
        <w:t>La Contaduría General de la Nación</w:t>
      </w:r>
      <w:r w:rsidR="004F2978">
        <w:rPr>
          <w:rFonts w:cs="Arial"/>
          <w:sz w:val="22"/>
          <w:szCs w:val="22"/>
        </w:rPr>
        <w:t>, mediante oficio</w:t>
      </w:r>
      <w:r w:rsidR="004F2978" w:rsidRPr="004F2978">
        <w:rPr>
          <w:sz w:val="22"/>
          <w:szCs w:val="22"/>
        </w:rPr>
        <w:t xml:space="preserve"> </w:t>
      </w:r>
      <w:r w:rsidR="004F2978" w:rsidRPr="00567DA8">
        <w:rPr>
          <w:sz w:val="22"/>
          <w:szCs w:val="22"/>
        </w:rPr>
        <w:t>No. 201</w:t>
      </w:r>
      <w:r w:rsidR="004F2978">
        <w:rPr>
          <w:sz w:val="22"/>
          <w:szCs w:val="22"/>
        </w:rPr>
        <w:t>5</w:t>
      </w:r>
      <w:r w:rsidR="004F2978" w:rsidRPr="00567DA8">
        <w:rPr>
          <w:sz w:val="22"/>
          <w:szCs w:val="22"/>
        </w:rPr>
        <w:t>-</w:t>
      </w:r>
      <w:r w:rsidR="004F2978">
        <w:rPr>
          <w:sz w:val="22"/>
          <w:szCs w:val="22"/>
        </w:rPr>
        <w:t>116676</w:t>
      </w:r>
      <w:r w:rsidR="004F2978" w:rsidRPr="00567DA8">
        <w:rPr>
          <w:sz w:val="22"/>
          <w:szCs w:val="22"/>
        </w:rPr>
        <w:t xml:space="preserve"> del </w:t>
      </w:r>
      <w:r w:rsidR="004F2978">
        <w:rPr>
          <w:sz w:val="22"/>
          <w:szCs w:val="22"/>
        </w:rPr>
        <w:t>30</w:t>
      </w:r>
      <w:r w:rsidR="004F2978" w:rsidRPr="00567DA8">
        <w:rPr>
          <w:sz w:val="22"/>
          <w:szCs w:val="22"/>
        </w:rPr>
        <w:t xml:space="preserve"> de </w:t>
      </w:r>
      <w:r w:rsidR="004F2978">
        <w:rPr>
          <w:sz w:val="22"/>
          <w:szCs w:val="22"/>
        </w:rPr>
        <w:t>diciembre</w:t>
      </w:r>
      <w:r w:rsidR="004F2978" w:rsidRPr="00567DA8">
        <w:rPr>
          <w:sz w:val="22"/>
          <w:szCs w:val="22"/>
        </w:rPr>
        <w:t xml:space="preserve"> de 201</w:t>
      </w:r>
      <w:r w:rsidR="004F2978">
        <w:rPr>
          <w:sz w:val="22"/>
          <w:szCs w:val="22"/>
        </w:rPr>
        <w:t>5</w:t>
      </w:r>
      <w:r w:rsidR="004F2978">
        <w:rPr>
          <w:rFonts w:cs="Arial"/>
          <w:sz w:val="22"/>
          <w:szCs w:val="22"/>
        </w:rPr>
        <w:t xml:space="preserve"> emitió concepto solicitado conjuntamente por la </w:t>
      </w:r>
      <w:r w:rsidR="00573588" w:rsidRPr="00567DA8">
        <w:rPr>
          <w:rFonts w:cs="Arial"/>
          <w:sz w:val="22"/>
          <w:szCs w:val="22"/>
        </w:rPr>
        <w:t>A</w:t>
      </w:r>
      <w:r w:rsidR="004F2978">
        <w:rPr>
          <w:rFonts w:cs="Arial"/>
          <w:sz w:val="22"/>
          <w:szCs w:val="22"/>
        </w:rPr>
        <w:t>EROCIVIL y la AGENCIA NACIONAL DE INFRAESTRUCTURA</w:t>
      </w:r>
      <w:r w:rsidRPr="00567DA8">
        <w:rPr>
          <w:sz w:val="22"/>
          <w:szCs w:val="22"/>
        </w:rPr>
        <w:t xml:space="preserve">, </w:t>
      </w:r>
      <w:r w:rsidR="004F2978">
        <w:rPr>
          <w:sz w:val="22"/>
          <w:szCs w:val="22"/>
        </w:rPr>
        <w:t xml:space="preserve">respecto del </w:t>
      </w:r>
      <w:r w:rsidR="00573588">
        <w:rPr>
          <w:sz w:val="22"/>
          <w:szCs w:val="22"/>
        </w:rPr>
        <w:t xml:space="preserve">registro contable de las concesiones </w:t>
      </w:r>
      <w:r w:rsidR="004F2978">
        <w:rPr>
          <w:sz w:val="22"/>
          <w:szCs w:val="22"/>
        </w:rPr>
        <w:t xml:space="preserve">de Aeródromos </w:t>
      </w:r>
      <w:r w:rsidR="00573588">
        <w:rPr>
          <w:sz w:val="22"/>
          <w:szCs w:val="22"/>
        </w:rPr>
        <w:t xml:space="preserve">y </w:t>
      </w:r>
      <w:r w:rsidR="004F2978">
        <w:rPr>
          <w:sz w:val="22"/>
          <w:szCs w:val="22"/>
        </w:rPr>
        <w:t xml:space="preserve">sobre </w:t>
      </w:r>
      <w:r w:rsidR="00573588">
        <w:rPr>
          <w:sz w:val="22"/>
          <w:szCs w:val="22"/>
        </w:rPr>
        <w:t xml:space="preserve">el registro contable </w:t>
      </w:r>
      <w:r w:rsidR="004F2978">
        <w:rPr>
          <w:sz w:val="22"/>
          <w:szCs w:val="22"/>
        </w:rPr>
        <w:t xml:space="preserve">que debía realizar cada una de estas entidades, considerando, en síntesis, </w:t>
      </w:r>
      <w:r w:rsidRPr="00567DA8">
        <w:rPr>
          <w:sz w:val="22"/>
          <w:szCs w:val="22"/>
        </w:rPr>
        <w:t>lo siguiente:</w:t>
      </w:r>
    </w:p>
    <w:p w:rsidR="00FD3315" w:rsidRDefault="00FD3315" w:rsidP="00FD3315">
      <w:pPr>
        <w:jc w:val="both"/>
        <w:rPr>
          <w:i/>
          <w:sz w:val="22"/>
          <w:szCs w:val="22"/>
        </w:rPr>
      </w:pPr>
    </w:p>
    <w:p w:rsidR="00FD3315" w:rsidRPr="001B74EB" w:rsidRDefault="00FD3315" w:rsidP="00FD3315">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134" w:right="566"/>
        <w:rPr>
          <w:rFonts w:ascii="Arial Narrow" w:hAnsi="Arial Narrow" w:cs="Times New Roman"/>
          <w:b w:val="0"/>
          <w:bCs w:val="0"/>
          <w:i/>
          <w:color w:val="auto"/>
          <w:sz w:val="20"/>
          <w:szCs w:val="20"/>
          <w:lang w:val="es-CO"/>
        </w:rPr>
      </w:pPr>
      <w:r>
        <w:rPr>
          <w:rFonts w:ascii="Arial Narrow" w:hAnsi="Arial Narrow" w:cs="Times New Roman"/>
          <w:b w:val="0"/>
          <w:bCs w:val="0"/>
          <w:i/>
          <w:color w:val="auto"/>
          <w:sz w:val="21"/>
          <w:szCs w:val="21"/>
          <w:lang w:val="es-CO"/>
        </w:rPr>
        <w:t xml:space="preserve"> </w:t>
      </w:r>
      <w:r w:rsidRPr="001B74EB">
        <w:rPr>
          <w:rFonts w:ascii="Arial Narrow" w:hAnsi="Arial Narrow" w:cs="Times New Roman"/>
          <w:b w:val="0"/>
          <w:bCs w:val="0"/>
          <w:i/>
          <w:color w:val="auto"/>
          <w:sz w:val="20"/>
          <w:szCs w:val="20"/>
          <w:lang w:val="es-CO"/>
        </w:rPr>
        <w:t>“   1- Qu</w:t>
      </w:r>
      <w:r w:rsidR="00573588" w:rsidRPr="001B74EB">
        <w:rPr>
          <w:rFonts w:ascii="Arial Narrow" w:hAnsi="Arial Narrow" w:cs="Times New Roman"/>
          <w:b w:val="0"/>
          <w:bCs w:val="0"/>
          <w:i/>
          <w:color w:val="auto"/>
          <w:sz w:val="20"/>
          <w:szCs w:val="20"/>
          <w:lang w:val="es-CO"/>
        </w:rPr>
        <w:t>é</w:t>
      </w:r>
      <w:r w:rsidRPr="001B74EB">
        <w:rPr>
          <w:rFonts w:ascii="Arial Narrow" w:hAnsi="Arial Narrow" w:cs="Times New Roman"/>
          <w:b w:val="0"/>
          <w:bCs w:val="0"/>
          <w:i/>
          <w:color w:val="auto"/>
          <w:sz w:val="20"/>
          <w:szCs w:val="20"/>
          <w:lang w:val="es-CO"/>
        </w:rPr>
        <w:t xml:space="preserve"> entidad reconoce el activo y cómo se reconoce en un contrato de concesión. Las inversiones privadas realizadas  antes de la subrogación del contrato de concesión quien las </w:t>
      </w:r>
      <w:r w:rsidR="001B74EB">
        <w:rPr>
          <w:rFonts w:ascii="Arial Narrow" w:hAnsi="Arial Narrow" w:cs="Times New Roman"/>
          <w:b w:val="0"/>
          <w:bCs w:val="0"/>
          <w:i/>
          <w:color w:val="auto"/>
          <w:sz w:val="20"/>
          <w:szCs w:val="20"/>
          <w:lang w:val="es-CO"/>
        </w:rPr>
        <w:t xml:space="preserve">reconoce? </w:t>
      </w:r>
    </w:p>
    <w:p w:rsidR="00FD3315" w:rsidRPr="001B74EB" w:rsidRDefault="00FD3315" w:rsidP="00FD3315">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134" w:right="566"/>
        <w:rPr>
          <w:rFonts w:ascii="Arial Narrow" w:hAnsi="Arial Narrow" w:cs="Times New Roman"/>
          <w:b w:val="0"/>
          <w:bCs w:val="0"/>
          <w:i/>
          <w:color w:val="auto"/>
          <w:sz w:val="20"/>
          <w:szCs w:val="20"/>
          <w:lang w:val="es-CO"/>
        </w:rPr>
      </w:pPr>
    </w:p>
    <w:p w:rsidR="00FD3315" w:rsidRPr="001B74EB" w:rsidRDefault="00FD3315" w:rsidP="00FD3315">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134" w:right="566"/>
        <w:rPr>
          <w:rFonts w:ascii="Arial Narrow" w:hAnsi="Arial Narrow" w:cs="Times New Roman"/>
          <w:bCs w:val="0"/>
          <w:i/>
          <w:color w:val="auto"/>
          <w:sz w:val="20"/>
          <w:szCs w:val="20"/>
          <w:lang w:val="es-CO"/>
        </w:rPr>
      </w:pPr>
      <w:r w:rsidRPr="001B74EB">
        <w:rPr>
          <w:rFonts w:ascii="Arial Narrow" w:hAnsi="Arial Narrow" w:cs="Times New Roman"/>
          <w:bCs w:val="0"/>
          <w:i/>
          <w:color w:val="auto"/>
          <w:sz w:val="20"/>
          <w:szCs w:val="20"/>
          <w:lang w:val="es-CO"/>
        </w:rPr>
        <w:t>Entidad Titular:</w:t>
      </w:r>
    </w:p>
    <w:p w:rsidR="00FD3315" w:rsidRPr="001B74EB" w:rsidRDefault="00FD3315" w:rsidP="00FD3315">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134" w:right="566"/>
        <w:rPr>
          <w:rFonts w:ascii="Arial Narrow" w:hAnsi="Arial Narrow" w:cs="Times New Roman"/>
          <w:b w:val="0"/>
          <w:bCs w:val="0"/>
          <w:i/>
          <w:color w:val="auto"/>
          <w:sz w:val="20"/>
          <w:szCs w:val="20"/>
          <w:lang w:val="es-CO"/>
        </w:rPr>
      </w:pPr>
    </w:p>
    <w:p w:rsidR="00DE1CA7" w:rsidRPr="001B74EB" w:rsidRDefault="00FD3315" w:rsidP="00FD3315">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134" w:right="566"/>
        <w:rPr>
          <w:rFonts w:ascii="Arial Narrow" w:hAnsi="Arial Narrow" w:cs="Times New Roman"/>
          <w:b w:val="0"/>
          <w:bCs w:val="0"/>
          <w:i/>
          <w:color w:val="auto"/>
          <w:sz w:val="20"/>
          <w:szCs w:val="20"/>
          <w:lang w:val="es-CO"/>
        </w:rPr>
      </w:pPr>
      <w:r w:rsidRPr="001B74EB">
        <w:rPr>
          <w:rFonts w:ascii="Arial Narrow" w:hAnsi="Arial Narrow" w:cs="Times New Roman"/>
          <w:b w:val="0"/>
          <w:bCs w:val="0"/>
          <w:i/>
          <w:color w:val="auto"/>
          <w:sz w:val="20"/>
          <w:szCs w:val="20"/>
          <w:lang w:val="es-CO"/>
        </w:rPr>
        <w:t xml:space="preserve">Los bienes entregados en concesión, pueden corresponder a </w:t>
      </w:r>
      <w:r w:rsidR="00F62E80" w:rsidRPr="001B74EB">
        <w:rPr>
          <w:rFonts w:ascii="Arial Narrow" w:hAnsi="Arial Narrow" w:cs="Times New Roman"/>
          <w:b w:val="0"/>
          <w:bCs w:val="0"/>
          <w:i/>
          <w:color w:val="auto"/>
          <w:sz w:val="20"/>
          <w:szCs w:val="20"/>
          <w:lang w:val="es-CO"/>
        </w:rPr>
        <w:t>B</w:t>
      </w:r>
      <w:r w:rsidRPr="001B74EB">
        <w:rPr>
          <w:rFonts w:ascii="Arial Narrow" w:hAnsi="Arial Narrow" w:cs="Times New Roman"/>
          <w:b w:val="0"/>
          <w:bCs w:val="0"/>
          <w:i/>
          <w:color w:val="auto"/>
          <w:sz w:val="20"/>
          <w:szCs w:val="20"/>
          <w:lang w:val="es-CO"/>
        </w:rPr>
        <w:t>ienes de uso público</w:t>
      </w:r>
      <w:r w:rsidR="00DE1CA7" w:rsidRPr="001B74EB">
        <w:rPr>
          <w:rFonts w:ascii="Arial Narrow" w:hAnsi="Arial Narrow" w:cs="Times New Roman"/>
          <w:b w:val="0"/>
          <w:bCs w:val="0"/>
          <w:i/>
          <w:color w:val="auto"/>
          <w:sz w:val="20"/>
          <w:szCs w:val="20"/>
          <w:lang w:val="es-CO"/>
        </w:rPr>
        <w:t xml:space="preserve"> o a Bienes entregados a terceros, los cuales según la </w:t>
      </w:r>
      <w:r w:rsidR="007B22A6" w:rsidRPr="001B74EB">
        <w:rPr>
          <w:rFonts w:ascii="Arial Narrow" w:hAnsi="Arial Narrow" w:cs="Times New Roman"/>
          <w:b w:val="0"/>
          <w:bCs w:val="0"/>
          <w:i/>
          <w:color w:val="auto"/>
          <w:sz w:val="20"/>
          <w:szCs w:val="20"/>
          <w:lang w:val="es-CO"/>
        </w:rPr>
        <w:t>Resolución</w:t>
      </w:r>
      <w:r w:rsidR="00DE1CA7" w:rsidRPr="001B74EB">
        <w:rPr>
          <w:rFonts w:ascii="Arial Narrow" w:hAnsi="Arial Narrow" w:cs="Times New Roman"/>
          <w:b w:val="0"/>
          <w:bCs w:val="0"/>
          <w:i/>
          <w:color w:val="auto"/>
          <w:sz w:val="20"/>
          <w:szCs w:val="20"/>
          <w:lang w:val="es-CO"/>
        </w:rPr>
        <w:t xml:space="preserve"> 237 de 2010</w:t>
      </w:r>
      <w:r w:rsidR="00F62E80" w:rsidRPr="001B74EB">
        <w:rPr>
          <w:rFonts w:ascii="Arial Narrow" w:hAnsi="Arial Narrow" w:cs="Times New Roman"/>
          <w:b w:val="0"/>
          <w:bCs w:val="0"/>
          <w:i/>
          <w:color w:val="auto"/>
          <w:sz w:val="20"/>
          <w:szCs w:val="20"/>
          <w:lang w:val="es-CO"/>
        </w:rPr>
        <w:t>,</w:t>
      </w:r>
      <w:r w:rsidR="00DE1CA7" w:rsidRPr="001B74EB">
        <w:rPr>
          <w:rFonts w:ascii="Arial Narrow" w:hAnsi="Arial Narrow" w:cs="Times New Roman"/>
          <w:b w:val="0"/>
          <w:bCs w:val="0"/>
          <w:i/>
          <w:color w:val="auto"/>
          <w:sz w:val="20"/>
          <w:szCs w:val="20"/>
          <w:lang w:val="es-CO"/>
        </w:rPr>
        <w:t xml:space="preserve"> cuando se entregan a otra entidad para que esta a su vez gestione contratos de </w:t>
      </w:r>
      <w:r w:rsidR="00B84F60" w:rsidRPr="001B74EB">
        <w:rPr>
          <w:rFonts w:ascii="Arial Narrow" w:hAnsi="Arial Narrow" w:cs="Times New Roman"/>
          <w:b w:val="0"/>
          <w:bCs w:val="0"/>
          <w:i/>
          <w:color w:val="auto"/>
          <w:sz w:val="20"/>
          <w:szCs w:val="20"/>
          <w:lang w:val="es-CO"/>
        </w:rPr>
        <w:t>concesión,</w:t>
      </w:r>
      <w:r w:rsidR="00DE1CA7" w:rsidRPr="001B74EB">
        <w:rPr>
          <w:rFonts w:ascii="Arial Narrow" w:hAnsi="Arial Narrow" w:cs="Times New Roman"/>
          <w:b w:val="0"/>
          <w:bCs w:val="0"/>
          <w:i/>
          <w:color w:val="auto"/>
          <w:sz w:val="20"/>
          <w:szCs w:val="20"/>
          <w:lang w:val="es-CO"/>
        </w:rPr>
        <w:t xml:space="preserve"> deberán clasificarse, </w:t>
      </w:r>
      <w:r w:rsidR="007B22A6" w:rsidRPr="001B74EB">
        <w:rPr>
          <w:rFonts w:ascii="Arial Narrow" w:hAnsi="Arial Narrow" w:cs="Times New Roman"/>
          <w:b w:val="0"/>
          <w:bCs w:val="0"/>
          <w:i/>
          <w:color w:val="auto"/>
          <w:sz w:val="20"/>
          <w:szCs w:val="20"/>
          <w:lang w:val="es-CO"/>
        </w:rPr>
        <w:t>así</w:t>
      </w:r>
      <w:r w:rsidR="00DE1CA7" w:rsidRPr="001B74EB">
        <w:rPr>
          <w:rFonts w:ascii="Arial Narrow" w:hAnsi="Arial Narrow" w:cs="Times New Roman"/>
          <w:b w:val="0"/>
          <w:bCs w:val="0"/>
          <w:i/>
          <w:color w:val="auto"/>
          <w:sz w:val="20"/>
          <w:szCs w:val="20"/>
          <w:lang w:val="es-CO"/>
        </w:rPr>
        <w:t>:</w:t>
      </w:r>
    </w:p>
    <w:p w:rsidR="00DE1CA7" w:rsidRPr="001B74EB" w:rsidRDefault="00DE1CA7" w:rsidP="00FD3315">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134" w:right="566"/>
        <w:rPr>
          <w:rFonts w:ascii="Arial Narrow" w:hAnsi="Arial Narrow" w:cs="Times New Roman"/>
          <w:b w:val="0"/>
          <w:bCs w:val="0"/>
          <w:i/>
          <w:color w:val="auto"/>
          <w:sz w:val="20"/>
          <w:szCs w:val="20"/>
          <w:lang w:val="es-CO"/>
        </w:rPr>
      </w:pPr>
    </w:p>
    <w:p w:rsidR="00DE1CA7" w:rsidRPr="001B74EB" w:rsidRDefault="00DE1CA7" w:rsidP="00FD3315">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134" w:right="566"/>
        <w:rPr>
          <w:rFonts w:ascii="Arial Narrow" w:hAnsi="Arial Narrow" w:cs="Times New Roman"/>
          <w:b w:val="0"/>
          <w:bCs w:val="0"/>
          <w:i/>
          <w:color w:val="auto"/>
          <w:sz w:val="20"/>
          <w:szCs w:val="20"/>
          <w:lang w:val="es-CO"/>
        </w:rPr>
      </w:pPr>
      <w:r w:rsidRPr="001B74EB">
        <w:rPr>
          <w:rFonts w:ascii="Arial Narrow" w:hAnsi="Arial Narrow" w:cs="Times New Roman"/>
          <w:b w:val="0"/>
          <w:bCs w:val="0"/>
          <w:i/>
          <w:color w:val="auto"/>
          <w:sz w:val="20"/>
          <w:szCs w:val="20"/>
          <w:lang w:val="es-CO"/>
        </w:rPr>
        <w:t xml:space="preserve">Cuando se trata de bienes de uso </w:t>
      </w:r>
      <w:r w:rsidR="007B22A6" w:rsidRPr="001B74EB">
        <w:rPr>
          <w:rFonts w:ascii="Arial Narrow" w:hAnsi="Arial Narrow" w:cs="Times New Roman"/>
          <w:b w:val="0"/>
          <w:bCs w:val="0"/>
          <w:i/>
          <w:color w:val="auto"/>
          <w:sz w:val="20"/>
          <w:szCs w:val="20"/>
          <w:lang w:val="es-CO"/>
        </w:rPr>
        <w:t>público</w:t>
      </w:r>
      <w:r w:rsidRPr="001B74EB">
        <w:rPr>
          <w:rFonts w:ascii="Arial Narrow" w:hAnsi="Arial Narrow" w:cs="Times New Roman"/>
          <w:b w:val="0"/>
          <w:bCs w:val="0"/>
          <w:i/>
          <w:color w:val="auto"/>
          <w:sz w:val="20"/>
          <w:szCs w:val="20"/>
          <w:lang w:val="es-CO"/>
        </w:rPr>
        <w:t>, mediante un debito en la subcuenta que identifique el tipo de red que se entrega, de las cuentas 1720-BIENES DE USO PUBLICO E HISTORICOS Y CULTURALES ENTREGADOS A TERCEROS y 1785-AMORTIZACION ACUMULADA DE BIENES DE USO PUBLICO (CR) y un crédito en la subcuenta que corresponda de la cuenta 1710-BIENES DE USO PUBLICO EN SERVICIO, los cuales se reconocen al costo y no son objeto de actualización ni de amortización.</w:t>
      </w:r>
    </w:p>
    <w:p w:rsidR="00DE1CA7" w:rsidRPr="001B74EB" w:rsidRDefault="00DE1CA7" w:rsidP="00FD3315">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134" w:right="566"/>
        <w:rPr>
          <w:rFonts w:ascii="Arial Narrow" w:hAnsi="Arial Narrow" w:cs="Times New Roman"/>
          <w:b w:val="0"/>
          <w:bCs w:val="0"/>
          <w:i/>
          <w:color w:val="auto"/>
          <w:sz w:val="20"/>
          <w:szCs w:val="20"/>
          <w:lang w:val="es-CO"/>
        </w:rPr>
      </w:pPr>
    </w:p>
    <w:p w:rsidR="00FD3315" w:rsidRPr="001B74EB" w:rsidRDefault="00DE1CA7" w:rsidP="00FD3315">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134" w:right="566"/>
        <w:rPr>
          <w:rFonts w:ascii="Arial Narrow" w:hAnsi="Arial Narrow" w:cs="Times New Roman"/>
          <w:b w:val="0"/>
          <w:bCs w:val="0"/>
          <w:i/>
          <w:color w:val="auto"/>
          <w:sz w:val="20"/>
          <w:szCs w:val="20"/>
          <w:lang w:val="es-CO"/>
        </w:rPr>
      </w:pPr>
      <w:r w:rsidRPr="001B74EB">
        <w:rPr>
          <w:rFonts w:ascii="Arial Narrow" w:hAnsi="Arial Narrow" w:cs="Times New Roman"/>
          <w:b w:val="0"/>
          <w:bCs w:val="0"/>
          <w:i/>
          <w:color w:val="auto"/>
          <w:sz w:val="20"/>
          <w:szCs w:val="20"/>
          <w:lang w:val="es-CO"/>
        </w:rPr>
        <w:t xml:space="preserve">Cuando la entidad titular entrega también propiedades, planta y equipo, estos bienes deben reconocerse por el valor en libros que resulta de restar del costo histórico, la depreciación y la </w:t>
      </w:r>
      <w:r w:rsidR="007B22A6" w:rsidRPr="001B74EB">
        <w:rPr>
          <w:rFonts w:ascii="Arial Narrow" w:hAnsi="Arial Narrow" w:cs="Times New Roman"/>
          <w:b w:val="0"/>
          <w:bCs w:val="0"/>
          <w:i/>
          <w:color w:val="auto"/>
          <w:sz w:val="20"/>
          <w:szCs w:val="20"/>
          <w:lang w:val="es-CO"/>
        </w:rPr>
        <w:t>provisión</w:t>
      </w:r>
      <w:r w:rsidRPr="001B74EB">
        <w:rPr>
          <w:rFonts w:ascii="Arial Narrow" w:hAnsi="Arial Narrow" w:cs="Times New Roman"/>
          <w:b w:val="0"/>
          <w:bCs w:val="0"/>
          <w:i/>
          <w:color w:val="auto"/>
          <w:sz w:val="20"/>
          <w:szCs w:val="20"/>
          <w:lang w:val="es-CO"/>
        </w:rPr>
        <w:t xml:space="preserve">, cuando </w:t>
      </w:r>
      <w:r w:rsidR="00F62E80" w:rsidRPr="001B74EB">
        <w:rPr>
          <w:rFonts w:ascii="Arial Narrow" w:hAnsi="Arial Narrow" w:cs="Times New Roman"/>
          <w:b w:val="0"/>
          <w:bCs w:val="0"/>
          <w:i/>
          <w:color w:val="auto"/>
          <w:sz w:val="20"/>
          <w:szCs w:val="20"/>
          <w:lang w:val="es-CO"/>
        </w:rPr>
        <w:t>é</w:t>
      </w:r>
      <w:r w:rsidRPr="001B74EB">
        <w:rPr>
          <w:rFonts w:ascii="Arial Narrow" w:hAnsi="Arial Narrow" w:cs="Times New Roman"/>
          <w:b w:val="0"/>
          <w:bCs w:val="0"/>
          <w:i/>
          <w:color w:val="auto"/>
          <w:sz w:val="20"/>
          <w:szCs w:val="20"/>
          <w:lang w:val="es-CO"/>
        </w:rPr>
        <w:t>stas existan, con un d</w:t>
      </w:r>
      <w:r w:rsidR="00F62E80" w:rsidRPr="001B74EB">
        <w:rPr>
          <w:rFonts w:ascii="Arial Narrow" w:hAnsi="Arial Narrow" w:cs="Times New Roman"/>
          <w:b w:val="0"/>
          <w:bCs w:val="0"/>
          <w:i/>
          <w:color w:val="auto"/>
          <w:sz w:val="20"/>
          <w:szCs w:val="20"/>
          <w:lang w:val="es-CO"/>
        </w:rPr>
        <w:t>é</w:t>
      </w:r>
      <w:r w:rsidRPr="001B74EB">
        <w:rPr>
          <w:rFonts w:ascii="Arial Narrow" w:hAnsi="Arial Narrow" w:cs="Times New Roman"/>
          <w:b w:val="0"/>
          <w:bCs w:val="0"/>
          <w:i/>
          <w:color w:val="auto"/>
          <w:sz w:val="20"/>
          <w:szCs w:val="20"/>
          <w:lang w:val="es-CO"/>
        </w:rPr>
        <w:t xml:space="preserve">bito en la subcuenta 192001- Bienes muebles entregados en administración, o 192002-Bienes muebles entregados en administración, de la cuenta 1920- BIENES ENTREGADOS A TERCEROS y un crédito en la </w:t>
      </w:r>
      <w:r w:rsidRPr="001B74EB">
        <w:rPr>
          <w:rFonts w:ascii="Arial Narrow" w:hAnsi="Arial Narrow" w:cs="Times New Roman"/>
          <w:b w:val="0"/>
          <w:bCs w:val="0"/>
          <w:i/>
          <w:color w:val="auto"/>
          <w:sz w:val="20"/>
          <w:szCs w:val="20"/>
          <w:lang w:val="es-CO"/>
        </w:rPr>
        <w:lastRenderedPageBreak/>
        <w:t>subcuenta y cuenta que corresponda del grupo 16-PROPIEDADES, PLANTA Y EQUIPO. Adicionalmente, si existe valorización el saldo se traslada de la subcuenta que corresponda a la naturaleza del a</w:t>
      </w:r>
      <w:r w:rsidR="00D74E13" w:rsidRPr="001B74EB">
        <w:rPr>
          <w:rFonts w:ascii="Arial Narrow" w:hAnsi="Arial Narrow" w:cs="Times New Roman"/>
          <w:b w:val="0"/>
          <w:bCs w:val="0"/>
          <w:i/>
          <w:color w:val="auto"/>
          <w:sz w:val="20"/>
          <w:szCs w:val="20"/>
          <w:lang w:val="es-CO"/>
        </w:rPr>
        <w:t>cti</w:t>
      </w:r>
      <w:r w:rsidRPr="001B74EB">
        <w:rPr>
          <w:rFonts w:ascii="Arial Narrow" w:hAnsi="Arial Narrow" w:cs="Times New Roman"/>
          <w:b w:val="0"/>
          <w:bCs w:val="0"/>
          <w:i/>
          <w:color w:val="auto"/>
          <w:sz w:val="20"/>
          <w:szCs w:val="20"/>
          <w:lang w:val="es-CO"/>
        </w:rPr>
        <w:t xml:space="preserve">vo </w:t>
      </w:r>
      <w:r w:rsidR="00D74E13" w:rsidRPr="001B74EB">
        <w:rPr>
          <w:rFonts w:ascii="Arial Narrow" w:hAnsi="Arial Narrow" w:cs="Times New Roman"/>
          <w:b w:val="0"/>
          <w:bCs w:val="0"/>
          <w:i/>
          <w:color w:val="auto"/>
          <w:sz w:val="20"/>
          <w:szCs w:val="20"/>
          <w:lang w:val="es-CO"/>
        </w:rPr>
        <w:t xml:space="preserve">entregado, a la subcuenta 199977-Otros activos, de la cuenta 1999-VALORIZACIONES y, en  consecuencia, el superávit por valorización se traslada a las subcuentas 311576-Otros activos, de la cuenta 3115-SUPERAVIT POR VALORIZACION o 324077-Otros activos, de la cuenta 3240-SUPERAVIT POR </w:t>
      </w:r>
      <w:r w:rsidR="007B22A6" w:rsidRPr="001B74EB">
        <w:rPr>
          <w:rFonts w:ascii="Arial Narrow" w:hAnsi="Arial Narrow" w:cs="Times New Roman"/>
          <w:b w:val="0"/>
          <w:bCs w:val="0"/>
          <w:i/>
          <w:color w:val="auto"/>
          <w:sz w:val="20"/>
          <w:szCs w:val="20"/>
          <w:lang w:val="es-CO"/>
        </w:rPr>
        <w:t>VALORIZACION, según corresponda.</w:t>
      </w:r>
    </w:p>
    <w:p w:rsidR="007B22A6" w:rsidRPr="001B74EB" w:rsidRDefault="007B22A6" w:rsidP="00FD3315">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134" w:right="566"/>
        <w:rPr>
          <w:rFonts w:ascii="Arial Narrow" w:hAnsi="Arial Narrow" w:cs="Times New Roman"/>
          <w:b w:val="0"/>
          <w:bCs w:val="0"/>
          <w:i/>
          <w:color w:val="auto"/>
          <w:sz w:val="20"/>
          <w:szCs w:val="20"/>
          <w:lang w:val="es-CO"/>
        </w:rPr>
      </w:pPr>
    </w:p>
    <w:p w:rsidR="007B22A6" w:rsidRPr="001B74EB" w:rsidRDefault="007B22A6" w:rsidP="00FD3315">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134" w:right="566"/>
        <w:rPr>
          <w:rFonts w:ascii="Arial Narrow" w:hAnsi="Arial Narrow" w:cs="Times New Roman"/>
          <w:bCs w:val="0"/>
          <w:i/>
          <w:color w:val="auto"/>
          <w:sz w:val="20"/>
          <w:szCs w:val="20"/>
          <w:lang w:val="es-CO"/>
        </w:rPr>
      </w:pPr>
      <w:r w:rsidRPr="001B74EB">
        <w:rPr>
          <w:rFonts w:ascii="Arial Narrow" w:hAnsi="Arial Narrow" w:cs="Times New Roman"/>
          <w:bCs w:val="0"/>
          <w:i/>
          <w:color w:val="auto"/>
          <w:sz w:val="20"/>
          <w:szCs w:val="20"/>
          <w:lang w:val="es-CO"/>
        </w:rPr>
        <w:t>Entidad que actúa como gestor:</w:t>
      </w:r>
    </w:p>
    <w:p w:rsidR="007B22A6" w:rsidRPr="001B74EB" w:rsidRDefault="007B22A6" w:rsidP="00FD3315">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134" w:right="566"/>
        <w:rPr>
          <w:rFonts w:ascii="Arial Narrow" w:hAnsi="Arial Narrow" w:cs="Times New Roman"/>
          <w:bCs w:val="0"/>
          <w:i/>
          <w:color w:val="auto"/>
          <w:sz w:val="20"/>
          <w:szCs w:val="20"/>
          <w:lang w:val="es-CO"/>
        </w:rPr>
      </w:pPr>
    </w:p>
    <w:p w:rsidR="00F230EA" w:rsidRPr="001B74EB" w:rsidRDefault="007B22A6" w:rsidP="00FD3315">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134" w:right="566"/>
        <w:rPr>
          <w:rFonts w:ascii="Arial Narrow" w:hAnsi="Arial Narrow" w:cs="Times New Roman"/>
          <w:b w:val="0"/>
          <w:bCs w:val="0"/>
          <w:i/>
          <w:color w:val="auto"/>
          <w:sz w:val="20"/>
          <w:szCs w:val="20"/>
          <w:lang w:val="es-CO"/>
        </w:rPr>
      </w:pPr>
      <w:r w:rsidRPr="001B74EB">
        <w:rPr>
          <w:rFonts w:ascii="Arial Narrow" w:hAnsi="Arial Narrow" w:cs="Times New Roman"/>
          <w:b w:val="0"/>
          <w:bCs w:val="0"/>
          <w:i/>
          <w:color w:val="auto"/>
          <w:sz w:val="20"/>
          <w:szCs w:val="20"/>
          <w:lang w:val="es-CO"/>
        </w:rPr>
        <w:t>Por su parte, la entidad que recibe los bienes para gestionar</w:t>
      </w:r>
      <w:r w:rsidR="00F62E80" w:rsidRPr="001B74EB">
        <w:rPr>
          <w:rFonts w:ascii="Arial Narrow" w:hAnsi="Arial Narrow" w:cs="Times New Roman"/>
          <w:b w:val="0"/>
          <w:bCs w:val="0"/>
          <w:i/>
          <w:color w:val="auto"/>
          <w:sz w:val="20"/>
          <w:szCs w:val="20"/>
          <w:lang w:val="es-CO"/>
        </w:rPr>
        <w:t xml:space="preserve"> </w:t>
      </w:r>
      <w:r w:rsidRPr="001B74EB">
        <w:rPr>
          <w:rFonts w:ascii="Arial Narrow" w:hAnsi="Arial Narrow" w:cs="Times New Roman"/>
          <w:b w:val="0"/>
          <w:bCs w:val="0"/>
          <w:i/>
          <w:color w:val="auto"/>
          <w:sz w:val="20"/>
          <w:szCs w:val="20"/>
          <w:lang w:val="es-CO"/>
        </w:rPr>
        <w:t xml:space="preserve">la concesión debe registrarlos en cuentas de orden por el valor en libros de la entidad titular, según la clase de activo recibido, mediante un crédito en las subcuenta 934618-Bienes de uso público e históricos y culturales, 934619-Propiedades, planta y equipo y 934620-Otros activos, de la cuenta </w:t>
      </w:r>
      <w:r w:rsidR="00F230EA" w:rsidRPr="001B74EB">
        <w:rPr>
          <w:rFonts w:ascii="Arial Narrow" w:hAnsi="Arial Narrow" w:cs="Times New Roman"/>
          <w:b w:val="0"/>
          <w:bCs w:val="0"/>
          <w:i/>
          <w:color w:val="auto"/>
          <w:sz w:val="20"/>
          <w:szCs w:val="20"/>
          <w:lang w:val="es-CO"/>
        </w:rPr>
        <w:t>9346-BIENES RECIBIDOS DE TERCEROS, y un d</w:t>
      </w:r>
      <w:r w:rsidR="00F62E80" w:rsidRPr="001B74EB">
        <w:rPr>
          <w:rFonts w:ascii="Arial Narrow" w:hAnsi="Arial Narrow" w:cs="Times New Roman"/>
          <w:b w:val="0"/>
          <w:bCs w:val="0"/>
          <w:i/>
          <w:color w:val="auto"/>
          <w:sz w:val="20"/>
          <w:szCs w:val="20"/>
          <w:lang w:val="es-CO"/>
        </w:rPr>
        <w:t>é</w:t>
      </w:r>
      <w:r w:rsidR="00F230EA" w:rsidRPr="001B74EB">
        <w:rPr>
          <w:rFonts w:ascii="Arial Narrow" w:hAnsi="Arial Narrow" w:cs="Times New Roman"/>
          <w:b w:val="0"/>
          <w:bCs w:val="0"/>
          <w:i/>
          <w:color w:val="auto"/>
          <w:sz w:val="20"/>
          <w:szCs w:val="20"/>
          <w:lang w:val="es-CO"/>
        </w:rPr>
        <w:t>bito en la subcuenta 991506-Bienes recibidos de terceros, de la cuenta 9915-ACREEDORAS DE CONTROL POR  CONTRA (DB)</w:t>
      </w:r>
    </w:p>
    <w:p w:rsidR="00F230EA" w:rsidRPr="001B74EB" w:rsidRDefault="00F230EA" w:rsidP="00FD3315">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134" w:right="566"/>
        <w:rPr>
          <w:rFonts w:ascii="Arial Narrow" w:hAnsi="Arial Narrow" w:cs="Times New Roman"/>
          <w:b w:val="0"/>
          <w:bCs w:val="0"/>
          <w:i/>
          <w:color w:val="auto"/>
          <w:sz w:val="20"/>
          <w:szCs w:val="20"/>
          <w:lang w:val="es-CO"/>
        </w:rPr>
      </w:pPr>
    </w:p>
    <w:p w:rsidR="00F230EA" w:rsidRPr="00B154F7" w:rsidRDefault="00F230EA" w:rsidP="00FD3315">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134" w:right="566"/>
        <w:rPr>
          <w:rFonts w:ascii="Arial Narrow" w:hAnsi="Arial Narrow" w:cs="Times New Roman"/>
          <w:b w:val="0"/>
          <w:bCs w:val="0"/>
          <w:i/>
          <w:color w:val="auto"/>
          <w:sz w:val="20"/>
          <w:szCs w:val="20"/>
          <w:lang w:val="es-CO"/>
        </w:rPr>
      </w:pPr>
      <w:r w:rsidRPr="001B74EB">
        <w:rPr>
          <w:rFonts w:ascii="Arial Narrow" w:hAnsi="Arial Narrow" w:cs="Times New Roman"/>
          <w:b w:val="0"/>
          <w:bCs w:val="0"/>
          <w:i/>
          <w:color w:val="auto"/>
          <w:sz w:val="20"/>
          <w:szCs w:val="20"/>
          <w:lang w:val="es-CO"/>
        </w:rPr>
        <w:t xml:space="preserve">El anterior procedimiento se había señalado en el concepto No. 20132000022951 de 2 de julio de 2013, dirigido a la doctora Maria Clara Garrido Garrido, </w:t>
      </w:r>
      <w:r w:rsidRPr="00B154F7">
        <w:rPr>
          <w:rFonts w:ascii="Arial Narrow" w:hAnsi="Arial Narrow" w:cs="Times New Roman"/>
          <w:b w:val="0"/>
          <w:bCs w:val="0"/>
          <w:i/>
          <w:color w:val="auto"/>
          <w:sz w:val="20"/>
          <w:szCs w:val="20"/>
          <w:lang w:val="es-CO"/>
        </w:rPr>
        <w:t>Subgerente Administrativa y Financiera del Instituto Nacional de Concesiones-INCO (hoy ANI).</w:t>
      </w:r>
    </w:p>
    <w:p w:rsidR="00F230EA" w:rsidRPr="001B74EB" w:rsidRDefault="00F230EA" w:rsidP="00FD3315">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134" w:right="566"/>
        <w:rPr>
          <w:rFonts w:ascii="Arial Narrow" w:hAnsi="Arial Narrow" w:cs="Times New Roman"/>
          <w:b w:val="0"/>
          <w:bCs w:val="0"/>
          <w:i/>
          <w:color w:val="auto"/>
          <w:sz w:val="20"/>
          <w:szCs w:val="20"/>
          <w:lang w:val="es-CO"/>
        </w:rPr>
      </w:pPr>
    </w:p>
    <w:p w:rsidR="00F230EA" w:rsidRPr="001B74EB" w:rsidRDefault="00F230EA" w:rsidP="00FD3315">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134" w:right="566"/>
        <w:rPr>
          <w:rFonts w:ascii="Arial Narrow" w:hAnsi="Arial Narrow" w:cs="Times New Roman"/>
          <w:b w:val="0"/>
          <w:bCs w:val="0"/>
          <w:i/>
          <w:color w:val="auto"/>
          <w:sz w:val="20"/>
          <w:szCs w:val="20"/>
          <w:lang w:val="es-CO"/>
        </w:rPr>
      </w:pPr>
      <w:r w:rsidRPr="001B74EB">
        <w:rPr>
          <w:rFonts w:ascii="Arial Narrow" w:hAnsi="Arial Narrow" w:cs="Times New Roman"/>
          <w:b w:val="0"/>
          <w:bCs w:val="0"/>
          <w:i/>
          <w:color w:val="auto"/>
          <w:sz w:val="20"/>
          <w:szCs w:val="20"/>
          <w:lang w:val="es-CO"/>
        </w:rPr>
        <w:t>Ahora, en relación con la inversión del privado en las concesiones que estaba vigentes antes de la modificación introducida por el Decreto 4164 de 2011, compete tanto a la Aerocivil como a la ANI, por efecto de la subrogación del contrato, analizar la viabilidad para que la inversión del privado realizada antes de la entrega a la ANI sea consolidada, en razón a que es la entidad que actualmente gestiona y administra el contrato de concesión subrogado, anotando que el procedimiento contable para el reconocimiento se encuentra definido y la decisión de quien deberá presentar esa inversión excede la competencia funcional de la CGN.</w:t>
      </w:r>
    </w:p>
    <w:p w:rsidR="00F230EA" w:rsidRPr="001B74EB" w:rsidRDefault="00F230EA" w:rsidP="00FD3315">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134" w:right="566"/>
        <w:rPr>
          <w:rFonts w:ascii="Arial Narrow" w:hAnsi="Arial Narrow" w:cs="Times New Roman"/>
          <w:b w:val="0"/>
          <w:bCs w:val="0"/>
          <w:i/>
          <w:color w:val="auto"/>
          <w:sz w:val="20"/>
          <w:szCs w:val="20"/>
          <w:lang w:val="es-CO"/>
        </w:rPr>
      </w:pPr>
    </w:p>
    <w:p w:rsidR="00DB1FC4" w:rsidRPr="001B74EB" w:rsidRDefault="00F230EA" w:rsidP="00F230EA">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right="566"/>
        <w:rPr>
          <w:rFonts w:ascii="Arial Narrow" w:hAnsi="Arial Narrow" w:cs="Times New Roman"/>
          <w:b w:val="0"/>
          <w:bCs w:val="0"/>
          <w:i/>
          <w:color w:val="auto"/>
          <w:sz w:val="20"/>
          <w:szCs w:val="20"/>
          <w:lang w:val="es-CO"/>
        </w:rPr>
      </w:pPr>
      <w:r w:rsidRPr="00B154F7">
        <w:rPr>
          <w:rFonts w:ascii="Arial Narrow" w:hAnsi="Arial Narrow" w:cs="Times New Roman"/>
          <w:b w:val="0"/>
          <w:bCs w:val="0"/>
          <w:i/>
          <w:color w:val="auto"/>
          <w:sz w:val="20"/>
          <w:szCs w:val="20"/>
          <w:lang w:val="es-CO"/>
        </w:rPr>
        <w:t>Quien</w:t>
      </w:r>
      <w:r w:rsidRPr="001B74EB">
        <w:rPr>
          <w:rFonts w:ascii="Arial Narrow" w:hAnsi="Arial Narrow" w:cs="Times New Roman"/>
          <w:b w:val="0"/>
          <w:bCs w:val="0"/>
          <w:i/>
          <w:color w:val="auto"/>
          <w:sz w:val="20"/>
          <w:szCs w:val="20"/>
          <w:lang w:val="es-CO"/>
        </w:rPr>
        <w:t xml:space="preserve"> debe reconocer, luego de la subrogación</w:t>
      </w:r>
      <w:r w:rsidR="00DB1FC4" w:rsidRPr="001B74EB">
        <w:rPr>
          <w:rFonts w:ascii="Arial Narrow" w:hAnsi="Arial Narrow" w:cs="Times New Roman"/>
          <w:b w:val="0"/>
          <w:bCs w:val="0"/>
          <w:i/>
          <w:color w:val="auto"/>
          <w:sz w:val="20"/>
          <w:szCs w:val="20"/>
          <w:lang w:val="es-CO"/>
        </w:rPr>
        <w:t xml:space="preserve"> de los contratos de concesión a la ANI, los aportes que la Aerocivil realiza y que reconoce como construcciones en curso, y quien la inversión del privado?</w:t>
      </w:r>
    </w:p>
    <w:p w:rsidR="007B42D0" w:rsidRPr="001B74EB" w:rsidRDefault="007B42D0" w:rsidP="007B42D0">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right="566"/>
        <w:rPr>
          <w:rFonts w:ascii="Arial Narrow" w:hAnsi="Arial Narrow" w:cs="Times New Roman"/>
          <w:b w:val="0"/>
          <w:bCs w:val="0"/>
          <w:i/>
          <w:color w:val="auto"/>
          <w:sz w:val="20"/>
          <w:szCs w:val="20"/>
          <w:lang w:val="es-CO"/>
        </w:rPr>
      </w:pPr>
    </w:p>
    <w:p w:rsidR="007B42D0" w:rsidRPr="001B74EB" w:rsidRDefault="007B42D0" w:rsidP="00F62E80">
      <w:pPr>
        <w:pStyle w:val="Textoindependiente2"/>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s>
        <w:ind w:left="426" w:right="566"/>
        <w:rPr>
          <w:rFonts w:ascii="Arial Narrow" w:hAnsi="Arial Narrow" w:cs="Times New Roman"/>
          <w:b w:val="0"/>
          <w:bCs w:val="0"/>
          <w:i/>
          <w:color w:val="auto"/>
          <w:sz w:val="20"/>
          <w:szCs w:val="20"/>
          <w:lang w:val="es-CO"/>
        </w:rPr>
      </w:pPr>
      <w:r w:rsidRPr="001B74EB">
        <w:rPr>
          <w:rFonts w:ascii="Arial Narrow" w:hAnsi="Arial Narrow" w:cs="Times New Roman"/>
          <w:b w:val="0"/>
          <w:bCs w:val="0"/>
          <w:i/>
          <w:color w:val="auto"/>
          <w:sz w:val="20"/>
          <w:szCs w:val="20"/>
          <w:lang w:val="es-CO"/>
        </w:rPr>
        <w:t>Conforme al procedimiento adoptado por la Resolución 237 de 2010, la inversión del privado deberá reconocerla la ANI, debitando la subcuenta 171105-Red Aeroportuaria de la cuenta 1711-BIENES USO PUBLICO EN CONSTRUCCION-CONCESIONES, con crédito a la subcuenta 325525-Bienes de la cuenta 3255-PATRIMONIO INSTITUCIONAL</w:t>
      </w:r>
      <w:r w:rsidR="003D3107" w:rsidRPr="001B74EB">
        <w:rPr>
          <w:rFonts w:ascii="Arial Narrow" w:hAnsi="Arial Narrow" w:cs="Times New Roman"/>
          <w:b w:val="0"/>
          <w:bCs w:val="0"/>
          <w:i/>
          <w:color w:val="auto"/>
          <w:sz w:val="20"/>
          <w:szCs w:val="20"/>
          <w:lang w:val="es-CO"/>
        </w:rPr>
        <w:t xml:space="preserve"> INCORPORADO.</w:t>
      </w:r>
    </w:p>
    <w:p w:rsidR="005202D4" w:rsidRPr="001B74EB" w:rsidRDefault="005202D4" w:rsidP="007B42D0">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right="566"/>
        <w:rPr>
          <w:rFonts w:ascii="Arial Narrow" w:hAnsi="Arial Narrow" w:cs="Times New Roman"/>
          <w:b w:val="0"/>
          <w:bCs w:val="0"/>
          <w:i/>
          <w:color w:val="auto"/>
          <w:sz w:val="20"/>
          <w:szCs w:val="20"/>
          <w:lang w:val="es-CO"/>
        </w:rPr>
      </w:pPr>
    </w:p>
    <w:p w:rsidR="005202D4" w:rsidRPr="001B74EB" w:rsidRDefault="003A39FC" w:rsidP="00F62E80">
      <w:pPr>
        <w:pStyle w:val="Textoindependiente2"/>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s>
        <w:ind w:left="426" w:right="566"/>
        <w:rPr>
          <w:rFonts w:ascii="Arial Narrow" w:hAnsi="Arial Narrow" w:cs="Times New Roman"/>
          <w:b w:val="0"/>
          <w:bCs w:val="0"/>
          <w:i/>
          <w:color w:val="auto"/>
          <w:sz w:val="20"/>
          <w:szCs w:val="20"/>
          <w:lang w:val="es-CO"/>
        </w:rPr>
      </w:pPr>
      <w:r w:rsidRPr="001B74EB">
        <w:rPr>
          <w:rFonts w:ascii="Arial Narrow" w:hAnsi="Arial Narrow" w:cs="Times New Roman"/>
          <w:b w:val="0"/>
          <w:bCs w:val="0"/>
          <w:i/>
          <w:color w:val="auto"/>
          <w:sz w:val="20"/>
          <w:szCs w:val="20"/>
          <w:lang w:val="es-CO"/>
        </w:rPr>
        <w:t xml:space="preserve">Ahora bien, los aportes directos que la entidad titular entrega al privado, para aplicar a los bienes concesionados a través de la </w:t>
      </w:r>
      <w:r w:rsidR="00B84F60" w:rsidRPr="001B74EB">
        <w:rPr>
          <w:rFonts w:ascii="Arial Narrow" w:hAnsi="Arial Narrow" w:cs="Times New Roman"/>
          <w:b w:val="0"/>
          <w:bCs w:val="0"/>
          <w:i/>
          <w:color w:val="auto"/>
          <w:sz w:val="20"/>
          <w:szCs w:val="20"/>
          <w:lang w:val="es-CO"/>
        </w:rPr>
        <w:t>ANI,</w:t>
      </w:r>
      <w:r w:rsidRPr="001B74EB">
        <w:rPr>
          <w:rFonts w:ascii="Arial Narrow" w:hAnsi="Arial Narrow" w:cs="Times New Roman"/>
          <w:b w:val="0"/>
          <w:bCs w:val="0"/>
          <w:i/>
          <w:color w:val="auto"/>
          <w:sz w:val="20"/>
          <w:szCs w:val="20"/>
          <w:lang w:val="es-CO"/>
        </w:rPr>
        <w:t xml:space="preserve"> deberán contabilizarse por las dos entidades, en forma análoga a lo señalado en el primer punto de estas conclusiones.</w:t>
      </w:r>
    </w:p>
    <w:p w:rsidR="003A39FC" w:rsidRPr="001B74EB" w:rsidRDefault="003A39FC" w:rsidP="007B42D0">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right="566"/>
        <w:rPr>
          <w:rFonts w:ascii="Arial Narrow" w:hAnsi="Arial Narrow" w:cs="Times New Roman"/>
          <w:b w:val="0"/>
          <w:bCs w:val="0"/>
          <w:i/>
          <w:color w:val="auto"/>
          <w:sz w:val="20"/>
          <w:szCs w:val="20"/>
          <w:lang w:val="es-CO"/>
        </w:rPr>
      </w:pPr>
    </w:p>
    <w:p w:rsidR="003A39FC" w:rsidRPr="001B74EB" w:rsidRDefault="003A39FC" w:rsidP="00F62E80">
      <w:pPr>
        <w:pStyle w:val="Textoindependiente2"/>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s>
        <w:ind w:left="426" w:right="566"/>
        <w:rPr>
          <w:rFonts w:ascii="Arial Narrow" w:hAnsi="Arial Narrow" w:cs="Times New Roman"/>
          <w:b w:val="0"/>
          <w:bCs w:val="0"/>
          <w:i/>
          <w:color w:val="auto"/>
          <w:sz w:val="20"/>
          <w:szCs w:val="20"/>
          <w:lang w:val="es-CO"/>
        </w:rPr>
      </w:pPr>
      <w:r w:rsidRPr="001B74EB">
        <w:rPr>
          <w:rFonts w:ascii="Arial Narrow" w:hAnsi="Arial Narrow" w:cs="Times New Roman"/>
          <w:b w:val="0"/>
          <w:bCs w:val="0"/>
          <w:i/>
          <w:color w:val="auto"/>
          <w:sz w:val="20"/>
          <w:szCs w:val="20"/>
          <w:lang w:val="es-CO"/>
        </w:rPr>
        <w:t>Es pertinente señalar que la Aerocivil, además de presentar los Bienes de uso público entregados a terceros y los Bienes entregados en  administración, deberá revelar</w:t>
      </w:r>
      <w:r w:rsidR="001B74EB">
        <w:rPr>
          <w:rFonts w:ascii="Arial Narrow" w:hAnsi="Arial Narrow" w:cs="Times New Roman"/>
          <w:b w:val="0"/>
          <w:bCs w:val="0"/>
          <w:i/>
          <w:color w:val="auto"/>
          <w:sz w:val="20"/>
          <w:szCs w:val="20"/>
          <w:lang w:val="es-CO"/>
        </w:rPr>
        <w:t xml:space="preserve"> </w:t>
      </w:r>
      <w:r w:rsidRPr="001B74EB">
        <w:rPr>
          <w:rFonts w:ascii="Arial Narrow" w:hAnsi="Arial Narrow" w:cs="Times New Roman"/>
          <w:b w:val="0"/>
          <w:bCs w:val="0"/>
          <w:i/>
          <w:color w:val="auto"/>
          <w:sz w:val="20"/>
          <w:szCs w:val="20"/>
          <w:lang w:val="es-CO"/>
        </w:rPr>
        <w:t xml:space="preserve">en cuentas de orden y en Notas a los estados contables la información relacionada con el mejoramiento y rehabilitación de los Bienes de uso público entregados a terceros en administración e igualmente los nuevos bienes adquiridos por la concesión, por lo que se requiere que la ANI durante la ejecución del contrato de concesión informe periódicamente el valor de las </w:t>
      </w:r>
      <w:r w:rsidR="00234FDF" w:rsidRPr="001B74EB">
        <w:rPr>
          <w:rFonts w:ascii="Arial Narrow" w:hAnsi="Arial Narrow" w:cs="Times New Roman"/>
          <w:b w:val="0"/>
          <w:bCs w:val="0"/>
          <w:i/>
          <w:color w:val="auto"/>
          <w:sz w:val="20"/>
          <w:szCs w:val="20"/>
          <w:lang w:val="es-CO"/>
        </w:rPr>
        <w:t>inversi</w:t>
      </w:r>
      <w:r w:rsidRPr="001B74EB">
        <w:rPr>
          <w:rFonts w:ascii="Arial Narrow" w:hAnsi="Arial Narrow" w:cs="Times New Roman"/>
          <w:b w:val="0"/>
          <w:bCs w:val="0"/>
          <w:i/>
          <w:color w:val="auto"/>
          <w:sz w:val="20"/>
          <w:szCs w:val="20"/>
          <w:lang w:val="es-CO"/>
        </w:rPr>
        <w:t xml:space="preserve">ones </w:t>
      </w:r>
      <w:r w:rsidR="00234FDF" w:rsidRPr="001B74EB">
        <w:rPr>
          <w:rFonts w:ascii="Arial Narrow" w:hAnsi="Arial Narrow" w:cs="Times New Roman"/>
          <w:b w:val="0"/>
          <w:bCs w:val="0"/>
          <w:i/>
          <w:color w:val="auto"/>
          <w:sz w:val="20"/>
          <w:szCs w:val="20"/>
          <w:lang w:val="es-CO"/>
        </w:rPr>
        <w:t>del privado, para que la Aerocivil pueda presentar una información integral relacionada con los bienes concesionados</w:t>
      </w:r>
      <w:r w:rsidR="001B74EB">
        <w:rPr>
          <w:rFonts w:ascii="Arial Narrow" w:hAnsi="Arial Narrow" w:cs="Times New Roman"/>
          <w:b w:val="0"/>
          <w:bCs w:val="0"/>
          <w:i/>
          <w:color w:val="auto"/>
          <w:sz w:val="20"/>
          <w:szCs w:val="20"/>
          <w:lang w:val="es-CO"/>
        </w:rPr>
        <w:t>”</w:t>
      </w:r>
      <w:r w:rsidR="00234FDF" w:rsidRPr="001B74EB">
        <w:rPr>
          <w:rFonts w:ascii="Arial Narrow" w:hAnsi="Arial Narrow" w:cs="Times New Roman"/>
          <w:b w:val="0"/>
          <w:bCs w:val="0"/>
          <w:i/>
          <w:color w:val="auto"/>
          <w:sz w:val="20"/>
          <w:szCs w:val="20"/>
          <w:lang w:val="es-CO"/>
        </w:rPr>
        <w:t>.</w:t>
      </w:r>
    </w:p>
    <w:p w:rsidR="00234FDF" w:rsidRDefault="00234FDF" w:rsidP="007B42D0">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right="566"/>
        <w:rPr>
          <w:rFonts w:ascii="Arial Narrow" w:hAnsi="Arial Narrow" w:cs="Times New Roman"/>
          <w:b w:val="0"/>
          <w:bCs w:val="0"/>
          <w:i/>
          <w:color w:val="auto"/>
          <w:sz w:val="21"/>
          <w:szCs w:val="21"/>
          <w:lang w:val="es-CO"/>
        </w:rPr>
      </w:pPr>
    </w:p>
    <w:p w:rsidR="006E5BFF" w:rsidRPr="005B2A57" w:rsidRDefault="006E5BFF" w:rsidP="006E5BFF">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Pr>
          <w:rFonts w:ascii="Arial Narrow" w:hAnsi="Arial Narrow" w:cs="Gisha"/>
          <w:color w:val="auto"/>
          <w:sz w:val="22"/>
          <w:szCs w:val="22"/>
          <w:lang w:val="es-ES"/>
        </w:rPr>
        <w:t>POR AJUSTES</w:t>
      </w:r>
      <w:r w:rsidRPr="005B2A57">
        <w:rPr>
          <w:rFonts w:ascii="Arial Narrow" w:hAnsi="Arial Narrow" w:cs="Gisha"/>
          <w:color w:val="auto"/>
          <w:sz w:val="22"/>
          <w:szCs w:val="22"/>
          <w:lang w:val="es-ES"/>
        </w:rPr>
        <w:t xml:space="preserve"> DE EJERCICIOS ANTERIORES</w:t>
      </w:r>
      <w:r w:rsidRPr="005B2A57">
        <w:rPr>
          <w:rFonts w:ascii="Arial Narrow" w:hAnsi="Arial Narrow" w:cs="Gisha"/>
          <w:b w:val="0"/>
          <w:bCs w:val="0"/>
          <w:color w:val="auto"/>
          <w:sz w:val="22"/>
          <w:szCs w:val="22"/>
          <w:lang w:val="es-ES"/>
        </w:rPr>
        <w:t>:</w:t>
      </w:r>
    </w:p>
    <w:p w:rsidR="006E5BFF" w:rsidRDefault="006E5BFF" w:rsidP="006E5BFF">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6E5BFF" w:rsidRPr="0058557D" w:rsidRDefault="006E5BFF" w:rsidP="006E5BFF">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b w:val="0"/>
          <w:bCs w:val="0"/>
          <w:color w:val="auto"/>
          <w:sz w:val="22"/>
          <w:szCs w:val="22"/>
          <w:lang w:val="es-CO"/>
        </w:rPr>
      </w:pPr>
      <w:r w:rsidRPr="0058557D">
        <w:rPr>
          <w:rFonts w:ascii="Arial Narrow" w:hAnsi="Arial Narrow"/>
          <w:b w:val="0"/>
          <w:bCs w:val="0"/>
          <w:color w:val="auto"/>
          <w:sz w:val="22"/>
          <w:szCs w:val="22"/>
          <w:lang w:val="es-CO"/>
        </w:rPr>
        <w:t>Los ajustes de ejercicios anteriores se generaron principalmente por la depuración y análisis en los rubros que a continuación se relacionan</w:t>
      </w:r>
      <w:r w:rsidR="00E15EF3">
        <w:rPr>
          <w:rFonts w:ascii="Arial Narrow" w:hAnsi="Arial Narrow"/>
          <w:b w:val="0"/>
          <w:bCs w:val="0"/>
          <w:color w:val="auto"/>
          <w:sz w:val="22"/>
          <w:szCs w:val="22"/>
          <w:lang w:val="es-CO"/>
        </w:rPr>
        <w:t>,</w:t>
      </w:r>
      <w:r>
        <w:rPr>
          <w:rFonts w:ascii="Arial Narrow" w:hAnsi="Arial Narrow"/>
          <w:b w:val="0"/>
          <w:bCs w:val="0"/>
          <w:color w:val="auto"/>
          <w:sz w:val="22"/>
          <w:szCs w:val="22"/>
          <w:lang w:val="es-CO"/>
        </w:rPr>
        <w:t xml:space="preserve"> </w:t>
      </w:r>
      <w:r w:rsidRPr="0058557D">
        <w:rPr>
          <w:rFonts w:ascii="Arial Narrow" w:hAnsi="Arial Narrow"/>
          <w:b w:val="0"/>
          <w:bCs w:val="0"/>
          <w:color w:val="auto"/>
          <w:sz w:val="22"/>
          <w:szCs w:val="22"/>
          <w:lang w:val="es-CO"/>
        </w:rPr>
        <w:t>así:</w:t>
      </w:r>
    </w:p>
    <w:p w:rsidR="006E5BFF" w:rsidRPr="0058557D" w:rsidRDefault="006E5BFF" w:rsidP="006E5BFF">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b w:val="0"/>
          <w:bCs w:val="0"/>
          <w:color w:val="auto"/>
          <w:sz w:val="22"/>
          <w:szCs w:val="22"/>
          <w:lang w:val="es-CO"/>
        </w:rPr>
      </w:pPr>
    </w:p>
    <w:p w:rsidR="006E5BFF" w:rsidRDefault="006C42A5" w:rsidP="00853B3A">
      <w:pPr>
        <w:pStyle w:val="Prrafodelista"/>
        <w:numPr>
          <w:ilvl w:val="0"/>
          <w:numId w:val="8"/>
        </w:numPr>
        <w:jc w:val="both"/>
        <w:rPr>
          <w:rFonts w:cs="Arial"/>
          <w:sz w:val="22"/>
          <w:szCs w:val="22"/>
        </w:rPr>
      </w:pPr>
      <w:r w:rsidRPr="006C42A5">
        <w:rPr>
          <w:rFonts w:cs="Arial"/>
          <w:sz w:val="22"/>
          <w:szCs w:val="22"/>
        </w:rPr>
        <w:t>$53.034 miles</w:t>
      </w:r>
      <w:r>
        <w:rPr>
          <w:rFonts w:cs="Arial"/>
          <w:sz w:val="22"/>
          <w:szCs w:val="22"/>
        </w:rPr>
        <w:t xml:space="preserve">, </w:t>
      </w:r>
      <w:r w:rsidRPr="00B154F7">
        <w:rPr>
          <w:rFonts w:cs="Arial"/>
          <w:sz w:val="22"/>
          <w:szCs w:val="22"/>
        </w:rPr>
        <w:t xml:space="preserve">corresponde </w:t>
      </w:r>
      <w:r w:rsidR="001171F3" w:rsidRPr="00B154F7">
        <w:rPr>
          <w:rFonts w:cs="Arial"/>
          <w:sz w:val="22"/>
          <w:szCs w:val="22"/>
        </w:rPr>
        <w:t xml:space="preserve">al </w:t>
      </w:r>
      <w:r w:rsidR="00E15EF3" w:rsidRPr="00B154F7">
        <w:rPr>
          <w:rFonts w:cs="Arial"/>
          <w:sz w:val="22"/>
          <w:szCs w:val="22"/>
        </w:rPr>
        <w:t>alcance de</w:t>
      </w:r>
      <w:r w:rsidRPr="00B154F7">
        <w:rPr>
          <w:rFonts w:cs="Arial"/>
          <w:sz w:val="22"/>
          <w:szCs w:val="22"/>
        </w:rPr>
        <w:t xml:space="preserve"> la información reportada </w:t>
      </w:r>
      <w:r w:rsidR="00E15EF3" w:rsidRPr="00B154F7">
        <w:rPr>
          <w:rFonts w:cs="Arial"/>
          <w:sz w:val="22"/>
          <w:szCs w:val="22"/>
        </w:rPr>
        <w:t xml:space="preserve">por concepto </w:t>
      </w:r>
      <w:r w:rsidRPr="00B154F7">
        <w:rPr>
          <w:rFonts w:cs="Arial"/>
          <w:sz w:val="22"/>
          <w:szCs w:val="22"/>
        </w:rPr>
        <w:t>de peajes en el mes de diciembre de 2014</w:t>
      </w:r>
      <w:r w:rsidRPr="00E15EF3">
        <w:rPr>
          <w:rFonts w:cs="Arial"/>
          <w:color w:val="00B050"/>
          <w:sz w:val="22"/>
          <w:szCs w:val="22"/>
        </w:rPr>
        <w:t>,</w:t>
      </w:r>
      <w:r w:rsidRPr="006C42A5">
        <w:rPr>
          <w:rFonts w:cs="Arial"/>
          <w:sz w:val="22"/>
          <w:szCs w:val="22"/>
        </w:rPr>
        <w:t xml:space="preserve"> aclarando que </w:t>
      </w:r>
      <w:r w:rsidR="001171F3">
        <w:rPr>
          <w:rFonts w:cs="Arial"/>
          <w:sz w:val="22"/>
          <w:szCs w:val="22"/>
        </w:rPr>
        <w:t>se</w:t>
      </w:r>
      <w:r w:rsidRPr="006C42A5">
        <w:rPr>
          <w:rFonts w:cs="Arial"/>
          <w:sz w:val="22"/>
          <w:szCs w:val="22"/>
        </w:rPr>
        <w:t xml:space="preserve"> presentó diferencia en el certificado de recaudo de </w:t>
      </w:r>
      <w:r w:rsidR="00E15EF3">
        <w:rPr>
          <w:rFonts w:cs="Arial"/>
          <w:sz w:val="22"/>
          <w:szCs w:val="22"/>
        </w:rPr>
        <w:t>este mes</w:t>
      </w:r>
      <w:r w:rsidR="001171F3">
        <w:rPr>
          <w:rFonts w:cs="Arial"/>
          <w:sz w:val="22"/>
          <w:szCs w:val="22"/>
        </w:rPr>
        <w:t xml:space="preserve">, debido a que </w:t>
      </w:r>
      <w:r w:rsidR="00E15EF3">
        <w:rPr>
          <w:rFonts w:cs="Arial"/>
          <w:sz w:val="22"/>
          <w:szCs w:val="22"/>
        </w:rPr>
        <w:t xml:space="preserve">por error involuntario </w:t>
      </w:r>
      <w:r w:rsidR="001171F3">
        <w:rPr>
          <w:rFonts w:cs="Arial"/>
          <w:sz w:val="22"/>
          <w:szCs w:val="22"/>
        </w:rPr>
        <w:t>s</w:t>
      </w:r>
      <w:r w:rsidRPr="006C42A5">
        <w:rPr>
          <w:rFonts w:cs="Arial"/>
          <w:sz w:val="22"/>
          <w:szCs w:val="22"/>
        </w:rPr>
        <w:t xml:space="preserve">e incluyó el valor de </w:t>
      </w:r>
      <w:r w:rsidR="00E15EF3">
        <w:rPr>
          <w:rFonts w:cs="Arial"/>
          <w:sz w:val="22"/>
          <w:szCs w:val="22"/>
        </w:rPr>
        <w:t>$53,034 miles que no correspondía</w:t>
      </w:r>
      <w:r w:rsidRPr="006C42A5">
        <w:rPr>
          <w:rFonts w:cs="Arial"/>
          <w:sz w:val="22"/>
          <w:szCs w:val="22"/>
        </w:rPr>
        <w:t xml:space="preserve"> a peajes de la Concesión la Pintada. Así las </w:t>
      </w:r>
      <w:r w:rsidRPr="006C42A5">
        <w:rPr>
          <w:rFonts w:cs="Arial"/>
          <w:sz w:val="22"/>
          <w:szCs w:val="22"/>
        </w:rPr>
        <w:lastRenderedPageBreak/>
        <w:t>cosas</w:t>
      </w:r>
      <w:r w:rsidR="00E15EF3">
        <w:rPr>
          <w:rFonts w:cs="Arial"/>
          <w:sz w:val="22"/>
          <w:szCs w:val="22"/>
        </w:rPr>
        <w:t>,</w:t>
      </w:r>
      <w:r w:rsidRPr="006C42A5">
        <w:rPr>
          <w:rFonts w:cs="Arial"/>
          <w:sz w:val="22"/>
          <w:szCs w:val="22"/>
        </w:rPr>
        <w:t xml:space="preserve"> el valor certificado por e</w:t>
      </w:r>
      <w:r w:rsidR="00E15EF3">
        <w:rPr>
          <w:rFonts w:cs="Arial"/>
          <w:sz w:val="22"/>
          <w:szCs w:val="22"/>
        </w:rPr>
        <w:t xml:space="preserve">l mes de diciembre de 2014 es </w:t>
      </w:r>
      <w:r w:rsidR="00A0687E">
        <w:rPr>
          <w:rFonts w:cs="Arial"/>
          <w:sz w:val="22"/>
          <w:szCs w:val="22"/>
        </w:rPr>
        <w:t xml:space="preserve"> $1.397.</w:t>
      </w:r>
      <w:r w:rsidRPr="006C42A5">
        <w:rPr>
          <w:rFonts w:cs="Arial"/>
          <w:sz w:val="22"/>
          <w:szCs w:val="22"/>
        </w:rPr>
        <w:t xml:space="preserve">711 miles </w:t>
      </w:r>
      <w:r w:rsidR="001171F3">
        <w:rPr>
          <w:rFonts w:cs="Arial"/>
          <w:sz w:val="22"/>
          <w:szCs w:val="22"/>
        </w:rPr>
        <w:t>de la</w:t>
      </w:r>
      <w:r w:rsidRPr="006C42A5">
        <w:rPr>
          <w:rFonts w:cs="Arial"/>
          <w:sz w:val="22"/>
          <w:szCs w:val="22"/>
        </w:rPr>
        <w:t xml:space="preserve"> Concesión Autopista Conexión Pacifico.</w:t>
      </w:r>
    </w:p>
    <w:p w:rsidR="00E15EF3" w:rsidRDefault="00E15EF3" w:rsidP="00E15EF3">
      <w:pPr>
        <w:pStyle w:val="Prrafodelista"/>
        <w:ind w:left="720"/>
        <w:jc w:val="both"/>
        <w:rPr>
          <w:rFonts w:cs="Arial"/>
          <w:sz w:val="22"/>
          <w:szCs w:val="22"/>
        </w:rPr>
      </w:pPr>
    </w:p>
    <w:p w:rsidR="004409AB" w:rsidRDefault="004409AB" w:rsidP="00853B3A">
      <w:pPr>
        <w:pStyle w:val="Prrafodelista"/>
        <w:numPr>
          <w:ilvl w:val="0"/>
          <w:numId w:val="8"/>
        </w:numPr>
        <w:jc w:val="both"/>
        <w:rPr>
          <w:rFonts w:cs="Arial"/>
          <w:sz w:val="22"/>
          <w:szCs w:val="22"/>
        </w:rPr>
      </w:pPr>
      <w:r>
        <w:rPr>
          <w:rFonts w:cs="Arial"/>
          <w:sz w:val="22"/>
          <w:szCs w:val="22"/>
        </w:rPr>
        <w:t>Así mismo, s</w:t>
      </w:r>
      <w:r w:rsidR="00FF06C7" w:rsidRPr="00FF06C7">
        <w:rPr>
          <w:rFonts w:cs="Arial"/>
          <w:sz w:val="22"/>
          <w:szCs w:val="22"/>
        </w:rPr>
        <w:t>e dio alcance a la información de recaudo de peajes del mes de diciembre de 2014 de</w:t>
      </w:r>
      <w:r w:rsidR="00E15EF3">
        <w:rPr>
          <w:rFonts w:cs="Arial"/>
          <w:sz w:val="22"/>
          <w:szCs w:val="22"/>
        </w:rPr>
        <w:t>l proyecto Autopista Conexión Pacifico 3, en el sentido, de</w:t>
      </w:r>
      <w:r w:rsidR="00FF06C7" w:rsidRPr="00FF06C7">
        <w:rPr>
          <w:rFonts w:cs="Arial"/>
          <w:sz w:val="22"/>
          <w:szCs w:val="22"/>
        </w:rPr>
        <w:t xml:space="preserve"> </w:t>
      </w:r>
      <w:r w:rsidR="00E15EF3">
        <w:rPr>
          <w:rFonts w:cs="Arial"/>
          <w:sz w:val="22"/>
          <w:szCs w:val="22"/>
        </w:rPr>
        <w:t>que se debía</w:t>
      </w:r>
      <w:r w:rsidR="00FF06C7" w:rsidRPr="00FF06C7">
        <w:rPr>
          <w:rFonts w:cs="Arial"/>
          <w:sz w:val="22"/>
          <w:szCs w:val="22"/>
        </w:rPr>
        <w:t xml:space="preserve"> adicionar la suma de $29,269 miles por ajustes solicitados por la interventoría. </w:t>
      </w:r>
    </w:p>
    <w:p w:rsidR="00E15EF3" w:rsidRPr="00E15EF3" w:rsidRDefault="00E15EF3" w:rsidP="00E15EF3">
      <w:pPr>
        <w:pStyle w:val="Prrafodelista"/>
        <w:rPr>
          <w:rFonts w:cs="Arial"/>
          <w:sz w:val="22"/>
          <w:szCs w:val="22"/>
        </w:rPr>
      </w:pPr>
    </w:p>
    <w:p w:rsidR="004409AB" w:rsidRDefault="004409AB" w:rsidP="00853B3A">
      <w:pPr>
        <w:pStyle w:val="Prrafodelista"/>
        <w:numPr>
          <w:ilvl w:val="0"/>
          <w:numId w:val="8"/>
        </w:numPr>
        <w:jc w:val="both"/>
        <w:rPr>
          <w:rFonts w:cs="Arial"/>
          <w:sz w:val="22"/>
          <w:szCs w:val="22"/>
        </w:rPr>
      </w:pPr>
      <w:r w:rsidRPr="004409AB">
        <w:rPr>
          <w:rFonts w:cs="Arial"/>
          <w:sz w:val="22"/>
          <w:szCs w:val="22"/>
        </w:rPr>
        <w:t>Registro del pago correspondiente a las cuentas por pagar constituidas a diciembre de 2014 por concepto de Gravamen a los Movimientos Financieros (4xMil Presupuestal), por valor de $</w:t>
      </w:r>
      <w:r>
        <w:rPr>
          <w:rFonts w:cs="Arial"/>
          <w:sz w:val="22"/>
          <w:szCs w:val="22"/>
        </w:rPr>
        <w:t>302.801</w:t>
      </w:r>
      <w:r w:rsidRPr="004409AB">
        <w:rPr>
          <w:rFonts w:cs="Arial"/>
          <w:sz w:val="22"/>
          <w:szCs w:val="22"/>
        </w:rPr>
        <w:t xml:space="preserve"> miles.</w:t>
      </w:r>
    </w:p>
    <w:p w:rsidR="00E15EF3" w:rsidRPr="00E15EF3" w:rsidRDefault="00E15EF3" w:rsidP="00E15EF3">
      <w:pPr>
        <w:pStyle w:val="Prrafodelista"/>
        <w:rPr>
          <w:rFonts w:cs="Arial"/>
          <w:sz w:val="22"/>
          <w:szCs w:val="22"/>
        </w:rPr>
      </w:pPr>
    </w:p>
    <w:p w:rsidR="004409AB" w:rsidRDefault="00FF06C7" w:rsidP="00853B3A">
      <w:pPr>
        <w:pStyle w:val="Prrafodelista"/>
        <w:numPr>
          <w:ilvl w:val="0"/>
          <w:numId w:val="8"/>
        </w:numPr>
        <w:jc w:val="both"/>
        <w:rPr>
          <w:rFonts w:cs="Arial"/>
          <w:sz w:val="22"/>
          <w:szCs w:val="22"/>
        </w:rPr>
      </w:pPr>
      <w:r w:rsidRPr="00FF06C7">
        <w:rPr>
          <w:rFonts w:cs="Arial"/>
          <w:sz w:val="22"/>
          <w:szCs w:val="22"/>
        </w:rPr>
        <w:t xml:space="preserve">Ajuste al recaudo de peajes de los meses de noviembre y diciembre de 2014 de acuerdo a certificación emitida por </w:t>
      </w:r>
      <w:r w:rsidR="00E15EF3">
        <w:rPr>
          <w:rFonts w:cs="Arial"/>
          <w:sz w:val="22"/>
          <w:szCs w:val="22"/>
        </w:rPr>
        <w:t>la Fiduciaria sobre los recaudos de peajes</w:t>
      </w:r>
      <w:r w:rsidRPr="00FF06C7">
        <w:rPr>
          <w:rFonts w:cs="Arial"/>
          <w:sz w:val="22"/>
          <w:szCs w:val="22"/>
        </w:rPr>
        <w:t xml:space="preserve"> de la concesió</w:t>
      </w:r>
      <w:r w:rsidR="00E15EF3">
        <w:rPr>
          <w:rFonts w:cs="Arial"/>
          <w:sz w:val="22"/>
          <w:szCs w:val="22"/>
        </w:rPr>
        <w:t>n Autopista Conexión Pacifico 2</w:t>
      </w:r>
      <w:r w:rsidR="004409AB">
        <w:rPr>
          <w:rFonts w:cs="Arial"/>
          <w:sz w:val="22"/>
          <w:szCs w:val="22"/>
        </w:rPr>
        <w:t>, por valor de $187.763 miles</w:t>
      </w:r>
    </w:p>
    <w:p w:rsidR="00E15EF3" w:rsidRPr="00E15EF3" w:rsidRDefault="00E15EF3" w:rsidP="00E15EF3">
      <w:pPr>
        <w:pStyle w:val="Prrafodelista"/>
        <w:rPr>
          <w:rFonts w:cs="Arial"/>
          <w:sz w:val="22"/>
          <w:szCs w:val="22"/>
        </w:rPr>
      </w:pPr>
    </w:p>
    <w:p w:rsidR="007A7C67" w:rsidRPr="00E15EF3" w:rsidRDefault="00FF06C7" w:rsidP="00853B3A">
      <w:pPr>
        <w:pStyle w:val="Prrafodelista"/>
        <w:numPr>
          <w:ilvl w:val="0"/>
          <w:numId w:val="8"/>
        </w:numPr>
        <w:jc w:val="both"/>
        <w:rPr>
          <w:rFonts w:cs="Gisha"/>
          <w:b/>
          <w:bCs/>
          <w:sz w:val="22"/>
          <w:szCs w:val="22"/>
        </w:rPr>
      </w:pPr>
      <w:r w:rsidRPr="00B777FD">
        <w:rPr>
          <w:rFonts w:cs="Arial"/>
          <w:sz w:val="22"/>
          <w:szCs w:val="22"/>
        </w:rPr>
        <w:t>Ajuste a los rendimientos registrados en el mes de</w:t>
      </w:r>
      <w:r w:rsidR="00E15EF3">
        <w:rPr>
          <w:rFonts w:cs="Arial"/>
          <w:sz w:val="22"/>
          <w:szCs w:val="22"/>
        </w:rPr>
        <w:t xml:space="preserve"> noviembre y diciembre de 2014 </w:t>
      </w:r>
      <w:r w:rsidR="00A5548E" w:rsidRPr="00B777FD">
        <w:rPr>
          <w:rFonts w:cs="Arial"/>
          <w:sz w:val="22"/>
          <w:szCs w:val="22"/>
        </w:rPr>
        <w:t>de la Concesión la Pintada, por valor de $3.829 miles.</w:t>
      </w:r>
    </w:p>
    <w:p w:rsidR="00E15EF3" w:rsidRPr="00E15EF3" w:rsidRDefault="00E15EF3" w:rsidP="00E15EF3">
      <w:pPr>
        <w:pStyle w:val="Prrafodelista"/>
        <w:rPr>
          <w:rFonts w:cs="Gisha"/>
          <w:b/>
          <w:bCs/>
          <w:sz w:val="22"/>
          <w:szCs w:val="22"/>
        </w:rPr>
      </w:pPr>
    </w:p>
    <w:p w:rsidR="00B777FD" w:rsidRPr="00E15EF3" w:rsidRDefault="00B777FD" w:rsidP="00853B3A">
      <w:pPr>
        <w:pStyle w:val="Prrafodelista"/>
        <w:numPr>
          <w:ilvl w:val="0"/>
          <w:numId w:val="8"/>
        </w:numPr>
        <w:jc w:val="both"/>
        <w:rPr>
          <w:rFonts w:cs="Gisha"/>
          <w:b/>
          <w:bCs/>
          <w:sz w:val="22"/>
          <w:szCs w:val="22"/>
        </w:rPr>
      </w:pPr>
      <w:r>
        <w:rPr>
          <w:rFonts w:cs="Arial"/>
          <w:sz w:val="22"/>
          <w:szCs w:val="22"/>
        </w:rPr>
        <w:t>Ajuste en gastos de Administración, por r</w:t>
      </w:r>
      <w:r w:rsidRPr="00B777FD">
        <w:rPr>
          <w:rFonts w:cs="Arial"/>
          <w:sz w:val="22"/>
          <w:szCs w:val="22"/>
        </w:rPr>
        <w:t xml:space="preserve">egistro ajuste prima técnica </w:t>
      </w:r>
      <w:r w:rsidR="00E15EF3">
        <w:rPr>
          <w:rFonts w:cs="Arial"/>
          <w:sz w:val="22"/>
          <w:szCs w:val="22"/>
        </w:rPr>
        <w:t>de la fun</w:t>
      </w:r>
      <w:r w:rsidR="007E5157">
        <w:rPr>
          <w:rFonts w:cs="Arial"/>
          <w:sz w:val="22"/>
          <w:szCs w:val="22"/>
        </w:rPr>
        <w:t>c</w:t>
      </w:r>
      <w:r w:rsidR="00E15EF3">
        <w:rPr>
          <w:rFonts w:cs="Arial"/>
          <w:sz w:val="22"/>
          <w:szCs w:val="22"/>
        </w:rPr>
        <w:t xml:space="preserve">ionaria </w:t>
      </w:r>
      <w:r w:rsidRPr="00B777FD">
        <w:rPr>
          <w:rFonts w:cs="Arial"/>
          <w:sz w:val="22"/>
          <w:szCs w:val="22"/>
        </w:rPr>
        <w:t>Maria Carolina Ardila</w:t>
      </w:r>
      <w:r>
        <w:rPr>
          <w:rFonts w:cs="Arial"/>
          <w:sz w:val="22"/>
          <w:szCs w:val="22"/>
        </w:rPr>
        <w:t>, por valor de $5.677 miles.</w:t>
      </w:r>
    </w:p>
    <w:p w:rsidR="00E15EF3" w:rsidRPr="00E15EF3" w:rsidRDefault="00E15EF3" w:rsidP="00E15EF3">
      <w:pPr>
        <w:pStyle w:val="Prrafodelista"/>
        <w:rPr>
          <w:rFonts w:cs="Gisha"/>
          <w:b/>
          <w:bCs/>
          <w:sz w:val="22"/>
          <w:szCs w:val="22"/>
        </w:rPr>
      </w:pPr>
    </w:p>
    <w:p w:rsidR="00B777FD" w:rsidRPr="00E15EF3" w:rsidRDefault="00B777FD" w:rsidP="00853B3A">
      <w:pPr>
        <w:pStyle w:val="Textoindependiente2"/>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cs="Gisha"/>
          <w:sz w:val="22"/>
          <w:szCs w:val="22"/>
        </w:rPr>
      </w:pPr>
      <w:r w:rsidRPr="005401E4">
        <w:rPr>
          <w:rFonts w:ascii="Arial Narrow" w:hAnsi="Arial Narrow" w:cs="Times New Roman"/>
          <w:b w:val="0"/>
          <w:color w:val="auto"/>
          <w:sz w:val="22"/>
          <w:szCs w:val="22"/>
          <w:lang w:val="es-CO"/>
        </w:rPr>
        <w:t xml:space="preserve">Diferencia </w:t>
      </w:r>
      <w:r>
        <w:rPr>
          <w:rFonts w:ascii="Arial Narrow" w:hAnsi="Arial Narrow" w:cs="Times New Roman"/>
          <w:b w:val="0"/>
          <w:color w:val="auto"/>
          <w:sz w:val="22"/>
          <w:szCs w:val="22"/>
          <w:lang w:val="es-CO"/>
        </w:rPr>
        <w:t>en</w:t>
      </w:r>
      <w:r w:rsidRPr="005401E4">
        <w:rPr>
          <w:rFonts w:ascii="Arial Narrow" w:hAnsi="Arial Narrow" w:cs="Times New Roman"/>
          <w:b w:val="0"/>
          <w:color w:val="auto"/>
          <w:sz w:val="22"/>
          <w:szCs w:val="22"/>
          <w:lang w:val="es-CO"/>
        </w:rPr>
        <w:t xml:space="preserve"> el valor reportado inicialmente </w:t>
      </w:r>
      <w:r>
        <w:rPr>
          <w:rFonts w:ascii="Arial Narrow" w:hAnsi="Arial Narrow" w:cs="Times New Roman"/>
          <w:b w:val="0"/>
          <w:color w:val="auto"/>
          <w:sz w:val="22"/>
          <w:szCs w:val="22"/>
          <w:lang w:val="es-CO"/>
        </w:rPr>
        <w:t xml:space="preserve">en los formatos </w:t>
      </w:r>
      <w:r w:rsidRPr="005401E4">
        <w:rPr>
          <w:rFonts w:ascii="Arial Narrow" w:hAnsi="Arial Narrow" w:cs="Times New Roman"/>
          <w:b w:val="0"/>
          <w:color w:val="auto"/>
          <w:sz w:val="22"/>
          <w:szCs w:val="22"/>
          <w:lang w:val="es-CO"/>
        </w:rPr>
        <w:t xml:space="preserve">de peajes </w:t>
      </w:r>
      <w:r>
        <w:rPr>
          <w:rFonts w:ascii="Arial Narrow" w:hAnsi="Arial Narrow" w:cs="Times New Roman"/>
          <w:b w:val="0"/>
          <w:color w:val="auto"/>
          <w:sz w:val="22"/>
          <w:szCs w:val="22"/>
          <w:lang w:val="es-CO"/>
        </w:rPr>
        <w:t xml:space="preserve">de </w:t>
      </w:r>
      <w:r w:rsidRPr="005401E4">
        <w:rPr>
          <w:rFonts w:ascii="Arial Narrow" w:hAnsi="Arial Narrow" w:cs="Times New Roman"/>
          <w:b w:val="0"/>
          <w:color w:val="auto"/>
          <w:sz w:val="22"/>
          <w:szCs w:val="22"/>
          <w:lang w:val="es-CO"/>
        </w:rPr>
        <w:t>diciembre 2014</w:t>
      </w:r>
      <w:r>
        <w:rPr>
          <w:rFonts w:ascii="Arial Narrow" w:hAnsi="Arial Narrow" w:cs="Times New Roman"/>
          <w:b w:val="0"/>
          <w:color w:val="auto"/>
          <w:sz w:val="22"/>
          <w:szCs w:val="22"/>
          <w:lang w:val="es-CO"/>
        </w:rPr>
        <w:t xml:space="preserve"> por la</w:t>
      </w:r>
      <w:r w:rsidRPr="005401E4">
        <w:rPr>
          <w:rFonts w:ascii="Arial Narrow" w:hAnsi="Arial Narrow" w:cs="Times New Roman"/>
          <w:b w:val="0"/>
          <w:color w:val="auto"/>
          <w:sz w:val="22"/>
          <w:szCs w:val="22"/>
          <w:lang w:val="es-CO"/>
        </w:rPr>
        <w:t xml:space="preserve"> concesión Desarrollo Vial del Norte de Bogotá, por valor de $311.460 miles</w:t>
      </w:r>
      <w:r w:rsidR="00E15EF3">
        <w:rPr>
          <w:rFonts w:ascii="Arial Narrow" w:hAnsi="Arial Narrow" w:cs="Times New Roman"/>
          <w:b w:val="0"/>
          <w:color w:val="auto"/>
          <w:sz w:val="22"/>
          <w:szCs w:val="22"/>
          <w:lang w:val="es-CO"/>
        </w:rPr>
        <w:t>.</w:t>
      </w:r>
    </w:p>
    <w:p w:rsidR="00E15EF3" w:rsidRDefault="00E15EF3" w:rsidP="00E15EF3">
      <w:pPr>
        <w:pStyle w:val="Prrafodelista"/>
        <w:rPr>
          <w:rFonts w:cs="Gisha"/>
          <w:sz w:val="22"/>
          <w:szCs w:val="22"/>
        </w:rPr>
      </w:pPr>
    </w:p>
    <w:p w:rsidR="00B777FD" w:rsidRDefault="00B777FD" w:rsidP="00853B3A">
      <w:pPr>
        <w:pStyle w:val="Textoindependiente2"/>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Times New Roman"/>
          <w:b w:val="0"/>
          <w:color w:val="auto"/>
          <w:sz w:val="22"/>
          <w:szCs w:val="22"/>
          <w:lang w:val="es-CO"/>
        </w:rPr>
      </w:pPr>
      <w:r>
        <w:rPr>
          <w:rFonts w:ascii="Arial Narrow" w:hAnsi="Arial Narrow" w:cs="Times New Roman"/>
          <w:b w:val="0"/>
          <w:color w:val="auto"/>
          <w:sz w:val="22"/>
          <w:szCs w:val="22"/>
          <w:lang w:val="es-CO"/>
        </w:rPr>
        <w:t xml:space="preserve">Inclusión de un mayor valor en los fondos FOSEVI en la certificación expedida por la fiduciaria de la concesión Armenia – Pereira – </w:t>
      </w:r>
      <w:r w:rsidR="005957D4">
        <w:rPr>
          <w:rFonts w:ascii="Arial Narrow" w:hAnsi="Arial Narrow" w:cs="Times New Roman"/>
          <w:b w:val="0"/>
          <w:color w:val="auto"/>
          <w:sz w:val="22"/>
          <w:szCs w:val="22"/>
          <w:lang w:val="es-CO"/>
        </w:rPr>
        <w:t xml:space="preserve">Manizales </w:t>
      </w:r>
      <w:r>
        <w:rPr>
          <w:rFonts w:ascii="Arial Narrow" w:hAnsi="Arial Narrow" w:cs="Times New Roman"/>
          <w:b w:val="0"/>
          <w:color w:val="auto"/>
          <w:sz w:val="22"/>
          <w:szCs w:val="22"/>
          <w:lang w:val="es-CO"/>
        </w:rPr>
        <w:t xml:space="preserve"> en el mes de octubre de 2014 </w:t>
      </w:r>
      <w:r w:rsidRPr="00DF3B81">
        <w:rPr>
          <w:rFonts w:ascii="Arial Narrow" w:hAnsi="Arial Narrow" w:cs="Times New Roman"/>
          <w:b w:val="0"/>
          <w:color w:val="auto"/>
          <w:sz w:val="22"/>
          <w:szCs w:val="22"/>
          <w:lang w:val="es-CO"/>
        </w:rPr>
        <w:t>por valor de $102.623 miles</w:t>
      </w:r>
      <w:r>
        <w:rPr>
          <w:rFonts w:ascii="Arial Narrow" w:hAnsi="Arial Narrow" w:cs="Times New Roman"/>
          <w:b w:val="0"/>
          <w:color w:val="auto"/>
          <w:sz w:val="22"/>
          <w:szCs w:val="22"/>
          <w:lang w:val="es-CO"/>
        </w:rPr>
        <w:t>.  Este valor fue ajustado por el concesionario</w:t>
      </w:r>
      <w:r w:rsidRPr="00DF3B81">
        <w:rPr>
          <w:rFonts w:ascii="Arial Narrow" w:hAnsi="Arial Narrow" w:cs="Times New Roman"/>
          <w:b w:val="0"/>
          <w:color w:val="auto"/>
          <w:sz w:val="22"/>
          <w:szCs w:val="22"/>
          <w:lang w:val="es-CO"/>
        </w:rPr>
        <w:t xml:space="preserve"> en los formatos de recaudo de peajes reportados en el año 2015</w:t>
      </w:r>
      <w:r>
        <w:rPr>
          <w:rFonts w:ascii="Arial Narrow" w:hAnsi="Arial Narrow" w:cs="Times New Roman"/>
          <w:b w:val="0"/>
          <w:color w:val="auto"/>
          <w:sz w:val="22"/>
          <w:szCs w:val="22"/>
          <w:lang w:val="es-CO"/>
        </w:rPr>
        <w:t>.</w:t>
      </w:r>
    </w:p>
    <w:p w:rsidR="00E15EF3" w:rsidRDefault="00E15EF3" w:rsidP="00E15EF3">
      <w:pPr>
        <w:pStyle w:val="Prrafodelista"/>
        <w:rPr>
          <w:b/>
          <w:sz w:val="22"/>
          <w:szCs w:val="22"/>
        </w:rPr>
      </w:pPr>
    </w:p>
    <w:p w:rsidR="005957D4" w:rsidRPr="00A04C54" w:rsidRDefault="005957D4" w:rsidP="00853B3A">
      <w:pPr>
        <w:pStyle w:val="Prrafodelista"/>
        <w:numPr>
          <w:ilvl w:val="0"/>
          <w:numId w:val="8"/>
        </w:numPr>
        <w:jc w:val="both"/>
        <w:rPr>
          <w:bCs/>
          <w:sz w:val="22"/>
          <w:szCs w:val="22"/>
        </w:rPr>
      </w:pPr>
      <w:r w:rsidRPr="00A04C54">
        <w:rPr>
          <w:bCs/>
          <w:sz w:val="22"/>
          <w:szCs w:val="22"/>
        </w:rPr>
        <w:t xml:space="preserve">Se retiró de la contabilidad, la cartera pendiente  por recaudo por los contratos de arrendamientos y uso de vías para el periodo 2007 y 2008 de FENOCO, de acuerdo a lo acordado en el Acta No. 024 del Comité Técnico de Sostenibilidad del Sistema de Contabilidad Pública, por valor de $13.270 miles, teniendo en cuenta que el comité de conciliación de la Agencia determinó que: </w:t>
      </w:r>
      <w:r w:rsidRPr="00A04C54">
        <w:rPr>
          <w:bCs/>
          <w:i/>
          <w:sz w:val="22"/>
          <w:szCs w:val="22"/>
        </w:rPr>
        <w:t>“Analizada la situación y de manera unánime encuentra ajustada la posición de IMPROCEDENCIA DEL INICIO DE ACCION CAMBIARIA Y/ O PROCESO EJECUTIVO  por parte de la AGENCIA NACIONAL DE INFRAESTRUCTURA  contra FENOCO y/o CENTRAL DE INVERSIONES CISA</w:t>
      </w:r>
      <w:r w:rsidRPr="00A04C54">
        <w:rPr>
          <w:bCs/>
          <w:sz w:val="22"/>
          <w:szCs w:val="22"/>
        </w:rPr>
        <w:t>.</w:t>
      </w:r>
      <w:r>
        <w:rPr>
          <w:bCs/>
          <w:sz w:val="22"/>
          <w:szCs w:val="22"/>
        </w:rPr>
        <w:t>”</w:t>
      </w:r>
      <w:r w:rsidRPr="00A04C54">
        <w:rPr>
          <w:bCs/>
          <w:sz w:val="22"/>
          <w:szCs w:val="22"/>
        </w:rPr>
        <w:t xml:space="preserve">  </w:t>
      </w:r>
    </w:p>
    <w:p w:rsidR="006E5BFF" w:rsidRDefault="006E5BFF" w:rsidP="005957D4">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360"/>
        <w:jc w:val="left"/>
        <w:rPr>
          <w:rFonts w:ascii="Arial Narrow" w:hAnsi="Arial Narrow" w:cs="Gisha"/>
          <w:color w:val="auto"/>
          <w:sz w:val="22"/>
          <w:szCs w:val="22"/>
          <w:lang w:val="es-ES"/>
        </w:rPr>
      </w:pPr>
    </w:p>
    <w:p w:rsidR="006E5BFF" w:rsidRPr="005B2A57" w:rsidRDefault="006E5BFF" w:rsidP="006E5BFF">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left"/>
        <w:rPr>
          <w:rFonts w:ascii="Arial Narrow" w:hAnsi="Arial Narrow" w:cs="Gisha"/>
          <w:b w:val="0"/>
          <w:color w:val="auto"/>
          <w:sz w:val="22"/>
          <w:szCs w:val="22"/>
          <w:lang w:val="es-ES"/>
        </w:rPr>
      </w:pPr>
      <w:r w:rsidRPr="005B2A57">
        <w:rPr>
          <w:rFonts w:ascii="Arial Narrow" w:hAnsi="Arial Narrow" w:cs="Gisha"/>
          <w:color w:val="auto"/>
          <w:sz w:val="22"/>
          <w:szCs w:val="22"/>
          <w:lang w:val="es-ES"/>
        </w:rPr>
        <w:t>POR CONCILIACION DE CIFRAS, RECLASIFICACION DE</w:t>
      </w:r>
      <w:r>
        <w:rPr>
          <w:rFonts w:ascii="Arial Narrow" w:hAnsi="Arial Narrow" w:cs="Gisha"/>
          <w:color w:val="auto"/>
          <w:sz w:val="22"/>
          <w:szCs w:val="22"/>
          <w:lang w:val="es-ES"/>
        </w:rPr>
        <w:t xml:space="preserve"> </w:t>
      </w:r>
      <w:r w:rsidRPr="005B2A57">
        <w:rPr>
          <w:rFonts w:ascii="Arial Narrow" w:hAnsi="Arial Narrow" w:cs="Gisha"/>
          <w:color w:val="auto"/>
          <w:sz w:val="22"/>
          <w:szCs w:val="22"/>
          <w:lang w:val="es-ES"/>
        </w:rPr>
        <w:t>CUENTAS Y AJUSTES:</w:t>
      </w:r>
    </w:p>
    <w:p w:rsidR="006E5BFF" w:rsidRPr="005B2A57" w:rsidRDefault="006E5BFF" w:rsidP="006E5BFF">
      <w:pPr>
        <w:rPr>
          <w:rFonts w:ascii="Arial Narrow" w:hAnsi="Arial Narrow" w:cs="Gisha"/>
          <w:b/>
          <w:bCs/>
          <w:sz w:val="22"/>
          <w:szCs w:val="22"/>
        </w:rPr>
      </w:pPr>
    </w:p>
    <w:p w:rsidR="006E5BFF" w:rsidRPr="005B2A57" w:rsidRDefault="006E5BFF" w:rsidP="006E5BFF">
      <w:pPr>
        <w:jc w:val="both"/>
        <w:rPr>
          <w:rFonts w:ascii="Arial Narrow" w:hAnsi="Arial Narrow" w:cs="Gisha"/>
          <w:bCs/>
          <w:sz w:val="22"/>
          <w:szCs w:val="22"/>
        </w:rPr>
      </w:pPr>
      <w:r>
        <w:rPr>
          <w:rFonts w:ascii="Arial Narrow" w:hAnsi="Arial Narrow" w:cs="Gisha"/>
          <w:bCs/>
          <w:sz w:val="22"/>
          <w:szCs w:val="22"/>
        </w:rPr>
        <w:t>Se reclasificaron las cifras</w:t>
      </w:r>
      <w:r w:rsidRPr="005B2A57">
        <w:rPr>
          <w:rFonts w:ascii="Arial Narrow" w:hAnsi="Arial Narrow" w:cs="Gisha"/>
          <w:bCs/>
          <w:sz w:val="22"/>
          <w:szCs w:val="22"/>
        </w:rPr>
        <w:t xml:space="preserve"> </w:t>
      </w:r>
      <w:r w:rsidR="00E7118E">
        <w:rPr>
          <w:rFonts w:ascii="Arial Narrow" w:hAnsi="Arial Narrow" w:cs="Gisha"/>
          <w:bCs/>
          <w:sz w:val="22"/>
          <w:szCs w:val="22"/>
        </w:rPr>
        <w:t>con ocasión</w:t>
      </w:r>
      <w:r>
        <w:rPr>
          <w:rFonts w:ascii="Arial Narrow" w:hAnsi="Arial Narrow" w:cs="Gisha"/>
          <w:bCs/>
          <w:sz w:val="22"/>
          <w:szCs w:val="22"/>
        </w:rPr>
        <w:t xml:space="preserve"> de la valorización d</w:t>
      </w:r>
      <w:r w:rsidRPr="005B2A57">
        <w:rPr>
          <w:rFonts w:ascii="Arial Narrow" w:hAnsi="Arial Narrow" w:cs="Gisha"/>
          <w:bCs/>
          <w:sz w:val="22"/>
          <w:szCs w:val="22"/>
        </w:rPr>
        <w:t>el riesgo en</w:t>
      </w:r>
      <w:r w:rsidR="00E7118E">
        <w:rPr>
          <w:rFonts w:ascii="Arial Narrow" w:hAnsi="Arial Narrow" w:cs="Gisha"/>
          <w:bCs/>
          <w:sz w:val="22"/>
          <w:szCs w:val="22"/>
        </w:rPr>
        <w:t xml:space="preserve"> los procesos, litigios y  tribunales de arbitramento, en los que es sujeto procesal la Agencia, </w:t>
      </w:r>
      <w:r w:rsidRPr="005B2A57">
        <w:rPr>
          <w:rFonts w:ascii="Arial Narrow" w:hAnsi="Arial Narrow" w:cs="Gisha"/>
          <w:bCs/>
          <w:sz w:val="22"/>
          <w:szCs w:val="22"/>
        </w:rPr>
        <w:t xml:space="preserve">según informe </w:t>
      </w:r>
      <w:r>
        <w:rPr>
          <w:rFonts w:ascii="Arial Narrow" w:hAnsi="Arial Narrow" w:cs="Gisha"/>
          <w:bCs/>
          <w:sz w:val="22"/>
          <w:szCs w:val="22"/>
        </w:rPr>
        <w:t xml:space="preserve">rendido por </w:t>
      </w:r>
      <w:r w:rsidRPr="005B2A57">
        <w:rPr>
          <w:rFonts w:ascii="Arial Narrow" w:hAnsi="Arial Narrow" w:cs="Gisha"/>
          <w:bCs/>
          <w:sz w:val="22"/>
          <w:szCs w:val="22"/>
        </w:rPr>
        <w:t xml:space="preserve">el Grupo Interno de Trabajo </w:t>
      </w:r>
      <w:r>
        <w:rPr>
          <w:rFonts w:ascii="Arial Narrow" w:hAnsi="Arial Narrow" w:cs="Gisha"/>
          <w:bCs/>
          <w:sz w:val="22"/>
          <w:szCs w:val="22"/>
        </w:rPr>
        <w:t xml:space="preserve">de Defensa </w:t>
      </w:r>
      <w:r w:rsidRPr="005B2A57">
        <w:rPr>
          <w:rFonts w:ascii="Arial Narrow" w:hAnsi="Arial Narrow" w:cs="Gisha"/>
          <w:bCs/>
          <w:sz w:val="22"/>
          <w:szCs w:val="22"/>
        </w:rPr>
        <w:t>J</w:t>
      </w:r>
      <w:r>
        <w:rPr>
          <w:rFonts w:ascii="Arial Narrow" w:hAnsi="Arial Narrow" w:cs="Gisha"/>
          <w:bCs/>
          <w:sz w:val="22"/>
          <w:szCs w:val="22"/>
        </w:rPr>
        <w:t>udicial de la Vicepresidencia Jurídica</w:t>
      </w:r>
      <w:r w:rsidRPr="005B2A57">
        <w:rPr>
          <w:rFonts w:ascii="Arial Narrow" w:hAnsi="Arial Narrow" w:cs="Gisha"/>
          <w:bCs/>
          <w:sz w:val="22"/>
          <w:szCs w:val="22"/>
        </w:rPr>
        <w:t>.</w:t>
      </w:r>
    </w:p>
    <w:p w:rsidR="006E5BFF" w:rsidRPr="005B2A57" w:rsidRDefault="006E5BFF" w:rsidP="006E5BFF">
      <w:pPr>
        <w:jc w:val="both"/>
        <w:rPr>
          <w:rFonts w:ascii="Arial Narrow" w:hAnsi="Arial Narrow" w:cs="Gisha"/>
          <w:bCs/>
          <w:sz w:val="22"/>
          <w:szCs w:val="22"/>
        </w:rPr>
      </w:pPr>
    </w:p>
    <w:p w:rsidR="006E5BFF" w:rsidRPr="00BC0A96" w:rsidRDefault="006E5BFF" w:rsidP="006E5BFF">
      <w:pPr>
        <w:jc w:val="both"/>
        <w:rPr>
          <w:rFonts w:ascii="Arial Narrow" w:hAnsi="Arial Narrow" w:cs="Gisha"/>
          <w:sz w:val="22"/>
          <w:szCs w:val="22"/>
        </w:rPr>
      </w:pPr>
      <w:r w:rsidRPr="00BC0A96">
        <w:rPr>
          <w:rFonts w:ascii="Arial Narrow" w:hAnsi="Arial Narrow" w:cs="Gisha"/>
          <w:sz w:val="22"/>
          <w:szCs w:val="22"/>
        </w:rPr>
        <w:t>Se hizo nece</w:t>
      </w:r>
      <w:r>
        <w:rPr>
          <w:rFonts w:ascii="Arial Narrow" w:hAnsi="Arial Narrow" w:cs="Gisha"/>
          <w:sz w:val="22"/>
          <w:szCs w:val="22"/>
        </w:rPr>
        <w:t>s</w:t>
      </w:r>
      <w:r w:rsidR="00E7118E">
        <w:rPr>
          <w:rFonts w:ascii="Arial Narrow" w:hAnsi="Arial Narrow" w:cs="Gisha"/>
          <w:sz w:val="22"/>
          <w:szCs w:val="22"/>
        </w:rPr>
        <w:t>ario</w:t>
      </w:r>
      <w:r>
        <w:rPr>
          <w:rFonts w:ascii="Arial Narrow" w:hAnsi="Arial Narrow" w:cs="Gisha"/>
          <w:sz w:val="22"/>
          <w:szCs w:val="22"/>
        </w:rPr>
        <w:t xml:space="preserve"> </w:t>
      </w:r>
      <w:r w:rsidR="00E7118E">
        <w:rPr>
          <w:rFonts w:ascii="Arial Narrow" w:hAnsi="Arial Narrow" w:cs="Gisha"/>
          <w:sz w:val="22"/>
          <w:szCs w:val="22"/>
        </w:rPr>
        <w:t>reclasificar</w:t>
      </w:r>
      <w:r>
        <w:rPr>
          <w:rFonts w:ascii="Arial Narrow" w:hAnsi="Arial Narrow" w:cs="Gisha"/>
          <w:sz w:val="22"/>
          <w:szCs w:val="22"/>
        </w:rPr>
        <w:t xml:space="preserve"> </w:t>
      </w:r>
      <w:r w:rsidRPr="00BC0A96">
        <w:rPr>
          <w:rFonts w:ascii="Arial Narrow" w:hAnsi="Arial Narrow" w:cs="Gisha"/>
          <w:sz w:val="22"/>
          <w:szCs w:val="22"/>
        </w:rPr>
        <w:t>diferentes cuentas y terceros en el aplicativo SIIF Nación II, debido a que las matrices contables parametrizadas por la Contaduría General de la Nación, para obligaciones e ingresos</w:t>
      </w:r>
      <w:r>
        <w:rPr>
          <w:rFonts w:ascii="Arial Narrow" w:hAnsi="Arial Narrow" w:cs="Gisha"/>
          <w:sz w:val="22"/>
          <w:szCs w:val="22"/>
        </w:rPr>
        <w:t xml:space="preserve"> no corresponden</w:t>
      </w:r>
      <w:r w:rsidR="00E7118E">
        <w:rPr>
          <w:rFonts w:ascii="Arial Narrow" w:hAnsi="Arial Narrow" w:cs="Gisha"/>
          <w:sz w:val="22"/>
          <w:szCs w:val="22"/>
        </w:rPr>
        <w:t>,</w:t>
      </w:r>
      <w:r>
        <w:rPr>
          <w:rFonts w:ascii="Arial Narrow" w:hAnsi="Arial Narrow" w:cs="Gisha"/>
          <w:sz w:val="22"/>
          <w:szCs w:val="22"/>
        </w:rPr>
        <w:t xml:space="preserve"> en algunos casos</w:t>
      </w:r>
      <w:r w:rsidR="00E7118E">
        <w:rPr>
          <w:rFonts w:ascii="Arial Narrow" w:hAnsi="Arial Narrow" w:cs="Gisha"/>
          <w:sz w:val="22"/>
          <w:szCs w:val="22"/>
        </w:rPr>
        <w:t>,</w:t>
      </w:r>
      <w:r>
        <w:rPr>
          <w:rFonts w:ascii="Arial Narrow" w:hAnsi="Arial Narrow" w:cs="Gisha"/>
          <w:sz w:val="22"/>
          <w:szCs w:val="22"/>
        </w:rPr>
        <w:t xml:space="preserve"> a</w:t>
      </w:r>
      <w:r w:rsidRPr="00BC0A96">
        <w:rPr>
          <w:rFonts w:ascii="Arial Narrow" w:hAnsi="Arial Narrow" w:cs="Gisha"/>
          <w:sz w:val="22"/>
          <w:szCs w:val="22"/>
        </w:rPr>
        <w:t xml:space="preserve"> </w:t>
      </w:r>
      <w:r>
        <w:rPr>
          <w:rFonts w:ascii="Arial Narrow" w:hAnsi="Arial Narrow" w:cs="Gisha"/>
          <w:sz w:val="22"/>
          <w:szCs w:val="22"/>
        </w:rPr>
        <w:t xml:space="preserve">los </w:t>
      </w:r>
      <w:r w:rsidRPr="00BC0A96">
        <w:rPr>
          <w:rFonts w:ascii="Arial Narrow" w:hAnsi="Arial Narrow" w:cs="Gisha"/>
          <w:sz w:val="22"/>
          <w:szCs w:val="22"/>
        </w:rPr>
        <w:t>hecho</w:t>
      </w:r>
      <w:r>
        <w:rPr>
          <w:rFonts w:ascii="Arial Narrow" w:hAnsi="Arial Narrow" w:cs="Gisha"/>
          <w:sz w:val="22"/>
          <w:szCs w:val="22"/>
        </w:rPr>
        <w:t>s</w:t>
      </w:r>
      <w:r w:rsidRPr="00BC0A96">
        <w:rPr>
          <w:rFonts w:ascii="Arial Narrow" w:hAnsi="Arial Narrow" w:cs="Gisha"/>
          <w:sz w:val="22"/>
          <w:szCs w:val="22"/>
        </w:rPr>
        <w:t xml:space="preserve"> </w:t>
      </w:r>
      <w:r w:rsidRPr="00182B03">
        <w:rPr>
          <w:rFonts w:ascii="Arial Narrow" w:hAnsi="Arial Narrow" w:cs="Gisha"/>
          <w:color w:val="000000" w:themeColor="text1"/>
          <w:sz w:val="22"/>
          <w:szCs w:val="22"/>
        </w:rPr>
        <w:t>económicos financieros</w:t>
      </w:r>
      <w:r w:rsidRPr="00FC4F75">
        <w:rPr>
          <w:rFonts w:ascii="Arial Narrow" w:hAnsi="Arial Narrow" w:cs="Gisha"/>
          <w:sz w:val="22"/>
          <w:szCs w:val="22"/>
        </w:rPr>
        <w:t>,</w:t>
      </w:r>
      <w:r w:rsidRPr="005B63C1">
        <w:rPr>
          <w:rFonts w:ascii="Arial Narrow" w:hAnsi="Arial Narrow" w:cs="Gisha"/>
          <w:color w:val="FF0000"/>
          <w:sz w:val="22"/>
          <w:szCs w:val="22"/>
        </w:rPr>
        <w:t xml:space="preserve"> </w:t>
      </w:r>
      <w:r>
        <w:rPr>
          <w:rFonts w:ascii="Arial Narrow" w:hAnsi="Arial Narrow" w:cs="Gisha"/>
          <w:sz w:val="22"/>
          <w:szCs w:val="22"/>
        </w:rPr>
        <w:t xml:space="preserve">y se requiere </w:t>
      </w:r>
      <w:r w:rsidRPr="00182B03">
        <w:rPr>
          <w:rFonts w:ascii="Arial Narrow" w:hAnsi="Arial Narrow" w:cs="Gisha"/>
          <w:color w:val="000000" w:themeColor="text1"/>
          <w:sz w:val="22"/>
          <w:szCs w:val="22"/>
        </w:rPr>
        <w:t xml:space="preserve">su reclasificación </w:t>
      </w:r>
      <w:r>
        <w:rPr>
          <w:rFonts w:ascii="Arial Narrow" w:hAnsi="Arial Narrow" w:cs="Gisha"/>
          <w:sz w:val="22"/>
          <w:szCs w:val="22"/>
        </w:rPr>
        <w:t xml:space="preserve">para </w:t>
      </w:r>
      <w:r w:rsidR="00E7118E">
        <w:rPr>
          <w:rFonts w:ascii="Arial Narrow" w:hAnsi="Arial Narrow" w:cs="Gisha"/>
          <w:sz w:val="22"/>
          <w:szCs w:val="22"/>
        </w:rPr>
        <w:t xml:space="preserve">así </w:t>
      </w:r>
      <w:r>
        <w:rPr>
          <w:rFonts w:ascii="Arial Narrow" w:hAnsi="Arial Narrow" w:cs="Gisha"/>
          <w:sz w:val="22"/>
          <w:szCs w:val="22"/>
        </w:rPr>
        <w:t xml:space="preserve">cumplir con </w:t>
      </w:r>
      <w:r w:rsidRPr="00076B6D">
        <w:rPr>
          <w:rFonts w:ascii="Arial Narrow" w:hAnsi="Arial Narrow" w:cs="Gisha"/>
          <w:bCs/>
          <w:sz w:val="22"/>
          <w:szCs w:val="22"/>
        </w:rPr>
        <w:t>la aplicación de las normas contables y conceptos emitidos por la Contaduría General de la Nación</w:t>
      </w:r>
      <w:r w:rsidR="00E7118E">
        <w:rPr>
          <w:rFonts w:ascii="Arial Narrow" w:hAnsi="Arial Narrow" w:cs="Gisha"/>
          <w:sz w:val="22"/>
          <w:szCs w:val="22"/>
        </w:rPr>
        <w:t>, sobre el particular.</w:t>
      </w:r>
    </w:p>
    <w:p w:rsidR="006E5BFF" w:rsidRDefault="006E5BFF" w:rsidP="006E5BFF">
      <w:pPr>
        <w:jc w:val="both"/>
        <w:rPr>
          <w:rFonts w:ascii="Arial Narrow" w:hAnsi="Arial Narrow" w:cs="Gisha"/>
          <w:bCs/>
          <w:sz w:val="22"/>
          <w:szCs w:val="22"/>
        </w:rPr>
      </w:pPr>
    </w:p>
    <w:p w:rsidR="006E5BFF" w:rsidRPr="00E65047" w:rsidRDefault="006E5BFF" w:rsidP="006E5BFF">
      <w:pPr>
        <w:jc w:val="both"/>
        <w:rPr>
          <w:rFonts w:ascii="Arial Narrow" w:hAnsi="Arial Narrow" w:cs="Gisha"/>
          <w:bCs/>
          <w:sz w:val="22"/>
          <w:szCs w:val="22"/>
        </w:rPr>
      </w:pPr>
      <w:r w:rsidRPr="00E65047">
        <w:rPr>
          <w:rFonts w:ascii="Arial Narrow" w:hAnsi="Arial Narrow" w:cs="Gisha"/>
          <w:bCs/>
          <w:sz w:val="22"/>
          <w:szCs w:val="22"/>
        </w:rPr>
        <w:t>Igualmente, los ajustes de ejercicios anteriores que se</w:t>
      </w:r>
      <w:r>
        <w:rPr>
          <w:rFonts w:ascii="Arial Narrow" w:hAnsi="Arial Narrow" w:cs="Gisha"/>
          <w:bCs/>
          <w:sz w:val="22"/>
          <w:szCs w:val="22"/>
        </w:rPr>
        <w:t xml:space="preserve"> detallaron en el titulo</w:t>
      </w:r>
      <w:r w:rsidRPr="00E65047">
        <w:rPr>
          <w:rFonts w:ascii="Arial Narrow" w:hAnsi="Arial Narrow" w:cs="Gisha"/>
          <w:bCs/>
          <w:sz w:val="22"/>
          <w:szCs w:val="22"/>
        </w:rPr>
        <w:t xml:space="preserve"> anterior, </w:t>
      </w:r>
      <w:r>
        <w:rPr>
          <w:rFonts w:ascii="Arial Narrow" w:hAnsi="Arial Narrow" w:cs="Gisha"/>
          <w:bCs/>
          <w:sz w:val="22"/>
          <w:szCs w:val="22"/>
        </w:rPr>
        <w:t xml:space="preserve">el rubro más representativo corresponde específicamente a la  depuración y </w:t>
      </w:r>
      <w:r w:rsidR="004B5070">
        <w:rPr>
          <w:rFonts w:ascii="Arial Narrow" w:hAnsi="Arial Narrow" w:cs="Gisha"/>
          <w:bCs/>
          <w:sz w:val="22"/>
          <w:szCs w:val="22"/>
        </w:rPr>
        <w:t>conciliación</w:t>
      </w:r>
      <w:r>
        <w:rPr>
          <w:rFonts w:ascii="Arial Narrow" w:hAnsi="Arial Narrow" w:cs="Gisha"/>
          <w:bCs/>
          <w:sz w:val="22"/>
          <w:szCs w:val="22"/>
        </w:rPr>
        <w:t xml:space="preserve"> realizad</w:t>
      </w:r>
      <w:r w:rsidR="004B5070">
        <w:rPr>
          <w:rFonts w:ascii="Arial Narrow" w:hAnsi="Arial Narrow" w:cs="Gisha"/>
          <w:bCs/>
          <w:sz w:val="22"/>
          <w:szCs w:val="22"/>
        </w:rPr>
        <w:t>a</w:t>
      </w:r>
      <w:r>
        <w:rPr>
          <w:rFonts w:ascii="Arial Narrow" w:hAnsi="Arial Narrow" w:cs="Gisha"/>
          <w:bCs/>
          <w:sz w:val="22"/>
          <w:szCs w:val="22"/>
        </w:rPr>
        <w:t xml:space="preserve"> con los concesionarios</w:t>
      </w:r>
      <w:r w:rsidR="004B5070">
        <w:rPr>
          <w:rFonts w:ascii="Arial Narrow" w:hAnsi="Arial Narrow" w:cs="Gisha"/>
          <w:bCs/>
          <w:sz w:val="22"/>
          <w:szCs w:val="22"/>
        </w:rPr>
        <w:t xml:space="preserve"> y los patrimonios autónomos</w:t>
      </w:r>
      <w:r>
        <w:rPr>
          <w:rFonts w:ascii="Arial Narrow" w:hAnsi="Arial Narrow" w:cs="Gisha"/>
          <w:bCs/>
          <w:sz w:val="22"/>
          <w:szCs w:val="22"/>
        </w:rPr>
        <w:t xml:space="preserve">. </w:t>
      </w:r>
    </w:p>
    <w:p w:rsidR="006E5BFF" w:rsidRPr="005B2A57" w:rsidRDefault="006E5BFF" w:rsidP="006E5BFF">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6E5BFF" w:rsidRPr="007B1978" w:rsidRDefault="006E5BFF" w:rsidP="006E5BFF">
      <w:pPr>
        <w:rPr>
          <w:rFonts w:ascii="Arial Narrow" w:hAnsi="Arial Narrow" w:cs="Gisha"/>
          <w:b/>
          <w:bCs/>
          <w:sz w:val="22"/>
          <w:szCs w:val="22"/>
        </w:rPr>
      </w:pPr>
      <w:r w:rsidRPr="007B1978">
        <w:rPr>
          <w:rFonts w:ascii="Arial Narrow" w:hAnsi="Arial Narrow" w:cs="Gisha"/>
          <w:b/>
          <w:bCs/>
          <w:sz w:val="22"/>
          <w:szCs w:val="22"/>
        </w:rPr>
        <w:lastRenderedPageBreak/>
        <w:t>NOTAS DE CARACTER ESPECÍFICO</w:t>
      </w:r>
    </w:p>
    <w:p w:rsidR="006E5BFF" w:rsidRDefault="006E5BFF" w:rsidP="006E5BFF">
      <w:pPr>
        <w:jc w:val="both"/>
        <w:rPr>
          <w:rFonts w:ascii="Arial Narrow" w:hAnsi="Arial Narrow" w:cs="Gisha"/>
          <w:b/>
          <w:bCs/>
          <w:sz w:val="22"/>
          <w:szCs w:val="22"/>
        </w:rPr>
      </w:pPr>
    </w:p>
    <w:p w:rsidR="006E5BFF" w:rsidRPr="005B2A57" w:rsidRDefault="006E5BFF" w:rsidP="006E5BFF">
      <w:pPr>
        <w:jc w:val="both"/>
        <w:rPr>
          <w:rFonts w:ascii="Arial Narrow" w:hAnsi="Arial Narrow" w:cs="Gisha"/>
          <w:b/>
          <w:bCs/>
          <w:sz w:val="22"/>
          <w:szCs w:val="22"/>
        </w:rPr>
      </w:pPr>
      <w:r w:rsidRPr="005B2A57">
        <w:rPr>
          <w:rFonts w:ascii="Arial Narrow" w:hAnsi="Arial Narrow" w:cs="Gisha"/>
          <w:b/>
          <w:bCs/>
          <w:sz w:val="22"/>
          <w:szCs w:val="22"/>
        </w:rPr>
        <w:t>RELATIVAS A SITUACIONES PARTICULARES DE LOS GRUPOS, CLASES, CUENTAS Y SUBCUENTAS</w:t>
      </w:r>
      <w:r>
        <w:rPr>
          <w:rFonts w:ascii="Arial Narrow" w:hAnsi="Arial Narrow" w:cs="Gisha"/>
          <w:b/>
          <w:bCs/>
          <w:sz w:val="22"/>
          <w:szCs w:val="22"/>
        </w:rPr>
        <w:t>.</w:t>
      </w:r>
    </w:p>
    <w:p w:rsidR="006E5BFF" w:rsidRPr="005B2A57" w:rsidRDefault="006E5BFF" w:rsidP="006E5BFF">
      <w:pPr>
        <w:pStyle w:val="Subttulo"/>
        <w:rPr>
          <w:rFonts w:ascii="Arial Narrow" w:hAnsi="Arial Narrow" w:cs="Gisha"/>
          <w:color w:val="auto"/>
          <w:sz w:val="22"/>
          <w:szCs w:val="22"/>
        </w:rPr>
      </w:pPr>
    </w:p>
    <w:p w:rsidR="002764B9" w:rsidRDefault="002764B9" w:rsidP="006E5BFF">
      <w:pPr>
        <w:jc w:val="both"/>
        <w:rPr>
          <w:rFonts w:ascii="Arial Narrow" w:hAnsi="Arial Narrow" w:cs="Arial"/>
          <w:sz w:val="22"/>
          <w:szCs w:val="22"/>
        </w:rPr>
      </w:pPr>
    </w:p>
    <w:p w:rsidR="002764B9" w:rsidRPr="001A2AC2" w:rsidRDefault="002764B9" w:rsidP="002764B9">
      <w:pPr>
        <w:pStyle w:val="Subttulo"/>
        <w:rPr>
          <w:rFonts w:ascii="Arial Narrow" w:hAnsi="Arial Narrow" w:cs="Gisha"/>
          <w:color w:val="auto"/>
          <w:sz w:val="22"/>
          <w:szCs w:val="22"/>
        </w:rPr>
      </w:pPr>
      <w:r w:rsidRPr="001A2AC2">
        <w:rPr>
          <w:rFonts w:ascii="Arial Narrow" w:hAnsi="Arial Narrow" w:cs="Gisha"/>
          <w:color w:val="auto"/>
          <w:sz w:val="22"/>
          <w:szCs w:val="22"/>
        </w:rPr>
        <w:t>NOTA 1.    EFECTIVO</w:t>
      </w:r>
    </w:p>
    <w:p w:rsidR="002764B9" w:rsidRPr="001A2AC2" w:rsidRDefault="002764B9" w:rsidP="002764B9">
      <w:pPr>
        <w:pStyle w:val="Subttulo"/>
        <w:rPr>
          <w:rFonts w:ascii="Arial Narrow" w:hAnsi="Arial Narrow" w:cs="Gisha"/>
          <w:color w:val="auto"/>
          <w:sz w:val="22"/>
          <w:szCs w:val="22"/>
        </w:rPr>
      </w:pPr>
    </w:p>
    <w:p w:rsidR="002764B9" w:rsidRPr="001A2AC2" w:rsidRDefault="002764B9" w:rsidP="00853B3A">
      <w:pPr>
        <w:pStyle w:val="Subttulo"/>
        <w:numPr>
          <w:ilvl w:val="0"/>
          <w:numId w:val="12"/>
        </w:numPr>
        <w:rPr>
          <w:rFonts w:ascii="Arial Narrow" w:hAnsi="Arial Narrow" w:cs="Gisha"/>
          <w:color w:val="auto"/>
          <w:sz w:val="22"/>
          <w:szCs w:val="22"/>
        </w:rPr>
      </w:pPr>
      <w:r w:rsidRPr="001A2AC2">
        <w:rPr>
          <w:rFonts w:ascii="Arial Narrow" w:hAnsi="Arial Narrow" w:cs="Gisha"/>
          <w:color w:val="auto"/>
          <w:sz w:val="22"/>
          <w:szCs w:val="22"/>
        </w:rPr>
        <w:t>CUENTA CORRIENTE</w:t>
      </w:r>
    </w:p>
    <w:p w:rsidR="002764B9" w:rsidRPr="001A2AC2" w:rsidRDefault="002764B9" w:rsidP="002764B9">
      <w:pPr>
        <w:pStyle w:val="Subttulo"/>
        <w:ind w:left="720"/>
        <w:rPr>
          <w:rFonts w:ascii="Arial Narrow" w:hAnsi="Arial Narrow" w:cs="Gisha"/>
          <w:color w:val="auto"/>
          <w:sz w:val="22"/>
          <w:szCs w:val="22"/>
        </w:rPr>
      </w:pPr>
    </w:p>
    <w:p w:rsidR="002764B9" w:rsidRPr="001A2AC2" w:rsidRDefault="002764B9" w:rsidP="002764B9">
      <w:pPr>
        <w:pStyle w:val="Textoindependiente"/>
        <w:rPr>
          <w:rFonts w:ascii="Arial Narrow" w:hAnsi="Arial Narrow" w:cs="Gisha"/>
          <w:b w:val="0"/>
          <w:bCs w:val="0"/>
          <w:i w:val="0"/>
          <w:iCs w:val="0"/>
          <w:vanish w:val="0"/>
          <w:color w:val="auto"/>
          <w:sz w:val="22"/>
          <w:szCs w:val="22"/>
          <w:u w:val="none"/>
        </w:rPr>
      </w:pPr>
      <w:r w:rsidRPr="001A2AC2">
        <w:rPr>
          <w:rFonts w:ascii="Arial Narrow" w:hAnsi="Arial Narrow" w:cs="Gisha"/>
          <w:b w:val="0"/>
          <w:bCs w:val="0"/>
          <w:i w:val="0"/>
          <w:iCs w:val="0"/>
          <w:vanish w:val="0"/>
          <w:color w:val="auto"/>
          <w:sz w:val="22"/>
          <w:szCs w:val="22"/>
          <w:u w:val="none"/>
        </w:rPr>
        <w:t xml:space="preserve">Representa el saldo de los fondos disponibles en cuentas corrientes en moneda nacional así: cuenta No. 18815273624 de </w:t>
      </w:r>
      <w:r w:rsidR="00E7118E" w:rsidRPr="001A2AC2">
        <w:rPr>
          <w:rFonts w:ascii="Arial Narrow" w:hAnsi="Arial Narrow" w:cs="Gisha"/>
          <w:b w:val="0"/>
          <w:bCs w:val="0"/>
          <w:i w:val="0"/>
          <w:iCs w:val="0"/>
          <w:vanish w:val="0"/>
          <w:color w:val="auto"/>
          <w:sz w:val="22"/>
          <w:szCs w:val="22"/>
          <w:u w:val="none"/>
        </w:rPr>
        <w:t>BANCOLOMBIA</w:t>
      </w:r>
      <w:r w:rsidRPr="001A2AC2">
        <w:rPr>
          <w:rFonts w:ascii="Arial Narrow" w:hAnsi="Arial Narrow" w:cs="Gisha"/>
          <w:b w:val="0"/>
          <w:bCs w:val="0"/>
          <w:i w:val="0"/>
          <w:iCs w:val="0"/>
          <w:vanish w:val="0"/>
          <w:color w:val="auto"/>
          <w:sz w:val="22"/>
          <w:szCs w:val="22"/>
          <w:u w:val="none"/>
        </w:rPr>
        <w:t xml:space="preserve"> su saldo a 31 de dic de 2015 es $150.075 miles y la cuenta No. 31920003154 del Banco Agrario con saldo de $6.452 miles. Estos saldos bancarios encuentran a 31 de diciembre de 2015 debidamente conciliados con la tesorería.</w:t>
      </w:r>
    </w:p>
    <w:p w:rsidR="002764B9" w:rsidRPr="001A2AC2" w:rsidRDefault="002764B9" w:rsidP="002764B9">
      <w:pPr>
        <w:pStyle w:val="Textoindependiente"/>
        <w:rPr>
          <w:rFonts w:ascii="Arial Narrow" w:hAnsi="Arial Narrow" w:cs="Gisha"/>
          <w:b w:val="0"/>
          <w:bCs w:val="0"/>
          <w:i w:val="0"/>
          <w:iCs w:val="0"/>
          <w:vanish w:val="0"/>
          <w:color w:val="auto"/>
          <w:sz w:val="22"/>
          <w:szCs w:val="22"/>
          <w:u w:val="none"/>
        </w:rPr>
      </w:pPr>
    </w:p>
    <w:p w:rsidR="002764B9" w:rsidRPr="001A2AC2" w:rsidRDefault="002764B9" w:rsidP="00853B3A">
      <w:pPr>
        <w:pStyle w:val="Textoindependiente"/>
        <w:numPr>
          <w:ilvl w:val="0"/>
          <w:numId w:val="12"/>
        </w:numPr>
        <w:rPr>
          <w:rFonts w:ascii="Arial Narrow" w:hAnsi="Arial Narrow" w:cs="Gisha"/>
          <w:bCs w:val="0"/>
          <w:i w:val="0"/>
          <w:iCs w:val="0"/>
          <w:vanish w:val="0"/>
          <w:color w:val="auto"/>
          <w:sz w:val="22"/>
          <w:szCs w:val="22"/>
          <w:u w:val="none"/>
        </w:rPr>
      </w:pPr>
      <w:r w:rsidRPr="001A2AC2">
        <w:rPr>
          <w:rFonts w:ascii="Arial Narrow" w:hAnsi="Arial Narrow" w:cs="Gisha"/>
          <w:bCs w:val="0"/>
          <w:i w:val="0"/>
          <w:iCs w:val="0"/>
          <w:vanish w:val="0"/>
          <w:color w:val="auto"/>
          <w:sz w:val="22"/>
          <w:szCs w:val="22"/>
          <w:u w:val="none"/>
        </w:rPr>
        <w:t>CUENTA DE AHORROS</w:t>
      </w:r>
    </w:p>
    <w:p w:rsidR="002764B9" w:rsidRPr="001A2AC2" w:rsidRDefault="002764B9" w:rsidP="002764B9">
      <w:pPr>
        <w:jc w:val="both"/>
        <w:rPr>
          <w:rFonts w:ascii="Arial Narrow" w:hAnsi="Arial Narrow" w:cs="Gisha"/>
          <w:sz w:val="22"/>
          <w:szCs w:val="22"/>
          <w:lang w:val="es-ES_tradnl"/>
        </w:rPr>
      </w:pPr>
    </w:p>
    <w:p w:rsidR="002764B9" w:rsidRPr="001A2AC2" w:rsidRDefault="002764B9" w:rsidP="002764B9">
      <w:pPr>
        <w:jc w:val="both"/>
        <w:rPr>
          <w:rFonts w:ascii="Arial Narrow" w:hAnsi="Arial Narrow" w:cs="Gisha"/>
          <w:sz w:val="22"/>
          <w:szCs w:val="22"/>
          <w:lang w:val="es-ES_tradnl"/>
        </w:rPr>
      </w:pPr>
      <w:r w:rsidRPr="001A2AC2">
        <w:rPr>
          <w:rFonts w:ascii="Arial Narrow" w:hAnsi="Arial Narrow" w:cs="Gisha"/>
          <w:sz w:val="22"/>
          <w:szCs w:val="22"/>
          <w:lang w:val="es-ES_tradnl"/>
        </w:rPr>
        <w:t xml:space="preserve">El saldo de los fondos disponibles en la cuenta de ahorros de Bancolombia No. 18816489667 en moneda nacional de $1.701.811 miles, se encuentran debidamente conciliado con la tesorería. </w:t>
      </w:r>
    </w:p>
    <w:p w:rsidR="002764B9" w:rsidRDefault="002764B9" w:rsidP="002764B9">
      <w:pPr>
        <w:pStyle w:val="Textoindependiente"/>
        <w:ind w:left="720"/>
        <w:rPr>
          <w:rFonts w:ascii="Arial Narrow" w:hAnsi="Arial Narrow" w:cs="Gisha"/>
          <w:b w:val="0"/>
          <w:bCs w:val="0"/>
          <w:i w:val="0"/>
          <w:iCs w:val="0"/>
          <w:vanish w:val="0"/>
          <w:color w:val="auto"/>
          <w:sz w:val="22"/>
          <w:szCs w:val="22"/>
          <w:u w:val="none"/>
        </w:rPr>
      </w:pPr>
    </w:p>
    <w:p w:rsidR="009F6DFC" w:rsidRDefault="00A85078" w:rsidP="009F6DFC">
      <w:pPr>
        <w:pStyle w:val="Textoindependiente"/>
        <w:rPr>
          <w:rFonts w:asciiTheme="minorHAnsi" w:eastAsiaTheme="minorHAnsi" w:hAnsiTheme="minorHAnsi" w:cstheme="minorBidi"/>
          <w:b w:val="0"/>
          <w:bCs w:val="0"/>
          <w:i w:val="0"/>
          <w:iCs w:val="0"/>
          <w:vanish w:val="0"/>
          <w:color w:val="auto"/>
          <w:sz w:val="22"/>
          <w:szCs w:val="22"/>
          <w:u w:val="none"/>
          <w:lang w:val="es-CO" w:eastAsia="en-US"/>
        </w:rPr>
      </w:pPr>
      <w:r>
        <w:fldChar w:fldCharType="begin"/>
      </w:r>
      <w:r w:rsidR="009F6DFC">
        <w:instrText xml:space="preserve"> LINK Excel.Sheet.12 "D:\\Ani\\WOlarte\\Ani 2015\\Cierre 2015\\Copia de CONSOLIDACION NOTAS 12.xlsx" N.1E!F3C3:F10C6 \a \f 4 \h </w:instrText>
      </w:r>
      <w:r>
        <w:fldChar w:fldCharType="separate"/>
      </w:r>
    </w:p>
    <w:tbl>
      <w:tblPr>
        <w:tblW w:w="9995" w:type="dxa"/>
        <w:tblCellMar>
          <w:left w:w="70" w:type="dxa"/>
          <w:right w:w="70" w:type="dxa"/>
        </w:tblCellMar>
        <w:tblLook w:val="04A0" w:firstRow="1" w:lastRow="0" w:firstColumn="1" w:lastColumn="0" w:noHBand="0" w:noVBand="1"/>
      </w:tblPr>
      <w:tblGrid>
        <w:gridCol w:w="2315"/>
        <w:gridCol w:w="4060"/>
        <w:gridCol w:w="1191"/>
        <w:gridCol w:w="2429"/>
      </w:tblGrid>
      <w:tr w:rsidR="009F6DFC" w:rsidRPr="00833933" w:rsidTr="001C4AFE">
        <w:trPr>
          <w:trHeight w:val="285"/>
        </w:trPr>
        <w:tc>
          <w:tcPr>
            <w:tcW w:w="2315" w:type="dxa"/>
            <w:tcBorders>
              <w:top w:val="nil"/>
              <w:left w:val="nil"/>
              <w:bottom w:val="nil"/>
              <w:right w:val="nil"/>
            </w:tcBorders>
            <w:shd w:val="clear" w:color="000000" w:fill="FFFFFF"/>
            <w:noWrap/>
            <w:vAlign w:val="bottom"/>
            <w:hideMark/>
          </w:tcPr>
          <w:p w:rsidR="009F6DFC" w:rsidRPr="00833933" w:rsidRDefault="009F6DFC" w:rsidP="001C4AFE">
            <w:pPr>
              <w:rPr>
                <w:rFonts w:ascii="Arial" w:hAnsi="Arial" w:cs="Arial"/>
                <w:color w:val="000000"/>
                <w:sz w:val="20"/>
                <w:szCs w:val="20"/>
                <w:lang w:val="es-CO" w:eastAsia="es-CO"/>
              </w:rPr>
            </w:pPr>
            <w:r w:rsidRPr="00833933">
              <w:rPr>
                <w:rFonts w:ascii="Arial" w:hAnsi="Arial" w:cs="Arial"/>
                <w:color w:val="000000"/>
                <w:sz w:val="20"/>
                <w:szCs w:val="20"/>
                <w:lang w:val="es-CO" w:eastAsia="es-CO"/>
              </w:rPr>
              <w:t> </w:t>
            </w:r>
          </w:p>
        </w:tc>
        <w:tc>
          <w:tcPr>
            <w:tcW w:w="4060" w:type="dxa"/>
            <w:tcBorders>
              <w:top w:val="nil"/>
              <w:left w:val="nil"/>
              <w:bottom w:val="nil"/>
              <w:right w:val="nil"/>
            </w:tcBorders>
            <w:shd w:val="clear" w:color="000000" w:fill="FFFFFF"/>
            <w:noWrap/>
            <w:vAlign w:val="bottom"/>
            <w:hideMark/>
          </w:tcPr>
          <w:p w:rsidR="009F6DFC" w:rsidRPr="00833933" w:rsidRDefault="009F6DFC" w:rsidP="001C4AFE">
            <w:pPr>
              <w:rPr>
                <w:rFonts w:ascii="Arial" w:hAnsi="Arial" w:cs="Arial"/>
                <w:color w:val="000000"/>
                <w:sz w:val="20"/>
                <w:szCs w:val="20"/>
                <w:lang w:val="es-CO" w:eastAsia="es-CO"/>
              </w:rPr>
            </w:pPr>
            <w:r w:rsidRPr="00833933">
              <w:rPr>
                <w:rFonts w:ascii="Arial" w:hAnsi="Arial" w:cs="Arial"/>
                <w:color w:val="000000"/>
                <w:sz w:val="20"/>
                <w:szCs w:val="20"/>
                <w:lang w:val="es-CO" w:eastAsia="es-CO"/>
              </w:rPr>
              <w:t> </w:t>
            </w:r>
          </w:p>
        </w:tc>
        <w:tc>
          <w:tcPr>
            <w:tcW w:w="3620" w:type="dxa"/>
            <w:gridSpan w:val="2"/>
            <w:tcBorders>
              <w:top w:val="double" w:sz="6" w:space="0" w:color="auto"/>
              <w:left w:val="double" w:sz="6" w:space="0" w:color="auto"/>
              <w:bottom w:val="nil"/>
              <w:right w:val="double" w:sz="6" w:space="0" w:color="000000"/>
            </w:tcBorders>
            <w:shd w:val="clear" w:color="000000" w:fill="FFFFFF"/>
            <w:noWrap/>
            <w:vAlign w:val="bottom"/>
            <w:hideMark/>
          </w:tcPr>
          <w:p w:rsidR="009F6DFC" w:rsidRPr="00833933" w:rsidRDefault="009F6DFC" w:rsidP="001C4AFE">
            <w:pPr>
              <w:jc w:val="center"/>
              <w:rPr>
                <w:rFonts w:ascii="Arial" w:hAnsi="Arial" w:cs="Arial"/>
                <w:b/>
                <w:bCs/>
                <w:color w:val="000000"/>
                <w:sz w:val="20"/>
                <w:szCs w:val="20"/>
                <w:lang w:val="es-CO" w:eastAsia="es-CO"/>
              </w:rPr>
            </w:pPr>
            <w:r w:rsidRPr="00833933">
              <w:rPr>
                <w:rFonts w:ascii="Arial" w:hAnsi="Arial" w:cs="Arial"/>
                <w:b/>
                <w:bCs/>
                <w:color w:val="000000"/>
                <w:sz w:val="20"/>
                <w:szCs w:val="20"/>
                <w:lang w:val="es-CO" w:eastAsia="es-CO"/>
              </w:rPr>
              <w:t>CIFRAS EN MILES DE PESOS</w:t>
            </w:r>
          </w:p>
        </w:tc>
      </w:tr>
      <w:tr w:rsidR="009F6DFC" w:rsidRPr="00833933" w:rsidTr="001C4AFE">
        <w:trPr>
          <w:trHeight w:val="285"/>
        </w:trPr>
        <w:tc>
          <w:tcPr>
            <w:tcW w:w="2315"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rsidR="009F6DFC" w:rsidRPr="00833933" w:rsidRDefault="009F6DFC" w:rsidP="001C4AFE">
            <w:pPr>
              <w:jc w:val="center"/>
              <w:rPr>
                <w:rFonts w:ascii="Arial" w:hAnsi="Arial" w:cs="Arial"/>
                <w:b/>
                <w:bCs/>
                <w:color w:val="000000"/>
                <w:sz w:val="20"/>
                <w:szCs w:val="20"/>
                <w:lang w:val="es-CO" w:eastAsia="es-CO"/>
              </w:rPr>
            </w:pPr>
            <w:r w:rsidRPr="00833933">
              <w:rPr>
                <w:rFonts w:ascii="Arial" w:hAnsi="Arial" w:cs="Arial"/>
                <w:b/>
                <w:bCs/>
                <w:color w:val="000000"/>
                <w:sz w:val="20"/>
                <w:szCs w:val="20"/>
                <w:lang w:val="es-CO" w:eastAsia="es-CO"/>
              </w:rPr>
              <w:t>No. CUENTA</w:t>
            </w:r>
          </w:p>
        </w:tc>
        <w:tc>
          <w:tcPr>
            <w:tcW w:w="406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rsidR="009F6DFC" w:rsidRPr="00833933" w:rsidRDefault="009F6DFC" w:rsidP="001C4AFE">
            <w:pPr>
              <w:jc w:val="center"/>
              <w:rPr>
                <w:rFonts w:ascii="Arial" w:hAnsi="Arial" w:cs="Arial"/>
                <w:b/>
                <w:bCs/>
                <w:color w:val="000000"/>
                <w:sz w:val="20"/>
                <w:szCs w:val="20"/>
                <w:lang w:val="es-CO" w:eastAsia="es-CO"/>
              </w:rPr>
            </w:pPr>
            <w:r w:rsidRPr="00833933">
              <w:rPr>
                <w:rFonts w:ascii="Arial" w:hAnsi="Arial" w:cs="Arial"/>
                <w:b/>
                <w:bCs/>
                <w:color w:val="000000"/>
                <w:sz w:val="20"/>
                <w:szCs w:val="20"/>
                <w:lang w:val="es-CO" w:eastAsia="es-CO"/>
              </w:rPr>
              <w:t>BANCO</w:t>
            </w:r>
          </w:p>
        </w:tc>
        <w:tc>
          <w:tcPr>
            <w:tcW w:w="1191"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rsidR="009F6DFC" w:rsidRPr="00833933" w:rsidRDefault="009F6DFC" w:rsidP="001C4AFE">
            <w:pPr>
              <w:jc w:val="center"/>
              <w:rPr>
                <w:rFonts w:ascii="Arial" w:hAnsi="Arial" w:cs="Arial"/>
                <w:b/>
                <w:bCs/>
                <w:color w:val="000000"/>
                <w:sz w:val="20"/>
                <w:szCs w:val="20"/>
                <w:lang w:val="es-CO" w:eastAsia="es-CO"/>
              </w:rPr>
            </w:pPr>
            <w:r w:rsidRPr="00833933">
              <w:rPr>
                <w:rFonts w:ascii="Arial" w:hAnsi="Arial" w:cs="Arial"/>
                <w:b/>
                <w:bCs/>
                <w:color w:val="000000"/>
                <w:sz w:val="20"/>
                <w:szCs w:val="20"/>
                <w:lang w:val="es-CO" w:eastAsia="es-CO"/>
              </w:rPr>
              <w:t>VALOR</w:t>
            </w:r>
          </w:p>
        </w:tc>
        <w:tc>
          <w:tcPr>
            <w:tcW w:w="2429" w:type="dxa"/>
            <w:tcBorders>
              <w:top w:val="double" w:sz="6" w:space="0" w:color="auto"/>
              <w:left w:val="nil"/>
              <w:bottom w:val="double" w:sz="6" w:space="0" w:color="auto"/>
              <w:right w:val="double" w:sz="6" w:space="0" w:color="auto"/>
            </w:tcBorders>
            <w:shd w:val="clear" w:color="000000" w:fill="FFFFFF"/>
            <w:noWrap/>
            <w:vAlign w:val="bottom"/>
            <w:hideMark/>
          </w:tcPr>
          <w:p w:rsidR="009F6DFC" w:rsidRPr="00833933" w:rsidRDefault="009F6DFC" w:rsidP="001C4AFE">
            <w:pPr>
              <w:jc w:val="center"/>
              <w:rPr>
                <w:rFonts w:ascii="Arial" w:hAnsi="Arial" w:cs="Arial"/>
                <w:b/>
                <w:bCs/>
                <w:color w:val="000000"/>
                <w:sz w:val="20"/>
                <w:szCs w:val="20"/>
                <w:lang w:val="es-CO" w:eastAsia="es-CO"/>
              </w:rPr>
            </w:pPr>
            <w:r w:rsidRPr="00833933">
              <w:rPr>
                <w:rFonts w:ascii="Arial" w:hAnsi="Arial" w:cs="Arial"/>
                <w:b/>
                <w:bCs/>
                <w:color w:val="000000"/>
                <w:sz w:val="20"/>
                <w:szCs w:val="20"/>
                <w:lang w:val="es-CO" w:eastAsia="es-CO"/>
              </w:rPr>
              <w:t>TIPO DE CUENTA</w:t>
            </w:r>
          </w:p>
        </w:tc>
      </w:tr>
      <w:tr w:rsidR="009F6DFC" w:rsidRPr="00833933" w:rsidTr="001C4AFE">
        <w:trPr>
          <w:trHeight w:val="270"/>
        </w:trPr>
        <w:tc>
          <w:tcPr>
            <w:tcW w:w="2315" w:type="dxa"/>
            <w:tcBorders>
              <w:top w:val="nil"/>
              <w:left w:val="double" w:sz="6" w:space="0" w:color="auto"/>
              <w:bottom w:val="nil"/>
              <w:right w:val="double" w:sz="6" w:space="0" w:color="auto"/>
            </w:tcBorders>
            <w:shd w:val="clear" w:color="000000" w:fill="FFFFFF"/>
            <w:noWrap/>
            <w:vAlign w:val="bottom"/>
            <w:hideMark/>
          </w:tcPr>
          <w:p w:rsidR="009F6DFC" w:rsidRPr="00833933" w:rsidRDefault="009F6DFC" w:rsidP="001C4AFE">
            <w:pPr>
              <w:jc w:val="center"/>
              <w:rPr>
                <w:rFonts w:ascii="Arial" w:hAnsi="Arial" w:cs="Arial"/>
                <w:sz w:val="20"/>
                <w:szCs w:val="20"/>
                <w:lang w:val="es-CO" w:eastAsia="es-CO"/>
              </w:rPr>
            </w:pPr>
            <w:r w:rsidRPr="00833933">
              <w:rPr>
                <w:rFonts w:ascii="Arial" w:hAnsi="Arial" w:cs="Arial"/>
                <w:sz w:val="20"/>
                <w:szCs w:val="20"/>
                <w:lang w:val="es-CO" w:eastAsia="es-CO"/>
              </w:rPr>
              <w:t>18815273624</w:t>
            </w:r>
          </w:p>
        </w:tc>
        <w:tc>
          <w:tcPr>
            <w:tcW w:w="4060" w:type="dxa"/>
            <w:tcBorders>
              <w:top w:val="nil"/>
              <w:left w:val="nil"/>
              <w:bottom w:val="nil"/>
              <w:right w:val="double" w:sz="6" w:space="0" w:color="auto"/>
            </w:tcBorders>
            <w:shd w:val="clear" w:color="000000" w:fill="FFFFFF"/>
            <w:noWrap/>
            <w:vAlign w:val="bottom"/>
            <w:hideMark/>
          </w:tcPr>
          <w:p w:rsidR="009F6DFC" w:rsidRPr="00833933" w:rsidRDefault="009F6DFC" w:rsidP="001C4AFE">
            <w:pPr>
              <w:jc w:val="center"/>
              <w:rPr>
                <w:rFonts w:ascii="Arial" w:hAnsi="Arial" w:cs="Arial"/>
                <w:sz w:val="20"/>
                <w:szCs w:val="20"/>
                <w:lang w:val="es-CO" w:eastAsia="es-CO"/>
              </w:rPr>
            </w:pPr>
            <w:r w:rsidRPr="00833933">
              <w:rPr>
                <w:rFonts w:ascii="Arial" w:hAnsi="Arial" w:cs="Arial"/>
                <w:sz w:val="20"/>
                <w:szCs w:val="20"/>
                <w:lang w:val="es-CO" w:eastAsia="es-CO"/>
              </w:rPr>
              <w:t>BANCOLOMBIA</w:t>
            </w:r>
          </w:p>
        </w:tc>
        <w:tc>
          <w:tcPr>
            <w:tcW w:w="1191" w:type="dxa"/>
            <w:tcBorders>
              <w:top w:val="nil"/>
              <w:left w:val="nil"/>
              <w:bottom w:val="nil"/>
              <w:right w:val="double" w:sz="6" w:space="0" w:color="auto"/>
            </w:tcBorders>
            <w:shd w:val="clear" w:color="000000" w:fill="FFFFFF"/>
            <w:noWrap/>
            <w:vAlign w:val="bottom"/>
            <w:hideMark/>
          </w:tcPr>
          <w:p w:rsidR="009F6DFC" w:rsidRPr="00833933" w:rsidRDefault="009F6DFC" w:rsidP="001C4AFE">
            <w:pPr>
              <w:jc w:val="right"/>
              <w:rPr>
                <w:rFonts w:ascii="Arial" w:hAnsi="Arial" w:cs="Arial"/>
                <w:sz w:val="20"/>
                <w:szCs w:val="20"/>
                <w:lang w:val="es-CO" w:eastAsia="es-CO"/>
              </w:rPr>
            </w:pPr>
            <w:r w:rsidRPr="00833933">
              <w:rPr>
                <w:rFonts w:ascii="Arial" w:hAnsi="Arial" w:cs="Arial"/>
                <w:sz w:val="20"/>
                <w:szCs w:val="20"/>
                <w:lang w:val="es-CO" w:eastAsia="es-CO"/>
              </w:rPr>
              <w:t>150.075</w:t>
            </w:r>
          </w:p>
        </w:tc>
        <w:tc>
          <w:tcPr>
            <w:tcW w:w="2429" w:type="dxa"/>
            <w:tcBorders>
              <w:top w:val="nil"/>
              <w:left w:val="nil"/>
              <w:bottom w:val="nil"/>
              <w:right w:val="double" w:sz="6" w:space="0" w:color="auto"/>
            </w:tcBorders>
            <w:shd w:val="clear" w:color="000000" w:fill="FFFFFF"/>
            <w:noWrap/>
            <w:vAlign w:val="bottom"/>
            <w:hideMark/>
          </w:tcPr>
          <w:p w:rsidR="009F6DFC" w:rsidRPr="00833933" w:rsidRDefault="009F6DFC" w:rsidP="001C4AFE">
            <w:pPr>
              <w:jc w:val="center"/>
              <w:rPr>
                <w:rFonts w:ascii="Arial" w:hAnsi="Arial" w:cs="Arial"/>
                <w:sz w:val="20"/>
                <w:szCs w:val="20"/>
                <w:lang w:val="es-CO" w:eastAsia="es-CO"/>
              </w:rPr>
            </w:pPr>
            <w:r w:rsidRPr="00833933">
              <w:rPr>
                <w:rFonts w:ascii="Arial" w:hAnsi="Arial" w:cs="Arial"/>
                <w:sz w:val="20"/>
                <w:szCs w:val="20"/>
                <w:lang w:val="es-CO" w:eastAsia="es-CO"/>
              </w:rPr>
              <w:t>CORRIENTE</w:t>
            </w:r>
          </w:p>
        </w:tc>
      </w:tr>
      <w:tr w:rsidR="009F6DFC" w:rsidRPr="00833933" w:rsidTr="001C4AFE">
        <w:trPr>
          <w:trHeight w:val="270"/>
        </w:trPr>
        <w:tc>
          <w:tcPr>
            <w:tcW w:w="2315" w:type="dxa"/>
            <w:tcBorders>
              <w:top w:val="nil"/>
              <w:left w:val="double" w:sz="6" w:space="0" w:color="auto"/>
              <w:bottom w:val="double" w:sz="6" w:space="0" w:color="auto"/>
              <w:right w:val="double" w:sz="6" w:space="0" w:color="auto"/>
            </w:tcBorders>
            <w:shd w:val="clear" w:color="000000" w:fill="FFFFFF"/>
            <w:vAlign w:val="center"/>
            <w:hideMark/>
          </w:tcPr>
          <w:p w:rsidR="009F6DFC" w:rsidRPr="00833933" w:rsidRDefault="009F6DFC" w:rsidP="001C4AFE">
            <w:pPr>
              <w:jc w:val="center"/>
              <w:rPr>
                <w:rFonts w:ascii="Arial" w:hAnsi="Arial" w:cs="Arial"/>
                <w:sz w:val="20"/>
                <w:szCs w:val="20"/>
                <w:lang w:val="es-CO" w:eastAsia="es-CO"/>
              </w:rPr>
            </w:pPr>
            <w:r w:rsidRPr="00833933">
              <w:rPr>
                <w:rFonts w:ascii="Arial" w:hAnsi="Arial" w:cs="Arial"/>
                <w:sz w:val="20"/>
                <w:szCs w:val="20"/>
                <w:lang w:val="es-CO" w:eastAsia="es-CO"/>
              </w:rPr>
              <w:t>31920003154</w:t>
            </w:r>
          </w:p>
        </w:tc>
        <w:tc>
          <w:tcPr>
            <w:tcW w:w="4060" w:type="dxa"/>
            <w:tcBorders>
              <w:top w:val="nil"/>
              <w:left w:val="nil"/>
              <w:bottom w:val="double" w:sz="6" w:space="0" w:color="auto"/>
              <w:right w:val="double" w:sz="6" w:space="0" w:color="auto"/>
            </w:tcBorders>
            <w:shd w:val="clear" w:color="000000" w:fill="FFFFFF"/>
            <w:noWrap/>
            <w:vAlign w:val="bottom"/>
            <w:hideMark/>
          </w:tcPr>
          <w:p w:rsidR="009F6DFC" w:rsidRPr="00833933" w:rsidRDefault="009F6DFC" w:rsidP="001C4AFE">
            <w:pPr>
              <w:jc w:val="center"/>
              <w:rPr>
                <w:rFonts w:ascii="Arial" w:hAnsi="Arial" w:cs="Arial"/>
                <w:sz w:val="20"/>
                <w:szCs w:val="20"/>
                <w:lang w:val="es-CO" w:eastAsia="es-CO"/>
              </w:rPr>
            </w:pPr>
            <w:r w:rsidRPr="00833933">
              <w:rPr>
                <w:rFonts w:ascii="Arial" w:hAnsi="Arial" w:cs="Arial"/>
                <w:sz w:val="20"/>
                <w:szCs w:val="20"/>
                <w:lang w:val="es-CO" w:eastAsia="es-CO"/>
              </w:rPr>
              <w:t>BANCO AGRARIO</w:t>
            </w:r>
          </w:p>
        </w:tc>
        <w:tc>
          <w:tcPr>
            <w:tcW w:w="1191" w:type="dxa"/>
            <w:tcBorders>
              <w:top w:val="nil"/>
              <w:left w:val="nil"/>
              <w:bottom w:val="double" w:sz="6" w:space="0" w:color="auto"/>
              <w:right w:val="double" w:sz="6" w:space="0" w:color="auto"/>
            </w:tcBorders>
            <w:shd w:val="clear" w:color="000000" w:fill="FFFFFF"/>
            <w:noWrap/>
            <w:vAlign w:val="bottom"/>
            <w:hideMark/>
          </w:tcPr>
          <w:p w:rsidR="009F6DFC" w:rsidRPr="00833933" w:rsidRDefault="009F6DFC" w:rsidP="001C4AFE">
            <w:pPr>
              <w:jc w:val="right"/>
              <w:rPr>
                <w:rFonts w:ascii="Arial" w:hAnsi="Arial" w:cs="Arial"/>
                <w:sz w:val="20"/>
                <w:szCs w:val="20"/>
                <w:lang w:val="es-CO" w:eastAsia="es-CO"/>
              </w:rPr>
            </w:pPr>
            <w:r w:rsidRPr="00833933">
              <w:rPr>
                <w:rFonts w:ascii="Arial" w:hAnsi="Arial" w:cs="Arial"/>
                <w:sz w:val="20"/>
                <w:szCs w:val="20"/>
                <w:lang w:val="es-CO" w:eastAsia="es-CO"/>
              </w:rPr>
              <w:t>6.452</w:t>
            </w:r>
          </w:p>
        </w:tc>
        <w:tc>
          <w:tcPr>
            <w:tcW w:w="2429" w:type="dxa"/>
            <w:tcBorders>
              <w:top w:val="nil"/>
              <w:left w:val="nil"/>
              <w:bottom w:val="nil"/>
              <w:right w:val="double" w:sz="6" w:space="0" w:color="auto"/>
            </w:tcBorders>
            <w:shd w:val="clear" w:color="000000" w:fill="FFFFFF"/>
            <w:vAlign w:val="center"/>
            <w:hideMark/>
          </w:tcPr>
          <w:p w:rsidR="009F6DFC" w:rsidRPr="00833933" w:rsidRDefault="009F6DFC" w:rsidP="001C4AFE">
            <w:pPr>
              <w:jc w:val="center"/>
              <w:rPr>
                <w:rFonts w:ascii="Arial" w:hAnsi="Arial" w:cs="Arial"/>
                <w:sz w:val="20"/>
                <w:szCs w:val="20"/>
                <w:lang w:val="es-CO" w:eastAsia="es-CO"/>
              </w:rPr>
            </w:pPr>
            <w:r w:rsidRPr="00833933">
              <w:rPr>
                <w:rFonts w:ascii="Arial" w:hAnsi="Arial" w:cs="Arial"/>
                <w:sz w:val="20"/>
                <w:szCs w:val="20"/>
                <w:lang w:val="es-CO" w:eastAsia="es-CO"/>
              </w:rPr>
              <w:t>CORRIENTE</w:t>
            </w:r>
          </w:p>
        </w:tc>
      </w:tr>
      <w:tr w:rsidR="009F6DFC" w:rsidRPr="00833933" w:rsidTr="001C4AFE">
        <w:trPr>
          <w:trHeight w:val="285"/>
        </w:trPr>
        <w:tc>
          <w:tcPr>
            <w:tcW w:w="6375" w:type="dxa"/>
            <w:gridSpan w:val="2"/>
            <w:tcBorders>
              <w:top w:val="double" w:sz="6" w:space="0" w:color="auto"/>
              <w:left w:val="double" w:sz="6" w:space="0" w:color="auto"/>
              <w:bottom w:val="double" w:sz="6" w:space="0" w:color="auto"/>
              <w:right w:val="double" w:sz="6" w:space="0" w:color="auto"/>
            </w:tcBorders>
            <w:shd w:val="clear" w:color="000000" w:fill="FFFFFF"/>
            <w:vAlign w:val="center"/>
            <w:hideMark/>
          </w:tcPr>
          <w:p w:rsidR="009F6DFC" w:rsidRPr="00833933" w:rsidRDefault="009F6DFC" w:rsidP="001C4AFE">
            <w:pPr>
              <w:jc w:val="center"/>
              <w:rPr>
                <w:rFonts w:ascii="Arial" w:hAnsi="Arial" w:cs="Arial"/>
                <w:b/>
                <w:bCs/>
                <w:sz w:val="20"/>
                <w:szCs w:val="20"/>
                <w:lang w:val="es-CO" w:eastAsia="es-CO"/>
              </w:rPr>
            </w:pPr>
            <w:r w:rsidRPr="00833933">
              <w:rPr>
                <w:rFonts w:ascii="Arial" w:hAnsi="Arial" w:cs="Arial"/>
                <w:b/>
                <w:bCs/>
                <w:sz w:val="20"/>
                <w:szCs w:val="20"/>
                <w:lang w:val="es-CO" w:eastAsia="es-CO"/>
              </w:rPr>
              <w:t>TOTAL CORRIENTE</w:t>
            </w:r>
          </w:p>
        </w:tc>
        <w:tc>
          <w:tcPr>
            <w:tcW w:w="1191"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rsidR="009F6DFC" w:rsidRPr="00833933" w:rsidRDefault="009F6DFC" w:rsidP="001C4AFE">
            <w:pPr>
              <w:jc w:val="right"/>
              <w:rPr>
                <w:rFonts w:ascii="Arial" w:hAnsi="Arial" w:cs="Arial"/>
                <w:b/>
                <w:bCs/>
                <w:sz w:val="20"/>
                <w:szCs w:val="20"/>
                <w:lang w:val="es-CO" w:eastAsia="es-CO"/>
              </w:rPr>
            </w:pPr>
            <w:r w:rsidRPr="00833933">
              <w:rPr>
                <w:rFonts w:ascii="Arial" w:hAnsi="Arial" w:cs="Arial"/>
                <w:b/>
                <w:bCs/>
                <w:sz w:val="20"/>
                <w:szCs w:val="20"/>
                <w:lang w:val="es-CO" w:eastAsia="es-CO"/>
              </w:rPr>
              <w:t>156.527</w:t>
            </w:r>
          </w:p>
        </w:tc>
        <w:tc>
          <w:tcPr>
            <w:tcW w:w="2429" w:type="dxa"/>
            <w:tcBorders>
              <w:top w:val="nil"/>
              <w:left w:val="nil"/>
              <w:bottom w:val="double" w:sz="6" w:space="0" w:color="auto"/>
              <w:right w:val="double" w:sz="6" w:space="0" w:color="auto"/>
            </w:tcBorders>
            <w:shd w:val="clear" w:color="000000" w:fill="FFFFFF"/>
            <w:vAlign w:val="center"/>
            <w:hideMark/>
          </w:tcPr>
          <w:p w:rsidR="009F6DFC" w:rsidRPr="00833933" w:rsidRDefault="009F6DFC" w:rsidP="001C4AFE">
            <w:pPr>
              <w:jc w:val="center"/>
              <w:rPr>
                <w:rFonts w:ascii="Arial" w:hAnsi="Arial" w:cs="Arial"/>
                <w:sz w:val="20"/>
                <w:szCs w:val="20"/>
                <w:lang w:val="es-CO" w:eastAsia="es-CO"/>
              </w:rPr>
            </w:pPr>
            <w:r w:rsidRPr="00833933">
              <w:rPr>
                <w:rFonts w:ascii="Arial" w:hAnsi="Arial" w:cs="Arial"/>
                <w:sz w:val="20"/>
                <w:szCs w:val="20"/>
                <w:lang w:val="es-CO" w:eastAsia="es-CO"/>
              </w:rPr>
              <w:t> </w:t>
            </w:r>
          </w:p>
        </w:tc>
      </w:tr>
      <w:tr w:rsidR="009F6DFC" w:rsidRPr="00833933" w:rsidTr="001C4AFE">
        <w:trPr>
          <w:trHeight w:val="285"/>
        </w:trPr>
        <w:tc>
          <w:tcPr>
            <w:tcW w:w="2315"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rsidR="009F6DFC" w:rsidRPr="00833933" w:rsidRDefault="009F6DFC" w:rsidP="001C4AFE">
            <w:pPr>
              <w:jc w:val="center"/>
              <w:rPr>
                <w:rFonts w:ascii="Arial" w:hAnsi="Arial" w:cs="Arial"/>
                <w:sz w:val="20"/>
                <w:szCs w:val="20"/>
                <w:lang w:val="es-CO" w:eastAsia="es-CO"/>
              </w:rPr>
            </w:pPr>
            <w:r w:rsidRPr="00833933">
              <w:rPr>
                <w:rFonts w:ascii="Arial" w:hAnsi="Arial" w:cs="Arial"/>
                <w:sz w:val="20"/>
                <w:szCs w:val="20"/>
                <w:lang w:val="es-CO" w:eastAsia="es-CO"/>
              </w:rPr>
              <w:t>18816489667</w:t>
            </w:r>
          </w:p>
        </w:tc>
        <w:tc>
          <w:tcPr>
            <w:tcW w:w="406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rsidR="009F6DFC" w:rsidRPr="00833933" w:rsidRDefault="009F6DFC" w:rsidP="001C4AFE">
            <w:pPr>
              <w:jc w:val="center"/>
              <w:rPr>
                <w:rFonts w:ascii="Arial" w:hAnsi="Arial" w:cs="Arial"/>
                <w:sz w:val="20"/>
                <w:szCs w:val="20"/>
                <w:lang w:val="es-CO" w:eastAsia="es-CO"/>
              </w:rPr>
            </w:pPr>
            <w:r w:rsidRPr="00833933">
              <w:rPr>
                <w:rFonts w:ascii="Arial" w:hAnsi="Arial" w:cs="Arial"/>
                <w:sz w:val="20"/>
                <w:szCs w:val="20"/>
                <w:lang w:val="es-CO" w:eastAsia="es-CO"/>
              </w:rPr>
              <w:t>BANCOLOMBIA</w:t>
            </w:r>
          </w:p>
        </w:tc>
        <w:tc>
          <w:tcPr>
            <w:tcW w:w="1191"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rsidR="009F6DFC" w:rsidRPr="00833933" w:rsidRDefault="009F6DFC" w:rsidP="001C4AFE">
            <w:pPr>
              <w:jc w:val="right"/>
              <w:rPr>
                <w:rFonts w:ascii="Arial" w:hAnsi="Arial" w:cs="Arial"/>
                <w:sz w:val="20"/>
                <w:szCs w:val="20"/>
                <w:lang w:val="es-CO" w:eastAsia="es-CO"/>
              </w:rPr>
            </w:pPr>
            <w:r w:rsidRPr="00833933">
              <w:rPr>
                <w:rFonts w:ascii="Arial" w:hAnsi="Arial" w:cs="Arial"/>
                <w:sz w:val="20"/>
                <w:szCs w:val="20"/>
                <w:lang w:val="es-CO" w:eastAsia="es-CO"/>
              </w:rPr>
              <w:t>1.701.811</w:t>
            </w:r>
          </w:p>
        </w:tc>
        <w:tc>
          <w:tcPr>
            <w:tcW w:w="2429" w:type="dxa"/>
            <w:tcBorders>
              <w:top w:val="nil"/>
              <w:left w:val="nil"/>
              <w:bottom w:val="nil"/>
              <w:right w:val="double" w:sz="6" w:space="0" w:color="auto"/>
            </w:tcBorders>
            <w:shd w:val="clear" w:color="000000" w:fill="FFFFFF"/>
            <w:noWrap/>
            <w:vAlign w:val="bottom"/>
            <w:hideMark/>
          </w:tcPr>
          <w:p w:rsidR="009F6DFC" w:rsidRPr="00833933" w:rsidRDefault="009F6DFC" w:rsidP="001C4AFE">
            <w:pPr>
              <w:jc w:val="center"/>
              <w:rPr>
                <w:rFonts w:ascii="Arial" w:hAnsi="Arial" w:cs="Arial"/>
                <w:sz w:val="20"/>
                <w:szCs w:val="20"/>
                <w:lang w:val="es-CO" w:eastAsia="es-CO"/>
              </w:rPr>
            </w:pPr>
            <w:r w:rsidRPr="00833933">
              <w:rPr>
                <w:rFonts w:ascii="Arial" w:hAnsi="Arial" w:cs="Arial"/>
                <w:sz w:val="20"/>
                <w:szCs w:val="20"/>
                <w:lang w:val="es-CO" w:eastAsia="es-CO"/>
              </w:rPr>
              <w:t>AHORROS</w:t>
            </w:r>
          </w:p>
        </w:tc>
      </w:tr>
      <w:tr w:rsidR="009F6DFC" w:rsidRPr="00833933" w:rsidTr="001C4AFE">
        <w:trPr>
          <w:trHeight w:val="285"/>
        </w:trPr>
        <w:tc>
          <w:tcPr>
            <w:tcW w:w="6375" w:type="dxa"/>
            <w:gridSpan w:val="2"/>
            <w:tcBorders>
              <w:top w:val="nil"/>
              <w:left w:val="double" w:sz="6" w:space="0" w:color="auto"/>
              <w:bottom w:val="double" w:sz="6" w:space="0" w:color="auto"/>
              <w:right w:val="double" w:sz="6" w:space="0" w:color="000000"/>
            </w:tcBorders>
            <w:shd w:val="clear" w:color="000000" w:fill="FFFFFF"/>
            <w:noWrap/>
            <w:vAlign w:val="bottom"/>
            <w:hideMark/>
          </w:tcPr>
          <w:p w:rsidR="009F6DFC" w:rsidRPr="00833933" w:rsidRDefault="009F6DFC" w:rsidP="001C4AFE">
            <w:pPr>
              <w:jc w:val="center"/>
              <w:rPr>
                <w:rFonts w:ascii="Arial" w:hAnsi="Arial" w:cs="Arial"/>
                <w:b/>
                <w:bCs/>
                <w:color w:val="000000"/>
                <w:sz w:val="20"/>
                <w:szCs w:val="20"/>
                <w:lang w:val="es-CO" w:eastAsia="es-CO"/>
              </w:rPr>
            </w:pPr>
            <w:r w:rsidRPr="00833933">
              <w:rPr>
                <w:rFonts w:ascii="Arial" w:hAnsi="Arial" w:cs="Arial"/>
                <w:b/>
                <w:bCs/>
                <w:color w:val="000000"/>
                <w:sz w:val="20"/>
                <w:szCs w:val="20"/>
                <w:lang w:val="es-CO" w:eastAsia="es-CO"/>
              </w:rPr>
              <w:t>TOTAL AHORROS</w:t>
            </w:r>
          </w:p>
        </w:tc>
        <w:tc>
          <w:tcPr>
            <w:tcW w:w="1191" w:type="dxa"/>
            <w:tcBorders>
              <w:top w:val="nil"/>
              <w:left w:val="nil"/>
              <w:bottom w:val="nil"/>
              <w:right w:val="double" w:sz="6" w:space="0" w:color="auto"/>
            </w:tcBorders>
            <w:shd w:val="clear" w:color="000000" w:fill="FFFFFF"/>
            <w:noWrap/>
            <w:vAlign w:val="bottom"/>
            <w:hideMark/>
          </w:tcPr>
          <w:p w:rsidR="009F6DFC" w:rsidRPr="00833933" w:rsidRDefault="009F6DFC" w:rsidP="001C4AFE">
            <w:pPr>
              <w:jc w:val="right"/>
              <w:rPr>
                <w:rFonts w:ascii="Arial" w:hAnsi="Arial" w:cs="Arial"/>
                <w:b/>
                <w:bCs/>
                <w:sz w:val="20"/>
                <w:szCs w:val="20"/>
                <w:lang w:val="es-CO" w:eastAsia="es-CO"/>
              </w:rPr>
            </w:pPr>
            <w:r w:rsidRPr="00833933">
              <w:rPr>
                <w:rFonts w:ascii="Arial" w:hAnsi="Arial" w:cs="Arial"/>
                <w:b/>
                <w:bCs/>
                <w:sz w:val="20"/>
                <w:szCs w:val="20"/>
                <w:lang w:val="es-CO" w:eastAsia="es-CO"/>
              </w:rPr>
              <w:t>1.701.811</w:t>
            </w:r>
          </w:p>
        </w:tc>
        <w:tc>
          <w:tcPr>
            <w:tcW w:w="2429" w:type="dxa"/>
            <w:tcBorders>
              <w:top w:val="nil"/>
              <w:left w:val="double" w:sz="6" w:space="0" w:color="auto"/>
              <w:bottom w:val="double" w:sz="6" w:space="0" w:color="auto"/>
              <w:right w:val="double" w:sz="6" w:space="0" w:color="auto"/>
            </w:tcBorders>
            <w:shd w:val="clear" w:color="000000" w:fill="FFFFFF"/>
            <w:noWrap/>
            <w:vAlign w:val="bottom"/>
            <w:hideMark/>
          </w:tcPr>
          <w:p w:rsidR="009F6DFC" w:rsidRPr="00833933" w:rsidRDefault="009F6DFC" w:rsidP="001C4AFE">
            <w:pPr>
              <w:rPr>
                <w:rFonts w:ascii="Arial" w:hAnsi="Arial" w:cs="Arial"/>
                <w:color w:val="000000"/>
                <w:sz w:val="20"/>
                <w:szCs w:val="20"/>
                <w:lang w:val="es-CO" w:eastAsia="es-CO"/>
              </w:rPr>
            </w:pPr>
            <w:r w:rsidRPr="00833933">
              <w:rPr>
                <w:rFonts w:ascii="Arial" w:hAnsi="Arial" w:cs="Arial"/>
                <w:color w:val="000000"/>
                <w:sz w:val="20"/>
                <w:szCs w:val="20"/>
                <w:lang w:val="es-CO" w:eastAsia="es-CO"/>
              </w:rPr>
              <w:t> </w:t>
            </w:r>
          </w:p>
        </w:tc>
      </w:tr>
      <w:tr w:rsidR="009F6DFC" w:rsidRPr="00833933" w:rsidTr="001C4AFE">
        <w:trPr>
          <w:trHeight w:val="285"/>
        </w:trPr>
        <w:tc>
          <w:tcPr>
            <w:tcW w:w="6375" w:type="dxa"/>
            <w:gridSpan w:val="2"/>
            <w:tcBorders>
              <w:top w:val="double" w:sz="6" w:space="0" w:color="auto"/>
              <w:left w:val="double" w:sz="6" w:space="0" w:color="auto"/>
              <w:bottom w:val="double" w:sz="6" w:space="0" w:color="auto"/>
              <w:right w:val="double" w:sz="6" w:space="0" w:color="000000"/>
            </w:tcBorders>
            <w:shd w:val="clear" w:color="000000" w:fill="FFFFFF"/>
            <w:noWrap/>
            <w:vAlign w:val="bottom"/>
            <w:hideMark/>
          </w:tcPr>
          <w:p w:rsidR="009F6DFC" w:rsidRPr="00833933" w:rsidRDefault="009F6DFC" w:rsidP="001C4AFE">
            <w:pPr>
              <w:jc w:val="center"/>
              <w:rPr>
                <w:rFonts w:ascii="Arial" w:hAnsi="Arial" w:cs="Arial"/>
                <w:b/>
                <w:bCs/>
                <w:color w:val="000000"/>
                <w:sz w:val="20"/>
                <w:szCs w:val="20"/>
                <w:lang w:val="es-CO" w:eastAsia="es-CO"/>
              </w:rPr>
            </w:pPr>
            <w:r w:rsidRPr="00833933">
              <w:rPr>
                <w:rFonts w:ascii="Arial" w:hAnsi="Arial" w:cs="Arial"/>
                <w:b/>
                <w:bCs/>
                <w:color w:val="000000"/>
                <w:sz w:val="20"/>
                <w:szCs w:val="20"/>
                <w:lang w:val="es-CO" w:eastAsia="es-CO"/>
              </w:rPr>
              <w:t>TOTAL</w:t>
            </w:r>
          </w:p>
        </w:tc>
        <w:tc>
          <w:tcPr>
            <w:tcW w:w="1191" w:type="dxa"/>
            <w:tcBorders>
              <w:top w:val="double" w:sz="6" w:space="0" w:color="auto"/>
              <w:left w:val="nil"/>
              <w:bottom w:val="double" w:sz="6" w:space="0" w:color="auto"/>
              <w:right w:val="double" w:sz="6" w:space="0" w:color="auto"/>
            </w:tcBorders>
            <w:shd w:val="clear" w:color="000000" w:fill="FFFFFF"/>
            <w:noWrap/>
            <w:vAlign w:val="bottom"/>
            <w:hideMark/>
          </w:tcPr>
          <w:p w:rsidR="009F6DFC" w:rsidRPr="00833933" w:rsidRDefault="009F6DFC" w:rsidP="001C4AFE">
            <w:pPr>
              <w:jc w:val="right"/>
              <w:rPr>
                <w:rFonts w:ascii="Arial" w:hAnsi="Arial" w:cs="Arial"/>
                <w:b/>
                <w:bCs/>
                <w:sz w:val="20"/>
                <w:szCs w:val="20"/>
                <w:lang w:val="es-CO" w:eastAsia="es-CO"/>
              </w:rPr>
            </w:pPr>
            <w:r w:rsidRPr="00833933">
              <w:rPr>
                <w:rFonts w:ascii="Arial" w:hAnsi="Arial" w:cs="Arial"/>
                <w:b/>
                <w:bCs/>
                <w:sz w:val="20"/>
                <w:szCs w:val="20"/>
                <w:lang w:val="es-CO" w:eastAsia="es-CO"/>
              </w:rPr>
              <w:t>1.858.338</w:t>
            </w:r>
          </w:p>
        </w:tc>
        <w:tc>
          <w:tcPr>
            <w:tcW w:w="2429" w:type="dxa"/>
            <w:tcBorders>
              <w:top w:val="nil"/>
              <w:left w:val="nil"/>
              <w:bottom w:val="nil"/>
              <w:right w:val="nil"/>
            </w:tcBorders>
            <w:shd w:val="clear" w:color="000000" w:fill="FFFFFF"/>
            <w:noWrap/>
            <w:vAlign w:val="bottom"/>
            <w:hideMark/>
          </w:tcPr>
          <w:p w:rsidR="009F6DFC" w:rsidRPr="00833933" w:rsidRDefault="009F6DFC" w:rsidP="001C4AFE">
            <w:pPr>
              <w:rPr>
                <w:rFonts w:ascii="Arial" w:hAnsi="Arial" w:cs="Arial"/>
                <w:color w:val="000000"/>
                <w:sz w:val="20"/>
                <w:szCs w:val="20"/>
                <w:lang w:val="es-CO" w:eastAsia="es-CO"/>
              </w:rPr>
            </w:pPr>
            <w:r w:rsidRPr="00833933">
              <w:rPr>
                <w:rFonts w:ascii="Arial" w:hAnsi="Arial" w:cs="Arial"/>
                <w:color w:val="000000"/>
                <w:sz w:val="20"/>
                <w:szCs w:val="20"/>
                <w:lang w:val="es-CO" w:eastAsia="es-CO"/>
              </w:rPr>
              <w:t> </w:t>
            </w:r>
          </w:p>
        </w:tc>
      </w:tr>
    </w:tbl>
    <w:p w:rsidR="009F6DFC" w:rsidRPr="001A2AC2" w:rsidRDefault="00A85078" w:rsidP="002764B9">
      <w:pPr>
        <w:pStyle w:val="Textoindependiente"/>
        <w:ind w:left="720"/>
        <w:rPr>
          <w:rFonts w:ascii="Arial Narrow" w:hAnsi="Arial Narrow" w:cs="Gisha"/>
          <w:b w:val="0"/>
          <w:bCs w:val="0"/>
          <w:i w:val="0"/>
          <w:iCs w:val="0"/>
          <w:vanish w:val="0"/>
          <w:color w:val="auto"/>
          <w:sz w:val="22"/>
          <w:szCs w:val="22"/>
          <w:u w:val="none"/>
        </w:rPr>
      </w:pPr>
      <w:r>
        <w:rPr>
          <w:rFonts w:ascii="Arial Narrow" w:hAnsi="Arial Narrow" w:cs="Gisha"/>
          <w:b w:val="0"/>
          <w:bCs w:val="0"/>
          <w:i w:val="0"/>
          <w:iCs w:val="0"/>
          <w:vanish w:val="0"/>
          <w:color w:val="auto"/>
          <w:sz w:val="22"/>
          <w:szCs w:val="22"/>
          <w:u w:val="none"/>
        </w:rPr>
        <w:fldChar w:fldCharType="end"/>
      </w:r>
    </w:p>
    <w:p w:rsidR="002764B9" w:rsidRPr="001A2AC2" w:rsidRDefault="002764B9" w:rsidP="002764B9">
      <w:pPr>
        <w:pStyle w:val="Subttulo"/>
        <w:rPr>
          <w:rFonts w:ascii="Arial Narrow" w:hAnsi="Arial Narrow" w:cs="Gisha"/>
          <w:color w:val="auto"/>
          <w:sz w:val="22"/>
          <w:szCs w:val="22"/>
        </w:rPr>
      </w:pPr>
      <w:r w:rsidRPr="001A2AC2">
        <w:rPr>
          <w:rFonts w:ascii="Arial Narrow" w:hAnsi="Arial Narrow" w:cs="Gisha"/>
          <w:color w:val="auto"/>
          <w:sz w:val="22"/>
          <w:szCs w:val="22"/>
        </w:rPr>
        <w:t>NOTA 2.      DEUDORES</w:t>
      </w:r>
    </w:p>
    <w:p w:rsidR="002764B9" w:rsidRPr="001A2AC2" w:rsidRDefault="002764B9" w:rsidP="002764B9">
      <w:pPr>
        <w:pStyle w:val="Textoindependiente"/>
        <w:rPr>
          <w:rFonts w:ascii="Arial Narrow" w:hAnsi="Arial Narrow" w:cs="Gisha"/>
          <w:b w:val="0"/>
          <w:bCs w:val="0"/>
          <w:i w:val="0"/>
          <w:iCs w:val="0"/>
          <w:vanish w:val="0"/>
          <w:color w:val="auto"/>
          <w:sz w:val="22"/>
          <w:szCs w:val="22"/>
          <w:u w:val="none"/>
        </w:rPr>
      </w:pPr>
    </w:p>
    <w:p w:rsidR="002764B9" w:rsidRPr="001A2AC2" w:rsidRDefault="002764B9" w:rsidP="002764B9">
      <w:pPr>
        <w:jc w:val="both"/>
        <w:rPr>
          <w:rFonts w:ascii="Arial Narrow" w:hAnsi="Arial Narrow"/>
          <w:sz w:val="22"/>
          <w:szCs w:val="22"/>
        </w:rPr>
      </w:pPr>
      <w:r w:rsidRPr="001A2AC2">
        <w:rPr>
          <w:rFonts w:ascii="Arial Narrow" w:hAnsi="Arial Narrow"/>
          <w:sz w:val="22"/>
          <w:szCs w:val="22"/>
        </w:rPr>
        <w:t>Este grupo está constituido por los derechos de cobro de la Agencia por concepto de las operaciones en virtud de los contratos de concesión suscritos, recursos entregados en administración, depósitos entregados en garantía y otros deudores.</w:t>
      </w:r>
    </w:p>
    <w:p w:rsidR="002764B9" w:rsidRPr="001A2AC2" w:rsidRDefault="002764B9" w:rsidP="002764B9">
      <w:pPr>
        <w:jc w:val="both"/>
        <w:rPr>
          <w:rFonts w:ascii="Arial Narrow" w:hAnsi="Arial Narrow"/>
          <w:sz w:val="22"/>
          <w:szCs w:val="22"/>
        </w:rPr>
      </w:pPr>
    </w:p>
    <w:p w:rsidR="002764B9" w:rsidRPr="001A2AC2" w:rsidRDefault="002764B9" w:rsidP="002764B9">
      <w:pPr>
        <w:jc w:val="both"/>
        <w:rPr>
          <w:rFonts w:ascii="Arial Narrow" w:hAnsi="Arial Narrow"/>
          <w:sz w:val="22"/>
          <w:szCs w:val="22"/>
        </w:rPr>
      </w:pPr>
      <w:r w:rsidRPr="001A2AC2">
        <w:rPr>
          <w:rFonts w:ascii="Arial Narrow" w:hAnsi="Arial Narrow"/>
          <w:sz w:val="22"/>
          <w:szCs w:val="22"/>
        </w:rPr>
        <w:t>Su saldo comparativo (201</w:t>
      </w:r>
      <w:r w:rsidR="003577D3">
        <w:rPr>
          <w:rFonts w:ascii="Arial Narrow" w:hAnsi="Arial Narrow"/>
          <w:sz w:val="22"/>
          <w:szCs w:val="22"/>
        </w:rPr>
        <w:t>4</w:t>
      </w:r>
      <w:r w:rsidRPr="001A2AC2">
        <w:rPr>
          <w:rFonts w:ascii="Arial Narrow" w:hAnsi="Arial Narrow"/>
          <w:sz w:val="22"/>
          <w:szCs w:val="22"/>
        </w:rPr>
        <w:t>-201</w:t>
      </w:r>
      <w:r w:rsidR="003577D3">
        <w:rPr>
          <w:rFonts w:ascii="Arial Narrow" w:hAnsi="Arial Narrow"/>
          <w:sz w:val="22"/>
          <w:szCs w:val="22"/>
        </w:rPr>
        <w:t>5</w:t>
      </w:r>
      <w:r w:rsidRPr="001A2AC2">
        <w:rPr>
          <w:rFonts w:ascii="Arial Narrow" w:hAnsi="Arial Narrow"/>
          <w:sz w:val="22"/>
          <w:szCs w:val="22"/>
        </w:rPr>
        <w:t>) a 31 de diciembre está conformado así:</w:t>
      </w:r>
    </w:p>
    <w:p w:rsidR="002764B9" w:rsidRPr="001A2AC2" w:rsidRDefault="002764B9" w:rsidP="002764B9">
      <w:pPr>
        <w:jc w:val="both"/>
        <w:rPr>
          <w:rFonts w:ascii="Arial Narrow" w:hAnsi="Arial Narrow"/>
          <w:sz w:val="22"/>
          <w:szCs w:val="22"/>
        </w:rPr>
      </w:pPr>
    </w:p>
    <w:p w:rsidR="002764B9" w:rsidRDefault="002764B9" w:rsidP="00203771">
      <w:pPr>
        <w:jc w:val="center"/>
        <w:rPr>
          <w:rFonts w:ascii="Arial Narrow" w:hAnsi="Arial Narrow"/>
          <w:sz w:val="22"/>
          <w:szCs w:val="22"/>
        </w:rPr>
      </w:pPr>
      <w:r w:rsidRPr="00837874">
        <w:rPr>
          <w:noProof/>
          <w:lang w:val="es-CO" w:eastAsia="es-CO"/>
        </w:rPr>
        <w:drawing>
          <wp:inline distT="0" distB="0" distL="0" distR="0">
            <wp:extent cx="5612130" cy="1140643"/>
            <wp:effectExtent l="0" t="0" r="7620" b="254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1140643"/>
                    </a:xfrm>
                    <a:prstGeom prst="rect">
                      <a:avLst/>
                    </a:prstGeom>
                    <a:noFill/>
                    <a:ln>
                      <a:noFill/>
                    </a:ln>
                  </pic:spPr>
                </pic:pic>
              </a:graphicData>
            </a:graphic>
          </wp:inline>
        </w:drawing>
      </w:r>
    </w:p>
    <w:p w:rsidR="002764B9" w:rsidRDefault="002764B9" w:rsidP="002764B9">
      <w:pPr>
        <w:jc w:val="both"/>
        <w:rPr>
          <w:rFonts w:ascii="Arial Narrow" w:hAnsi="Arial Narrow"/>
          <w:sz w:val="22"/>
          <w:szCs w:val="22"/>
        </w:rPr>
      </w:pPr>
    </w:p>
    <w:p w:rsidR="00E7118E" w:rsidRDefault="00E7118E" w:rsidP="002764B9">
      <w:pPr>
        <w:jc w:val="both"/>
        <w:rPr>
          <w:rFonts w:ascii="Arial Narrow" w:hAnsi="Arial Narrow"/>
          <w:b/>
          <w:sz w:val="22"/>
          <w:szCs w:val="22"/>
        </w:rPr>
      </w:pPr>
    </w:p>
    <w:p w:rsidR="00E7118E" w:rsidRDefault="00E7118E" w:rsidP="002764B9">
      <w:pPr>
        <w:jc w:val="both"/>
        <w:rPr>
          <w:rFonts w:ascii="Arial Narrow" w:hAnsi="Arial Narrow"/>
          <w:b/>
          <w:sz w:val="22"/>
          <w:szCs w:val="22"/>
        </w:rPr>
      </w:pPr>
    </w:p>
    <w:p w:rsidR="00623432" w:rsidRDefault="00623432" w:rsidP="002764B9">
      <w:pPr>
        <w:jc w:val="both"/>
        <w:rPr>
          <w:rFonts w:ascii="Arial Narrow" w:hAnsi="Arial Narrow"/>
          <w:b/>
          <w:sz w:val="22"/>
          <w:szCs w:val="22"/>
        </w:rPr>
      </w:pPr>
    </w:p>
    <w:p w:rsidR="002764B9" w:rsidRDefault="002764B9" w:rsidP="002764B9">
      <w:pPr>
        <w:jc w:val="both"/>
        <w:rPr>
          <w:rFonts w:ascii="Arial Narrow" w:hAnsi="Arial Narrow"/>
          <w:sz w:val="22"/>
          <w:szCs w:val="22"/>
        </w:rPr>
      </w:pPr>
      <w:r w:rsidRPr="004C2FCF">
        <w:rPr>
          <w:rFonts w:ascii="Arial Narrow" w:hAnsi="Arial Narrow"/>
          <w:b/>
          <w:sz w:val="22"/>
          <w:szCs w:val="22"/>
        </w:rPr>
        <w:lastRenderedPageBreak/>
        <w:t>Ingresos no tributarios</w:t>
      </w:r>
      <w:r>
        <w:rPr>
          <w:rFonts w:ascii="Arial Narrow" w:hAnsi="Arial Narrow"/>
          <w:sz w:val="22"/>
          <w:szCs w:val="22"/>
        </w:rPr>
        <w:t>:</w:t>
      </w:r>
    </w:p>
    <w:p w:rsidR="002764B9" w:rsidRDefault="002764B9" w:rsidP="002764B9">
      <w:pPr>
        <w:jc w:val="both"/>
        <w:rPr>
          <w:rFonts w:ascii="Arial Narrow" w:hAnsi="Arial Narrow"/>
          <w:sz w:val="22"/>
          <w:szCs w:val="22"/>
        </w:rPr>
      </w:pPr>
    </w:p>
    <w:p w:rsidR="002764B9" w:rsidRDefault="002764B9" w:rsidP="002764B9">
      <w:pPr>
        <w:jc w:val="both"/>
        <w:rPr>
          <w:rFonts w:ascii="Arial Narrow" w:hAnsi="Arial Narrow"/>
          <w:sz w:val="22"/>
          <w:szCs w:val="22"/>
        </w:rPr>
      </w:pPr>
      <w:r>
        <w:rPr>
          <w:rFonts w:ascii="Arial Narrow" w:hAnsi="Arial Narrow"/>
          <w:sz w:val="22"/>
          <w:szCs w:val="22"/>
        </w:rPr>
        <w:t>El valor de $</w:t>
      </w:r>
      <w:r w:rsidRPr="001A2AC2">
        <w:rPr>
          <w:rFonts w:ascii="Arial Narrow" w:hAnsi="Arial Narrow"/>
          <w:sz w:val="22"/>
          <w:szCs w:val="22"/>
        </w:rPr>
        <w:t>240.068.587</w:t>
      </w:r>
      <w:r>
        <w:rPr>
          <w:rFonts w:ascii="Arial Narrow" w:hAnsi="Arial Narrow"/>
          <w:sz w:val="22"/>
          <w:szCs w:val="22"/>
        </w:rPr>
        <w:t xml:space="preserve"> miles reflejados en esta cuenta a 31 de diciembre de 2015, corresponde a los valores reconocidos por concepto de peajes </w:t>
      </w:r>
      <w:r w:rsidRPr="001A2AC2">
        <w:rPr>
          <w:rFonts w:ascii="Arial Narrow" w:hAnsi="Arial Narrow"/>
          <w:sz w:val="22"/>
          <w:szCs w:val="22"/>
        </w:rPr>
        <w:t xml:space="preserve">de los proyectos </w:t>
      </w:r>
      <w:r w:rsidR="004D64B6">
        <w:rPr>
          <w:rFonts w:ascii="Arial Narrow" w:hAnsi="Arial Narrow"/>
          <w:sz w:val="22"/>
          <w:szCs w:val="22"/>
        </w:rPr>
        <w:t>de 4ª generación gestionados por la Agencia,</w:t>
      </w:r>
      <w:r>
        <w:rPr>
          <w:rFonts w:ascii="Arial Narrow" w:hAnsi="Arial Narrow"/>
          <w:sz w:val="22"/>
          <w:szCs w:val="22"/>
        </w:rPr>
        <w:t xml:space="preserve"> </w:t>
      </w:r>
      <w:r w:rsidR="004D64B6">
        <w:rPr>
          <w:rFonts w:ascii="Arial Narrow" w:hAnsi="Arial Narrow"/>
          <w:sz w:val="22"/>
          <w:szCs w:val="22"/>
        </w:rPr>
        <w:t>causadas en la vigencia 2015 y se</w:t>
      </w:r>
      <w:r>
        <w:rPr>
          <w:rFonts w:ascii="Arial Narrow" w:hAnsi="Arial Narrow"/>
          <w:sz w:val="22"/>
          <w:szCs w:val="22"/>
        </w:rPr>
        <w:t xml:space="preserve"> discrimina</w:t>
      </w:r>
      <w:r w:rsidR="004D64B6">
        <w:rPr>
          <w:rFonts w:ascii="Arial Narrow" w:hAnsi="Arial Narrow"/>
          <w:sz w:val="22"/>
          <w:szCs w:val="22"/>
        </w:rPr>
        <w:t xml:space="preserve">n, así: </w:t>
      </w:r>
    </w:p>
    <w:p w:rsidR="002764B9" w:rsidRDefault="002764B9" w:rsidP="002764B9">
      <w:pPr>
        <w:jc w:val="both"/>
        <w:rPr>
          <w:rFonts w:ascii="Arial Narrow" w:hAnsi="Arial Narrow"/>
          <w:sz w:val="22"/>
          <w:szCs w:val="22"/>
        </w:rPr>
      </w:pPr>
    </w:p>
    <w:p w:rsidR="002764B9" w:rsidRPr="00CE2A3A" w:rsidRDefault="002764B9" w:rsidP="00853B3A">
      <w:pPr>
        <w:pStyle w:val="Prrafodelista"/>
        <w:numPr>
          <w:ilvl w:val="0"/>
          <w:numId w:val="13"/>
        </w:numPr>
        <w:jc w:val="both"/>
        <w:rPr>
          <w:sz w:val="22"/>
          <w:szCs w:val="22"/>
        </w:rPr>
      </w:pPr>
      <w:r>
        <w:rPr>
          <w:sz w:val="22"/>
          <w:szCs w:val="22"/>
        </w:rPr>
        <w:t>S</w:t>
      </w:r>
      <w:r w:rsidRPr="00CE2A3A">
        <w:rPr>
          <w:sz w:val="22"/>
          <w:szCs w:val="22"/>
        </w:rPr>
        <w:t>ociedad conc</w:t>
      </w:r>
      <w:r>
        <w:rPr>
          <w:sz w:val="22"/>
          <w:szCs w:val="22"/>
        </w:rPr>
        <w:t>esionaria  V</w:t>
      </w:r>
      <w:r w:rsidRPr="00CE2A3A">
        <w:rPr>
          <w:sz w:val="22"/>
          <w:szCs w:val="22"/>
        </w:rPr>
        <w:t>ial Montes de Maria SAS</w:t>
      </w:r>
      <w:r w:rsidRPr="00CE2A3A">
        <w:rPr>
          <w:sz w:val="22"/>
          <w:szCs w:val="22"/>
        </w:rPr>
        <w:tab/>
      </w:r>
      <w:r>
        <w:rPr>
          <w:sz w:val="22"/>
          <w:szCs w:val="22"/>
        </w:rPr>
        <w:t>por valor de $</w:t>
      </w:r>
      <w:r w:rsidRPr="00CE2A3A">
        <w:rPr>
          <w:sz w:val="22"/>
          <w:szCs w:val="22"/>
        </w:rPr>
        <w:t>6.781.98</w:t>
      </w:r>
      <w:r w:rsidR="00F770A6">
        <w:rPr>
          <w:sz w:val="22"/>
          <w:szCs w:val="22"/>
        </w:rPr>
        <w:t>8</w:t>
      </w:r>
      <w:r>
        <w:rPr>
          <w:sz w:val="22"/>
          <w:szCs w:val="22"/>
        </w:rPr>
        <w:t xml:space="preserve"> miles </w:t>
      </w:r>
    </w:p>
    <w:p w:rsidR="002764B9" w:rsidRDefault="002764B9" w:rsidP="00853B3A">
      <w:pPr>
        <w:pStyle w:val="Prrafodelista"/>
        <w:numPr>
          <w:ilvl w:val="0"/>
          <w:numId w:val="13"/>
        </w:numPr>
        <w:jc w:val="both"/>
        <w:rPr>
          <w:sz w:val="22"/>
          <w:szCs w:val="22"/>
        </w:rPr>
      </w:pPr>
      <w:r w:rsidRPr="00CE2A3A">
        <w:rPr>
          <w:sz w:val="22"/>
          <w:szCs w:val="22"/>
        </w:rPr>
        <w:t>Concesión del Sisga SAS</w:t>
      </w:r>
      <w:r w:rsidRPr="00CE2A3A">
        <w:rPr>
          <w:sz w:val="22"/>
          <w:szCs w:val="22"/>
        </w:rPr>
        <w:tab/>
        <w:t xml:space="preserve">por valor de $656.586 miles </w:t>
      </w:r>
    </w:p>
    <w:p w:rsidR="002764B9" w:rsidRPr="00CE2A3A" w:rsidRDefault="002764B9" w:rsidP="00853B3A">
      <w:pPr>
        <w:pStyle w:val="Prrafodelista"/>
        <w:numPr>
          <w:ilvl w:val="0"/>
          <w:numId w:val="13"/>
        </w:numPr>
        <w:jc w:val="both"/>
        <w:rPr>
          <w:sz w:val="22"/>
          <w:szCs w:val="22"/>
        </w:rPr>
      </w:pPr>
      <w:r w:rsidRPr="00CE2A3A">
        <w:rPr>
          <w:sz w:val="22"/>
          <w:szCs w:val="22"/>
        </w:rPr>
        <w:t>Concesión Cesar Guajira S.A.S.</w:t>
      </w:r>
      <w:r>
        <w:rPr>
          <w:sz w:val="22"/>
          <w:szCs w:val="22"/>
        </w:rPr>
        <w:t xml:space="preserve"> por valor de $2.752.431 miles</w:t>
      </w:r>
    </w:p>
    <w:p w:rsidR="002764B9" w:rsidRPr="00CE2A3A" w:rsidRDefault="002764B9" w:rsidP="00853B3A">
      <w:pPr>
        <w:pStyle w:val="Prrafodelista"/>
        <w:numPr>
          <w:ilvl w:val="0"/>
          <w:numId w:val="13"/>
        </w:numPr>
        <w:jc w:val="both"/>
        <w:rPr>
          <w:sz w:val="22"/>
          <w:szCs w:val="22"/>
        </w:rPr>
      </w:pPr>
      <w:r w:rsidRPr="00CE2A3A">
        <w:rPr>
          <w:sz w:val="22"/>
          <w:szCs w:val="22"/>
        </w:rPr>
        <w:t>Concesionaria Vial del Oriente S.A.S.</w:t>
      </w:r>
      <w:r>
        <w:rPr>
          <w:sz w:val="22"/>
          <w:szCs w:val="22"/>
        </w:rPr>
        <w:t xml:space="preserve"> por $</w:t>
      </w:r>
      <w:r w:rsidRPr="00CE2A3A">
        <w:rPr>
          <w:sz w:val="22"/>
          <w:szCs w:val="22"/>
        </w:rPr>
        <w:t>11.372.36</w:t>
      </w:r>
      <w:r>
        <w:rPr>
          <w:sz w:val="22"/>
          <w:szCs w:val="22"/>
        </w:rPr>
        <w:t>9 miles</w:t>
      </w:r>
    </w:p>
    <w:p w:rsidR="002764B9" w:rsidRPr="00CE2A3A" w:rsidRDefault="002764B9" w:rsidP="00853B3A">
      <w:pPr>
        <w:pStyle w:val="Prrafodelista"/>
        <w:numPr>
          <w:ilvl w:val="0"/>
          <w:numId w:val="13"/>
        </w:numPr>
        <w:jc w:val="both"/>
        <w:rPr>
          <w:sz w:val="22"/>
          <w:szCs w:val="22"/>
        </w:rPr>
      </w:pPr>
      <w:r w:rsidRPr="00CE2A3A">
        <w:rPr>
          <w:sz w:val="22"/>
          <w:szCs w:val="22"/>
        </w:rPr>
        <w:t>Concesionaria Alternativas Viales S.A.S.</w:t>
      </w:r>
      <w:r>
        <w:rPr>
          <w:sz w:val="22"/>
          <w:szCs w:val="22"/>
        </w:rPr>
        <w:t xml:space="preserve"> por $</w:t>
      </w:r>
      <w:r w:rsidRPr="00CE2A3A">
        <w:rPr>
          <w:sz w:val="22"/>
          <w:szCs w:val="22"/>
        </w:rPr>
        <w:t>4.489.99</w:t>
      </w:r>
      <w:r>
        <w:rPr>
          <w:sz w:val="22"/>
          <w:szCs w:val="22"/>
        </w:rPr>
        <w:t>2 miles</w:t>
      </w:r>
    </w:p>
    <w:p w:rsidR="002764B9" w:rsidRPr="00CE2A3A" w:rsidRDefault="002764B9" w:rsidP="00853B3A">
      <w:pPr>
        <w:pStyle w:val="Prrafodelista"/>
        <w:numPr>
          <w:ilvl w:val="0"/>
          <w:numId w:val="13"/>
        </w:numPr>
        <w:jc w:val="both"/>
        <w:rPr>
          <w:sz w:val="22"/>
          <w:szCs w:val="22"/>
        </w:rPr>
      </w:pPr>
      <w:r w:rsidRPr="00CE2A3A">
        <w:rPr>
          <w:sz w:val="22"/>
          <w:szCs w:val="22"/>
        </w:rPr>
        <w:t>Aliadas para el Progreso S.A.S</w:t>
      </w:r>
      <w:r>
        <w:rPr>
          <w:sz w:val="22"/>
          <w:szCs w:val="22"/>
        </w:rPr>
        <w:t xml:space="preserve"> por $</w:t>
      </w:r>
      <w:r w:rsidRPr="00CE2A3A">
        <w:rPr>
          <w:sz w:val="22"/>
          <w:szCs w:val="22"/>
        </w:rPr>
        <w:t>5.028.586</w:t>
      </w:r>
      <w:r>
        <w:rPr>
          <w:sz w:val="22"/>
          <w:szCs w:val="22"/>
        </w:rPr>
        <w:t xml:space="preserve"> miles</w:t>
      </w:r>
    </w:p>
    <w:p w:rsidR="002764B9" w:rsidRPr="00CE2A3A" w:rsidRDefault="002764B9" w:rsidP="00853B3A">
      <w:pPr>
        <w:pStyle w:val="Prrafodelista"/>
        <w:numPr>
          <w:ilvl w:val="0"/>
          <w:numId w:val="13"/>
        </w:numPr>
        <w:jc w:val="both"/>
        <w:rPr>
          <w:sz w:val="22"/>
          <w:szCs w:val="22"/>
        </w:rPr>
      </w:pPr>
      <w:r w:rsidRPr="00CE2A3A">
        <w:rPr>
          <w:sz w:val="22"/>
          <w:szCs w:val="22"/>
        </w:rPr>
        <w:t xml:space="preserve">Concesionaria Ruta del Cacao </w:t>
      </w:r>
      <w:r>
        <w:rPr>
          <w:sz w:val="22"/>
          <w:szCs w:val="22"/>
        </w:rPr>
        <w:t>S.A.S por $</w:t>
      </w:r>
      <w:r w:rsidRPr="00CE2A3A">
        <w:rPr>
          <w:sz w:val="22"/>
          <w:szCs w:val="22"/>
        </w:rPr>
        <w:t>2.732.161</w:t>
      </w:r>
      <w:r>
        <w:rPr>
          <w:sz w:val="22"/>
          <w:szCs w:val="22"/>
        </w:rPr>
        <w:t xml:space="preserve"> miles</w:t>
      </w:r>
    </w:p>
    <w:p w:rsidR="002764B9" w:rsidRPr="00CE2A3A" w:rsidRDefault="002764B9" w:rsidP="00853B3A">
      <w:pPr>
        <w:pStyle w:val="Prrafodelista"/>
        <w:numPr>
          <w:ilvl w:val="0"/>
          <w:numId w:val="13"/>
        </w:numPr>
        <w:jc w:val="both"/>
        <w:rPr>
          <w:sz w:val="22"/>
          <w:szCs w:val="22"/>
        </w:rPr>
      </w:pPr>
      <w:r w:rsidRPr="00CE2A3A">
        <w:rPr>
          <w:sz w:val="22"/>
          <w:szCs w:val="22"/>
        </w:rPr>
        <w:t>Concesionaria Vial Unión del Sur</w:t>
      </w:r>
      <w:r>
        <w:rPr>
          <w:sz w:val="22"/>
          <w:szCs w:val="22"/>
        </w:rPr>
        <w:t xml:space="preserve"> por valor de $</w:t>
      </w:r>
      <w:r w:rsidRPr="00CE2A3A">
        <w:rPr>
          <w:sz w:val="22"/>
          <w:szCs w:val="22"/>
        </w:rPr>
        <w:t>3.648.17</w:t>
      </w:r>
      <w:r>
        <w:rPr>
          <w:sz w:val="22"/>
          <w:szCs w:val="22"/>
        </w:rPr>
        <w:t>6 miles</w:t>
      </w:r>
    </w:p>
    <w:p w:rsidR="002764B9" w:rsidRPr="00CE2A3A" w:rsidRDefault="002764B9" w:rsidP="00853B3A">
      <w:pPr>
        <w:pStyle w:val="Prrafodelista"/>
        <w:numPr>
          <w:ilvl w:val="0"/>
          <w:numId w:val="13"/>
        </w:numPr>
        <w:jc w:val="both"/>
        <w:rPr>
          <w:sz w:val="22"/>
          <w:szCs w:val="22"/>
        </w:rPr>
      </w:pPr>
      <w:r w:rsidRPr="00CE2A3A">
        <w:rPr>
          <w:sz w:val="22"/>
          <w:szCs w:val="22"/>
        </w:rPr>
        <w:t>Consorcio Ruta al Mar</w:t>
      </w:r>
      <w:r>
        <w:rPr>
          <w:sz w:val="22"/>
          <w:szCs w:val="22"/>
        </w:rPr>
        <w:t xml:space="preserve"> por valor de $</w:t>
      </w:r>
      <w:r w:rsidRPr="00CE2A3A">
        <w:rPr>
          <w:sz w:val="22"/>
          <w:szCs w:val="22"/>
        </w:rPr>
        <w:t>2.366.265</w:t>
      </w:r>
      <w:r>
        <w:rPr>
          <w:sz w:val="22"/>
          <w:szCs w:val="22"/>
        </w:rPr>
        <w:t xml:space="preserve"> miles</w:t>
      </w:r>
    </w:p>
    <w:p w:rsidR="002764B9" w:rsidRPr="00CE2A3A" w:rsidRDefault="002764B9" w:rsidP="00853B3A">
      <w:pPr>
        <w:pStyle w:val="Prrafodelista"/>
        <w:numPr>
          <w:ilvl w:val="0"/>
          <w:numId w:val="13"/>
        </w:numPr>
        <w:jc w:val="both"/>
        <w:rPr>
          <w:sz w:val="22"/>
          <w:szCs w:val="22"/>
        </w:rPr>
      </w:pPr>
      <w:r w:rsidRPr="00CE2A3A">
        <w:rPr>
          <w:sz w:val="22"/>
          <w:szCs w:val="22"/>
        </w:rPr>
        <w:t>Concesión Vial de los Llanos SAS</w:t>
      </w:r>
      <w:r w:rsidRPr="00CE2A3A">
        <w:rPr>
          <w:sz w:val="22"/>
          <w:szCs w:val="22"/>
        </w:rPr>
        <w:tab/>
      </w:r>
      <w:r>
        <w:rPr>
          <w:sz w:val="22"/>
          <w:szCs w:val="22"/>
        </w:rPr>
        <w:t>por valor de $</w:t>
      </w:r>
      <w:r w:rsidRPr="00CE2A3A">
        <w:rPr>
          <w:sz w:val="22"/>
          <w:szCs w:val="22"/>
        </w:rPr>
        <w:t>47.691.15</w:t>
      </w:r>
      <w:r>
        <w:rPr>
          <w:sz w:val="22"/>
          <w:szCs w:val="22"/>
        </w:rPr>
        <w:t>7 miles</w:t>
      </w:r>
    </w:p>
    <w:p w:rsidR="002764B9" w:rsidRPr="00CE2A3A" w:rsidRDefault="002764B9" w:rsidP="00853B3A">
      <w:pPr>
        <w:pStyle w:val="Prrafodelista"/>
        <w:numPr>
          <w:ilvl w:val="0"/>
          <w:numId w:val="13"/>
        </w:numPr>
        <w:jc w:val="both"/>
        <w:rPr>
          <w:sz w:val="22"/>
          <w:szCs w:val="22"/>
        </w:rPr>
      </w:pPr>
      <w:r w:rsidRPr="00CE2A3A">
        <w:rPr>
          <w:sz w:val="22"/>
          <w:szCs w:val="22"/>
        </w:rPr>
        <w:t xml:space="preserve">Autopista Rio Magdalena </w:t>
      </w:r>
      <w:r>
        <w:rPr>
          <w:sz w:val="22"/>
          <w:szCs w:val="22"/>
        </w:rPr>
        <w:t>SAS por valor de $</w:t>
      </w:r>
      <w:r w:rsidRPr="00CE2A3A">
        <w:rPr>
          <w:sz w:val="22"/>
          <w:szCs w:val="22"/>
        </w:rPr>
        <w:t>2.201.876</w:t>
      </w:r>
      <w:r>
        <w:rPr>
          <w:sz w:val="22"/>
          <w:szCs w:val="22"/>
        </w:rPr>
        <w:t xml:space="preserve"> miles</w:t>
      </w:r>
    </w:p>
    <w:p w:rsidR="002764B9" w:rsidRPr="00CE2A3A" w:rsidRDefault="002764B9" w:rsidP="00853B3A">
      <w:pPr>
        <w:pStyle w:val="Prrafodelista"/>
        <w:numPr>
          <w:ilvl w:val="0"/>
          <w:numId w:val="13"/>
        </w:numPr>
        <w:jc w:val="both"/>
        <w:rPr>
          <w:sz w:val="22"/>
          <w:szCs w:val="22"/>
        </w:rPr>
      </w:pPr>
      <w:r w:rsidRPr="00CE2A3A">
        <w:rPr>
          <w:sz w:val="22"/>
          <w:szCs w:val="22"/>
        </w:rPr>
        <w:t>Concesión Pacifico 3 SAS</w:t>
      </w:r>
      <w:r w:rsidRPr="00CE2A3A">
        <w:rPr>
          <w:sz w:val="22"/>
          <w:szCs w:val="22"/>
        </w:rPr>
        <w:tab/>
      </w:r>
      <w:r>
        <w:rPr>
          <w:sz w:val="22"/>
          <w:szCs w:val="22"/>
        </w:rPr>
        <w:t>por valor de $</w:t>
      </w:r>
      <w:r w:rsidRPr="00CE2A3A">
        <w:rPr>
          <w:sz w:val="22"/>
          <w:szCs w:val="22"/>
        </w:rPr>
        <w:t>18.349.017</w:t>
      </w:r>
      <w:r>
        <w:rPr>
          <w:sz w:val="22"/>
          <w:szCs w:val="22"/>
        </w:rPr>
        <w:t xml:space="preserve"> miles</w:t>
      </w:r>
    </w:p>
    <w:p w:rsidR="002764B9" w:rsidRPr="00CE2A3A" w:rsidRDefault="002764B9" w:rsidP="00853B3A">
      <w:pPr>
        <w:pStyle w:val="Prrafodelista"/>
        <w:numPr>
          <w:ilvl w:val="0"/>
          <w:numId w:val="13"/>
        </w:numPr>
        <w:jc w:val="both"/>
        <w:rPr>
          <w:sz w:val="22"/>
          <w:szCs w:val="22"/>
        </w:rPr>
      </w:pPr>
      <w:r w:rsidRPr="00CE2A3A">
        <w:rPr>
          <w:sz w:val="22"/>
          <w:szCs w:val="22"/>
        </w:rPr>
        <w:t>Perimetral Oriental de Bogotá SAS</w:t>
      </w:r>
      <w:r w:rsidRPr="00CE2A3A">
        <w:rPr>
          <w:sz w:val="22"/>
          <w:szCs w:val="22"/>
        </w:rPr>
        <w:tab/>
      </w:r>
      <w:r>
        <w:rPr>
          <w:sz w:val="22"/>
          <w:szCs w:val="22"/>
        </w:rPr>
        <w:t>por valor de $</w:t>
      </w:r>
      <w:r w:rsidRPr="00CE2A3A">
        <w:rPr>
          <w:sz w:val="22"/>
          <w:szCs w:val="22"/>
        </w:rPr>
        <w:t>12.988.13</w:t>
      </w:r>
      <w:r>
        <w:rPr>
          <w:sz w:val="22"/>
          <w:szCs w:val="22"/>
        </w:rPr>
        <w:t>3 miles</w:t>
      </w:r>
    </w:p>
    <w:p w:rsidR="002764B9" w:rsidRPr="00CE2A3A" w:rsidRDefault="002764B9" w:rsidP="00853B3A">
      <w:pPr>
        <w:pStyle w:val="Prrafodelista"/>
        <w:numPr>
          <w:ilvl w:val="0"/>
          <w:numId w:val="13"/>
        </w:numPr>
        <w:jc w:val="both"/>
        <w:rPr>
          <w:sz w:val="22"/>
          <w:szCs w:val="22"/>
        </w:rPr>
      </w:pPr>
      <w:r w:rsidRPr="00CE2A3A">
        <w:rPr>
          <w:sz w:val="22"/>
          <w:szCs w:val="22"/>
        </w:rPr>
        <w:t>Concesionaria Vial del Pacifico SAS</w:t>
      </w:r>
      <w:r>
        <w:rPr>
          <w:sz w:val="22"/>
          <w:szCs w:val="22"/>
        </w:rPr>
        <w:t xml:space="preserve"> por $</w:t>
      </w:r>
      <w:r w:rsidRPr="00CE2A3A">
        <w:rPr>
          <w:sz w:val="22"/>
          <w:szCs w:val="22"/>
        </w:rPr>
        <w:t>13.435.01</w:t>
      </w:r>
      <w:r>
        <w:rPr>
          <w:sz w:val="22"/>
          <w:szCs w:val="22"/>
        </w:rPr>
        <w:t>4 miles</w:t>
      </w:r>
    </w:p>
    <w:p w:rsidR="002764B9" w:rsidRPr="00CE2A3A" w:rsidRDefault="002764B9" w:rsidP="00853B3A">
      <w:pPr>
        <w:pStyle w:val="Prrafodelista"/>
        <w:numPr>
          <w:ilvl w:val="0"/>
          <w:numId w:val="13"/>
        </w:numPr>
        <w:jc w:val="both"/>
        <w:rPr>
          <w:sz w:val="22"/>
          <w:szCs w:val="22"/>
        </w:rPr>
      </w:pPr>
      <w:r w:rsidRPr="00CE2A3A">
        <w:rPr>
          <w:sz w:val="22"/>
          <w:szCs w:val="22"/>
        </w:rPr>
        <w:t>Concesión la Pintada SAS</w:t>
      </w:r>
      <w:r>
        <w:rPr>
          <w:sz w:val="22"/>
          <w:szCs w:val="22"/>
        </w:rPr>
        <w:t xml:space="preserve"> por $</w:t>
      </w:r>
      <w:r w:rsidRPr="00CE2A3A">
        <w:rPr>
          <w:sz w:val="22"/>
          <w:szCs w:val="22"/>
        </w:rPr>
        <w:t>16.854.36</w:t>
      </w:r>
      <w:r>
        <w:rPr>
          <w:sz w:val="22"/>
          <w:szCs w:val="22"/>
        </w:rPr>
        <w:t xml:space="preserve">4 miles </w:t>
      </w:r>
    </w:p>
    <w:p w:rsidR="002764B9" w:rsidRPr="00CE2A3A" w:rsidRDefault="002764B9" w:rsidP="00853B3A">
      <w:pPr>
        <w:pStyle w:val="Prrafodelista"/>
        <w:numPr>
          <w:ilvl w:val="0"/>
          <w:numId w:val="13"/>
        </w:numPr>
        <w:jc w:val="both"/>
        <w:rPr>
          <w:sz w:val="22"/>
          <w:szCs w:val="22"/>
        </w:rPr>
      </w:pPr>
      <w:r w:rsidRPr="00CE2A3A">
        <w:rPr>
          <w:sz w:val="22"/>
          <w:szCs w:val="22"/>
        </w:rPr>
        <w:t>Concesionaria Vial de Colombia SAS</w:t>
      </w:r>
      <w:r>
        <w:rPr>
          <w:sz w:val="22"/>
          <w:szCs w:val="22"/>
        </w:rPr>
        <w:t xml:space="preserve"> por $</w:t>
      </w:r>
      <w:r w:rsidRPr="00CE2A3A">
        <w:rPr>
          <w:sz w:val="22"/>
          <w:szCs w:val="22"/>
        </w:rPr>
        <w:t>55.829.41</w:t>
      </w:r>
      <w:r>
        <w:rPr>
          <w:sz w:val="22"/>
          <w:szCs w:val="22"/>
        </w:rPr>
        <w:t>5 miles</w:t>
      </w:r>
    </w:p>
    <w:p w:rsidR="002764B9" w:rsidRPr="00CE2A3A" w:rsidRDefault="002764B9" w:rsidP="00853B3A">
      <w:pPr>
        <w:pStyle w:val="Prrafodelista"/>
        <w:numPr>
          <w:ilvl w:val="0"/>
          <w:numId w:val="13"/>
        </w:numPr>
        <w:jc w:val="both"/>
        <w:rPr>
          <w:sz w:val="22"/>
          <w:szCs w:val="22"/>
        </w:rPr>
      </w:pPr>
      <w:r w:rsidRPr="00CE2A3A">
        <w:rPr>
          <w:sz w:val="22"/>
          <w:szCs w:val="22"/>
        </w:rPr>
        <w:t>Concesionario Loboguerre</w:t>
      </w:r>
      <w:r>
        <w:rPr>
          <w:sz w:val="22"/>
          <w:szCs w:val="22"/>
        </w:rPr>
        <w:t>r</w:t>
      </w:r>
      <w:r w:rsidRPr="00CE2A3A">
        <w:rPr>
          <w:sz w:val="22"/>
          <w:szCs w:val="22"/>
        </w:rPr>
        <w:t>o Buga SAS</w:t>
      </w:r>
      <w:r>
        <w:rPr>
          <w:sz w:val="22"/>
          <w:szCs w:val="22"/>
        </w:rPr>
        <w:t xml:space="preserve"> por $1</w:t>
      </w:r>
      <w:r w:rsidRPr="00CE2A3A">
        <w:rPr>
          <w:sz w:val="22"/>
          <w:szCs w:val="22"/>
        </w:rPr>
        <w:t>2.089.994</w:t>
      </w:r>
      <w:r>
        <w:rPr>
          <w:sz w:val="22"/>
          <w:szCs w:val="22"/>
        </w:rPr>
        <w:t xml:space="preserve"> miles</w:t>
      </w:r>
    </w:p>
    <w:p w:rsidR="002764B9" w:rsidRPr="00CE2A3A" w:rsidRDefault="002764B9" w:rsidP="00853B3A">
      <w:pPr>
        <w:pStyle w:val="Prrafodelista"/>
        <w:numPr>
          <w:ilvl w:val="0"/>
          <w:numId w:val="13"/>
        </w:numPr>
        <w:jc w:val="both"/>
        <w:rPr>
          <w:sz w:val="22"/>
          <w:szCs w:val="22"/>
        </w:rPr>
      </w:pPr>
      <w:r>
        <w:rPr>
          <w:sz w:val="22"/>
          <w:szCs w:val="22"/>
        </w:rPr>
        <w:t>C</w:t>
      </w:r>
      <w:r w:rsidRPr="00CE2A3A">
        <w:rPr>
          <w:sz w:val="22"/>
          <w:szCs w:val="22"/>
        </w:rPr>
        <w:t>onsorcio Interventoría de las Américas</w:t>
      </w:r>
      <w:r>
        <w:rPr>
          <w:sz w:val="22"/>
          <w:szCs w:val="22"/>
        </w:rPr>
        <w:t xml:space="preserve"> por valor de $</w:t>
      </w:r>
      <w:r w:rsidRPr="00CE2A3A">
        <w:rPr>
          <w:sz w:val="22"/>
          <w:szCs w:val="22"/>
        </w:rPr>
        <w:t>2.169.350</w:t>
      </w:r>
      <w:r>
        <w:rPr>
          <w:sz w:val="22"/>
          <w:szCs w:val="22"/>
        </w:rPr>
        <w:t xml:space="preserve"> miles</w:t>
      </w:r>
    </w:p>
    <w:p w:rsidR="002764B9" w:rsidRDefault="002764B9" w:rsidP="00853B3A">
      <w:pPr>
        <w:pStyle w:val="Prrafodelista"/>
        <w:numPr>
          <w:ilvl w:val="0"/>
          <w:numId w:val="13"/>
        </w:numPr>
        <w:jc w:val="both"/>
        <w:rPr>
          <w:sz w:val="22"/>
          <w:szCs w:val="22"/>
        </w:rPr>
      </w:pPr>
      <w:r w:rsidRPr="00B55DDE">
        <w:rPr>
          <w:sz w:val="22"/>
          <w:szCs w:val="22"/>
        </w:rPr>
        <w:t>Vías de las Américas SAS por valor de $16.298.021 miles</w:t>
      </w:r>
    </w:p>
    <w:p w:rsidR="002764B9" w:rsidRPr="00B55DDE" w:rsidRDefault="002764B9" w:rsidP="00853B3A">
      <w:pPr>
        <w:pStyle w:val="Prrafodelista"/>
        <w:numPr>
          <w:ilvl w:val="0"/>
          <w:numId w:val="13"/>
        </w:numPr>
        <w:jc w:val="both"/>
        <w:rPr>
          <w:sz w:val="22"/>
          <w:szCs w:val="22"/>
        </w:rPr>
      </w:pPr>
      <w:r w:rsidRPr="00B55DDE">
        <w:rPr>
          <w:sz w:val="22"/>
          <w:szCs w:val="22"/>
        </w:rPr>
        <w:t>CSS Constructores S.A.</w:t>
      </w:r>
      <w:r>
        <w:rPr>
          <w:sz w:val="22"/>
          <w:szCs w:val="22"/>
        </w:rPr>
        <w:t xml:space="preserve"> por $</w:t>
      </w:r>
      <w:r w:rsidRPr="00B55DDE">
        <w:rPr>
          <w:sz w:val="22"/>
          <w:szCs w:val="22"/>
        </w:rPr>
        <w:t>1.977.345</w:t>
      </w:r>
      <w:r>
        <w:rPr>
          <w:sz w:val="22"/>
          <w:szCs w:val="22"/>
        </w:rPr>
        <w:t xml:space="preserve"> miles</w:t>
      </w:r>
    </w:p>
    <w:p w:rsidR="002764B9" w:rsidRDefault="002764B9" w:rsidP="00853B3A">
      <w:pPr>
        <w:pStyle w:val="Prrafodelista"/>
        <w:numPr>
          <w:ilvl w:val="0"/>
          <w:numId w:val="13"/>
        </w:numPr>
        <w:jc w:val="both"/>
        <w:rPr>
          <w:sz w:val="22"/>
          <w:szCs w:val="22"/>
        </w:rPr>
      </w:pPr>
      <w:r w:rsidRPr="00CE2A3A">
        <w:rPr>
          <w:sz w:val="22"/>
          <w:szCs w:val="22"/>
        </w:rPr>
        <w:t>Sociedad Desarrollo Vial de Nariño</w:t>
      </w:r>
      <w:r w:rsidRPr="00CE2A3A">
        <w:rPr>
          <w:sz w:val="22"/>
          <w:szCs w:val="22"/>
        </w:rPr>
        <w:tab/>
      </w:r>
      <w:r>
        <w:rPr>
          <w:sz w:val="22"/>
          <w:szCs w:val="22"/>
        </w:rPr>
        <w:t xml:space="preserve"> por valor de $</w:t>
      </w:r>
      <w:r w:rsidRPr="00CE2A3A">
        <w:rPr>
          <w:sz w:val="22"/>
          <w:szCs w:val="22"/>
        </w:rPr>
        <w:t>291.55</w:t>
      </w:r>
      <w:r>
        <w:rPr>
          <w:sz w:val="22"/>
          <w:szCs w:val="22"/>
        </w:rPr>
        <w:t>2 miles y</w:t>
      </w:r>
    </w:p>
    <w:p w:rsidR="002764B9" w:rsidRDefault="002764B9" w:rsidP="00853B3A">
      <w:pPr>
        <w:pStyle w:val="Prrafodelista"/>
        <w:numPr>
          <w:ilvl w:val="0"/>
          <w:numId w:val="13"/>
        </w:numPr>
        <w:jc w:val="both"/>
        <w:rPr>
          <w:sz w:val="22"/>
          <w:szCs w:val="22"/>
        </w:rPr>
      </w:pPr>
      <w:r w:rsidRPr="00B55DDE">
        <w:rPr>
          <w:sz w:val="22"/>
          <w:szCs w:val="22"/>
        </w:rPr>
        <w:t>Concesionario Loboguerre</w:t>
      </w:r>
      <w:r>
        <w:rPr>
          <w:sz w:val="22"/>
          <w:szCs w:val="22"/>
        </w:rPr>
        <w:t>r</w:t>
      </w:r>
      <w:r w:rsidRPr="00B55DDE">
        <w:rPr>
          <w:sz w:val="22"/>
          <w:szCs w:val="22"/>
        </w:rPr>
        <w:t>o Buga SAS</w:t>
      </w:r>
      <w:r>
        <w:rPr>
          <w:sz w:val="22"/>
          <w:szCs w:val="22"/>
        </w:rPr>
        <w:t xml:space="preserve"> por valor de $64.796 miles.</w:t>
      </w:r>
    </w:p>
    <w:p w:rsidR="002764B9" w:rsidRPr="00B55DDE" w:rsidRDefault="002764B9" w:rsidP="002764B9">
      <w:pPr>
        <w:jc w:val="both"/>
        <w:rPr>
          <w:rFonts w:ascii="Arial Narrow" w:hAnsi="Arial Narrow"/>
          <w:sz w:val="22"/>
          <w:szCs w:val="22"/>
        </w:rPr>
      </w:pPr>
    </w:p>
    <w:p w:rsidR="002764B9" w:rsidRDefault="002764B9" w:rsidP="002764B9">
      <w:pPr>
        <w:jc w:val="both"/>
        <w:rPr>
          <w:rFonts w:ascii="Arial Narrow" w:hAnsi="Arial Narrow"/>
          <w:sz w:val="22"/>
          <w:szCs w:val="22"/>
        </w:rPr>
      </w:pPr>
      <w:r>
        <w:rPr>
          <w:rFonts w:ascii="Arial Narrow" w:hAnsi="Arial Narrow"/>
          <w:sz w:val="22"/>
          <w:szCs w:val="22"/>
        </w:rPr>
        <w:t>Estos valores corresponden a los recaudos de peajes de la vigencia 2015 informado</w:t>
      </w:r>
      <w:r w:rsidR="004D64B6">
        <w:rPr>
          <w:rFonts w:ascii="Arial Narrow" w:hAnsi="Arial Narrow"/>
          <w:sz w:val="22"/>
          <w:szCs w:val="22"/>
        </w:rPr>
        <w:t>s por los concesionarios en el F</w:t>
      </w:r>
      <w:r>
        <w:rPr>
          <w:rFonts w:ascii="Arial Narrow" w:hAnsi="Arial Narrow"/>
          <w:sz w:val="22"/>
          <w:szCs w:val="22"/>
        </w:rPr>
        <w:t>ormato</w:t>
      </w:r>
      <w:r w:rsidRPr="00B55DDE">
        <w:t xml:space="preserve"> </w:t>
      </w:r>
      <w:r w:rsidRPr="00B55DDE">
        <w:rPr>
          <w:rFonts w:ascii="Arial Narrow" w:hAnsi="Arial Narrow"/>
          <w:sz w:val="22"/>
          <w:szCs w:val="22"/>
        </w:rPr>
        <w:t>GCSP-F-009</w:t>
      </w:r>
      <w:r>
        <w:rPr>
          <w:rFonts w:ascii="Arial Narrow" w:hAnsi="Arial Narrow"/>
          <w:sz w:val="22"/>
          <w:szCs w:val="22"/>
        </w:rPr>
        <w:t xml:space="preserve"> Recaudo de peajes con una periodicidad mensual.</w:t>
      </w:r>
    </w:p>
    <w:p w:rsidR="002764B9" w:rsidRDefault="002764B9" w:rsidP="002764B9">
      <w:pPr>
        <w:jc w:val="both"/>
        <w:rPr>
          <w:rFonts w:ascii="Arial Narrow" w:hAnsi="Arial Narrow"/>
          <w:sz w:val="22"/>
          <w:szCs w:val="22"/>
        </w:rPr>
      </w:pPr>
    </w:p>
    <w:p w:rsidR="002764B9" w:rsidRDefault="002764B9" w:rsidP="002764B9">
      <w:pPr>
        <w:jc w:val="both"/>
        <w:rPr>
          <w:rFonts w:ascii="Arial Narrow" w:hAnsi="Arial Narrow"/>
          <w:sz w:val="22"/>
          <w:szCs w:val="22"/>
        </w:rPr>
      </w:pPr>
      <w:r w:rsidRPr="001A2AC2">
        <w:rPr>
          <w:rFonts w:ascii="Arial Narrow" w:hAnsi="Arial Narrow"/>
          <w:sz w:val="22"/>
          <w:szCs w:val="22"/>
        </w:rPr>
        <w:t xml:space="preserve">Así mismo, </w:t>
      </w:r>
      <w:r w:rsidR="004D64B6">
        <w:rPr>
          <w:rFonts w:ascii="Arial Narrow" w:hAnsi="Arial Narrow"/>
          <w:sz w:val="22"/>
          <w:szCs w:val="22"/>
        </w:rPr>
        <w:t xml:space="preserve">en esta subcuenta </w:t>
      </w:r>
      <w:r w:rsidR="004D64B6" w:rsidRPr="001A2AC2">
        <w:rPr>
          <w:rFonts w:ascii="Arial Narrow" w:hAnsi="Arial Narrow"/>
          <w:sz w:val="22"/>
          <w:szCs w:val="22"/>
        </w:rPr>
        <w:t xml:space="preserve">se registró </w:t>
      </w:r>
      <w:r w:rsidRPr="001A2AC2">
        <w:rPr>
          <w:rFonts w:ascii="Arial Narrow" w:hAnsi="Arial Narrow"/>
          <w:sz w:val="22"/>
          <w:szCs w:val="22"/>
        </w:rPr>
        <w:t>la deducción en el pago de la retribución de la concesión Loboguerrero-Buga (APP), de acuerdo con lo establecido en la cláusula 73 del Contrato No. 211 de 2013</w:t>
      </w:r>
      <w:r>
        <w:rPr>
          <w:rFonts w:ascii="Arial Narrow" w:hAnsi="Arial Narrow"/>
          <w:sz w:val="22"/>
          <w:szCs w:val="22"/>
        </w:rPr>
        <w:t xml:space="preserve"> por valor de $64.796 miles</w:t>
      </w:r>
      <w:r w:rsidR="004D64B6">
        <w:rPr>
          <w:rFonts w:ascii="Arial Narrow" w:hAnsi="Arial Narrow"/>
          <w:sz w:val="22"/>
          <w:szCs w:val="22"/>
        </w:rPr>
        <w:t>,</w:t>
      </w:r>
      <w:r>
        <w:rPr>
          <w:rFonts w:ascii="Arial Narrow" w:hAnsi="Arial Narrow"/>
          <w:sz w:val="22"/>
          <w:szCs w:val="22"/>
        </w:rPr>
        <w:t xml:space="preserve"> previo reconocimiento de las retribuciones certificadas por la Interventoría Consorcio Intercon</w:t>
      </w:r>
      <w:r w:rsidR="004D64B6">
        <w:rPr>
          <w:rFonts w:ascii="Arial Narrow" w:hAnsi="Arial Narrow"/>
          <w:sz w:val="22"/>
          <w:szCs w:val="22"/>
        </w:rPr>
        <w:t>,</w:t>
      </w:r>
      <w:r>
        <w:rPr>
          <w:rFonts w:ascii="Arial Narrow" w:hAnsi="Arial Narrow"/>
          <w:sz w:val="22"/>
          <w:szCs w:val="22"/>
        </w:rPr>
        <w:t xml:space="preserve"> al término de la etapa de construcción por valores de 51.962.064 miles y $8.309.185 miles.</w:t>
      </w:r>
    </w:p>
    <w:p w:rsidR="002764B9" w:rsidRPr="001A2AC2" w:rsidRDefault="002764B9" w:rsidP="002764B9">
      <w:pPr>
        <w:jc w:val="both"/>
        <w:rPr>
          <w:rFonts w:ascii="Arial Narrow" w:hAnsi="Arial Narrow"/>
          <w:sz w:val="22"/>
          <w:szCs w:val="22"/>
        </w:rPr>
      </w:pPr>
    </w:p>
    <w:p w:rsidR="002764B9" w:rsidRDefault="002764B9" w:rsidP="002764B9">
      <w:pPr>
        <w:jc w:val="both"/>
        <w:rPr>
          <w:rFonts w:ascii="Arial Narrow" w:hAnsi="Arial Narrow"/>
          <w:sz w:val="22"/>
          <w:szCs w:val="22"/>
        </w:rPr>
      </w:pPr>
      <w:r w:rsidRPr="00B154F7">
        <w:rPr>
          <w:rFonts w:ascii="Arial Narrow" w:hAnsi="Arial Narrow"/>
          <w:sz w:val="22"/>
          <w:szCs w:val="22"/>
        </w:rPr>
        <w:t>Igualmente</w:t>
      </w:r>
      <w:r w:rsidR="007C3192" w:rsidRPr="00B154F7">
        <w:rPr>
          <w:rFonts w:ascii="Arial Narrow" w:hAnsi="Arial Narrow"/>
          <w:sz w:val="22"/>
          <w:szCs w:val="22"/>
        </w:rPr>
        <w:t xml:space="preserve"> se registró en esta subcuenta</w:t>
      </w:r>
      <w:r w:rsidRPr="00B154F7">
        <w:rPr>
          <w:rFonts w:ascii="Arial Narrow" w:hAnsi="Arial Narrow"/>
          <w:sz w:val="22"/>
          <w:szCs w:val="22"/>
        </w:rPr>
        <w:t xml:space="preserve"> </w:t>
      </w:r>
      <w:r w:rsidR="007C3192">
        <w:rPr>
          <w:rFonts w:ascii="Arial Narrow" w:hAnsi="Arial Narrow"/>
          <w:sz w:val="22"/>
          <w:szCs w:val="22"/>
        </w:rPr>
        <w:t>e</w:t>
      </w:r>
      <w:r>
        <w:rPr>
          <w:rFonts w:ascii="Arial Narrow" w:hAnsi="Arial Narrow"/>
          <w:sz w:val="22"/>
          <w:szCs w:val="22"/>
        </w:rPr>
        <w:t>l primer pago de la retribución a la Concesionaria Vial de Colombia SAS, Concesión Zipaquirá - Bucaramanga - Palenque en virtud del contrato No. 517 de 2013 por valor de $100.029.036 miles de acuerdo a</w:t>
      </w:r>
      <w:r w:rsidR="007C3192">
        <w:rPr>
          <w:rFonts w:ascii="Arial Narrow" w:hAnsi="Arial Narrow"/>
          <w:sz w:val="22"/>
          <w:szCs w:val="22"/>
        </w:rPr>
        <w:t>l</w:t>
      </w:r>
      <w:r>
        <w:rPr>
          <w:rFonts w:ascii="Arial Narrow" w:hAnsi="Arial Narrow"/>
          <w:sz w:val="22"/>
          <w:szCs w:val="22"/>
        </w:rPr>
        <w:t xml:space="preserve"> acta de terminación de obra rehabilitación de la vía suscrita por el concesionario, la interventoría y la Agencia el 20 de noviembre de 2015.  </w:t>
      </w:r>
    </w:p>
    <w:p w:rsidR="002764B9" w:rsidRDefault="002764B9" w:rsidP="002764B9">
      <w:pPr>
        <w:jc w:val="both"/>
        <w:rPr>
          <w:rFonts w:ascii="Arial Narrow" w:hAnsi="Arial Narrow"/>
          <w:sz w:val="22"/>
          <w:szCs w:val="22"/>
        </w:rPr>
      </w:pPr>
    </w:p>
    <w:p w:rsidR="002764B9" w:rsidRDefault="00D64F8E" w:rsidP="002764B9">
      <w:pPr>
        <w:jc w:val="both"/>
        <w:rPr>
          <w:rFonts w:ascii="Arial Narrow" w:hAnsi="Arial Narrow"/>
          <w:sz w:val="22"/>
          <w:szCs w:val="22"/>
        </w:rPr>
      </w:pPr>
      <w:r>
        <w:rPr>
          <w:rFonts w:ascii="Arial Narrow" w:hAnsi="Arial Narrow"/>
          <w:sz w:val="22"/>
          <w:szCs w:val="22"/>
        </w:rPr>
        <w:t>También se registró, e</w:t>
      </w:r>
      <w:r w:rsidR="002764B9" w:rsidRPr="001A2AC2">
        <w:rPr>
          <w:rFonts w:ascii="Arial Narrow" w:hAnsi="Arial Narrow"/>
          <w:sz w:val="22"/>
          <w:szCs w:val="22"/>
        </w:rPr>
        <w:t>l valor de $291.55</w:t>
      </w:r>
      <w:r w:rsidR="002764B9">
        <w:rPr>
          <w:rFonts w:ascii="Arial Narrow" w:hAnsi="Arial Narrow"/>
          <w:sz w:val="22"/>
          <w:szCs w:val="22"/>
        </w:rPr>
        <w:t>2</w:t>
      </w:r>
      <w:r w:rsidR="002764B9" w:rsidRPr="001A2AC2">
        <w:rPr>
          <w:rFonts w:ascii="Arial Narrow" w:hAnsi="Arial Narrow"/>
          <w:sz w:val="22"/>
          <w:szCs w:val="22"/>
        </w:rPr>
        <w:t xml:space="preserve"> miles, </w:t>
      </w:r>
      <w:r>
        <w:rPr>
          <w:rFonts w:ascii="Arial Narrow" w:hAnsi="Arial Narrow"/>
          <w:sz w:val="22"/>
          <w:szCs w:val="22"/>
        </w:rPr>
        <w:t xml:space="preserve">que </w:t>
      </w:r>
      <w:r w:rsidR="002764B9" w:rsidRPr="001A2AC2">
        <w:rPr>
          <w:rFonts w:ascii="Arial Narrow" w:hAnsi="Arial Narrow"/>
          <w:sz w:val="22"/>
          <w:szCs w:val="22"/>
        </w:rPr>
        <w:t xml:space="preserve">corresponde al valor recaudado por el concesionario </w:t>
      </w:r>
      <w:r>
        <w:rPr>
          <w:rFonts w:ascii="Arial Narrow" w:hAnsi="Arial Narrow"/>
          <w:sz w:val="22"/>
          <w:szCs w:val="22"/>
        </w:rPr>
        <w:t>Sociedad Desarrollo Vial del Nariño, durante</w:t>
      </w:r>
      <w:r w:rsidR="002764B9" w:rsidRPr="001A2AC2">
        <w:rPr>
          <w:rFonts w:ascii="Arial Narrow" w:hAnsi="Arial Narrow"/>
          <w:sz w:val="22"/>
          <w:szCs w:val="22"/>
        </w:rPr>
        <w:t xml:space="preserve"> los tres primer</w:t>
      </w:r>
      <w:r w:rsidR="007C3192">
        <w:rPr>
          <w:rFonts w:ascii="Arial Narrow" w:hAnsi="Arial Narrow"/>
          <w:sz w:val="22"/>
          <w:szCs w:val="22"/>
        </w:rPr>
        <w:t xml:space="preserve">os días del mes de Mayo de 2015, considerando que ese recaudo </w:t>
      </w:r>
      <w:r w:rsidR="002764B9" w:rsidRPr="001A2AC2">
        <w:rPr>
          <w:rFonts w:ascii="Arial Narrow" w:hAnsi="Arial Narrow"/>
          <w:sz w:val="22"/>
          <w:szCs w:val="22"/>
        </w:rPr>
        <w:t>n</w:t>
      </w:r>
      <w:r w:rsidR="007C3192">
        <w:rPr>
          <w:rFonts w:ascii="Arial Narrow" w:hAnsi="Arial Narrow"/>
          <w:sz w:val="22"/>
          <w:szCs w:val="22"/>
        </w:rPr>
        <w:t xml:space="preserve">o corresponde al proyecto ya que </w:t>
      </w:r>
      <w:r w:rsidR="002764B9" w:rsidRPr="001A2AC2">
        <w:rPr>
          <w:rFonts w:ascii="Arial Narrow" w:hAnsi="Arial Narrow"/>
          <w:sz w:val="22"/>
          <w:szCs w:val="22"/>
        </w:rPr>
        <w:t xml:space="preserve">el contrato </w:t>
      </w:r>
      <w:r w:rsidR="007C3192">
        <w:rPr>
          <w:rFonts w:ascii="Arial Narrow" w:hAnsi="Arial Narrow"/>
          <w:sz w:val="22"/>
          <w:szCs w:val="22"/>
        </w:rPr>
        <w:t xml:space="preserve">según lo acordado por las partes en acuerdo conciliatorio debidamente aprobado se terminó </w:t>
      </w:r>
      <w:r w:rsidR="002764B9" w:rsidRPr="001A2AC2">
        <w:rPr>
          <w:rFonts w:ascii="Arial Narrow" w:hAnsi="Arial Narrow"/>
          <w:sz w:val="22"/>
          <w:szCs w:val="22"/>
        </w:rPr>
        <w:t xml:space="preserve">el </w:t>
      </w:r>
      <w:r w:rsidR="007C3192">
        <w:rPr>
          <w:rFonts w:ascii="Arial Narrow" w:hAnsi="Arial Narrow"/>
          <w:sz w:val="22"/>
          <w:szCs w:val="22"/>
        </w:rPr>
        <w:t>30 de Abril de 2015.  E</w:t>
      </w:r>
      <w:r w:rsidR="002764B9" w:rsidRPr="001A2AC2">
        <w:rPr>
          <w:rFonts w:ascii="Arial Narrow" w:hAnsi="Arial Narrow"/>
          <w:sz w:val="22"/>
          <w:szCs w:val="22"/>
        </w:rPr>
        <w:t>n consecuencia</w:t>
      </w:r>
      <w:r w:rsidR="002764B9">
        <w:rPr>
          <w:rFonts w:ascii="Arial Narrow" w:hAnsi="Arial Narrow"/>
          <w:sz w:val="22"/>
          <w:szCs w:val="22"/>
        </w:rPr>
        <w:t xml:space="preserve"> se registró en esta cuenta </w:t>
      </w:r>
      <w:r>
        <w:rPr>
          <w:rFonts w:ascii="Arial Narrow" w:hAnsi="Arial Narrow"/>
          <w:sz w:val="22"/>
          <w:szCs w:val="22"/>
        </w:rPr>
        <w:t xml:space="preserve">este recaudo, </w:t>
      </w:r>
      <w:r w:rsidR="002764B9">
        <w:rPr>
          <w:rFonts w:ascii="Arial Narrow" w:hAnsi="Arial Narrow"/>
          <w:sz w:val="22"/>
          <w:szCs w:val="22"/>
        </w:rPr>
        <w:t xml:space="preserve">hasta </w:t>
      </w:r>
      <w:r>
        <w:rPr>
          <w:rFonts w:ascii="Arial Narrow" w:hAnsi="Arial Narrow"/>
          <w:sz w:val="22"/>
          <w:szCs w:val="22"/>
        </w:rPr>
        <w:t>tanto</w:t>
      </w:r>
      <w:r w:rsidR="002764B9">
        <w:rPr>
          <w:rFonts w:ascii="Arial Narrow" w:hAnsi="Arial Narrow"/>
          <w:sz w:val="22"/>
          <w:szCs w:val="22"/>
        </w:rPr>
        <w:t xml:space="preserve"> </w:t>
      </w:r>
      <w:r w:rsidR="007C3192">
        <w:rPr>
          <w:rFonts w:ascii="Arial Narrow" w:hAnsi="Arial Narrow"/>
          <w:sz w:val="22"/>
          <w:szCs w:val="22"/>
        </w:rPr>
        <w:t xml:space="preserve">se determine </w:t>
      </w:r>
      <w:r w:rsidR="002764B9" w:rsidRPr="001A2AC2">
        <w:rPr>
          <w:rFonts w:ascii="Arial Narrow" w:hAnsi="Arial Narrow"/>
          <w:sz w:val="22"/>
          <w:szCs w:val="22"/>
        </w:rPr>
        <w:t>el destino de estos recursos</w:t>
      </w:r>
      <w:r>
        <w:rPr>
          <w:rFonts w:ascii="Arial Narrow" w:hAnsi="Arial Narrow"/>
          <w:sz w:val="22"/>
          <w:szCs w:val="22"/>
        </w:rPr>
        <w:t>,</w:t>
      </w:r>
      <w:r w:rsidR="002764B9">
        <w:rPr>
          <w:rFonts w:ascii="Arial Narrow" w:hAnsi="Arial Narrow"/>
          <w:sz w:val="22"/>
          <w:szCs w:val="22"/>
        </w:rPr>
        <w:t xml:space="preserve"> atendiendo lo indicado en </w:t>
      </w:r>
      <w:r w:rsidR="002764B9" w:rsidRPr="001A2AC2">
        <w:rPr>
          <w:rFonts w:ascii="Arial Narrow" w:hAnsi="Arial Narrow"/>
          <w:sz w:val="22"/>
          <w:szCs w:val="22"/>
        </w:rPr>
        <w:t>la cláusula 61.7 del contrato de concesión No. 003 de 2006 de la Concesión Rumichaca-</w:t>
      </w:r>
      <w:r w:rsidR="002764B9" w:rsidRPr="001A2AC2">
        <w:rPr>
          <w:rFonts w:ascii="Arial Narrow" w:hAnsi="Arial Narrow"/>
          <w:sz w:val="22"/>
          <w:szCs w:val="22"/>
        </w:rPr>
        <w:lastRenderedPageBreak/>
        <w:t>Pasto- Cha</w:t>
      </w:r>
      <w:r w:rsidR="002764B9">
        <w:rPr>
          <w:rFonts w:ascii="Arial Narrow" w:hAnsi="Arial Narrow"/>
          <w:sz w:val="22"/>
          <w:szCs w:val="22"/>
        </w:rPr>
        <w:t>c</w:t>
      </w:r>
      <w:r w:rsidR="007E5157">
        <w:rPr>
          <w:rFonts w:ascii="Arial Narrow" w:hAnsi="Arial Narrow"/>
          <w:sz w:val="22"/>
          <w:szCs w:val="22"/>
        </w:rPr>
        <w:t>hagü</w:t>
      </w:r>
      <w:r w:rsidR="002764B9" w:rsidRPr="001A2AC2">
        <w:rPr>
          <w:rFonts w:ascii="Arial Narrow" w:hAnsi="Arial Narrow"/>
          <w:sz w:val="22"/>
          <w:szCs w:val="22"/>
        </w:rPr>
        <w:t>i,</w:t>
      </w:r>
      <w:r w:rsidR="002764B9">
        <w:rPr>
          <w:rFonts w:ascii="Arial Narrow" w:hAnsi="Arial Narrow"/>
          <w:sz w:val="22"/>
          <w:szCs w:val="22"/>
        </w:rPr>
        <w:t xml:space="preserve"> donde se establece que</w:t>
      </w:r>
      <w:r w:rsidR="002764B9" w:rsidRPr="001A2AC2">
        <w:rPr>
          <w:rFonts w:ascii="Arial Narrow" w:hAnsi="Arial Narrow"/>
          <w:sz w:val="22"/>
          <w:szCs w:val="22"/>
        </w:rPr>
        <w:t xml:space="preserve"> el exceso de recaudo se utilizaría para la liquidación del contrato, específicamen</w:t>
      </w:r>
      <w:r w:rsidR="007C3192">
        <w:rPr>
          <w:rFonts w:ascii="Arial Narrow" w:hAnsi="Arial Narrow"/>
          <w:sz w:val="22"/>
          <w:szCs w:val="22"/>
        </w:rPr>
        <w:t>te en el evento en el que la Agencia le</w:t>
      </w:r>
      <w:r w:rsidR="002764B9" w:rsidRPr="001A2AC2">
        <w:rPr>
          <w:rFonts w:ascii="Arial Narrow" w:hAnsi="Arial Narrow"/>
          <w:sz w:val="22"/>
          <w:szCs w:val="22"/>
        </w:rPr>
        <w:t xml:space="preserve"> deba al Concesionario</w:t>
      </w:r>
      <w:r w:rsidR="002764B9">
        <w:rPr>
          <w:rFonts w:ascii="Arial Narrow" w:hAnsi="Arial Narrow"/>
          <w:sz w:val="22"/>
          <w:szCs w:val="22"/>
        </w:rPr>
        <w:t>.</w:t>
      </w:r>
      <w:r w:rsidR="002764B9" w:rsidRPr="001A2AC2">
        <w:rPr>
          <w:rFonts w:ascii="Arial Narrow" w:hAnsi="Arial Narrow"/>
          <w:sz w:val="22"/>
          <w:szCs w:val="22"/>
        </w:rPr>
        <w:t xml:space="preserve"> </w:t>
      </w:r>
    </w:p>
    <w:p w:rsidR="001E49F6" w:rsidRPr="001A2AC2" w:rsidRDefault="001E49F6" w:rsidP="002764B9">
      <w:pPr>
        <w:jc w:val="both"/>
        <w:rPr>
          <w:rFonts w:ascii="Arial Narrow" w:hAnsi="Arial Narrow"/>
          <w:sz w:val="22"/>
          <w:szCs w:val="22"/>
        </w:rPr>
      </w:pPr>
    </w:p>
    <w:p w:rsidR="002764B9" w:rsidRPr="001A2AC2" w:rsidRDefault="002764B9" w:rsidP="002764B9">
      <w:pPr>
        <w:jc w:val="both"/>
        <w:rPr>
          <w:rFonts w:ascii="Arial Narrow" w:hAnsi="Arial Narrow"/>
          <w:sz w:val="22"/>
          <w:szCs w:val="22"/>
        </w:rPr>
      </w:pPr>
      <w:r>
        <w:rPr>
          <w:rFonts w:ascii="Arial Narrow" w:hAnsi="Arial Narrow"/>
          <w:sz w:val="22"/>
          <w:szCs w:val="22"/>
        </w:rPr>
        <w:t>Por otra part</w:t>
      </w:r>
      <w:r w:rsidR="007C3192">
        <w:rPr>
          <w:rFonts w:ascii="Arial Narrow" w:hAnsi="Arial Narrow"/>
          <w:sz w:val="22"/>
          <w:szCs w:val="22"/>
        </w:rPr>
        <w:t>e,</w:t>
      </w:r>
      <w:r>
        <w:rPr>
          <w:rFonts w:ascii="Arial Narrow" w:hAnsi="Arial Narrow"/>
          <w:sz w:val="22"/>
          <w:szCs w:val="22"/>
        </w:rPr>
        <w:t xml:space="preserve"> a</w:t>
      </w:r>
      <w:r w:rsidRPr="001A2AC2">
        <w:rPr>
          <w:rFonts w:ascii="Arial Narrow" w:hAnsi="Arial Narrow"/>
          <w:sz w:val="22"/>
          <w:szCs w:val="22"/>
        </w:rPr>
        <w:t xml:space="preserve"> diciembre 31 de 2015 </w:t>
      </w:r>
      <w:r>
        <w:rPr>
          <w:rFonts w:ascii="Arial Narrow" w:hAnsi="Arial Narrow"/>
          <w:sz w:val="22"/>
          <w:szCs w:val="22"/>
        </w:rPr>
        <w:t xml:space="preserve">en desarrollo </w:t>
      </w:r>
      <w:r w:rsidRPr="001A2AC2">
        <w:rPr>
          <w:rFonts w:ascii="Arial Narrow" w:hAnsi="Arial Narrow"/>
          <w:sz w:val="22"/>
          <w:szCs w:val="22"/>
        </w:rPr>
        <w:t>del contrato 849 de 1995</w:t>
      </w:r>
      <w:r>
        <w:rPr>
          <w:rFonts w:ascii="Arial Narrow" w:hAnsi="Arial Narrow"/>
          <w:sz w:val="22"/>
          <w:szCs w:val="22"/>
        </w:rPr>
        <w:t xml:space="preserve"> suscrito con la concesión</w:t>
      </w:r>
      <w:r w:rsidRPr="001A2AC2">
        <w:rPr>
          <w:rFonts w:ascii="Arial Narrow" w:hAnsi="Arial Narrow"/>
          <w:sz w:val="22"/>
          <w:szCs w:val="22"/>
        </w:rPr>
        <w:t xml:space="preserve"> Neiva- Espinal </w:t>
      </w:r>
      <w:r w:rsidR="007C3192">
        <w:rPr>
          <w:rFonts w:ascii="Arial Narrow" w:hAnsi="Arial Narrow"/>
          <w:sz w:val="22"/>
          <w:szCs w:val="22"/>
        </w:rPr>
        <w:t>–</w:t>
      </w:r>
      <w:r w:rsidRPr="001A2AC2">
        <w:rPr>
          <w:rFonts w:ascii="Arial Narrow" w:hAnsi="Arial Narrow"/>
          <w:sz w:val="22"/>
          <w:szCs w:val="22"/>
        </w:rPr>
        <w:t>Girardot</w:t>
      </w:r>
      <w:r w:rsidR="007C3192">
        <w:rPr>
          <w:rFonts w:ascii="Arial Narrow" w:hAnsi="Arial Narrow"/>
          <w:sz w:val="22"/>
          <w:szCs w:val="22"/>
        </w:rPr>
        <w:t xml:space="preserve"> se generó un derecho a favor de la Entidad por valor de $1.977.345 miles, según lo acordado en </w:t>
      </w:r>
      <w:r w:rsidRPr="001A2AC2">
        <w:rPr>
          <w:rFonts w:ascii="Arial Narrow" w:hAnsi="Arial Narrow"/>
          <w:sz w:val="22"/>
          <w:szCs w:val="22"/>
        </w:rPr>
        <w:t xml:space="preserve">el Otrosí del 30 de enero de 2014 celebrado entre la Agencia Nacional de Infraestructura y la sociedad CSS Constructores S.A., </w:t>
      </w:r>
      <w:r w:rsidR="007C3192">
        <w:rPr>
          <w:rFonts w:ascii="Arial Narrow" w:hAnsi="Arial Narrow"/>
          <w:sz w:val="22"/>
          <w:szCs w:val="22"/>
        </w:rPr>
        <w:t xml:space="preserve">en el que se </w:t>
      </w:r>
      <w:r w:rsidRPr="001A2AC2">
        <w:rPr>
          <w:rFonts w:ascii="Arial Narrow" w:hAnsi="Arial Narrow"/>
          <w:sz w:val="22"/>
          <w:szCs w:val="22"/>
        </w:rPr>
        <w:t>estableció que el concesionario alcanzó la TIR contractual del 11.64% real y los recursos generados a partir del 28 de octubre de 2015 quedan a disposición de la Agencia, después de pagar los costos de mantenimiento y operación.</w:t>
      </w:r>
    </w:p>
    <w:p w:rsidR="002764B9" w:rsidRPr="001A2AC2" w:rsidRDefault="002764B9" w:rsidP="002764B9">
      <w:pPr>
        <w:jc w:val="both"/>
        <w:rPr>
          <w:rFonts w:ascii="Arial Narrow" w:hAnsi="Arial Narrow"/>
          <w:sz w:val="22"/>
          <w:szCs w:val="22"/>
        </w:rPr>
      </w:pPr>
    </w:p>
    <w:p w:rsidR="002764B9" w:rsidRDefault="007D6FE5" w:rsidP="002764B9">
      <w:pPr>
        <w:jc w:val="both"/>
        <w:rPr>
          <w:rFonts w:ascii="Arial Narrow" w:hAnsi="Arial Narrow"/>
          <w:sz w:val="22"/>
          <w:szCs w:val="22"/>
        </w:rPr>
      </w:pPr>
      <w:r>
        <w:rPr>
          <w:rFonts w:ascii="Arial Narrow" w:hAnsi="Arial Narrow"/>
          <w:sz w:val="22"/>
          <w:szCs w:val="22"/>
        </w:rPr>
        <w:t xml:space="preserve">A  </w:t>
      </w:r>
      <w:r w:rsidR="002764B9">
        <w:rPr>
          <w:rFonts w:ascii="Arial Narrow" w:hAnsi="Arial Narrow"/>
          <w:sz w:val="22"/>
          <w:szCs w:val="22"/>
        </w:rPr>
        <w:t xml:space="preserve">31 de diciembre de 2015 se reflejó en esta cuenta,  </w:t>
      </w:r>
      <w:r w:rsidR="002764B9" w:rsidRPr="001A2AC2">
        <w:rPr>
          <w:rFonts w:ascii="Arial Narrow" w:hAnsi="Arial Narrow"/>
          <w:sz w:val="22"/>
          <w:szCs w:val="22"/>
        </w:rPr>
        <w:t>el valor de $16.298.021 miles, correspond</w:t>
      </w:r>
      <w:r w:rsidR="002764B9">
        <w:rPr>
          <w:rFonts w:ascii="Arial Narrow" w:hAnsi="Arial Narrow"/>
          <w:sz w:val="22"/>
          <w:szCs w:val="22"/>
        </w:rPr>
        <w:t>iente</w:t>
      </w:r>
      <w:r w:rsidR="002764B9" w:rsidRPr="001A2AC2">
        <w:rPr>
          <w:rFonts w:ascii="Arial Narrow" w:hAnsi="Arial Narrow"/>
          <w:sz w:val="22"/>
          <w:szCs w:val="22"/>
        </w:rPr>
        <w:t xml:space="preserve"> a</w:t>
      </w:r>
      <w:r w:rsidR="00D64F8E">
        <w:rPr>
          <w:rFonts w:ascii="Arial Narrow" w:hAnsi="Arial Narrow"/>
          <w:sz w:val="22"/>
          <w:szCs w:val="22"/>
        </w:rPr>
        <w:t>l</w:t>
      </w:r>
      <w:r w:rsidR="002764B9" w:rsidRPr="001A2AC2">
        <w:rPr>
          <w:rFonts w:ascii="Arial Narrow" w:hAnsi="Arial Narrow"/>
          <w:sz w:val="22"/>
          <w:szCs w:val="22"/>
        </w:rPr>
        <w:t xml:space="preserve"> recaudo de peajes en exceso</w:t>
      </w:r>
      <w:r w:rsidR="002764B9">
        <w:rPr>
          <w:rFonts w:ascii="Arial Narrow" w:hAnsi="Arial Narrow"/>
          <w:sz w:val="22"/>
          <w:szCs w:val="22"/>
        </w:rPr>
        <w:t>, ya que e</w:t>
      </w:r>
      <w:r w:rsidR="002764B9" w:rsidRPr="001A2AC2">
        <w:rPr>
          <w:rFonts w:ascii="Arial Narrow" w:hAnsi="Arial Narrow"/>
          <w:sz w:val="22"/>
          <w:szCs w:val="22"/>
        </w:rPr>
        <w:t xml:space="preserve">l VPIT </w:t>
      </w:r>
      <w:r w:rsidR="002764B9">
        <w:rPr>
          <w:rFonts w:ascii="Arial Narrow" w:hAnsi="Arial Narrow"/>
          <w:sz w:val="22"/>
          <w:szCs w:val="22"/>
        </w:rPr>
        <w:t xml:space="preserve">(Valor Presente de los Ingresos Totales) </w:t>
      </w:r>
      <w:r w:rsidR="002764B9" w:rsidRPr="001A2AC2">
        <w:rPr>
          <w:rFonts w:ascii="Arial Narrow" w:hAnsi="Arial Narrow"/>
          <w:sz w:val="22"/>
          <w:szCs w:val="22"/>
        </w:rPr>
        <w:t>de la Concesión Transversal de las Américas se cumplió en el mes de noviembre de 2014 y se estableció que el recaudo de peajes después de esta fecha quedaba a disposición de la Agencia.</w:t>
      </w:r>
    </w:p>
    <w:p w:rsidR="002764B9" w:rsidRDefault="002764B9" w:rsidP="002764B9">
      <w:pPr>
        <w:jc w:val="both"/>
        <w:rPr>
          <w:rFonts w:ascii="Arial Narrow" w:hAnsi="Arial Narrow"/>
          <w:sz w:val="22"/>
          <w:szCs w:val="22"/>
        </w:rPr>
      </w:pPr>
    </w:p>
    <w:p w:rsidR="002764B9" w:rsidRPr="00E30629" w:rsidRDefault="002764B9" w:rsidP="002764B9">
      <w:pPr>
        <w:pStyle w:val="Textoindependiente"/>
        <w:rPr>
          <w:rFonts w:ascii="Arial Narrow" w:hAnsi="Arial Narrow" w:cs="Times New Roman"/>
          <w:bCs w:val="0"/>
          <w:i w:val="0"/>
          <w:iCs w:val="0"/>
          <w:vanish w:val="0"/>
          <w:color w:val="auto"/>
          <w:sz w:val="22"/>
          <w:szCs w:val="22"/>
          <w:u w:val="none"/>
          <w:lang w:val="es-ES"/>
        </w:rPr>
      </w:pPr>
      <w:r w:rsidRPr="00E30629">
        <w:rPr>
          <w:rFonts w:ascii="Arial Narrow" w:hAnsi="Arial Narrow" w:cs="Times New Roman"/>
          <w:bCs w:val="0"/>
          <w:i w:val="0"/>
          <w:iCs w:val="0"/>
          <w:vanish w:val="0"/>
          <w:color w:val="auto"/>
          <w:sz w:val="22"/>
          <w:szCs w:val="22"/>
          <w:u w:val="none"/>
          <w:lang w:val="es-ES"/>
        </w:rPr>
        <w:t>Avances y anticipos entregados</w:t>
      </w:r>
      <w:r>
        <w:rPr>
          <w:rFonts w:ascii="Arial Narrow" w:hAnsi="Arial Narrow" w:cs="Times New Roman"/>
          <w:bCs w:val="0"/>
          <w:i w:val="0"/>
          <w:iCs w:val="0"/>
          <w:vanish w:val="0"/>
          <w:color w:val="auto"/>
          <w:sz w:val="22"/>
          <w:szCs w:val="22"/>
          <w:u w:val="none"/>
          <w:lang w:val="es-ES"/>
        </w:rPr>
        <w:t>:</w:t>
      </w:r>
    </w:p>
    <w:p w:rsidR="002764B9" w:rsidRDefault="002764B9" w:rsidP="002764B9">
      <w:pPr>
        <w:pStyle w:val="Textoindependiente"/>
        <w:rPr>
          <w:rFonts w:ascii="Arial Narrow" w:hAnsi="Arial Narrow" w:cs="Times New Roman"/>
          <w:b w:val="0"/>
          <w:bCs w:val="0"/>
          <w:i w:val="0"/>
          <w:iCs w:val="0"/>
          <w:vanish w:val="0"/>
          <w:color w:val="auto"/>
          <w:sz w:val="22"/>
          <w:szCs w:val="22"/>
          <w:u w:val="none"/>
          <w:lang w:val="es-ES"/>
        </w:rPr>
      </w:pPr>
    </w:p>
    <w:p w:rsidR="002764B9" w:rsidRDefault="002764B9" w:rsidP="002764B9">
      <w:pPr>
        <w:pStyle w:val="Textoindependiente"/>
        <w:rPr>
          <w:rFonts w:ascii="Arial Narrow" w:hAnsi="Arial Narrow" w:cs="Times New Roman"/>
          <w:b w:val="0"/>
          <w:bCs w:val="0"/>
          <w:i w:val="0"/>
          <w:iCs w:val="0"/>
          <w:vanish w:val="0"/>
          <w:color w:val="auto"/>
          <w:sz w:val="22"/>
          <w:szCs w:val="22"/>
          <w:u w:val="none"/>
          <w:lang w:val="es-ES"/>
        </w:rPr>
      </w:pPr>
      <w:r>
        <w:rPr>
          <w:rFonts w:ascii="Arial Narrow" w:hAnsi="Arial Narrow" w:cs="Times New Roman"/>
          <w:b w:val="0"/>
          <w:bCs w:val="0"/>
          <w:i w:val="0"/>
          <w:iCs w:val="0"/>
          <w:vanish w:val="0"/>
          <w:color w:val="auto"/>
          <w:sz w:val="22"/>
          <w:szCs w:val="22"/>
          <w:u w:val="none"/>
          <w:lang w:val="es-ES"/>
        </w:rPr>
        <w:t>La disminución presentada en esta cuenta a 31 de diciembre de 2015, obedeció a la ejecución correspondiente a los pagos efectuados en cumplimiento a lo pactado en el contrato No. 139 del 20 de octubre de 2014 de los trabajos de obra civil y adecuación de oficinas, realizado por Consultoría e Imagen SAS.</w:t>
      </w:r>
    </w:p>
    <w:p w:rsidR="002764B9" w:rsidRDefault="002764B9" w:rsidP="002764B9">
      <w:pPr>
        <w:pStyle w:val="Textoindependiente"/>
        <w:rPr>
          <w:rFonts w:ascii="Arial Narrow" w:hAnsi="Arial Narrow" w:cs="Times New Roman"/>
          <w:b w:val="0"/>
          <w:bCs w:val="0"/>
          <w:i w:val="0"/>
          <w:iCs w:val="0"/>
          <w:vanish w:val="0"/>
          <w:color w:val="auto"/>
          <w:sz w:val="22"/>
          <w:szCs w:val="22"/>
          <w:u w:val="none"/>
          <w:lang w:val="es-ES"/>
        </w:rPr>
      </w:pPr>
    </w:p>
    <w:p w:rsidR="002764B9" w:rsidRPr="00E30629" w:rsidRDefault="002764B9" w:rsidP="002764B9">
      <w:pPr>
        <w:pStyle w:val="Textoindependiente"/>
        <w:rPr>
          <w:rFonts w:ascii="Arial Narrow" w:hAnsi="Arial Narrow" w:cs="Times New Roman"/>
          <w:bCs w:val="0"/>
          <w:i w:val="0"/>
          <w:iCs w:val="0"/>
          <w:vanish w:val="0"/>
          <w:color w:val="auto"/>
          <w:sz w:val="22"/>
          <w:szCs w:val="22"/>
          <w:u w:val="none"/>
          <w:lang w:val="es-ES"/>
        </w:rPr>
      </w:pPr>
      <w:r w:rsidRPr="00E30629">
        <w:rPr>
          <w:rFonts w:ascii="Arial Narrow" w:hAnsi="Arial Narrow" w:cs="Times New Roman"/>
          <w:bCs w:val="0"/>
          <w:i w:val="0"/>
          <w:iCs w:val="0"/>
          <w:vanish w:val="0"/>
          <w:color w:val="auto"/>
          <w:sz w:val="22"/>
          <w:szCs w:val="22"/>
          <w:u w:val="none"/>
          <w:lang w:val="es-ES"/>
        </w:rPr>
        <w:t xml:space="preserve">Recursos Entregados en Administración: </w:t>
      </w:r>
    </w:p>
    <w:p w:rsidR="002764B9" w:rsidRPr="001A2AC2" w:rsidRDefault="002764B9" w:rsidP="002764B9">
      <w:pPr>
        <w:pStyle w:val="Textoindependiente"/>
        <w:rPr>
          <w:rFonts w:ascii="Arial Narrow" w:hAnsi="Arial Narrow" w:cs="Times New Roman"/>
          <w:b w:val="0"/>
          <w:bCs w:val="0"/>
          <w:i w:val="0"/>
          <w:iCs w:val="0"/>
          <w:vanish w:val="0"/>
          <w:color w:val="auto"/>
          <w:sz w:val="22"/>
          <w:szCs w:val="22"/>
          <w:u w:val="none"/>
          <w:lang w:val="es-ES"/>
        </w:rPr>
      </w:pPr>
    </w:p>
    <w:p w:rsidR="002764B9" w:rsidRDefault="002764B9" w:rsidP="002764B9">
      <w:pPr>
        <w:pStyle w:val="Textoindependiente"/>
        <w:rPr>
          <w:rFonts w:ascii="Arial Narrow" w:hAnsi="Arial Narrow" w:cs="Times New Roman"/>
          <w:b w:val="0"/>
          <w:bCs w:val="0"/>
          <w:i w:val="0"/>
          <w:iCs w:val="0"/>
          <w:vanish w:val="0"/>
          <w:color w:val="auto"/>
          <w:sz w:val="22"/>
          <w:szCs w:val="22"/>
          <w:u w:val="none"/>
          <w:lang w:val="es-ES"/>
        </w:rPr>
      </w:pPr>
      <w:r>
        <w:rPr>
          <w:rFonts w:ascii="Arial Narrow" w:hAnsi="Arial Narrow" w:cs="Times New Roman"/>
          <w:b w:val="0"/>
          <w:bCs w:val="0"/>
          <w:i w:val="0"/>
          <w:iCs w:val="0"/>
          <w:vanish w:val="0"/>
          <w:color w:val="auto"/>
          <w:sz w:val="22"/>
          <w:szCs w:val="22"/>
          <w:u w:val="none"/>
          <w:lang w:val="es-ES"/>
        </w:rPr>
        <w:t>El valor de $</w:t>
      </w:r>
      <w:r w:rsidRPr="0086753A">
        <w:t xml:space="preserve"> </w:t>
      </w:r>
      <w:r w:rsidRPr="0086753A">
        <w:rPr>
          <w:rFonts w:ascii="Arial Narrow" w:hAnsi="Arial Narrow" w:cs="Times New Roman"/>
          <w:b w:val="0"/>
          <w:bCs w:val="0"/>
          <w:i w:val="0"/>
          <w:iCs w:val="0"/>
          <w:vanish w:val="0"/>
          <w:color w:val="auto"/>
          <w:sz w:val="22"/>
          <w:szCs w:val="22"/>
          <w:u w:val="none"/>
          <w:lang w:val="es-ES"/>
        </w:rPr>
        <w:t>58.234.941</w:t>
      </w:r>
      <w:r>
        <w:rPr>
          <w:rFonts w:ascii="Arial Narrow" w:hAnsi="Arial Narrow" w:cs="Times New Roman"/>
          <w:b w:val="0"/>
          <w:bCs w:val="0"/>
          <w:i w:val="0"/>
          <w:iCs w:val="0"/>
          <w:vanish w:val="0"/>
          <w:color w:val="auto"/>
          <w:sz w:val="22"/>
          <w:szCs w:val="22"/>
          <w:u w:val="none"/>
          <w:lang w:val="es-ES"/>
        </w:rPr>
        <w:t xml:space="preserve"> miles corresponde a los convenios interadministrativos suscritos entre la Agencia Nacional de Infraestructura y FONADE, Fondo de Adaptación, Municipio de Ipiales y l</w:t>
      </w:r>
      <w:r w:rsidRPr="0086753A">
        <w:rPr>
          <w:rFonts w:ascii="Arial Narrow" w:hAnsi="Arial Narrow" w:cs="Times New Roman"/>
          <w:b w:val="0"/>
          <w:bCs w:val="0"/>
          <w:i w:val="0"/>
          <w:iCs w:val="0"/>
          <w:vanish w:val="0"/>
          <w:color w:val="auto"/>
          <w:sz w:val="22"/>
          <w:szCs w:val="22"/>
          <w:u w:val="none"/>
          <w:lang w:val="es-ES"/>
        </w:rPr>
        <w:t>a Financiera de Desarrollo Nacional S.A</w:t>
      </w:r>
      <w:r w:rsidR="007C3192">
        <w:rPr>
          <w:rFonts w:ascii="Arial Narrow" w:hAnsi="Arial Narrow" w:cs="Times New Roman"/>
          <w:b w:val="0"/>
          <w:bCs w:val="0"/>
          <w:i w:val="0"/>
          <w:iCs w:val="0"/>
          <w:vanish w:val="0"/>
          <w:color w:val="auto"/>
          <w:sz w:val="22"/>
          <w:szCs w:val="22"/>
          <w:u w:val="none"/>
          <w:lang w:val="es-ES"/>
        </w:rPr>
        <w:t>.,</w:t>
      </w:r>
      <w:r>
        <w:rPr>
          <w:rFonts w:ascii="Arial Narrow" w:hAnsi="Arial Narrow" w:cs="Times New Roman"/>
          <w:b w:val="0"/>
          <w:bCs w:val="0"/>
          <w:i w:val="0"/>
          <w:iCs w:val="0"/>
          <w:vanish w:val="0"/>
          <w:color w:val="auto"/>
          <w:sz w:val="22"/>
          <w:szCs w:val="22"/>
          <w:u w:val="none"/>
          <w:lang w:val="es-ES"/>
        </w:rPr>
        <w:t xml:space="preserve"> e igualmente a la transferencia de recursos al Sistema de Cuenta Único Nacional CUN.</w:t>
      </w:r>
    </w:p>
    <w:p w:rsidR="002764B9" w:rsidRDefault="002764B9" w:rsidP="002764B9">
      <w:pPr>
        <w:pStyle w:val="Textoindependiente"/>
        <w:rPr>
          <w:rFonts w:ascii="Arial Narrow" w:hAnsi="Arial Narrow" w:cs="Times New Roman"/>
          <w:b w:val="0"/>
          <w:bCs w:val="0"/>
          <w:i w:val="0"/>
          <w:iCs w:val="0"/>
          <w:vanish w:val="0"/>
          <w:color w:val="auto"/>
          <w:sz w:val="22"/>
          <w:szCs w:val="22"/>
          <w:u w:val="none"/>
          <w:lang w:val="es-ES"/>
        </w:rPr>
      </w:pPr>
    </w:p>
    <w:p w:rsidR="002764B9" w:rsidRDefault="002764B9" w:rsidP="002764B9">
      <w:pPr>
        <w:pStyle w:val="Textoindependiente"/>
        <w:rPr>
          <w:rFonts w:ascii="Arial Narrow" w:hAnsi="Arial Narrow" w:cs="Times New Roman"/>
          <w:b w:val="0"/>
          <w:bCs w:val="0"/>
          <w:i w:val="0"/>
          <w:iCs w:val="0"/>
          <w:vanish w:val="0"/>
          <w:color w:val="auto"/>
          <w:sz w:val="22"/>
          <w:szCs w:val="22"/>
          <w:u w:val="none"/>
          <w:lang w:val="es-ES"/>
        </w:rPr>
      </w:pPr>
      <w:r w:rsidRPr="001A2AC2">
        <w:rPr>
          <w:rFonts w:ascii="Arial Narrow" w:hAnsi="Arial Narrow" w:cs="Times New Roman"/>
          <w:b w:val="0"/>
          <w:bCs w:val="0"/>
          <w:i w:val="0"/>
          <w:iCs w:val="0"/>
          <w:vanish w:val="0"/>
          <w:color w:val="auto"/>
          <w:sz w:val="22"/>
          <w:szCs w:val="22"/>
          <w:u w:val="none"/>
          <w:lang w:val="es-ES"/>
        </w:rPr>
        <w:t xml:space="preserve">Está cuenta </w:t>
      </w:r>
      <w:r w:rsidR="007C3192">
        <w:rPr>
          <w:rFonts w:ascii="Arial Narrow" w:hAnsi="Arial Narrow" w:cs="Times New Roman"/>
          <w:b w:val="0"/>
          <w:bCs w:val="0"/>
          <w:i w:val="0"/>
          <w:iCs w:val="0"/>
          <w:vanish w:val="0"/>
          <w:color w:val="auto"/>
          <w:sz w:val="22"/>
          <w:szCs w:val="22"/>
          <w:u w:val="none"/>
          <w:lang w:val="es-ES"/>
        </w:rPr>
        <w:t>disminuyó</w:t>
      </w:r>
      <w:r>
        <w:rPr>
          <w:rFonts w:ascii="Arial Narrow" w:hAnsi="Arial Narrow" w:cs="Times New Roman"/>
          <w:b w:val="0"/>
          <w:bCs w:val="0"/>
          <w:i w:val="0"/>
          <w:iCs w:val="0"/>
          <w:vanish w:val="0"/>
          <w:color w:val="auto"/>
          <w:sz w:val="22"/>
          <w:szCs w:val="22"/>
          <w:u w:val="none"/>
          <w:lang w:val="es-ES"/>
        </w:rPr>
        <w:t xml:space="preserve"> por las</w:t>
      </w:r>
      <w:r w:rsidRPr="001A2AC2">
        <w:rPr>
          <w:rFonts w:ascii="Arial Narrow" w:hAnsi="Arial Narrow" w:cs="Times New Roman"/>
          <w:b w:val="0"/>
          <w:bCs w:val="0"/>
          <w:i w:val="0"/>
          <w:iCs w:val="0"/>
          <w:vanish w:val="0"/>
          <w:color w:val="auto"/>
          <w:sz w:val="22"/>
          <w:szCs w:val="22"/>
          <w:u w:val="none"/>
          <w:lang w:val="es-ES"/>
        </w:rPr>
        <w:t xml:space="preserve"> ejecuci</w:t>
      </w:r>
      <w:r>
        <w:rPr>
          <w:rFonts w:ascii="Arial Narrow" w:hAnsi="Arial Narrow" w:cs="Times New Roman"/>
          <w:b w:val="0"/>
          <w:bCs w:val="0"/>
          <w:i w:val="0"/>
          <w:iCs w:val="0"/>
          <w:vanish w:val="0"/>
          <w:color w:val="auto"/>
          <w:sz w:val="22"/>
          <w:szCs w:val="22"/>
          <w:u w:val="none"/>
          <w:lang w:val="es-ES"/>
        </w:rPr>
        <w:t>o</w:t>
      </w:r>
      <w:r w:rsidRPr="001A2AC2">
        <w:rPr>
          <w:rFonts w:ascii="Arial Narrow" w:hAnsi="Arial Narrow" w:cs="Times New Roman"/>
          <w:b w:val="0"/>
          <w:bCs w:val="0"/>
          <w:i w:val="0"/>
          <w:iCs w:val="0"/>
          <w:vanish w:val="0"/>
          <w:color w:val="auto"/>
          <w:sz w:val="22"/>
          <w:szCs w:val="22"/>
          <w:u w:val="none"/>
          <w:lang w:val="es-ES"/>
        </w:rPr>
        <w:t>n</w:t>
      </w:r>
      <w:r>
        <w:rPr>
          <w:rFonts w:ascii="Arial Narrow" w:hAnsi="Arial Narrow" w:cs="Times New Roman"/>
          <w:b w:val="0"/>
          <w:bCs w:val="0"/>
          <w:i w:val="0"/>
          <w:iCs w:val="0"/>
          <w:vanish w:val="0"/>
          <w:color w:val="auto"/>
          <w:sz w:val="22"/>
          <w:szCs w:val="22"/>
          <w:u w:val="none"/>
          <w:lang w:val="es-ES"/>
        </w:rPr>
        <w:t>es</w:t>
      </w:r>
      <w:r w:rsidRPr="001A2AC2">
        <w:rPr>
          <w:rFonts w:ascii="Arial Narrow" w:hAnsi="Arial Narrow" w:cs="Times New Roman"/>
          <w:b w:val="0"/>
          <w:bCs w:val="0"/>
          <w:i w:val="0"/>
          <w:iCs w:val="0"/>
          <w:vanish w:val="0"/>
          <w:color w:val="auto"/>
          <w:sz w:val="22"/>
          <w:szCs w:val="22"/>
          <w:u w:val="none"/>
          <w:lang w:val="es-ES"/>
        </w:rPr>
        <w:t xml:space="preserve"> a </w:t>
      </w:r>
      <w:r>
        <w:rPr>
          <w:rFonts w:ascii="Arial Narrow" w:hAnsi="Arial Narrow" w:cs="Times New Roman"/>
          <w:b w:val="0"/>
          <w:bCs w:val="0"/>
          <w:i w:val="0"/>
          <w:iCs w:val="0"/>
          <w:vanish w:val="0"/>
          <w:color w:val="auto"/>
          <w:sz w:val="22"/>
          <w:szCs w:val="22"/>
          <w:u w:val="none"/>
          <w:lang w:val="es-ES"/>
        </w:rPr>
        <w:t xml:space="preserve">31 de </w:t>
      </w:r>
      <w:r w:rsidRPr="001A2AC2">
        <w:rPr>
          <w:rFonts w:ascii="Arial Narrow" w:hAnsi="Arial Narrow" w:cs="Times New Roman"/>
          <w:b w:val="0"/>
          <w:bCs w:val="0"/>
          <w:i w:val="0"/>
          <w:iCs w:val="0"/>
          <w:vanish w:val="0"/>
          <w:color w:val="auto"/>
          <w:sz w:val="22"/>
          <w:szCs w:val="22"/>
          <w:u w:val="none"/>
          <w:lang w:val="es-ES"/>
        </w:rPr>
        <w:t>diciembre de 2015 de los convenios suscritos</w:t>
      </w:r>
      <w:r>
        <w:rPr>
          <w:rFonts w:ascii="Arial Narrow" w:hAnsi="Arial Narrow" w:cs="Times New Roman"/>
          <w:b w:val="0"/>
          <w:bCs w:val="0"/>
          <w:i w:val="0"/>
          <w:iCs w:val="0"/>
          <w:vanish w:val="0"/>
          <w:color w:val="auto"/>
          <w:sz w:val="22"/>
          <w:szCs w:val="22"/>
          <w:u w:val="none"/>
          <w:lang w:val="es-ES"/>
        </w:rPr>
        <w:t xml:space="preserve"> con FONADE y </w:t>
      </w:r>
      <w:r w:rsidR="007C3192">
        <w:rPr>
          <w:rFonts w:ascii="Arial Narrow" w:hAnsi="Arial Narrow" w:cs="Times New Roman"/>
          <w:b w:val="0"/>
          <w:bCs w:val="0"/>
          <w:i w:val="0"/>
          <w:iCs w:val="0"/>
          <w:vanish w:val="0"/>
          <w:color w:val="auto"/>
          <w:sz w:val="22"/>
          <w:szCs w:val="22"/>
          <w:u w:val="none"/>
          <w:lang w:val="es-ES"/>
        </w:rPr>
        <w:t xml:space="preserve">el </w:t>
      </w:r>
      <w:r w:rsidRPr="001A2AC2">
        <w:rPr>
          <w:rFonts w:ascii="Arial Narrow" w:hAnsi="Arial Narrow" w:cs="Times New Roman"/>
          <w:b w:val="0"/>
          <w:bCs w:val="0"/>
          <w:i w:val="0"/>
          <w:iCs w:val="0"/>
          <w:vanish w:val="0"/>
          <w:color w:val="auto"/>
          <w:sz w:val="22"/>
          <w:szCs w:val="22"/>
          <w:u w:val="none"/>
          <w:lang w:val="es-ES"/>
        </w:rPr>
        <w:t>Fondo de Adaptación</w:t>
      </w:r>
      <w:r>
        <w:rPr>
          <w:rFonts w:ascii="Arial Narrow" w:hAnsi="Arial Narrow" w:cs="Times New Roman"/>
          <w:b w:val="0"/>
          <w:bCs w:val="0"/>
          <w:i w:val="0"/>
          <w:iCs w:val="0"/>
          <w:vanish w:val="0"/>
          <w:color w:val="auto"/>
          <w:sz w:val="22"/>
          <w:szCs w:val="22"/>
          <w:u w:val="none"/>
          <w:lang w:val="es-ES"/>
        </w:rPr>
        <w:t>, quedando</w:t>
      </w:r>
      <w:r w:rsidRPr="001A2AC2">
        <w:rPr>
          <w:rFonts w:ascii="Arial Narrow" w:hAnsi="Arial Narrow" w:cs="Times New Roman"/>
          <w:b w:val="0"/>
          <w:bCs w:val="0"/>
          <w:i w:val="0"/>
          <w:iCs w:val="0"/>
          <w:vanish w:val="0"/>
          <w:color w:val="auto"/>
          <w:sz w:val="22"/>
          <w:szCs w:val="22"/>
          <w:u w:val="none"/>
          <w:lang w:val="es-ES"/>
        </w:rPr>
        <w:t xml:space="preserve"> un saldo </w:t>
      </w:r>
      <w:r>
        <w:rPr>
          <w:rFonts w:ascii="Arial Narrow" w:hAnsi="Arial Narrow" w:cs="Times New Roman"/>
          <w:b w:val="0"/>
          <w:bCs w:val="0"/>
          <w:i w:val="0"/>
          <w:iCs w:val="0"/>
          <w:vanish w:val="0"/>
          <w:color w:val="auto"/>
          <w:sz w:val="22"/>
          <w:szCs w:val="22"/>
          <w:u w:val="none"/>
          <w:lang w:val="es-ES"/>
        </w:rPr>
        <w:t xml:space="preserve">pendiente por </w:t>
      </w:r>
      <w:r w:rsidRPr="001A2AC2">
        <w:rPr>
          <w:rFonts w:ascii="Arial Narrow" w:hAnsi="Arial Narrow" w:cs="Times New Roman"/>
          <w:b w:val="0"/>
          <w:bCs w:val="0"/>
          <w:i w:val="0"/>
          <w:iCs w:val="0"/>
          <w:vanish w:val="0"/>
          <w:color w:val="auto"/>
          <w:sz w:val="22"/>
          <w:szCs w:val="22"/>
          <w:u w:val="none"/>
          <w:lang w:val="es-ES"/>
        </w:rPr>
        <w:t>ejecutar de $6.306.254 miles y $ 9.652.029 miles</w:t>
      </w:r>
      <w:r w:rsidR="007C3192">
        <w:rPr>
          <w:rFonts w:ascii="Arial Narrow" w:hAnsi="Arial Narrow" w:cs="Times New Roman"/>
          <w:b w:val="0"/>
          <w:bCs w:val="0"/>
          <w:i w:val="0"/>
          <w:iCs w:val="0"/>
          <w:vanish w:val="0"/>
          <w:color w:val="auto"/>
          <w:sz w:val="22"/>
          <w:szCs w:val="22"/>
          <w:u w:val="none"/>
          <w:lang w:val="es-ES"/>
        </w:rPr>
        <w:t>,</w:t>
      </w:r>
      <w:r>
        <w:rPr>
          <w:rFonts w:ascii="Arial Narrow" w:hAnsi="Arial Narrow" w:cs="Times New Roman"/>
          <w:b w:val="0"/>
          <w:bCs w:val="0"/>
          <w:i w:val="0"/>
          <w:iCs w:val="0"/>
          <w:vanish w:val="0"/>
          <w:color w:val="auto"/>
          <w:sz w:val="22"/>
          <w:szCs w:val="22"/>
          <w:u w:val="none"/>
          <w:lang w:val="es-ES"/>
        </w:rPr>
        <w:t xml:space="preserve"> respectivamente</w:t>
      </w:r>
      <w:r w:rsidRPr="001A2AC2">
        <w:rPr>
          <w:rFonts w:ascii="Arial Narrow" w:hAnsi="Arial Narrow" w:cs="Times New Roman"/>
          <w:b w:val="0"/>
          <w:bCs w:val="0"/>
          <w:i w:val="0"/>
          <w:iCs w:val="0"/>
          <w:vanish w:val="0"/>
          <w:color w:val="auto"/>
          <w:sz w:val="22"/>
          <w:szCs w:val="22"/>
          <w:u w:val="none"/>
          <w:lang w:val="es-ES"/>
        </w:rPr>
        <w:t>.</w:t>
      </w:r>
    </w:p>
    <w:p w:rsidR="002764B9" w:rsidRDefault="002764B9" w:rsidP="002764B9">
      <w:pPr>
        <w:pStyle w:val="Textoindependiente"/>
        <w:rPr>
          <w:rFonts w:ascii="Arial Narrow" w:hAnsi="Arial Narrow" w:cs="Times New Roman"/>
          <w:b w:val="0"/>
          <w:bCs w:val="0"/>
          <w:i w:val="0"/>
          <w:iCs w:val="0"/>
          <w:vanish w:val="0"/>
          <w:color w:val="auto"/>
          <w:sz w:val="22"/>
          <w:szCs w:val="22"/>
          <w:u w:val="none"/>
          <w:lang w:val="es-ES"/>
        </w:rPr>
      </w:pPr>
    </w:p>
    <w:p w:rsidR="002764B9" w:rsidRPr="001A2AC2" w:rsidRDefault="002764B9" w:rsidP="002764B9">
      <w:pPr>
        <w:jc w:val="both"/>
        <w:rPr>
          <w:rFonts w:ascii="Arial Narrow" w:hAnsi="Arial Narrow" w:cs="Arial"/>
          <w:sz w:val="22"/>
          <w:szCs w:val="22"/>
          <w:lang w:val="es-CO"/>
        </w:rPr>
      </w:pPr>
      <w:r>
        <w:rPr>
          <w:rFonts w:ascii="Arial Narrow" w:hAnsi="Arial Narrow" w:cs="Arial"/>
          <w:sz w:val="22"/>
          <w:szCs w:val="22"/>
          <w:lang w:val="es-CO"/>
        </w:rPr>
        <w:t xml:space="preserve">En la vigencia 2015 </w:t>
      </w:r>
      <w:r w:rsidR="00803B6E">
        <w:rPr>
          <w:rFonts w:ascii="Arial Narrow" w:hAnsi="Arial Narrow" w:cs="Arial"/>
          <w:sz w:val="22"/>
          <w:szCs w:val="22"/>
          <w:lang w:val="es-CO"/>
        </w:rPr>
        <w:t>se suscribió el C</w:t>
      </w:r>
      <w:r w:rsidRPr="001A2AC2">
        <w:rPr>
          <w:rFonts w:ascii="Arial Narrow" w:hAnsi="Arial Narrow" w:cs="Arial"/>
          <w:sz w:val="22"/>
          <w:szCs w:val="22"/>
          <w:lang w:val="es-CO"/>
        </w:rPr>
        <w:t>onvenio Interadministrativo N.7 de 2015</w:t>
      </w:r>
      <w:r>
        <w:rPr>
          <w:rFonts w:ascii="Arial Narrow" w:hAnsi="Arial Narrow" w:cs="Arial"/>
          <w:sz w:val="22"/>
          <w:szCs w:val="22"/>
          <w:lang w:val="es-CO"/>
        </w:rPr>
        <w:t xml:space="preserve"> c</w:t>
      </w:r>
      <w:r w:rsidRPr="001A2AC2">
        <w:rPr>
          <w:rFonts w:ascii="Arial Narrow" w:hAnsi="Arial Narrow" w:cs="Arial"/>
          <w:sz w:val="22"/>
          <w:szCs w:val="22"/>
          <w:lang w:val="es-CO"/>
        </w:rPr>
        <w:t xml:space="preserve">on el Municipio de Ipiales cuyo objeto es la unión, articulación y coordinación de esfuerzos humanos, técnicos, tecnológicos y logísticos entre la Agencia Nacional de Infraestructura y la Alcaldía de Ipiales para la elaboración de estudios y diseños y construcción de un muro de contención en la variante de Ipiales en cumplimiento del fallo de tutela no. 2010-00262-00 del 29 de diciembre de 2010, quedando un saldo pendiente por ejecutar </w:t>
      </w:r>
      <w:r>
        <w:rPr>
          <w:rFonts w:ascii="Arial Narrow" w:hAnsi="Arial Narrow" w:cs="Arial"/>
          <w:sz w:val="22"/>
          <w:szCs w:val="22"/>
          <w:lang w:val="es-CO"/>
        </w:rPr>
        <w:t xml:space="preserve">a 31 de diciembre de 2015 </w:t>
      </w:r>
      <w:r w:rsidRPr="001A2AC2">
        <w:rPr>
          <w:rFonts w:ascii="Arial Narrow" w:hAnsi="Arial Narrow" w:cs="Arial"/>
          <w:sz w:val="22"/>
          <w:szCs w:val="22"/>
          <w:lang w:val="es-CO"/>
        </w:rPr>
        <w:t xml:space="preserve">de </w:t>
      </w:r>
      <w:r>
        <w:rPr>
          <w:rFonts w:ascii="Arial Narrow" w:hAnsi="Arial Narrow" w:cs="Arial"/>
          <w:sz w:val="22"/>
          <w:szCs w:val="22"/>
          <w:lang w:val="es-CO"/>
        </w:rPr>
        <w:t>$</w:t>
      </w:r>
      <w:r w:rsidRPr="001A2AC2">
        <w:rPr>
          <w:rFonts w:ascii="Arial Narrow" w:hAnsi="Arial Narrow" w:cs="Arial"/>
          <w:sz w:val="22"/>
          <w:szCs w:val="22"/>
          <w:lang w:val="es-CO"/>
        </w:rPr>
        <w:t>4</w:t>
      </w:r>
      <w:r>
        <w:rPr>
          <w:rFonts w:ascii="Arial Narrow" w:hAnsi="Arial Narrow" w:cs="Arial"/>
          <w:sz w:val="22"/>
          <w:szCs w:val="22"/>
          <w:lang w:val="es-CO"/>
        </w:rPr>
        <w:t>5</w:t>
      </w:r>
      <w:r w:rsidRPr="001A2AC2">
        <w:rPr>
          <w:rFonts w:ascii="Arial Narrow" w:hAnsi="Arial Narrow" w:cs="Arial"/>
          <w:sz w:val="22"/>
          <w:szCs w:val="22"/>
          <w:lang w:val="es-CO"/>
        </w:rPr>
        <w:t xml:space="preserve"> miles.</w:t>
      </w:r>
    </w:p>
    <w:p w:rsidR="002764B9" w:rsidRDefault="002764B9" w:rsidP="002764B9">
      <w:pPr>
        <w:pStyle w:val="Textoindependiente"/>
        <w:rPr>
          <w:rFonts w:ascii="Arial Narrow" w:hAnsi="Arial Narrow" w:cs="Times New Roman"/>
          <w:b w:val="0"/>
          <w:bCs w:val="0"/>
          <w:i w:val="0"/>
          <w:iCs w:val="0"/>
          <w:vanish w:val="0"/>
          <w:color w:val="auto"/>
          <w:sz w:val="22"/>
          <w:szCs w:val="22"/>
          <w:u w:val="none"/>
          <w:lang w:val="es-ES"/>
        </w:rPr>
      </w:pPr>
    </w:p>
    <w:p w:rsidR="002764B9" w:rsidRPr="001A2AC2" w:rsidRDefault="002764B9" w:rsidP="002764B9">
      <w:pPr>
        <w:jc w:val="both"/>
        <w:rPr>
          <w:rFonts w:ascii="Arial Narrow" w:hAnsi="Arial Narrow" w:cs="Arial"/>
          <w:sz w:val="22"/>
          <w:szCs w:val="22"/>
          <w:lang w:val="es-CO"/>
        </w:rPr>
      </w:pPr>
      <w:r>
        <w:rPr>
          <w:rFonts w:ascii="Arial Narrow" w:hAnsi="Arial Narrow" w:cs="Arial"/>
          <w:sz w:val="22"/>
          <w:szCs w:val="22"/>
          <w:lang w:val="es-CO"/>
        </w:rPr>
        <w:t>E</w:t>
      </w:r>
      <w:r w:rsidRPr="001A2AC2">
        <w:rPr>
          <w:rFonts w:ascii="Arial Narrow" w:hAnsi="Arial Narrow" w:cs="Arial"/>
          <w:sz w:val="22"/>
          <w:szCs w:val="22"/>
          <w:lang w:val="es-CO"/>
        </w:rPr>
        <w:t>n esta cuenta</w:t>
      </w:r>
      <w:r>
        <w:rPr>
          <w:rFonts w:ascii="Arial Narrow" w:hAnsi="Arial Narrow" w:cs="Arial"/>
          <w:sz w:val="22"/>
          <w:szCs w:val="22"/>
          <w:lang w:val="es-CO"/>
        </w:rPr>
        <w:t xml:space="preserve"> se refleja los recursos </w:t>
      </w:r>
      <w:r w:rsidRPr="001A2AC2">
        <w:rPr>
          <w:rFonts w:ascii="Arial Narrow" w:hAnsi="Arial Narrow" w:cs="Arial"/>
          <w:sz w:val="22"/>
          <w:szCs w:val="22"/>
          <w:lang w:val="es-CO"/>
        </w:rPr>
        <w:t>pendiente</w:t>
      </w:r>
      <w:r>
        <w:rPr>
          <w:rFonts w:ascii="Arial Narrow" w:hAnsi="Arial Narrow" w:cs="Arial"/>
          <w:sz w:val="22"/>
          <w:szCs w:val="22"/>
          <w:lang w:val="es-CO"/>
        </w:rPr>
        <w:t>s</w:t>
      </w:r>
      <w:r w:rsidRPr="001A2AC2">
        <w:rPr>
          <w:rFonts w:ascii="Arial Narrow" w:hAnsi="Arial Narrow" w:cs="Arial"/>
          <w:sz w:val="22"/>
          <w:szCs w:val="22"/>
          <w:lang w:val="es-CO"/>
        </w:rPr>
        <w:t xml:space="preserve"> por ejecutar </w:t>
      </w:r>
      <w:r>
        <w:rPr>
          <w:rFonts w:ascii="Arial Narrow" w:hAnsi="Arial Narrow" w:cs="Arial"/>
          <w:sz w:val="22"/>
          <w:szCs w:val="22"/>
          <w:lang w:val="es-CO"/>
        </w:rPr>
        <w:t xml:space="preserve">por </w:t>
      </w:r>
      <w:r w:rsidRPr="001A2AC2">
        <w:rPr>
          <w:rFonts w:ascii="Arial Narrow" w:hAnsi="Arial Narrow" w:cs="Arial"/>
          <w:sz w:val="22"/>
          <w:szCs w:val="22"/>
          <w:lang w:val="es-CO"/>
        </w:rPr>
        <w:t>valor de $442.546 miles</w:t>
      </w:r>
      <w:r>
        <w:rPr>
          <w:rFonts w:ascii="Arial Narrow" w:hAnsi="Arial Narrow" w:cs="Arial"/>
          <w:sz w:val="22"/>
          <w:szCs w:val="22"/>
          <w:lang w:val="es-CO"/>
        </w:rPr>
        <w:t xml:space="preserve"> correspondiente a las operaciones efectuadas</w:t>
      </w:r>
      <w:r w:rsidRPr="001A2AC2">
        <w:rPr>
          <w:rFonts w:ascii="Arial Narrow" w:hAnsi="Arial Narrow" w:cs="Arial"/>
          <w:sz w:val="22"/>
          <w:szCs w:val="22"/>
          <w:lang w:val="es-CO"/>
        </w:rPr>
        <w:t>,</w:t>
      </w:r>
      <w:r>
        <w:rPr>
          <w:rFonts w:ascii="Arial Narrow" w:hAnsi="Arial Narrow" w:cs="Arial"/>
          <w:sz w:val="22"/>
          <w:szCs w:val="22"/>
          <w:lang w:val="es-CO"/>
        </w:rPr>
        <w:t xml:space="preserve"> en desarrollo de</w:t>
      </w:r>
      <w:r w:rsidR="00803B6E">
        <w:rPr>
          <w:rFonts w:ascii="Arial Narrow" w:hAnsi="Arial Narrow" w:cs="Arial"/>
          <w:sz w:val="22"/>
          <w:szCs w:val="22"/>
          <w:lang w:val="es-CO"/>
        </w:rPr>
        <w:t>l C</w:t>
      </w:r>
      <w:r w:rsidRPr="001A2AC2">
        <w:rPr>
          <w:rFonts w:ascii="Arial Narrow" w:hAnsi="Arial Narrow" w:cs="Arial"/>
          <w:sz w:val="22"/>
          <w:szCs w:val="22"/>
          <w:lang w:val="es-CO"/>
        </w:rPr>
        <w:t>onvenio</w:t>
      </w:r>
      <w:r w:rsidR="00803B6E">
        <w:rPr>
          <w:rFonts w:ascii="Arial Narrow" w:hAnsi="Arial Narrow" w:cs="Arial"/>
          <w:sz w:val="22"/>
          <w:szCs w:val="22"/>
          <w:lang w:val="es-CO"/>
        </w:rPr>
        <w:t xml:space="preserve"> I</w:t>
      </w:r>
      <w:r>
        <w:rPr>
          <w:rFonts w:ascii="Arial Narrow" w:hAnsi="Arial Narrow" w:cs="Arial"/>
          <w:sz w:val="22"/>
          <w:szCs w:val="22"/>
          <w:lang w:val="es-CO"/>
        </w:rPr>
        <w:t>nteradministrativo</w:t>
      </w:r>
      <w:r w:rsidRPr="001A2AC2">
        <w:rPr>
          <w:rFonts w:ascii="Arial Narrow" w:hAnsi="Arial Narrow" w:cs="Arial"/>
          <w:sz w:val="22"/>
          <w:szCs w:val="22"/>
          <w:lang w:val="es-CO"/>
        </w:rPr>
        <w:t xml:space="preserve"> </w:t>
      </w:r>
      <w:r w:rsidR="00803B6E">
        <w:rPr>
          <w:rFonts w:ascii="Arial Narrow" w:hAnsi="Arial Narrow" w:cs="Arial"/>
          <w:sz w:val="22"/>
          <w:szCs w:val="22"/>
          <w:lang w:val="es-CO"/>
        </w:rPr>
        <w:t>No.</w:t>
      </w:r>
      <w:r w:rsidR="00803B6E" w:rsidRPr="001A2AC2">
        <w:rPr>
          <w:rFonts w:ascii="Arial Narrow" w:hAnsi="Arial Narrow" w:cs="Arial"/>
          <w:sz w:val="22"/>
          <w:szCs w:val="22"/>
          <w:lang w:val="es-CO"/>
        </w:rPr>
        <w:t xml:space="preserve"> 02 </w:t>
      </w:r>
      <w:r w:rsidR="00803B6E">
        <w:rPr>
          <w:rFonts w:ascii="Arial Narrow" w:hAnsi="Arial Narrow" w:cs="Arial"/>
          <w:sz w:val="22"/>
          <w:szCs w:val="22"/>
          <w:lang w:val="es-CO"/>
        </w:rPr>
        <w:t>suscrito entre</w:t>
      </w:r>
      <w:r>
        <w:rPr>
          <w:rFonts w:ascii="Arial Narrow" w:hAnsi="Arial Narrow" w:cs="Arial"/>
          <w:sz w:val="22"/>
          <w:szCs w:val="22"/>
          <w:lang w:val="es-CO"/>
        </w:rPr>
        <w:t xml:space="preserve"> </w:t>
      </w:r>
      <w:r w:rsidRPr="001A2AC2">
        <w:rPr>
          <w:rFonts w:ascii="Arial Narrow" w:hAnsi="Arial Narrow" w:cs="Arial"/>
          <w:sz w:val="22"/>
          <w:szCs w:val="22"/>
          <w:lang w:val="es-CO"/>
        </w:rPr>
        <w:t>la Financiera de Desarrollo Nacional</w:t>
      </w:r>
      <w:r w:rsidR="00803B6E">
        <w:rPr>
          <w:rFonts w:ascii="Arial Narrow" w:hAnsi="Arial Narrow" w:cs="Arial"/>
          <w:sz w:val="22"/>
          <w:szCs w:val="22"/>
          <w:lang w:val="es-CO"/>
        </w:rPr>
        <w:t>,</w:t>
      </w:r>
      <w:r w:rsidRPr="001A2AC2">
        <w:rPr>
          <w:rFonts w:ascii="Arial Narrow" w:hAnsi="Arial Narrow" w:cs="Arial"/>
          <w:sz w:val="22"/>
          <w:szCs w:val="22"/>
          <w:lang w:val="es-CO"/>
        </w:rPr>
        <w:t xml:space="preserve"> </w:t>
      </w:r>
      <w:r w:rsidR="00803B6E">
        <w:rPr>
          <w:rFonts w:ascii="Arial Narrow" w:hAnsi="Arial Narrow" w:cs="Arial"/>
          <w:sz w:val="22"/>
          <w:szCs w:val="22"/>
          <w:lang w:val="es-CO"/>
        </w:rPr>
        <w:t xml:space="preserve">el </w:t>
      </w:r>
      <w:r w:rsidRPr="001A2AC2">
        <w:rPr>
          <w:rFonts w:ascii="Arial Narrow" w:hAnsi="Arial Narrow" w:cs="Arial"/>
          <w:sz w:val="22"/>
          <w:szCs w:val="22"/>
          <w:lang w:val="es-CO"/>
        </w:rPr>
        <w:t>INVIAS-</w:t>
      </w:r>
      <w:r w:rsidR="00803B6E">
        <w:rPr>
          <w:rFonts w:ascii="Arial Narrow" w:hAnsi="Arial Narrow" w:cs="Arial"/>
          <w:sz w:val="22"/>
          <w:szCs w:val="22"/>
          <w:lang w:val="es-CO"/>
        </w:rPr>
        <w:t xml:space="preserve"> La Agencia Nacional de Infraestructura, el MINTRANSPORTE y</w:t>
      </w:r>
      <w:r w:rsidRPr="001A2AC2">
        <w:rPr>
          <w:rFonts w:ascii="Arial Narrow" w:hAnsi="Arial Narrow" w:cs="Arial"/>
          <w:sz w:val="22"/>
          <w:szCs w:val="22"/>
          <w:lang w:val="es-CO"/>
        </w:rPr>
        <w:t xml:space="preserve"> LA </w:t>
      </w:r>
      <w:r w:rsidR="00803B6E">
        <w:rPr>
          <w:rFonts w:ascii="Arial Narrow" w:hAnsi="Arial Narrow" w:cs="Arial"/>
          <w:sz w:val="22"/>
          <w:szCs w:val="22"/>
          <w:lang w:val="es-CO"/>
        </w:rPr>
        <w:t>FDN cuyo objeto consiste en</w:t>
      </w:r>
      <w:r>
        <w:rPr>
          <w:rFonts w:ascii="Arial Narrow" w:hAnsi="Arial Narrow" w:cs="Arial"/>
          <w:sz w:val="22"/>
          <w:szCs w:val="22"/>
          <w:lang w:val="es-CO"/>
        </w:rPr>
        <w:t xml:space="preserve"> realizar la g</w:t>
      </w:r>
      <w:r w:rsidRPr="001A2AC2">
        <w:rPr>
          <w:rFonts w:ascii="Arial Narrow" w:hAnsi="Arial Narrow" w:cs="Arial"/>
          <w:sz w:val="22"/>
          <w:szCs w:val="22"/>
          <w:lang w:val="es-CO"/>
        </w:rPr>
        <w:t xml:space="preserve">erencia para el estudio y desarrollo de la Fase III del convenio marco de cooperación </w:t>
      </w:r>
      <w:r>
        <w:rPr>
          <w:rFonts w:ascii="Arial Narrow" w:hAnsi="Arial Narrow" w:cs="Arial"/>
          <w:sz w:val="22"/>
          <w:szCs w:val="22"/>
          <w:lang w:val="es-CO"/>
        </w:rPr>
        <w:t>con el fin de e</w:t>
      </w:r>
      <w:r w:rsidRPr="001A2AC2">
        <w:rPr>
          <w:rFonts w:ascii="Arial Narrow" w:hAnsi="Arial Narrow" w:cs="Arial"/>
          <w:sz w:val="22"/>
          <w:szCs w:val="22"/>
          <w:lang w:val="es-CO"/>
        </w:rPr>
        <w:t>laborar el plan maestro de transporte intermodal de Colombia.</w:t>
      </w:r>
    </w:p>
    <w:p w:rsidR="002764B9" w:rsidRDefault="002764B9" w:rsidP="002764B9">
      <w:pPr>
        <w:pStyle w:val="Textoindependiente"/>
        <w:rPr>
          <w:rFonts w:ascii="Arial Narrow" w:hAnsi="Arial Narrow" w:cs="Times New Roman"/>
          <w:b w:val="0"/>
          <w:bCs w:val="0"/>
          <w:i w:val="0"/>
          <w:iCs w:val="0"/>
          <w:vanish w:val="0"/>
          <w:color w:val="auto"/>
          <w:sz w:val="22"/>
          <w:szCs w:val="22"/>
          <w:u w:val="none"/>
          <w:lang w:val="es-ES"/>
        </w:rPr>
      </w:pPr>
    </w:p>
    <w:p w:rsidR="002764B9" w:rsidRPr="001A2AC2" w:rsidRDefault="002764B9" w:rsidP="002764B9">
      <w:pPr>
        <w:pStyle w:val="Textoindependiente"/>
        <w:rPr>
          <w:rFonts w:ascii="Arial Narrow" w:hAnsi="Arial Narrow" w:cs="Times New Roman"/>
          <w:b w:val="0"/>
          <w:bCs w:val="0"/>
          <w:i w:val="0"/>
          <w:iCs w:val="0"/>
          <w:vanish w:val="0"/>
          <w:color w:val="auto"/>
          <w:sz w:val="22"/>
          <w:szCs w:val="22"/>
          <w:u w:val="none"/>
          <w:lang w:val="es-ES"/>
        </w:rPr>
      </w:pPr>
      <w:r w:rsidRPr="001A2AC2">
        <w:rPr>
          <w:rFonts w:ascii="Arial Narrow" w:hAnsi="Arial Narrow" w:cs="Times New Roman"/>
          <w:b w:val="0"/>
          <w:bCs w:val="0"/>
          <w:i w:val="0"/>
          <w:iCs w:val="0"/>
          <w:vanish w:val="0"/>
          <w:color w:val="auto"/>
          <w:sz w:val="22"/>
          <w:szCs w:val="22"/>
          <w:u w:val="none"/>
          <w:lang w:val="es-ES"/>
        </w:rPr>
        <w:t>A continuación se relacionan los convenios actuales con saldo pendiente por ejecutar</w:t>
      </w:r>
      <w:r>
        <w:rPr>
          <w:rFonts w:ascii="Arial Narrow" w:hAnsi="Arial Narrow" w:cs="Times New Roman"/>
          <w:b w:val="0"/>
          <w:bCs w:val="0"/>
          <w:i w:val="0"/>
          <w:iCs w:val="0"/>
          <w:vanish w:val="0"/>
          <w:color w:val="auto"/>
          <w:sz w:val="22"/>
          <w:szCs w:val="22"/>
          <w:u w:val="none"/>
          <w:lang w:val="es-ES"/>
        </w:rPr>
        <w:t xml:space="preserve"> con FONADE</w:t>
      </w:r>
      <w:r w:rsidRPr="001A2AC2">
        <w:rPr>
          <w:rFonts w:ascii="Arial Narrow" w:hAnsi="Arial Narrow" w:cs="Times New Roman"/>
          <w:b w:val="0"/>
          <w:bCs w:val="0"/>
          <w:i w:val="0"/>
          <w:iCs w:val="0"/>
          <w:vanish w:val="0"/>
          <w:color w:val="auto"/>
          <w:sz w:val="22"/>
          <w:szCs w:val="22"/>
          <w:u w:val="none"/>
          <w:lang w:val="es-ES"/>
        </w:rPr>
        <w:t>:</w:t>
      </w:r>
    </w:p>
    <w:p w:rsidR="002764B9" w:rsidRPr="001A2AC2" w:rsidRDefault="002764B9" w:rsidP="002764B9">
      <w:pPr>
        <w:pStyle w:val="Textoindependiente"/>
        <w:rPr>
          <w:rFonts w:ascii="Arial Narrow" w:hAnsi="Arial Narrow" w:cs="Gisha"/>
          <w:b w:val="0"/>
          <w:bCs w:val="0"/>
          <w:i w:val="0"/>
          <w:iCs w:val="0"/>
          <w:vanish w:val="0"/>
          <w:color w:val="auto"/>
          <w:sz w:val="22"/>
          <w:szCs w:val="22"/>
          <w:highlight w:val="yellow"/>
          <w:u w:val="none"/>
          <w:lang w:val="es-ES"/>
        </w:rPr>
      </w:pPr>
    </w:p>
    <w:p w:rsidR="002764B9" w:rsidRPr="001A2AC2" w:rsidRDefault="002764B9" w:rsidP="00853B3A">
      <w:pPr>
        <w:pStyle w:val="Prrafodelista"/>
        <w:numPr>
          <w:ilvl w:val="0"/>
          <w:numId w:val="5"/>
        </w:numPr>
        <w:jc w:val="both"/>
        <w:rPr>
          <w:rFonts w:cs="Gisha"/>
          <w:sz w:val="22"/>
          <w:szCs w:val="22"/>
        </w:rPr>
      </w:pPr>
      <w:r w:rsidRPr="001A2AC2">
        <w:rPr>
          <w:rFonts w:cs="Gisha"/>
          <w:sz w:val="22"/>
          <w:szCs w:val="22"/>
        </w:rPr>
        <w:t>Convenio Interadministrativo de Gerencia de Proyectos No. 004 del 7 de febrero de 2011</w:t>
      </w:r>
      <w:r>
        <w:rPr>
          <w:rFonts w:cs="Gisha"/>
          <w:sz w:val="22"/>
          <w:szCs w:val="22"/>
        </w:rPr>
        <w:t xml:space="preserve"> </w:t>
      </w:r>
      <w:r w:rsidRPr="001A2AC2">
        <w:rPr>
          <w:rFonts w:cs="Gisha"/>
          <w:sz w:val="22"/>
          <w:szCs w:val="22"/>
        </w:rPr>
        <w:t>cuyo objeto es ejecutar la gerencia integral del proyecto denominado Grupo Centro Occidente, orientado a la estructuración de Concesiones Viales</w:t>
      </w:r>
      <w:r w:rsidR="00A06FE0">
        <w:rPr>
          <w:rFonts w:cs="Gisha"/>
          <w:sz w:val="22"/>
          <w:szCs w:val="22"/>
        </w:rPr>
        <w:t>, saldo por ejecutar $2.896.926 miles.</w:t>
      </w:r>
    </w:p>
    <w:p w:rsidR="002764B9" w:rsidRPr="001A2AC2" w:rsidRDefault="002764B9" w:rsidP="002764B9">
      <w:pPr>
        <w:pStyle w:val="Textoindependiente"/>
        <w:rPr>
          <w:rFonts w:ascii="Arial Narrow" w:hAnsi="Arial Narrow" w:cs="Gisha"/>
          <w:sz w:val="22"/>
          <w:szCs w:val="22"/>
          <w:highlight w:val="yellow"/>
          <w:lang w:val="es-ES"/>
        </w:rPr>
      </w:pPr>
      <w:r w:rsidRPr="001A2AC2">
        <w:rPr>
          <w:rFonts w:ascii="Arial Narrow" w:hAnsi="Arial Narrow" w:cs="Gisha"/>
          <w:sz w:val="22"/>
          <w:szCs w:val="22"/>
          <w:highlight w:val="yellow"/>
          <w:lang w:val="es-ES"/>
        </w:rPr>
        <w:t>Convenio Interadministrativo de Gerencia de Proyectos No. 007 del 7 de febrero de 2011, suscrito entre la Agencia Nacional de Infraestructura y el Fondo Financiero de Proyectos de Desarrollo cuyo objeto es ejecutar la gerencia integral del proyecto denominado Grupo Centro Oriente, orientado a la estructuración de Concesiones Viales.</w:t>
      </w:r>
    </w:p>
    <w:p w:rsidR="002764B9" w:rsidRPr="001A2AC2" w:rsidRDefault="002764B9" w:rsidP="002764B9">
      <w:pPr>
        <w:pStyle w:val="Prrafodelista"/>
        <w:ind w:left="780"/>
        <w:jc w:val="both"/>
        <w:rPr>
          <w:rFonts w:cs="Gisha"/>
          <w:sz w:val="22"/>
          <w:szCs w:val="22"/>
          <w:highlight w:val="yellow"/>
          <w:lang w:val="es-ES"/>
        </w:rPr>
      </w:pPr>
    </w:p>
    <w:p w:rsidR="00A06FE0" w:rsidRPr="001A2AC2" w:rsidRDefault="002764B9" w:rsidP="00853B3A">
      <w:pPr>
        <w:pStyle w:val="Prrafodelista"/>
        <w:numPr>
          <w:ilvl w:val="0"/>
          <w:numId w:val="5"/>
        </w:numPr>
        <w:jc w:val="both"/>
        <w:rPr>
          <w:rFonts w:cs="Gisha"/>
          <w:sz w:val="22"/>
          <w:szCs w:val="22"/>
        </w:rPr>
      </w:pPr>
      <w:r w:rsidRPr="001A2AC2">
        <w:rPr>
          <w:rFonts w:cs="Gisha"/>
          <w:sz w:val="22"/>
          <w:szCs w:val="22"/>
        </w:rPr>
        <w:lastRenderedPageBreak/>
        <w:t>Convenio Interadministrativo de Gerencia de Proyectos No. 005 del 7 de febrero de 2011 cuyo objeto es ejecutar la gerencia integral del proyec</w:t>
      </w:r>
      <w:r w:rsidR="00803B6E">
        <w:rPr>
          <w:rFonts w:cs="Gisha"/>
          <w:sz w:val="22"/>
          <w:szCs w:val="22"/>
        </w:rPr>
        <w:t xml:space="preserve">to denominado Grupo Centro Sur, </w:t>
      </w:r>
      <w:r w:rsidRPr="001A2AC2">
        <w:rPr>
          <w:rFonts w:cs="Gisha"/>
          <w:sz w:val="22"/>
          <w:szCs w:val="22"/>
        </w:rPr>
        <w:t>orientado a la estructuración de Concesiones Viales</w:t>
      </w:r>
      <w:r w:rsidR="00A06FE0">
        <w:rPr>
          <w:rFonts w:cs="Gisha"/>
          <w:sz w:val="22"/>
          <w:szCs w:val="22"/>
        </w:rPr>
        <w:t>, saldo por ejecutar $871.266 miles.</w:t>
      </w:r>
    </w:p>
    <w:p w:rsidR="002764B9" w:rsidRPr="00775344" w:rsidRDefault="002764B9" w:rsidP="00775344">
      <w:pPr>
        <w:ind w:left="420"/>
        <w:jc w:val="both"/>
        <w:rPr>
          <w:rFonts w:cs="Gisha"/>
          <w:sz w:val="22"/>
          <w:szCs w:val="22"/>
        </w:rPr>
      </w:pPr>
    </w:p>
    <w:p w:rsidR="00A06FE0" w:rsidRPr="001A2AC2" w:rsidRDefault="002764B9" w:rsidP="00853B3A">
      <w:pPr>
        <w:pStyle w:val="Prrafodelista"/>
        <w:numPr>
          <w:ilvl w:val="0"/>
          <w:numId w:val="5"/>
        </w:numPr>
        <w:jc w:val="both"/>
        <w:rPr>
          <w:rFonts w:cs="Gisha"/>
          <w:sz w:val="22"/>
          <w:szCs w:val="22"/>
        </w:rPr>
      </w:pPr>
      <w:r w:rsidRPr="00A06FE0">
        <w:rPr>
          <w:rFonts w:cs="Arial"/>
          <w:sz w:val="22"/>
          <w:szCs w:val="22"/>
        </w:rPr>
        <w:t>Convenio Interadministrativo de Gerencia de Proyectos No. 006 del 7 de febrero de 2011  cuyo objeto es ejecutar la gerencia integral del proyecto denominado Grupo Norte, orientado a la estructuración de tres tipos de  corredores viales</w:t>
      </w:r>
      <w:r w:rsidR="00A06FE0">
        <w:rPr>
          <w:rFonts w:cs="Arial"/>
          <w:sz w:val="22"/>
          <w:szCs w:val="22"/>
        </w:rPr>
        <w:t xml:space="preserve">, </w:t>
      </w:r>
      <w:r w:rsidR="00A06FE0">
        <w:rPr>
          <w:rFonts w:cs="Gisha"/>
          <w:sz w:val="22"/>
          <w:szCs w:val="22"/>
        </w:rPr>
        <w:t>saldo por ejecutar $1.030.521miles.</w:t>
      </w:r>
    </w:p>
    <w:p w:rsidR="002764B9" w:rsidRPr="00775344" w:rsidRDefault="002764B9" w:rsidP="00775344">
      <w:pPr>
        <w:ind w:left="420"/>
        <w:jc w:val="both"/>
        <w:rPr>
          <w:rFonts w:cs="Arial"/>
          <w:sz w:val="22"/>
          <w:szCs w:val="22"/>
        </w:rPr>
      </w:pPr>
    </w:p>
    <w:p w:rsidR="00A06FE0" w:rsidRPr="001A2AC2" w:rsidRDefault="002764B9" w:rsidP="00853B3A">
      <w:pPr>
        <w:pStyle w:val="Prrafodelista"/>
        <w:numPr>
          <w:ilvl w:val="0"/>
          <w:numId w:val="5"/>
        </w:numPr>
        <w:jc w:val="both"/>
        <w:rPr>
          <w:rFonts w:cs="Gisha"/>
          <w:sz w:val="22"/>
          <w:szCs w:val="22"/>
        </w:rPr>
      </w:pPr>
      <w:r w:rsidRPr="00A06FE0">
        <w:rPr>
          <w:rFonts w:cs="Arial"/>
          <w:sz w:val="22"/>
          <w:szCs w:val="22"/>
        </w:rPr>
        <w:t>Convenio Interadministrativo de Gerencia de Proyectos N</w:t>
      </w:r>
      <w:r w:rsidR="00803B6E">
        <w:rPr>
          <w:rFonts w:cs="Arial"/>
          <w:sz w:val="22"/>
          <w:szCs w:val="22"/>
        </w:rPr>
        <w:t>o. 007 del 7 de febrero de 2011</w:t>
      </w:r>
      <w:r w:rsidRPr="00A06FE0">
        <w:rPr>
          <w:rFonts w:cs="Arial"/>
          <w:sz w:val="22"/>
          <w:szCs w:val="22"/>
        </w:rPr>
        <w:t xml:space="preserve"> cuyo objeto es ejecutar la gerencia integral del proyecto denominado Grupo Centro Oriente, orientado a la estructuración de Concesiones Viales</w:t>
      </w:r>
      <w:r w:rsidR="00A06FE0">
        <w:rPr>
          <w:rFonts w:cs="Arial"/>
          <w:sz w:val="22"/>
          <w:szCs w:val="22"/>
        </w:rPr>
        <w:t xml:space="preserve">, </w:t>
      </w:r>
      <w:r w:rsidR="00A06FE0">
        <w:rPr>
          <w:rFonts w:cs="Gisha"/>
          <w:sz w:val="22"/>
          <w:szCs w:val="22"/>
        </w:rPr>
        <w:t>saldo por ejecutar $1.507.541 miles.</w:t>
      </w:r>
    </w:p>
    <w:p w:rsidR="002764B9" w:rsidRPr="00775344" w:rsidRDefault="002764B9" w:rsidP="00775344">
      <w:pPr>
        <w:ind w:left="420"/>
        <w:jc w:val="both"/>
        <w:rPr>
          <w:rFonts w:cs="Arial"/>
          <w:sz w:val="22"/>
          <w:szCs w:val="22"/>
        </w:rPr>
      </w:pPr>
    </w:p>
    <w:p w:rsidR="002764B9" w:rsidRPr="001A2AC2" w:rsidRDefault="002764B9" w:rsidP="002764B9">
      <w:pPr>
        <w:pStyle w:val="Textoindependiente"/>
        <w:rPr>
          <w:rFonts w:ascii="Arial Narrow" w:hAnsi="Arial Narrow" w:cs="Times New Roman"/>
          <w:b w:val="0"/>
          <w:bCs w:val="0"/>
          <w:i w:val="0"/>
          <w:iCs w:val="0"/>
          <w:vanish w:val="0"/>
          <w:color w:val="auto"/>
          <w:sz w:val="22"/>
          <w:szCs w:val="22"/>
          <w:u w:val="none"/>
          <w:lang w:val="es-ES"/>
        </w:rPr>
      </w:pPr>
      <w:r>
        <w:rPr>
          <w:rFonts w:ascii="Arial Narrow" w:hAnsi="Arial Narrow" w:cs="Times New Roman"/>
          <w:b w:val="0"/>
          <w:bCs w:val="0"/>
          <w:i w:val="0"/>
          <w:iCs w:val="0"/>
          <w:vanish w:val="0"/>
          <w:color w:val="auto"/>
          <w:sz w:val="22"/>
          <w:szCs w:val="22"/>
          <w:u w:val="none"/>
          <w:lang w:val="es-ES"/>
        </w:rPr>
        <w:t>L</w:t>
      </w:r>
      <w:r w:rsidRPr="001A2AC2">
        <w:rPr>
          <w:rFonts w:ascii="Arial Narrow" w:hAnsi="Arial Narrow" w:cs="Times New Roman"/>
          <w:b w:val="0"/>
          <w:bCs w:val="0"/>
          <w:i w:val="0"/>
          <w:iCs w:val="0"/>
          <w:vanish w:val="0"/>
          <w:color w:val="auto"/>
          <w:sz w:val="22"/>
          <w:szCs w:val="22"/>
          <w:u w:val="none"/>
          <w:lang w:val="es-ES"/>
        </w:rPr>
        <w:t>os convenios actuales con saldo pendiente por ejecutar</w:t>
      </w:r>
      <w:r>
        <w:rPr>
          <w:rFonts w:ascii="Arial Narrow" w:hAnsi="Arial Narrow" w:cs="Times New Roman"/>
          <w:b w:val="0"/>
          <w:bCs w:val="0"/>
          <w:i w:val="0"/>
          <w:iCs w:val="0"/>
          <w:vanish w:val="0"/>
          <w:color w:val="auto"/>
          <w:sz w:val="22"/>
          <w:szCs w:val="22"/>
          <w:u w:val="none"/>
          <w:lang w:val="es-ES"/>
        </w:rPr>
        <w:t xml:space="preserve"> con el Fondo de Adaptación son los siguientes</w:t>
      </w:r>
      <w:r w:rsidRPr="001A2AC2">
        <w:rPr>
          <w:rFonts w:ascii="Arial Narrow" w:hAnsi="Arial Narrow" w:cs="Times New Roman"/>
          <w:b w:val="0"/>
          <w:bCs w:val="0"/>
          <w:i w:val="0"/>
          <w:iCs w:val="0"/>
          <w:vanish w:val="0"/>
          <w:color w:val="auto"/>
          <w:sz w:val="22"/>
          <w:szCs w:val="22"/>
          <w:u w:val="none"/>
          <w:lang w:val="es-ES"/>
        </w:rPr>
        <w:t>:</w:t>
      </w:r>
    </w:p>
    <w:p w:rsidR="002764B9" w:rsidRPr="001A2AC2" w:rsidRDefault="002764B9" w:rsidP="002764B9">
      <w:pPr>
        <w:pStyle w:val="Prrafodelista"/>
        <w:ind w:left="780"/>
        <w:jc w:val="both"/>
        <w:rPr>
          <w:rFonts w:cs="Arial"/>
          <w:sz w:val="22"/>
          <w:szCs w:val="22"/>
        </w:rPr>
      </w:pPr>
    </w:p>
    <w:p w:rsidR="00A06FE0" w:rsidRPr="001A2AC2" w:rsidRDefault="002764B9" w:rsidP="00853B3A">
      <w:pPr>
        <w:pStyle w:val="Prrafodelista"/>
        <w:numPr>
          <w:ilvl w:val="0"/>
          <w:numId w:val="5"/>
        </w:numPr>
        <w:jc w:val="both"/>
        <w:rPr>
          <w:rFonts w:cs="Gisha"/>
          <w:sz w:val="22"/>
          <w:szCs w:val="22"/>
        </w:rPr>
      </w:pPr>
      <w:r w:rsidRPr="001A2AC2">
        <w:rPr>
          <w:rFonts w:cs="Arial"/>
          <w:sz w:val="22"/>
          <w:szCs w:val="22"/>
        </w:rPr>
        <w:t>Convenio Interadministrativo No. 003 de 2012, cuyo objeto es contratar la estructuración integral de los corredores viales (1) Norte de Santander (Cúcuta-Ocaña -Aguaclara, Cúcuta-Puerto Santander y (2) Transversal Cusiana- Carare - Boyacá (Puerto Gaitán - Puerto Araujo, Tunja - Chiquinquirá - Puerto Boyacá)</w:t>
      </w:r>
      <w:r w:rsidR="00A06FE0">
        <w:rPr>
          <w:rFonts w:cs="Arial"/>
          <w:sz w:val="22"/>
          <w:szCs w:val="22"/>
        </w:rPr>
        <w:t xml:space="preserve">, </w:t>
      </w:r>
      <w:r w:rsidR="00A06FE0">
        <w:rPr>
          <w:rFonts w:cs="Gisha"/>
          <w:sz w:val="22"/>
          <w:szCs w:val="22"/>
        </w:rPr>
        <w:t>saldo por ejecutar $1.591.022 miles.</w:t>
      </w:r>
    </w:p>
    <w:p w:rsidR="002764B9" w:rsidRPr="00775344" w:rsidRDefault="002764B9" w:rsidP="00775344">
      <w:pPr>
        <w:ind w:left="420"/>
        <w:jc w:val="both"/>
        <w:rPr>
          <w:rFonts w:cs="Arial"/>
          <w:sz w:val="22"/>
          <w:szCs w:val="22"/>
        </w:rPr>
      </w:pPr>
    </w:p>
    <w:p w:rsidR="00A06FE0" w:rsidRPr="001A2AC2" w:rsidRDefault="002764B9" w:rsidP="00853B3A">
      <w:pPr>
        <w:pStyle w:val="Prrafodelista"/>
        <w:numPr>
          <w:ilvl w:val="0"/>
          <w:numId w:val="5"/>
        </w:numPr>
        <w:jc w:val="both"/>
        <w:rPr>
          <w:rFonts w:cs="Gisha"/>
          <w:sz w:val="22"/>
          <w:szCs w:val="22"/>
        </w:rPr>
      </w:pPr>
      <w:r w:rsidRPr="001A2AC2">
        <w:rPr>
          <w:rFonts w:cs="Arial"/>
          <w:sz w:val="22"/>
          <w:szCs w:val="22"/>
        </w:rPr>
        <w:t xml:space="preserve">Convenio Interadministrativo No. 8 de 2011, cuyo objeto es contratar la estructuración integral para los proyectos de corredores viales (1) Manizales - Honda - Villeta y (2) Bogotá - Cúcuta, el cual incluye el tramo Duitama </w:t>
      </w:r>
      <w:r w:rsidR="00A06FE0">
        <w:rPr>
          <w:rFonts w:cs="Arial"/>
          <w:sz w:val="22"/>
          <w:szCs w:val="22"/>
        </w:rPr>
        <w:t>–</w:t>
      </w:r>
      <w:r w:rsidRPr="001A2AC2">
        <w:rPr>
          <w:rFonts w:cs="Arial"/>
          <w:sz w:val="22"/>
          <w:szCs w:val="22"/>
        </w:rPr>
        <w:t xml:space="preserve"> Pamplona</w:t>
      </w:r>
      <w:r w:rsidR="00A06FE0">
        <w:rPr>
          <w:rFonts w:cs="Arial"/>
          <w:sz w:val="22"/>
          <w:szCs w:val="22"/>
        </w:rPr>
        <w:t xml:space="preserve">, </w:t>
      </w:r>
      <w:r w:rsidR="00A06FE0">
        <w:rPr>
          <w:rFonts w:cs="Gisha"/>
          <w:sz w:val="22"/>
          <w:szCs w:val="22"/>
        </w:rPr>
        <w:t>saldo por ejecutar $4.758.089 miles.</w:t>
      </w:r>
    </w:p>
    <w:p w:rsidR="002764B9" w:rsidRPr="008A2144" w:rsidRDefault="002764B9" w:rsidP="008A2144">
      <w:pPr>
        <w:ind w:left="420"/>
        <w:jc w:val="both"/>
        <w:rPr>
          <w:rFonts w:cs="Arial"/>
          <w:sz w:val="22"/>
          <w:szCs w:val="22"/>
        </w:rPr>
      </w:pPr>
      <w:r w:rsidRPr="008A2144">
        <w:rPr>
          <w:rFonts w:cs="Arial"/>
          <w:sz w:val="22"/>
          <w:szCs w:val="22"/>
        </w:rPr>
        <w:t xml:space="preserve"> </w:t>
      </w:r>
    </w:p>
    <w:p w:rsidR="00A06FE0" w:rsidRPr="001A2AC2" w:rsidRDefault="002764B9" w:rsidP="00853B3A">
      <w:pPr>
        <w:pStyle w:val="Prrafodelista"/>
        <w:numPr>
          <w:ilvl w:val="0"/>
          <w:numId w:val="5"/>
        </w:numPr>
        <w:jc w:val="both"/>
        <w:rPr>
          <w:rFonts w:cs="Gisha"/>
          <w:sz w:val="22"/>
          <w:szCs w:val="22"/>
        </w:rPr>
      </w:pPr>
      <w:r w:rsidRPr="001A2AC2">
        <w:rPr>
          <w:rFonts w:cs="Arial"/>
          <w:sz w:val="22"/>
          <w:szCs w:val="22"/>
        </w:rPr>
        <w:t>Conve</w:t>
      </w:r>
      <w:r>
        <w:rPr>
          <w:rFonts w:cs="Arial"/>
          <w:sz w:val="22"/>
          <w:szCs w:val="22"/>
        </w:rPr>
        <w:t xml:space="preserve">nio Interadministrativo No. 092, </w:t>
      </w:r>
      <w:r w:rsidRPr="001A2AC2">
        <w:rPr>
          <w:rFonts w:cs="Arial"/>
          <w:sz w:val="22"/>
          <w:szCs w:val="22"/>
        </w:rPr>
        <w:t>cuyo objeto es convenir en el marco de las relaciones interinstitucionales entre EL FONDO y la AGENCIA, para ejecutar el Proyecto   Atención de sitios críticos de la red vial y férrea Nacional Concesionada, afectados por el fenómeno de la niña 2010-2011</w:t>
      </w:r>
      <w:r w:rsidR="00A06FE0">
        <w:rPr>
          <w:rFonts w:cs="Arial"/>
          <w:sz w:val="22"/>
          <w:szCs w:val="22"/>
        </w:rPr>
        <w:t xml:space="preserve">, </w:t>
      </w:r>
      <w:r w:rsidR="00A06FE0">
        <w:rPr>
          <w:rFonts w:cs="Gisha"/>
          <w:sz w:val="22"/>
          <w:szCs w:val="22"/>
        </w:rPr>
        <w:t>saldo por ejecutar $3.302.918 miles.</w:t>
      </w:r>
    </w:p>
    <w:p w:rsidR="002764B9" w:rsidRPr="00A06FE0" w:rsidRDefault="002764B9" w:rsidP="00A06FE0">
      <w:pPr>
        <w:ind w:left="420"/>
        <w:jc w:val="both"/>
        <w:rPr>
          <w:rFonts w:cs="Arial"/>
          <w:sz w:val="22"/>
          <w:szCs w:val="22"/>
        </w:rPr>
      </w:pPr>
      <w:r w:rsidRPr="00A06FE0">
        <w:rPr>
          <w:rFonts w:cs="Arial"/>
          <w:sz w:val="22"/>
          <w:szCs w:val="22"/>
        </w:rPr>
        <w:t xml:space="preserve">  </w:t>
      </w:r>
    </w:p>
    <w:p w:rsidR="002764B9" w:rsidRPr="00B154F7" w:rsidRDefault="002764B9" w:rsidP="002764B9">
      <w:pPr>
        <w:jc w:val="both"/>
        <w:rPr>
          <w:rFonts w:ascii="Arial Narrow" w:hAnsi="Arial Narrow" w:cs="Arial"/>
          <w:sz w:val="22"/>
          <w:szCs w:val="22"/>
          <w:lang w:val="es-CO"/>
        </w:rPr>
      </w:pPr>
      <w:r>
        <w:rPr>
          <w:rFonts w:ascii="Arial Narrow" w:hAnsi="Arial Narrow" w:cs="Arial"/>
          <w:sz w:val="22"/>
          <w:szCs w:val="22"/>
          <w:lang w:val="es-CO"/>
        </w:rPr>
        <w:t xml:space="preserve">El </w:t>
      </w:r>
      <w:r w:rsidRPr="001A2AC2">
        <w:rPr>
          <w:rFonts w:ascii="Arial Narrow" w:hAnsi="Arial Narrow" w:cs="Arial"/>
          <w:sz w:val="22"/>
          <w:szCs w:val="22"/>
          <w:lang w:val="es-CO"/>
        </w:rPr>
        <w:t xml:space="preserve">Ministerio de Hacienda, </w:t>
      </w:r>
      <w:r>
        <w:rPr>
          <w:rFonts w:ascii="Arial Narrow" w:hAnsi="Arial Narrow" w:cs="Arial"/>
          <w:sz w:val="22"/>
          <w:szCs w:val="22"/>
          <w:lang w:val="es-CO"/>
        </w:rPr>
        <w:t>en cumplimiento con lo establecido en el D</w:t>
      </w:r>
      <w:r w:rsidRPr="001A2AC2">
        <w:rPr>
          <w:rFonts w:ascii="Arial Narrow" w:hAnsi="Arial Narrow" w:cs="Arial"/>
          <w:sz w:val="22"/>
          <w:szCs w:val="22"/>
          <w:lang w:val="es-CO"/>
        </w:rPr>
        <w:t xml:space="preserve">ecreto 1780 de 2014 </w:t>
      </w:r>
      <w:r>
        <w:rPr>
          <w:rFonts w:ascii="Arial Narrow" w:hAnsi="Arial Narrow" w:cs="Arial"/>
          <w:sz w:val="22"/>
          <w:szCs w:val="22"/>
          <w:lang w:val="es-CO"/>
        </w:rPr>
        <w:t>autorizó</w:t>
      </w:r>
      <w:r w:rsidRPr="001A2AC2">
        <w:rPr>
          <w:rFonts w:ascii="Arial Narrow" w:hAnsi="Arial Narrow" w:cs="Arial"/>
          <w:sz w:val="22"/>
          <w:szCs w:val="22"/>
          <w:lang w:val="es-CO"/>
        </w:rPr>
        <w:t xml:space="preserve"> el traslado de Recursos a la Cuenta Única Nacional por concepto de los recaudos de recursos propios administrados</w:t>
      </w:r>
      <w:r>
        <w:rPr>
          <w:rFonts w:ascii="Arial Narrow" w:hAnsi="Arial Narrow" w:cs="Arial"/>
          <w:sz w:val="22"/>
          <w:szCs w:val="22"/>
          <w:lang w:val="es-CO"/>
        </w:rPr>
        <w:t xml:space="preserve"> por la ANI y</w:t>
      </w:r>
      <w:r w:rsidRPr="001A2AC2">
        <w:rPr>
          <w:rFonts w:ascii="Arial Narrow" w:hAnsi="Arial Narrow" w:cs="Arial"/>
          <w:sz w:val="22"/>
          <w:szCs w:val="22"/>
          <w:lang w:val="es-CO"/>
        </w:rPr>
        <w:t xml:space="preserve"> que forman parte del Presupuesto General de la Nación</w:t>
      </w:r>
      <w:r w:rsidR="00B154F7">
        <w:rPr>
          <w:rFonts w:ascii="Arial Narrow" w:hAnsi="Arial Narrow" w:cs="Arial"/>
          <w:sz w:val="22"/>
          <w:szCs w:val="22"/>
          <w:lang w:val="es-CO"/>
        </w:rPr>
        <w:t xml:space="preserve">. </w:t>
      </w:r>
      <w:r w:rsidR="00B154F7" w:rsidRPr="00B154F7">
        <w:rPr>
          <w:rFonts w:ascii="Arial Narrow" w:hAnsi="Arial Narrow" w:cs="Arial"/>
          <w:sz w:val="22"/>
          <w:szCs w:val="22"/>
          <w:lang w:val="es-CO"/>
        </w:rPr>
        <w:t>El saldo de esta cuenta a 31 de diciembre de 2015 asciende a la suma de $41.</w:t>
      </w:r>
      <w:r w:rsidRPr="00B154F7">
        <w:rPr>
          <w:rFonts w:ascii="Arial Narrow" w:hAnsi="Arial Narrow" w:cs="Arial"/>
          <w:sz w:val="22"/>
          <w:szCs w:val="22"/>
          <w:lang w:val="es-CO"/>
        </w:rPr>
        <w:t>8</w:t>
      </w:r>
      <w:r w:rsidR="00B154F7" w:rsidRPr="00B154F7">
        <w:rPr>
          <w:rFonts w:ascii="Arial Narrow" w:hAnsi="Arial Narrow" w:cs="Arial"/>
          <w:sz w:val="22"/>
          <w:szCs w:val="22"/>
          <w:lang w:val="es-CO"/>
        </w:rPr>
        <w:t>3</w:t>
      </w:r>
      <w:r w:rsidRPr="00B154F7">
        <w:rPr>
          <w:rFonts w:ascii="Arial Narrow" w:hAnsi="Arial Narrow" w:cs="Arial"/>
          <w:sz w:val="22"/>
          <w:szCs w:val="22"/>
          <w:lang w:val="es-CO"/>
        </w:rPr>
        <w:t>4.067 miles</w:t>
      </w:r>
      <w:r w:rsidR="00B154F7" w:rsidRPr="00B154F7">
        <w:rPr>
          <w:rFonts w:ascii="Arial Narrow" w:hAnsi="Arial Narrow" w:cs="Arial"/>
          <w:sz w:val="22"/>
          <w:szCs w:val="22"/>
          <w:lang w:val="es-CO"/>
        </w:rPr>
        <w:t xml:space="preserve"> y</w:t>
      </w:r>
      <w:r w:rsidRPr="00B154F7">
        <w:rPr>
          <w:rFonts w:ascii="Arial Narrow" w:hAnsi="Arial Narrow" w:cs="Arial"/>
          <w:sz w:val="22"/>
          <w:szCs w:val="22"/>
          <w:lang w:val="es-CO"/>
        </w:rPr>
        <w:t xml:space="preserve"> </w:t>
      </w:r>
      <w:r w:rsidR="00B154F7" w:rsidRPr="00B154F7">
        <w:rPr>
          <w:rFonts w:ascii="Arial Narrow" w:hAnsi="Arial Narrow" w:cs="Arial"/>
          <w:sz w:val="22"/>
          <w:szCs w:val="22"/>
          <w:lang w:val="es-CO"/>
        </w:rPr>
        <w:t>l</w:t>
      </w:r>
      <w:r w:rsidRPr="00B154F7">
        <w:rPr>
          <w:rFonts w:ascii="Arial Narrow" w:hAnsi="Arial Narrow" w:cs="Arial"/>
          <w:sz w:val="22"/>
          <w:szCs w:val="22"/>
          <w:lang w:val="es-CO"/>
        </w:rPr>
        <w:t>os pagos más representativos que se efectuaron durante el año 2015 a través de la CUN son:</w:t>
      </w:r>
    </w:p>
    <w:p w:rsidR="002764B9" w:rsidRPr="00B154F7" w:rsidRDefault="002764B9" w:rsidP="002764B9">
      <w:pPr>
        <w:jc w:val="both"/>
        <w:rPr>
          <w:rFonts w:ascii="Arial Narrow" w:hAnsi="Arial Narrow" w:cs="Arial"/>
          <w:color w:val="FF0000"/>
          <w:sz w:val="22"/>
          <w:szCs w:val="22"/>
          <w:lang w:val="es-CO"/>
        </w:rPr>
      </w:pPr>
    </w:p>
    <w:p w:rsidR="002764B9" w:rsidRPr="001A2AC2" w:rsidRDefault="002764B9" w:rsidP="002764B9">
      <w:pPr>
        <w:jc w:val="center"/>
        <w:rPr>
          <w:rFonts w:ascii="Arial Narrow" w:hAnsi="Arial Narrow" w:cs="Arial"/>
          <w:sz w:val="22"/>
          <w:szCs w:val="22"/>
          <w:lang w:val="es-CO"/>
        </w:rPr>
      </w:pPr>
      <w:r w:rsidRPr="004530D2">
        <w:rPr>
          <w:noProof/>
          <w:lang w:val="es-CO" w:eastAsia="es-CO"/>
        </w:rPr>
        <w:drawing>
          <wp:inline distT="0" distB="0" distL="0" distR="0">
            <wp:extent cx="4293870" cy="212280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3870" cy="2122805"/>
                    </a:xfrm>
                    <a:prstGeom prst="rect">
                      <a:avLst/>
                    </a:prstGeom>
                    <a:noFill/>
                    <a:ln>
                      <a:noFill/>
                    </a:ln>
                  </pic:spPr>
                </pic:pic>
              </a:graphicData>
            </a:graphic>
          </wp:inline>
        </w:drawing>
      </w:r>
    </w:p>
    <w:p w:rsidR="002764B9" w:rsidRDefault="002764B9" w:rsidP="002764B9">
      <w:pPr>
        <w:jc w:val="both"/>
        <w:rPr>
          <w:rFonts w:ascii="Arial Narrow" w:hAnsi="Arial Narrow" w:cs="Arial"/>
          <w:sz w:val="22"/>
          <w:szCs w:val="22"/>
          <w:lang w:val="es-CO"/>
        </w:rPr>
      </w:pPr>
    </w:p>
    <w:p w:rsidR="002764B9" w:rsidRDefault="002764B9" w:rsidP="002764B9">
      <w:pPr>
        <w:jc w:val="both"/>
        <w:rPr>
          <w:rFonts w:ascii="Arial Narrow" w:hAnsi="Arial Narrow"/>
          <w:sz w:val="22"/>
          <w:szCs w:val="22"/>
        </w:rPr>
      </w:pPr>
    </w:p>
    <w:p w:rsidR="002764B9" w:rsidRPr="001A2AC2" w:rsidRDefault="002764B9" w:rsidP="002764B9">
      <w:pPr>
        <w:jc w:val="both"/>
        <w:rPr>
          <w:rFonts w:ascii="Arial Narrow" w:hAnsi="Arial Narrow"/>
          <w:sz w:val="22"/>
          <w:szCs w:val="22"/>
        </w:rPr>
      </w:pPr>
      <w:r w:rsidRPr="001A2AC2">
        <w:rPr>
          <w:rFonts w:ascii="Arial Narrow" w:hAnsi="Arial Narrow"/>
          <w:sz w:val="22"/>
          <w:szCs w:val="22"/>
        </w:rPr>
        <w:t>En los Depósitos Entregados en Garantía,</w:t>
      </w:r>
    </w:p>
    <w:p w:rsidR="002764B9" w:rsidRPr="001A2AC2" w:rsidRDefault="002764B9" w:rsidP="002764B9">
      <w:pPr>
        <w:jc w:val="both"/>
        <w:rPr>
          <w:rFonts w:ascii="Arial Narrow" w:hAnsi="Arial Narrow"/>
          <w:sz w:val="22"/>
          <w:szCs w:val="22"/>
        </w:rPr>
      </w:pPr>
    </w:p>
    <w:p w:rsidR="002764B9" w:rsidRDefault="002764B9" w:rsidP="002764B9">
      <w:pPr>
        <w:jc w:val="both"/>
        <w:rPr>
          <w:rFonts w:ascii="Arial Narrow" w:hAnsi="Arial Narrow" w:cs="Arial"/>
          <w:sz w:val="22"/>
          <w:szCs w:val="22"/>
          <w:lang w:val="es-CO"/>
        </w:rPr>
      </w:pPr>
      <w:r>
        <w:rPr>
          <w:rFonts w:ascii="Arial Narrow" w:hAnsi="Arial Narrow" w:cs="Arial"/>
          <w:sz w:val="22"/>
          <w:szCs w:val="22"/>
          <w:lang w:val="es-CO"/>
        </w:rPr>
        <w:t>El valor de $</w:t>
      </w:r>
      <w:r w:rsidRPr="00FF3CB3">
        <w:t xml:space="preserve"> </w:t>
      </w:r>
      <w:r w:rsidRPr="00FF3CB3">
        <w:rPr>
          <w:rFonts w:ascii="Arial Narrow" w:hAnsi="Arial Narrow" w:cs="Arial"/>
          <w:sz w:val="22"/>
          <w:szCs w:val="22"/>
          <w:lang w:val="es-CO"/>
        </w:rPr>
        <w:t>532.128</w:t>
      </w:r>
      <w:r>
        <w:rPr>
          <w:rFonts w:ascii="Arial Narrow" w:hAnsi="Arial Narrow" w:cs="Arial"/>
          <w:sz w:val="22"/>
          <w:szCs w:val="22"/>
          <w:lang w:val="es-CO"/>
        </w:rPr>
        <w:t xml:space="preserve"> miles registrados e</w:t>
      </w:r>
      <w:r w:rsidRPr="001A2AC2">
        <w:rPr>
          <w:rFonts w:ascii="Arial Narrow" w:hAnsi="Arial Narrow" w:cs="Arial"/>
          <w:sz w:val="22"/>
          <w:szCs w:val="22"/>
          <w:lang w:val="es-CO"/>
        </w:rPr>
        <w:t xml:space="preserve">n la cuenta Bienes </w:t>
      </w:r>
      <w:r>
        <w:rPr>
          <w:rFonts w:ascii="Arial Narrow" w:hAnsi="Arial Narrow" w:cs="Arial"/>
          <w:sz w:val="22"/>
          <w:szCs w:val="22"/>
          <w:lang w:val="es-CO"/>
        </w:rPr>
        <w:t>corresponde a</w:t>
      </w:r>
      <w:r w:rsidRPr="001A2AC2">
        <w:rPr>
          <w:rFonts w:ascii="Arial Narrow" w:hAnsi="Arial Narrow" w:cs="Arial"/>
          <w:sz w:val="22"/>
          <w:szCs w:val="22"/>
          <w:lang w:val="es-CO"/>
        </w:rPr>
        <w:t xml:space="preserve"> depósit</w:t>
      </w:r>
      <w:r w:rsidR="00803B6E">
        <w:rPr>
          <w:rFonts w:ascii="Arial Narrow" w:hAnsi="Arial Narrow" w:cs="Arial"/>
          <w:sz w:val="22"/>
          <w:szCs w:val="22"/>
          <w:lang w:val="es-CO"/>
        </w:rPr>
        <w:t xml:space="preserve">os judiciales ordenados por </w:t>
      </w:r>
      <w:r w:rsidRPr="001A2AC2">
        <w:rPr>
          <w:rFonts w:ascii="Arial Narrow" w:hAnsi="Arial Narrow" w:cs="Arial"/>
          <w:sz w:val="22"/>
          <w:szCs w:val="22"/>
          <w:lang w:val="es-CO"/>
        </w:rPr>
        <w:t>Juzgados</w:t>
      </w:r>
      <w:r>
        <w:rPr>
          <w:rFonts w:ascii="Arial Narrow" w:hAnsi="Arial Narrow" w:cs="Arial"/>
          <w:sz w:val="22"/>
          <w:szCs w:val="22"/>
          <w:lang w:val="es-CO"/>
        </w:rPr>
        <w:t xml:space="preserve"> en</w:t>
      </w:r>
      <w:r w:rsidR="00803B6E">
        <w:rPr>
          <w:rFonts w:ascii="Arial Narrow" w:hAnsi="Arial Narrow" w:cs="Arial"/>
          <w:sz w:val="22"/>
          <w:szCs w:val="22"/>
          <w:lang w:val="es-CO"/>
        </w:rPr>
        <w:t xml:space="preserve"> </w:t>
      </w:r>
      <w:r>
        <w:rPr>
          <w:rFonts w:ascii="Arial Narrow" w:hAnsi="Arial Narrow" w:cs="Arial"/>
          <w:sz w:val="22"/>
          <w:szCs w:val="22"/>
          <w:lang w:val="es-CO"/>
        </w:rPr>
        <w:t xml:space="preserve">procesos de expropiación de predios </w:t>
      </w:r>
      <w:r w:rsidR="00803B6E">
        <w:rPr>
          <w:rFonts w:ascii="Arial Narrow" w:hAnsi="Arial Narrow" w:cs="Arial"/>
          <w:sz w:val="22"/>
          <w:szCs w:val="22"/>
          <w:lang w:val="es-CO"/>
        </w:rPr>
        <w:t>que se encuentran pendientes de sentencia,</w:t>
      </w:r>
      <w:r>
        <w:rPr>
          <w:rFonts w:ascii="Arial Narrow" w:hAnsi="Arial Narrow" w:cs="Arial"/>
          <w:sz w:val="22"/>
          <w:szCs w:val="22"/>
          <w:lang w:val="es-CO"/>
        </w:rPr>
        <w:t xml:space="preserve"> así:</w:t>
      </w:r>
    </w:p>
    <w:p w:rsidR="002764B9" w:rsidRDefault="002764B9" w:rsidP="002764B9">
      <w:pPr>
        <w:jc w:val="both"/>
        <w:rPr>
          <w:rFonts w:ascii="Arial Narrow" w:hAnsi="Arial Narrow" w:cs="Arial"/>
          <w:sz w:val="22"/>
          <w:szCs w:val="22"/>
          <w:lang w:val="es-CO"/>
        </w:rPr>
      </w:pPr>
    </w:p>
    <w:p w:rsidR="002764B9" w:rsidRDefault="002764B9" w:rsidP="00853B3A">
      <w:pPr>
        <w:pStyle w:val="Prrafodelista"/>
        <w:numPr>
          <w:ilvl w:val="0"/>
          <w:numId w:val="14"/>
        </w:numPr>
        <w:jc w:val="both"/>
        <w:rPr>
          <w:rFonts w:cs="Arial"/>
          <w:sz w:val="22"/>
          <w:szCs w:val="22"/>
        </w:rPr>
      </w:pPr>
      <w:r w:rsidRPr="004F4921">
        <w:rPr>
          <w:rFonts w:cs="Arial"/>
          <w:sz w:val="22"/>
          <w:szCs w:val="22"/>
        </w:rPr>
        <w:t>Jaime Andres Restrepo $191.469 miles</w:t>
      </w:r>
      <w:r>
        <w:rPr>
          <w:rFonts w:cs="Arial"/>
          <w:sz w:val="22"/>
          <w:szCs w:val="22"/>
        </w:rPr>
        <w:t xml:space="preserve"> predio Hacienda la Juliana – Variante Férrea Cartago a 31 de diciembre de 2015 presento un incremento con respecto a la vigencia 2014 por valor de $6.760 miles</w:t>
      </w:r>
      <w:r w:rsidR="00803B6E">
        <w:rPr>
          <w:rFonts w:cs="Arial"/>
          <w:sz w:val="22"/>
          <w:szCs w:val="22"/>
        </w:rPr>
        <w:t>,</w:t>
      </w:r>
      <w:r>
        <w:rPr>
          <w:rFonts w:cs="Arial"/>
          <w:sz w:val="22"/>
          <w:szCs w:val="22"/>
        </w:rPr>
        <w:t xml:space="preserve"> producto de avaluó actualizado. </w:t>
      </w:r>
      <w:r w:rsidRPr="004F4921">
        <w:rPr>
          <w:rFonts w:cs="Arial"/>
          <w:sz w:val="22"/>
          <w:szCs w:val="22"/>
        </w:rPr>
        <w:t xml:space="preserve"> </w:t>
      </w:r>
    </w:p>
    <w:p w:rsidR="002764B9" w:rsidRDefault="002764B9" w:rsidP="00853B3A">
      <w:pPr>
        <w:pStyle w:val="Prrafodelista"/>
        <w:numPr>
          <w:ilvl w:val="0"/>
          <w:numId w:val="14"/>
        </w:numPr>
        <w:jc w:val="both"/>
        <w:rPr>
          <w:rFonts w:cs="Arial"/>
          <w:sz w:val="22"/>
          <w:szCs w:val="22"/>
        </w:rPr>
      </w:pPr>
      <w:r w:rsidRPr="00B154F7">
        <w:rPr>
          <w:rFonts w:cs="Arial"/>
          <w:sz w:val="22"/>
          <w:szCs w:val="22"/>
        </w:rPr>
        <w:t xml:space="preserve">Su </w:t>
      </w:r>
      <w:r w:rsidRPr="004F4921">
        <w:rPr>
          <w:rFonts w:cs="Arial"/>
          <w:sz w:val="22"/>
          <w:szCs w:val="22"/>
        </w:rPr>
        <w:t>Porvenir S.A. por valor de $340.659 miles</w:t>
      </w:r>
      <w:r>
        <w:rPr>
          <w:rFonts w:cs="Arial"/>
          <w:sz w:val="22"/>
          <w:szCs w:val="22"/>
        </w:rPr>
        <w:t xml:space="preserve"> predio Hacienda la Holanda – Variante Férrea Cartago</w:t>
      </w:r>
    </w:p>
    <w:p w:rsidR="002764B9" w:rsidRDefault="002764B9" w:rsidP="002764B9">
      <w:pPr>
        <w:jc w:val="both"/>
        <w:rPr>
          <w:rFonts w:cs="Arial"/>
          <w:sz w:val="22"/>
          <w:szCs w:val="22"/>
        </w:rPr>
      </w:pPr>
    </w:p>
    <w:p w:rsidR="002764B9" w:rsidRPr="004F4921" w:rsidRDefault="002764B9" w:rsidP="002764B9">
      <w:pPr>
        <w:jc w:val="both"/>
        <w:rPr>
          <w:rFonts w:ascii="Arial Narrow" w:hAnsi="Arial Narrow" w:cs="Arial"/>
          <w:sz w:val="22"/>
          <w:szCs w:val="22"/>
          <w:lang w:val="es-CO"/>
        </w:rPr>
      </w:pPr>
      <w:r w:rsidRPr="004F4921">
        <w:rPr>
          <w:rFonts w:ascii="Arial Narrow" w:hAnsi="Arial Narrow" w:cs="Arial"/>
          <w:sz w:val="22"/>
          <w:szCs w:val="22"/>
          <w:lang w:val="es-CO"/>
        </w:rPr>
        <w:t xml:space="preserve">La disminución </w:t>
      </w:r>
      <w:r>
        <w:rPr>
          <w:rFonts w:ascii="Arial Narrow" w:hAnsi="Arial Narrow" w:cs="Arial"/>
          <w:sz w:val="22"/>
          <w:szCs w:val="22"/>
          <w:lang w:val="es-CO"/>
        </w:rPr>
        <w:t xml:space="preserve">presentada en esta cuenta a nombre de Manuel Alfonso Gutierrez Silva por valor de $1.757.242 miles, obedeció al pago ordenado por el Juzgado Civil del Circuito de los Patios –Norte de Santander del predio San Antonio los Vados en marco del proyecto de concesión Área Metropolitana de Cúcuta contrato de concesión  006 de 2007. </w:t>
      </w:r>
    </w:p>
    <w:p w:rsidR="002764B9" w:rsidRDefault="002764B9" w:rsidP="002764B9">
      <w:pPr>
        <w:jc w:val="both"/>
        <w:rPr>
          <w:rFonts w:ascii="Arial Narrow" w:hAnsi="Arial Narrow"/>
          <w:sz w:val="22"/>
          <w:szCs w:val="22"/>
        </w:rPr>
      </w:pPr>
    </w:p>
    <w:p w:rsidR="009F6DFC" w:rsidRDefault="009F6DFC" w:rsidP="009F6DFC">
      <w:pPr>
        <w:jc w:val="both"/>
        <w:rPr>
          <w:rFonts w:ascii="Arial Narrow" w:hAnsi="Arial Narrow"/>
          <w:sz w:val="22"/>
          <w:szCs w:val="22"/>
        </w:rPr>
      </w:pPr>
      <w:r>
        <w:rPr>
          <w:rFonts w:ascii="Arial Narrow" w:hAnsi="Arial Narrow"/>
          <w:sz w:val="22"/>
          <w:szCs w:val="22"/>
        </w:rPr>
        <w:t>El valor de $</w:t>
      </w:r>
      <w:r w:rsidRPr="001D5CBF">
        <w:rPr>
          <w:rFonts w:ascii="Arial Narrow" w:hAnsi="Arial Narrow"/>
          <w:sz w:val="22"/>
          <w:szCs w:val="22"/>
        </w:rPr>
        <w:t>1.182.357.351</w:t>
      </w:r>
      <w:r>
        <w:rPr>
          <w:rFonts w:ascii="Arial Narrow" w:hAnsi="Arial Narrow"/>
          <w:sz w:val="22"/>
          <w:szCs w:val="22"/>
        </w:rPr>
        <w:t xml:space="preserve"> miles registrado en la cuenta </w:t>
      </w:r>
      <w:r w:rsidRPr="001D5CBF">
        <w:rPr>
          <w:rFonts w:ascii="Arial Narrow" w:hAnsi="Arial Narrow"/>
          <w:sz w:val="22"/>
          <w:szCs w:val="22"/>
        </w:rPr>
        <w:t xml:space="preserve">Fondo de </w:t>
      </w:r>
      <w:r w:rsidR="007D6FE5">
        <w:rPr>
          <w:rFonts w:ascii="Arial Narrow" w:hAnsi="Arial Narrow"/>
          <w:sz w:val="22"/>
          <w:szCs w:val="22"/>
        </w:rPr>
        <w:t>C</w:t>
      </w:r>
      <w:r w:rsidRPr="001D5CBF">
        <w:rPr>
          <w:rFonts w:ascii="Arial Narrow" w:hAnsi="Arial Narrow"/>
          <w:sz w:val="22"/>
          <w:szCs w:val="22"/>
        </w:rPr>
        <w:t xml:space="preserve">ontingencias de las </w:t>
      </w:r>
      <w:r w:rsidR="007D6FE5">
        <w:rPr>
          <w:rFonts w:ascii="Arial Narrow" w:hAnsi="Arial Narrow"/>
          <w:sz w:val="22"/>
          <w:szCs w:val="22"/>
        </w:rPr>
        <w:t>E</w:t>
      </w:r>
      <w:r w:rsidRPr="001D5CBF">
        <w:rPr>
          <w:rFonts w:ascii="Arial Narrow" w:hAnsi="Arial Narrow"/>
          <w:sz w:val="22"/>
          <w:szCs w:val="22"/>
        </w:rPr>
        <w:t xml:space="preserve">ntidades </w:t>
      </w:r>
      <w:r w:rsidR="007D6FE5">
        <w:rPr>
          <w:rFonts w:ascii="Arial Narrow" w:hAnsi="Arial Narrow"/>
          <w:sz w:val="22"/>
          <w:szCs w:val="22"/>
        </w:rPr>
        <w:t>E</w:t>
      </w:r>
      <w:r w:rsidRPr="001D5CBF">
        <w:rPr>
          <w:rFonts w:ascii="Arial Narrow" w:hAnsi="Arial Narrow"/>
          <w:sz w:val="22"/>
          <w:szCs w:val="22"/>
        </w:rPr>
        <w:t>statales</w:t>
      </w:r>
      <w:r>
        <w:rPr>
          <w:rFonts w:ascii="Arial Narrow" w:hAnsi="Arial Narrow"/>
          <w:sz w:val="22"/>
          <w:szCs w:val="22"/>
        </w:rPr>
        <w:t xml:space="preserve"> a 31 de diciembre de 2015 (ver anexo 1)</w:t>
      </w:r>
      <w:r w:rsidRPr="00C939C2">
        <w:rPr>
          <w:rFonts w:ascii="Arial Narrow" w:hAnsi="Arial Narrow"/>
          <w:sz w:val="22"/>
          <w:szCs w:val="22"/>
        </w:rPr>
        <w:t xml:space="preserve">, </w:t>
      </w:r>
      <w:r>
        <w:rPr>
          <w:rFonts w:ascii="Arial Narrow" w:hAnsi="Arial Narrow"/>
          <w:sz w:val="22"/>
          <w:szCs w:val="22"/>
        </w:rPr>
        <w:t xml:space="preserve">corresponde al reconocimiento de los aportes, rendimientos y pagos atendiendo </w:t>
      </w:r>
      <w:r w:rsidR="00803B6E">
        <w:rPr>
          <w:rFonts w:ascii="Arial Narrow" w:hAnsi="Arial Narrow"/>
          <w:sz w:val="22"/>
          <w:szCs w:val="22"/>
        </w:rPr>
        <w:t>lo establecido en el E</w:t>
      </w:r>
      <w:r w:rsidRPr="00C939C2">
        <w:rPr>
          <w:rFonts w:ascii="Arial Narrow" w:hAnsi="Arial Narrow"/>
          <w:sz w:val="22"/>
          <w:szCs w:val="22"/>
        </w:rPr>
        <w:t>ncargo Fiduciario No. 1519 suscrito entre Fiduciaria la Previsora S.A. y la Nación – Ministerio de Hacienda y Crédito Público para la Administración del Fondo de Contingencias Contractuales de las Entidades Estatales para las Concesiones</w:t>
      </w:r>
      <w:r>
        <w:rPr>
          <w:rFonts w:ascii="Arial Narrow" w:hAnsi="Arial Narrow"/>
          <w:sz w:val="22"/>
          <w:szCs w:val="22"/>
        </w:rPr>
        <w:t xml:space="preserve"> suscritas así</w:t>
      </w:r>
      <w:r w:rsidRPr="00C939C2">
        <w:rPr>
          <w:rFonts w:ascii="Arial Narrow" w:hAnsi="Arial Narrow"/>
          <w:sz w:val="22"/>
          <w:szCs w:val="22"/>
        </w:rPr>
        <w:t xml:space="preserve">: </w:t>
      </w:r>
    </w:p>
    <w:p w:rsidR="009F6DFC" w:rsidRDefault="009F6DFC" w:rsidP="009F6DFC">
      <w:pPr>
        <w:jc w:val="both"/>
        <w:rPr>
          <w:rFonts w:ascii="Arial Narrow" w:hAnsi="Arial Narrow"/>
          <w:sz w:val="22"/>
          <w:szCs w:val="22"/>
        </w:rPr>
      </w:pPr>
    </w:p>
    <w:p w:rsidR="009F6DFC" w:rsidRPr="00112D7A" w:rsidRDefault="009F6DFC" w:rsidP="00853B3A">
      <w:pPr>
        <w:pStyle w:val="Prrafodelista"/>
        <w:numPr>
          <w:ilvl w:val="0"/>
          <w:numId w:val="15"/>
        </w:numPr>
        <w:jc w:val="both"/>
        <w:rPr>
          <w:sz w:val="22"/>
          <w:szCs w:val="22"/>
        </w:rPr>
      </w:pPr>
      <w:r w:rsidRPr="00112D7A">
        <w:rPr>
          <w:sz w:val="22"/>
          <w:szCs w:val="22"/>
        </w:rPr>
        <w:t xml:space="preserve">Bogotá - Girardot, </w:t>
      </w:r>
    </w:p>
    <w:p w:rsidR="009F6DFC" w:rsidRPr="00112D7A" w:rsidRDefault="009F6DFC" w:rsidP="00853B3A">
      <w:pPr>
        <w:pStyle w:val="Prrafodelista"/>
        <w:numPr>
          <w:ilvl w:val="0"/>
          <w:numId w:val="15"/>
        </w:numPr>
        <w:jc w:val="both"/>
        <w:rPr>
          <w:sz w:val="22"/>
          <w:szCs w:val="22"/>
        </w:rPr>
      </w:pPr>
      <w:r w:rsidRPr="00112D7A">
        <w:rPr>
          <w:sz w:val="22"/>
          <w:szCs w:val="22"/>
        </w:rPr>
        <w:t xml:space="preserve">Rumichaca- Pasto - Chachagui, </w:t>
      </w:r>
    </w:p>
    <w:p w:rsidR="009F6DFC" w:rsidRPr="00112D7A" w:rsidRDefault="009F6DFC" w:rsidP="00853B3A">
      <w:pPr>
        <w:pStyle w:val="Prrafodelista"/>
        <w:numPr>
          <w:ilvl w:val="0"/>
          <w:numId w:val="15"/>
        </w:numPr>
        <w:jc w:val="both"/>
        <w:rPr>
          <w:sz w:val="22"/>
          <w:szCs w:val="22"/>
        </w:rPr>
      </w:pPr>
      <w:r w:rsidRPr="00112D7A">
        <w:rPr>
          <w:sz w:val="22"/>
          <w:szCs w:val="22"/>
        </w:rPr>
        <w:t xml:space="preserve">Zona Metropolitana de Bucaramanga, </w:t>
      </w:r>
    </w:p>
    <w:p w:rsidR="009F6DFC" w:rsidRPr="00112D7A" w:rsidRDefault="009F6DFC" w:rsidP="00853B3A">
      <w:pPr>
        <w:pStyle w:val="Prrafodelista"/>
        <w:numPr>
          <w:ilvl w:val="0"/>
          <w:numId w:val="15"/>
        </w:numPr>
        <w:jc w:val="both"/>
        <w:rPr>
          <w:sz w:val="22"/>
          <w:szCs w:val="22"/>
        </w:rPr>
      </w:pPr>
      <w:r w:rsidRPr="00112D7A">
        <w:rPr>
          <w:sz w:val="22"/>
          <w:szCs w:val="22"/>
        </w:rPr>
        <w:t>Área Metropolitana de Cúcuta y Norte de Santander,</w:t>
      </w:r>
    </w:p>
    <w:p w:rsidR="009F6DFC" w:rsidRPr="00112D7A" w:rsidRDefault="009F6DFC" w:rsidP="00853B3A">
      <w:pPr>
        <w:pStyle w:val="Prrafodelista"/>
        <w:numPr>
          <w:ilvl w:val="0"/>
          <w:numId w:val="15"/>
        </w:numPr>
        <w:jc w:val="both"/>
        <w:rPr>
          <w:sz w:val="22"/>
          <w:szCs w:val="22"/>
        </w:rPr>
      </w:pPr>
      <w:r w:rsidRPr="00112D7A">
        <w:rPr>
          <w:sz w:val="22"/>
          <w:szCs w:val="22"/>
        </w:rPr>
        <w:t xml:space="preserve">Ruta- Caribe, </w:t>
      </w:r>
    </w:p>
    <w:p w:rsidR="009F6DFC" w:rsidRPr="00112D7A" w:rsidRDefault="009F6DFC" w:rsidP="00853B3A">
      <w:pPr>
        <w:pStyle w:val="Prrafodelista"/>
        <w:numPr>
          <w:ilvl w:val="0"/>
          <w:numId w:val="15"/>
        </w:numPr>
        <w:jc w:val="both"/>
        <w:rPr>
          <w:sz w:val="22"/>
          <w:szCs w:val="22"/>
        </w:rPr>
      </w:pPr>
      <w:r w:rsidRPr="00112D7A">
        <w:rPr>
          <w:sz w:val="22"/>
          <w:szCs w:val="22"/>
        </w:rPr>
        <w:t xml:space="preserve">Córdoba -Sucre, </w:t>
      </w:r>
    </w:p>
    <w:p w:rsidR="009F6DFC" w:rsidRPr="00112D7A" w:rsidRDefault="009F6DFC" w:rsidP="00853B3A">
      <w:pPr>
        <w:pStyle w:val="Prrafodelista"/>
        <w:numPr>
          <w:ilvl w:val="0"/>
          <w:numId w:val="15"/>
        </w:numPr>
        <w:jc w:val="both"/>
        <w:rPr>
          <w:sz w:val="22"/>
          <w:szCs w:val="22"/>
        </w:rPr>
      </w:pPr>
      <w:r w:rsidRPr="00112D7A">
        <w:rPr>
          <w:sz w:val="22"/>
          <w:szCs w:val="22"/>
        </w:rPr>
        <w:t xml:space="preserve">Girardot – Ibagué - Cajamarca, </w:t>
      </w:r>
    </w:p>
    <w:p w:rsidR="009F6DFC" w:rsidRPr="00112D7A" w:rsidRDefault="009F6DFC" w:rsidP="00853B3A">
      <w:pPr>
        <w:pStyle w:val="Prrafodelista"/>
        <w:numPr>
          <w:ilvl w:val="0"/>
          <w:numId w:val="15"/>
        </w:numPr>
        <w:jc w:val="both"/>
        <w:rPr>
          <w:sz w:val="22"/>
          <w:szCs w:val="22"/>
        </w:rPr>
      </w:pPr>
      <w:r w:rsidRPr="00112D7A">
        <w:rPr>
          <w:sz w:val="22"/>
          <w:szCs w:val="22"/>
        </w:rPr>
        <w:t xml:space="preserve">Bogotá - Villavicencio, </w:t>
      </w:r>
    </w:p>
    <w:p w:rsidR="009F6DFC" w:rsidRPr="00112D7A" w:rsidRDefault="00803B6E" w:rsidP="00853B3A">
      <w:pPr>
        <w:pStyle w:val="Prrafodelista"/>
        <w:numPr>
          <w:ilvl w:val="0"/>
          <w:numId w:val="15"/>
        </w:numPr>
        <w:jc w:val="both"/>
        <w:rPr>
          <w:sz w:val="22"/>
          <w:szCs w:val="22"/>
        </w:rPr>
      </w:pPr>
      <w:r>
        <w:rPr>
          <w:sz w:val="22"/>
          <w:szCs w:val="22"/>
        </w:rPr>
        <w:t>Ruta del Sol sector 1,</w:t>
      </w:r>
      <w:r w:rsidR="009F6DFC" w:rsidRPr="00112D7A">
        <w:rPr>
          <w:sz w:val="22"/>
          <w:szCs w:val="22"/>
        </w:rPr>
        <w:t xml:space="preserve">2 y 3, </w:t>
      </w:r>
    </w:p>
    <w:p w:rsidR="009F6DFC" w:rsidRPr="00112D7A" w:rsidRDefault="009F6DFC" w:rsidP="00853B3A">
      <w:pPr>
        <w:pStyle w:val="Prrafodelista"/>
        <w:numPr>
          <w:ilvl w:val="0"/>
          <w:numId w:val="15"/>
        </w:numPr>
        <w:jc w:val="both"/>
        <w:rPr>
          <w:sz w:val="22"/>
          <w:szCs w:val="22"/>
        </w:rPr>
      </w:pPr>
      <w:r w:rsidRPr="00112D7A">
        <w:rPr>
          <w:sz w:val="22"/>
          <w:szCs w:val="22"/>
        </w:rPr>
        <w:t xml:space="preserve">Transversal de las Américas, </w:t>
      </w:r>
    </w:p>
    <w:p w:rsidR="009F6DFC" w:rsidRPr="00112D7A" w:rsidRDefault="009F6DFC" w:rsidP="00853B3A">
      <w:pPr>
        <w:pStyle w:val="Prrafodelista"/>
        <w:numPr>
          <w:ilvl w:val="0"/>
          <w:numId w:val="15"/>
        </w:numPr>
        <w:jc w:val="both"/>
        <w:rPr>
          <w:sz w:val="22"/>
          <w:szCs w:val="22"/>
        </w:rPr>
      </w:pPr>
      <w:r w:rsidRPr="00112D7A">
        <w:rPr>
          <w:sz w:val="22"/>
          <w:szCs w:val="22"/>
        </w:rPr>
        <w:t xml:space="preserve">Armenia - Pereira - Manizales, </w:t>
      </w:r>
    </w:p>
    <w:p w:rsidR="009F6DFC" w:rsidRPr="00112D7A" w:rsidRDefault="009F6DFC" w:rsidP="00853B3A">
      <w:pPr>
        <w:pStyle w:val="Prrafodelista"/>
        <w:numPr>
          <w:ilvl w:val="0"/>
          <w:numId w:val="15"/>
        </w:numPr>
        <w:jc w:val="both"/>
        <w:rPr>
          <w:sz w:val="22"/>
          <w:szCs w:val="22"/>
        </w:rPr>
      </w:pPr>
      <w:r w:rsidRPr="00112D7A">
        <w:rPr>
          <w:sz w:val="22"/>
          <w:szCs w:val="22"/>
        </w:rPr>
        <w:t xml:space="preserve">Siberia la Punta del Vino, </w:t>
      </w:r>
    </w:p>
    <w:p w:rsidR="009F6DFC" w:rsidRPr="00112D7A" w:rsidRDefault="009F6DFC" w:rsidP="00853B3A">
      <w:pPr>
        <w:pStyle w:val="Prrafodelista"/>
        <w:numPr>
          <w:ilvl w:val="0"/>
          <w:numId w:val="15"/>
        </w:numPr>
        <w:jc w:val="both"/>
        <w:rPr>
          <w:sz w:val="22"/>
          <w:szCs w:val="22"/>
        </w:rPr>
      </w:pPr>
      <w:r w:rsidRPr="00112D7A">
        <w:rPr>
          <w:sz w:val="22"/>
          <w:szCs w:val="22"/>
        </w:rPr>
        <w:t xml:space="preserve">Malla Vial del Cauca, </w:t>
      </w:r>
    </w:p>
    <w:p w:rsidR="009F6DFC" w:rsidRPr="00112D7A" w:rsidRDefault="009F6DFC" w:rsidP="00853B3A">
      <w:pPr>
        <w:pStyle w:val="Prrafodelista"/>
        <w:numPr>
          <w:ilvl w:val="0"/>
          <w:numId w:val="15"/>
        </w:numPr>
        <w:jc w:val="both"/>
        <w:rPr>
          <w:sz w:val="22"/>
          <w:szCs w:val="22"/>
        </w:rPr>
      </w:pPr>
      <w:r w:rsidRPr="00112D7A">
        <w:rPr>
          <w:sz w:val="22"/>
          <w:szCs w:val="22"/>
        </w:rPr>
        <w:t xml:space="preserve">Zipaquirá - Palenque. </w:t>
      </w:r>
    </w:p>
    <w:p w:rsidR="009F6DFC" w:rsidRDefault="009F6DFC" w:rsidP="009F6DFC">
      <w:pPr>
        <w:jc w:val="both"/>
        <w:rPr>
          <w:rFonts w:ascii="Arial Narrow" w:hAnsi="Arial Narrow"/>
          <w:sz w:val="22"/>
          <w:szCs w:val="22"/>
        </w:rPr>
      </w:pPr>
    </w:p>
    <w:p w:rsidR="009F6DFC" w:rsidRDefault="009F6DFC" w:rsidP="009F6DFC">
      <w:pPr>
        <w:jc w:val="both"/>
        <w:rPr>
          <w:rFonts w:ascii="Arial Narrow" w:hAnsi="Arial Narrow"/>
          <w:sz w:val="22"/>
          <w:szCs w:val="22"/>
        </w:rPr>
      </w:pPr>
      <w:r w:rsidRPr="00C939C2">
        <w:rPr>
          <w:rFonts w:ascii="Arial Narrow" w:hAnsi="Arial Narrow"/>
          <w:sz w:val="22"/>
          <w:szCs w:val="22"/>
        </w:rPr>
        <w:t>La variación</w:t>
      </w:r>
      <w:r>
        <w:rPr>
          <w:rFonts w:ascii="Arial Narrow" w:hAnsi="Arial Narrow"/>
          <w:sz w:val="22"/>
          <w:szCs w:val="22"/>
        </w:rPr>
        <w:t xml:space="preserve"> positiva presentada </w:t>
      </w:r>
      <w:r w:rsidRPr="00C939C2">
        <w:rPr>
          <w:rFonts w:ascii="Arial Narrow" w:hAnsi="Arial Narrow"/>
          <w:sz w:val="22"/>
          <w:szCs w:val="22"/>
        </w:rPr>
        <w:t xml:space="preserve">entre </w:t>
      </w:r>
      <w:r>
        <w:rPr>
          <w:rFonts w:ascii="Arial Narrow" w:hAnsi="Arial Narrow"/>
          <w:sz w:val="22"/>
          <w:szCs w:val="22"/>
        </w:rPr>
        <w:t xml:space="preserve">la vigencia </w:t>
      </w:r>
      <w:r w:rsidRPr="00C939C2">
        <w:rPr>
          <w:rFonts w:ascii="Arial Narrow" w:hAnsi="Arial Narrow"/>
          <w:sz w:val="22"/>
          <w:szCs w:val="22"/>
        </w:rPr>
        <w:t xml:space="preserve">2014 y </w:t>
      </w:r>
      <w:r>
        <w:rPr>
          <w:rFonts w:ascii="Arial Narrow" w:hAnsi="Arial Narrow"/>
          <w:sz w:val="22"/>
          <w:szCs w:val="22"/>
        </w:rPr>
        <w:t xml:space="preserve">el año </w:t>
      </w:r>
      <w:r w:rsidRPr="00C939C2">
        <w:rPr>
          <w:rFonts w:ascii="Arial Narrow" w:hAnsi="Arial Narrow"/>
          <w:sz w:val="22"/>
          <w:szCs w:val="22"/>
        </w:rPr>
        <w:t xml:space="preserve">2015  </w:t>
      </w:r>
      <w:r>
        <w:rPr>
          <w:rFonts w:ascii="Arial Narrow" w:hAnsi="Arial Narrow"/>
          <w:sz w:val="22"/>
          <w:szCs w:val="22"/>
        </w:rPr>
        <w:t xml:space="preserve">por valor de </w:t>
      </w:r>
      <w:r w:rsidRPr="00C939C2">
        <w:rPr>
          <w:rFonts w:ascii="Arial Narrow" w:hAnsi="Arial Narrow"/>
          <w:sz w:val="22"/>
          <w:szCs w:val="22"/>
        </w:rPr>
        <w:t>$ 211.237.99</w:t>
      </w:r>
      <w:r>
        <w:rPr>
          <w:rFonts w:ascii="Arial Narrow" w:hAnsi="Arial Narrow"/>
          <w:sz w:val="22"/>
          <w:szCs w:val="22"/>
        </w:rPr>
        <w:t>7</w:t>
      </w:r>
      <w:r w:rsidRPr="00C939C2">
        <w:rPr>
          <w:rFonts w:ascii="Arial Narrow" w:hAnsi="Arial Narrow"/>
          <w:sz w:val="22"/>
          <w:szCs w:val="22"/>
        </w:rPr>
        <w:t xml:space="preserve"> miles, </w:t>
      </w:r>
      <w:r>
        <w:rPr>
          <w:rFonts w:ascii="Arial Narrow" w:hAnsi="Arial Narrow"/>
          <w:sz w:val="22"/>
          <w:szCs w:val="22"/>
        </w:rPr>
        <w:t>fue producto de l</w:t>
      </w:r>
      <w:r w:rsidRPr="00C939C2">
        <w:rPr>
          <w:rFonts w:ascii="Arial Narrow" w:hAnsi="Arial Narrow"/>
          <w:sz w:val="22"/>
          <w:szCs w:val="22"/>
        </w:rPr>
        <w:t>os aportes</w:t>
      </w:r>
      <w:r>
        <w:rPr>
          <w:rFonts w:ascii="Arial Narrow" w:hAnsi="Arial Narrow"/>
          <w:sz w:val="22"/>
          <w:szCs w:val="22"/>
        </w:rPr>
        <w:t xml:space="preserve"> y pagos</w:t>
      </w:r>
      <w:r w:rsidRPr="00C939C2">
        <w:rPr>
          <w:rFonts w:ascii="Arial Narrow" w:hAnsi="Arial Narrow"/>
          <w:sz w:val="22"/>
          <w:szCs w:val="22"/>
        </w:rPr>
        <w:t xml:space="preserve"> realizados en </w:t>
      </w:r>
      <w:r>
        <w:rPr>
          <w:rFonts w:ascii="Arial Narrow" w:hAnsi="Arial Narrow"/>
          <w:sz w:val="22"/>
          <w:szCs w:val="22"/>
        </w:rPr>
        <w:t>la vigencia</w:t>
      </w:r>
      <w:r w:rsidRPr="00C939C2">
        <w:rPr>
          <w:rFonts w:ascii="Arial Narrow" w:hAnsi="Arial Narrow"/>
          <w:sz w:val="22"/>
          <w:szCs w:val="22"/>
        </w:rPr>
        <w:t xml:space="preserve"> </w:t>
      </w:r>
      <w:r>
        <w:rPr>
          <w:rFonts w:ascii="Arial Narrow" w:hAnsi="Arial Narrow"/>
          <w:sz w:val="22"/>
          <w:szCs w:val="22"/>
        </w:rPr>
        <w:t>en especial en l</w:t>
      </w:r>
      <w:r w:rsidRPr="00C939C2">
        <w:rPr>
          <w:rFonts w:ascii="Arial Narrow" w:hAnsi="Arial Narrow"/>
          <w:sz w:val="22"/>
          <w:szCs w:val="22"/>
        </w:rPr>
        <w:t>as Concesiones Bogotá – Villavicencio, Ruta del Sol, Transversal las Américas y Zipaquirá Palenque</w:t>
      </w:r>
      <w:r>
        <w:rPr>
          <w:rFonts w:ascii="Arial Narrow" w:hAnsi="Arial Narrow"/>
          <w:sz w:val="22"/>
          <w:szCs w:val="22"/>
        </w:rPr>
        <w:t xml:space="preserve"> (fondeo)</w:t>
      </w:r>
      <w:r w:rsidRPr="00C939C2">
        <w:rPr>
          <w:rFonts w:ascii="Arial Narrow" w:hAnsi="Arial Narrow"/>
          <w:sz w:val="22"/>
          <w:szCs w:val="22"/>
        </w:rPr>
        <w:t xml:space="preserve">. </w:t>
      </w:r>
    </w:p>
    <w:p w:rsidR="009F6DFC" w:rsidRDefault="009F6DFC" w:rsidP="009F6DFC">
      <w:pPr>
        <w:jc w:val="both"/>
        <w:rPr>
          <w:rFonts w:ascii="Arial Narrow" w:hAnsi="Arial Narrow"/>
          <w:sz w:val="22"/>
          <w:szCs w:val="22"/>
        </w:rPr>
      </w:pPr>
    </w:p>
    <w:p w:rsidR="009F6DFC" w:rsidRDefault="009F6DFC" w:rsidP="009F6DFC">
      <w:pPr>
        <w:jc w:val="both"/>
        <w:rPr>
          <w:rFonts w:ascii="Arial Narrow" w:hAnsi="Arial Narrow"/>
          <w:sz w:val="22"/>
          <w:szCs w:val="22"/>
        </w:rPr>
      </w:pPr>
      <w:r w:rsidRPr="00C939C2">
        <w:rPr>
          <w:rFonts w:ascii="Arial Narrow" w:hAnsi="Arial Narrow"/>
          <w:sz w:val="22"/>
          <w:szCs w:val="22"/>
        </w:rPr>
        <w:t xml:space="preserve">Adicionalmente se incluyen los recursos proyectados al cierre del año 2015 que se encuentran pendientes de trasladar a la Fiduciaria la Previsora S.A así: </w:t>
      </w:r>
    </w:p>
    <w:p w:rsidR="009F6DFC" w:rsidRDefault="009F6DFC" w:rsidP="009F6DFC">
      <w:pPr>
        <w:jc w:val="both"/>
        <w:rPr>
          <w:rFonts w:ascii="Arial Narrow" w:hAnsi="Arial Narrow"/>
          <w:sz w:val="22"/>
          <w:szCs w:val="22"/>
        </w:rPr>
      </w:pPr>
    </w:p>
    <w:p w:rsidR="009F6DFC" w:rsidRDefault="009F6DFC" w:rsidP="009F6DFC">
      <w:pPr>
        <w:jc w:val="both"/>
        <w:rPr>
          <w:rFonts w:ascii="Arial Narrow" w:hAnsi="Arial Narrow"/>
          <w:sz w:val="22"/>
          <w:szCs w:val="22"/>
        </w:rPr>
      </w:pPr>
      <w:r>
        <w:rPr>
          <w:rFonts w:ascii="Arial Narrow" w:hAnsi="Arial Narrow"/>
          <w:sz w:val="22"/>
          <w:szCs w:val="22"/>
        </w:rPr>
        <w:t>A</w:t>
      </w:r>
      <w:r w:rsidRPr="00C939C2">
        <w:rPr>
          <w:rFonts w:ascii="Arial Narrow" w:hAnsi="Arial Narrow"/>
          <w:sz w:val="22"/>
          <w:szCs w:val="22"/>
        </w:rPr>
        <w:t>ño 2013,</w:t>
      </w:r>
      <w:r>
        <w:rPr>
          <w:rFonts w:ascii="Arial Narrow" w:hAnsi="Arial Narrow"/>
          <w:sz w:val="22"/>
          <w:szCs w:val="22"/>
        </w:rPr>
        <w:t xml:space="preserve"> </w:t>
      </w:r>
      <w:r w:rsidRPr="00C939C2">
        <w:rPr>
          <w:rFonts w:ascii="Arial Narrow" w:hAnsi="Arial Narrow"/>
          <w:sz w:val="22"/>
          <w:szCs w:val="22"/>
        </w:rPr>
        <w:t>$52.822.809</w:t>
      </w:r>
      <w:r>
        <w:rPr>
          <w:rFonts w:ascii="Arial Narrow" w:hAnsi="Arial Narrow"/>
          <w:sz w:val="22"/>
          <w:szCs w:val="22"/>
        </w:rPr>
        <w:t xml:space="preserve"> miles por concepto </w:t>
      </w:r>
      <w:r w:rsidRPr="00B154F7">
        <w:rPr>
          <w:rFonts w:ascii="Arial Narrow" w:hAnsi="Arial Narrow"/>
          <w:sz w:val="22"/>
          <w:szCs w:val="22"/>
        </w:rPr>
        <w:t>de</w:t>
      </w:r>
      <w:r w:rsidR="00B154F7" w:rsidRPr="00B154F7">
        <w:rPr>
          <w:rFonts w:ascii="Arial Narrow" w:hAnsi="Arial Narrow"/>
          <w:sz w:val="22"/>
          <w:szCs w:val="22"/>
        </w:rPr>
        <w:t xml:space="preserve"> Riesgo</w:t>
      </w:r>
      <w:r w:rsidRPr="00B154F7">
        <w:rPr>
          <w:rFonts w:ascii="Arial Narrow" w:hAnsi="Arial Narrow"/>
          <w:sz w:val="22"/>
          <w:szCs w:val="22"/>
        </w:rPr>
        <w:t xml:space="preserve"> Predial </w:t>
      </w:r>
      <w:r>
        <w:rPr>
          <w:rFonts w:ascii="Arial Narrow" w:hAnsi="Arial Narrow"/>
          <w:sz w:val="22"/>
          <w:szCs w:val="22"/>
        </w:rPr>
        <w:t xml:space="preserve">de </w:t>
      </w:r>
      <w:r w:rsidR="00803B6E">
        <w:rPr>
          <w:rFonts w:ascii="Arial Narrow" w:hAnsi="Arial Narrow"/>
          <w:sz w:val="22"/>
          <w:szCs w:val="22"/>
        </w:rPr>
        <w:t>Bosa Granada Girardot.</w:t>
      </w:r>
      <w:r w:rsidRPr="00C939C2">
        <w:rPr>
          <w:rFonts w:ascii="Arial Narrow" w:hAnsi="Arial Narrow"/>
          <w:sz w:val="22"/>
          <w:szCs w:val="22"/>
        </w:rPr>
        <w:t xml:space="preserve"> </w:t>
      </w:r>
    </w:p>
    <w:p w:rsidR="009F6DFC" w:rsidRDefault="009F6DFC" w:rsidP="009F6DFC">
      <w:pPr>
        <w:jc w:val="both"/>
        <w:rPr>
          <w:rFonts w:ascii="Arial Narrow" w:hAnsi="Arial Narrow"/>
          <w:sz w:val="22"/>
          <w:szCs w:val="22"/>
        </w:rPr>
      </w:pPr>
    </w:p>
    <w:p w:rsidR="009F6DFC" w:rsidRDefault="009F6DFC" w:rsidP="009F6DFC">
      <w:pPr>
        <w:jc w:val="both"/>
        <w:rPr>
          <w:rFonts w:ascii="Arial Narrow" w:hAnsi="Arial Narrow"/>
          <w:sz w:val="22"/>
          <w:szCs w:val="22"/>
        </w:rPr>
      </w:pPr>
      <w:r>
        <w:rPr>
          <w:rFonts w:ascii="Arial Narrow" w:hAnsi="Arial Narrow"/>
          <w:sz w:val="22"/>
          <w:szCs w:val="22"/>
        </w:rPr>
        <w:t xml:space="preserve">Año </w:t>
      </w:r>
      <w:r w:rsidRPr="00C939C2">
        <w:rPr>
          <w:rFonts w:ascii="Arial Narrow" w:hAnsi="Arial Narrow"/>
          <w:sz w:val="22"/>
          <w:szCs w:val="22"/>
        </w:rPr>
        <w:t>2014</w:t>
      </w:r>
      <w:r>
        <w:rPr>
          <w:rFonts w:ascii="Arial Narrow" w:hAnsi="Arial Narrow"/>
          <w:sz w:val="22"/>
          <w:szCs w:val="22"/>
        </w:rPr>
        <w:t xml:space="preserve">, </w:t>
      </w:r>
      <w:r w:rsidRPr="00C939C2">
        <w:rPr>
          <w:rFonts w:ascii="Arial Narrow" w:hAnsi="Arial Narrow"/>
          <w:sz w:val="22"/>
          <w:szCs w:val="22"/>
        </w:rPr>
        <w:t>$5</w:t>
      </w:r>
      <w:r>
        <w:rPr>
          <w:rFonts w:ascii="Arial Narrow" w:hAnsi="Arial Narrow"/>
          <w:sz w:val="22"/>
          <w:szCs w:val="22"/>
        </w:rPr>
        <w:t xml:space="preserve">5.689.175 miles de las concesiones </w:t>
      </w:r>
      <w:r w:rsidRPr="00C939C2">
        <w:rPr>
          <w:rFonts w:ascii="Arial Narrow" w:hAnsi="Arial Narrow"/>
          <w:sz w:val="22"/>
          <w:szCs w:val="22"/>
        </w:rPr>
        <w:t xml:space="preserve">Bogotá Villavicencio </w:t>
      </w:r>
      <w:r>
        <w:rPr>
          <w:rFonts w:ascii="Arial Narrow" w:hAnsi="Arial Narrow"/>
          <w:sz w:val="22"/>
          <w:szCs w:val="22"/>
        </w:rPr>
        <w:t xml:space="preserve">–Ambiental por valor de </w:t>
      </w:r>
      <w:r w:rsidRPr="00C939C2">
        <w:rPr>
          <w:rFonts w:ascii="Arial Narrow" w:hAnsi="Arial Narrow"/>
          <w:sz w:val="22"/>
          <w:szCs w:val="22"/>
        </w:rPr>
        <w:t>$</w:t>
      </w:r>
      <w:r>
        <w:rPr>
          <w:rFonts w:ascii="Arial Narrow" w:hAnsi="Arial Narrow"/>
          <w:sz w:val="22"/>
          <w:szCs w:val="22"/>
        </w:rPr>
        <w:t>1.864.025 miles;</w:t>
      </w:r>
      <w:r w:rsidRPr="00C939C2">
        <w:rPr>
          <w:rFonts w:ascii="Arial Narrow" w:hAnsi="Arial Narrow"/>
          <w:sz w:val="22"/>
          <w:szCs w:val="22"/>
        </w:rPr>
        <w:t xml:space="preserve"> Bogotá Villavicencio </w:t>
      </w:r>
      <w:r>
        <w:rPr>
          <w:rFonts w:ascii="Arial Narrow" w:hAnsi="Arial Narrow"/>
          <w:sz w:val="22"/>
          <w:szCs w:val="22"/>
        </w:rPr>
        <w:t xml:space="preserve">–Diseños </w:t>
      </w:r>
      <w:r w:rsidRPr="00C939C2">
        <w:rPr>
          <w:rFonts w:ascii="Arial Narrow" w:hAnsi="Arial Narrow"/>
          <w:sz w:val="22"/>
          <w:szCs w:val="22"/>
        </w:rPr>
        <w:t xml:space="preserve"> $</w:t>
      </w:r>
      <w:r>
        <w:rPr>
          <w:rFonts w:ascii="Arial Narrow" w:hAnsi="Arial Narrow"/>
          <w:sz w:val="22"/>
          <w:szCs w:val="22"/>
        </w:rPr>
        <w:t xml:space="preserve">2.871.938 miles; Rumichaca –Pasto –Chachagui –Ambiental por valor de $3.819.749 miles y </w:t>
      </w:r>
      <w:r w:rsidRPr="00C939C2">
        <w:rPr>
          <w:rFonts w:ascii="Arial Narrow" w:hAnsi="Arial Narrow"/>
          <w:sz w:val="22"/>
          <w:szCs w:val="22"/>
        </w:rPr>
        <w:t xml:space="preserve">Ruta del Sol II Predial </w:t>
      </w:r>
      <w:r>
        <w:rPr>
          <w:rFonts w:ascii="Arial Narrow" w:hAnsi="Arial Narrow"/>
          <w:sz w:val="22"/>
          <w:szCs w:val="22"/>
        </w:rPr>
        <w:t xml:space="preserve">por valor de </w:t>
      </w:r>
      <w:r w:rsidRPr="00C939C2">
        <w:rPr>
          <w:rFonts w:ascii="Arial Narrow" w:hAnsi="Arial Narrow"/>
          <w:sz w:val="22"/>
          <w:szCs w:val="22"/>
        </w:rPr>
        <w:t>$47.133.46</w:t>
      </w:r>
      <w:r>
        <w:rPr>
          <w:rFonts w:ascii="Arial Narrow" w:hAnsi="Arial Narrow"/>
          <w:sz w:val="22"/>
          <w:szCs w:val="22"/>
        </w:rPr>
        <w:t>3 miles.</w:t>
      </w:r>
    </w:p>
    <w:p w:rsidR="009F6DFC" w:rsidRDefault="009F6DFC" w:rsidP="009F6DFC">
      <w:pPr>
        <w:jc w:val="both"/>
        <w:rPr>
          <w:rFonts w:ascii="Arial Narrow" w:hAnsi="Arial Narrow"/>
          <w:sz w:val="22"/>
          <w:szCs w:val="22"/>
        </w:rPr>
      </w:pPr>
    </w:p>
    <w:p w:rsidR="009F6DFC" w:rsidRDefault="009F6DFC" w:rsidP="009F6DFC">
      <w:pPr>
        <w:jc w:val="both"/>
        <w:rPr>
          <w:rFonts w:ascii="Arial Narrow" w:hAnsi="Arial Narrow"/>
          <w:sz w:val="22"/>
          <w:szCs w:val="22"/>
        </w:rPr>
      </w:pPr>
      <w:r>
        <w:rPr>
          <w:rFonts w:ascii="Arial Narrow" w:hAnsi="Arial Narrow"/>
          <w:sz w:val="22"/>
          <w:szCs w:val="22"/>
        </w:rPr>
        <w:lastRenderedPageBreak/>
        <w:t xml:space="preserve">Año 2015, el valor de $186.272.180 miles de las concesiones, </w:t>
      </w:r>
      <w:r w:rsidRPr="00C939C2">
        <w:rPr>
          <w:rFonts w:ascii="Arial Narrow" w:hAnsi="Arial Narrow"/>
          <w:sz w:val="22"/>
          <w:szCs w:val="22"/>
        </w:rPr>
        <w:t xml:space="preserve">Ruta del Sol II Predial </w:t>
      </w:r>
      <w:r>
        <w:rPr>
          <w:rFonts w:ascii="Arial Narrow" w:hAnsi="Arial Narrow"/>
          <w:sz w:val="22"/>
          <w:szCs w:val="22"/>
        </w:rPr>
        <w:t xml:space="preserve">por valor de </w:t>
      </w:r>
      <w:r w:rsidRPr="00C939C2">
        <w:rPr>
          <w:rFonts w:ascii="Arial Narrow" w:hAnsi="Arial Narrow"/>
          <w:sz w:val="22"/>
          <w:szCs w:val="22"/>
        </w:rPr>
        <w:t>$</w:t>
      </w:r>
      <w:r>
        <w:rPr>
          <w:rFonts w:ascii="Arial Narrow" w:hAnsi="Arial Narrow"/>
          <w:sz w:val="22"/>
          <w:szCs w:val="22"/>
        </w:rPr>
        <w:t>8.733.443 miles;</w:t>
      </w:r>
      <w:r w:rsidRPr="00C939C2">
        <w:rPr>
          <w:rFonts w:ascii="Arial Narrow" w:hAnsi="Arial Narrow"/>
          <w:sz w:val="22"/>
          <w:szCs w:val="22"/>
        </w:rPr>
        <w:t xml:space="preserve"> </w:t>
      </w:r>
      <w:r>
        <w:rPr>
          <w:rFonts w:ascii="Arial Narrow" w:hAnsi="Arial Narrow"/>
          <w:sz w:val="22"/>
          <w:szCs w:val="22"/>
        </w:rPr>
        <w:t>Ruta del Sol III –</w:t>
      </w:r>
      <w:r w:rsidRPr="00C939C2">
        <w:rPr>
          <w:rFonts w:ascii="Arial Narrow" w:hAnsi="Arial Narrow"/>
          <w:sz w:val="22"/>
          <w:szCs w:val="22"/>
        </w:rPr>
        <w:t>Ingreso Esperado $</w:t>
      </w:r>
      <w:r>
        <w:rPr>
          <w:rFonts w:ascii="Arial Narrow" w:hAnsi="Arial Narrow"/>
          <w:sz w:val="22"/>
          <w:szCs w:val="22"/>
        </w:rPr>
        <w:t xml:space="preserve">7.269.755; </w:t>
      </w:r>
      <w:r w:rsidRPr="00C939C2">
        <w:rPr>
          <w:rFonts w:ascii="Arial Narrow" w:hAnsi="Arial Narrow"/>
          <w:sz w:val="22"/>
          <w:szCs w:val="22"/>
        </w:rPr>
        <w:t>Transversal de las América</w:t>
      </w:r>
      <w:r>
        <w:rPr>
          <w:rFonts w:ascii="Arial Narrow" w:hAnsi="Arial Narrow"/>
          <w:sz w:val="22"/>
          <w:szCs w:val="22"/>
        </w:rPr>
        <w:t xml:space="preserve"> –Predial por $126.989.717 miles; </w:t>
      </w:r>
      <w:r w:rsidRPr="00C939C2">
        <w:rPr>
          <w:rFonts w:ascii="Arial Narrow" w:hAnsi="Arial Narrow"/>
          <w:sz w:val="22"/>
          <w:szCs w:val="22"/>
        </w:rPr>
        <w:t>Zona Metropolitana de Bucaramanga – Predial $</w:t>
      </w:r>
      <w:r>
        <w:rPr>
          <w:rFonts w:ascii="Arial Narrow" w:hAnsi="Arial Narrow"/>
          <w:sz w:val="22"/>
          <w:szCs w:val="22"/>
        </w:rPr>
        <w:t xml:space="preserve">30.672.998 miles; </w:t>
      </w:r>
      <w:r w:rsidRPr="00C939C2">
        <w:rPr>
          <w:rFonts w:ascii="Arial Narrow" w:hAnsi="Arial Narrow"/>
          <w:sz w:val="22"/>
          <w:szCs w:val="22"/>
        </w:rPr>
        <w:t>Área Metropolitana de Cúcuta – Tarifario $ 4.024.615</w:t>
      </w:r>
      <w:r>
        <w:rPr>
          <w:rFonts w:ascii="Arial Narrow" w:hAnsi="Arial Narrow"/>
          <w:sz w:val="22"/>
          <w:szCs w:val="22"/>
        </w:rPr>
        <w:t xml:space="preserve"> miles y </w:t>
      </w:r>
      <w:r w:rsidRPr="00C939C2">
        <w:rPr>
          <w:rFonts w:ascii="Arial Narrow" w:hAnsi="Arial Narrow"/>
          <w:sz w:val="22"/>
          <w:szCs w:val="22"/>
        </w:rPr>
        <w:t xml:space="preserve">Ruta </w:t>
      </w:r>
      <w:r>
        <w:rPr>
          <w:rFonts w:ascii="Arial Narrow" w:hAnsi="Arial Narrow"/>
          <w:sz w:val="22"/>
          <w:szCs w:val="22"/>
        </w:rPr>
        <w:t xml:space="preserve">del sol II </w:t>
      </w:r>
      <w:r w:rsidRPr="00C939C2">
        <w:rPr>
          <w:rFonts w:ascii="Arial Narrow" w:hAnsi="Arial Narrow"/>
          <w:sz w:val="22"/>
          <w:szCs w:val="22"/>
        </w:rPr>
        <w:t xml:space="preserve">Otrosí 6 – Comercial </w:t>
      </w:r>
      <w:r>
        <w:rPr>
          <w:rFonts w:ascii="Arial Narrow" w:hAnsi="Arial Narrow"/>
          <w:sz w:val="22"/>
          <w:szCs w:val="22"/>
        </w:rPr>
        <w:t xml:space="preserve">por </w:t>
      </w:r>
      <w:r w:rsidRPr="00C939C2">
        <w:rPr>
          <w:rFonts w:ascii="Arial Narrow" w:hAnsi="Arial Narrow"/>
          <w:sz w:val="22"/>
          <w:szCs w:val="22"/>
        </w:rPr>
        <w:t>$8.581.652</w:t>
      </w:r>
      <w:r>
        <w:rPr>
          <w:rFonts w:ascii="Arial Narrow" w:hAnsi="Arial Narrow"/>
          <w:sz w:val="22"/>
          <w:szCs w:val="22"/>
        </w:rPr>
        <w:t xml:space="preserve"> miles.</w:t>
      </w:r>
    </w:p>
    <w:p w:rsidR="009F6DFC" w:rsidRDefault="009F6DFC" w:rsidP="009F6DFC">
      <w:pPr>
        <w:jc w:val="both"/>
        <w:rPr>
          <w:rFonts w:ascii="Arial Narrow" w:hAnsi="Arial Narrow"/>
          <w:sz w:val="22"/>
          <w:szCs w:val="22"/>
        </w:rPr>
      </w:pPr>
    </w:p>
    <w:p w:rsidR="009F6DFC" w:rsidRPr="001539E4" w:rsidRDefault="009F6DFC" w:rsidP="009F6DFC">
      <w:pPr>
        <w:jc w:val="both"/>
        <w:rPr>
          <w:rFonts w:ascii="Arial Narrow" w:hAnsi="Arial Narrow"/>
          <w:b/>
          <w:sz w:val="22"/>
          <w:szCs w:val="22"/>
        </w:rPr>
      </w:pPr>
      <w:r w:rsidRPr="001539E4">
        <w:rPr>
          <w:rFonts w:ascii="Arial Narrow" w:hAnsi="Arial Narrow"/>
          <w:b/>
          <w:sz w:val="22"/>
          <w:szCs w:val="22"/>
        </w:rPr>
        <w:t>Otros Deudores:</w:t>
      </w:r>
    </w:p>
    <w:p w:rsidR="009F6DFC" w:rsidRDefault="009F6DFC" w:rsidP="009F6DFC">
      <w:pPr>
        <w:jc w:val="both"/>
        <w:rPr>
          <w:rFonts w:ascii="Arial Narrow" w:hAnsi="Arial Narrow"/>
          <w:sz w:val="22"/>
          <w:szCs w:val="22"/>
        </w:rPr>
      </w:pPr>
    </w:p>
    <w:p w:rsidR="009F6DFC" w:rsidRDefault="009F6DFC" w:rsidP="009F6DFC">
      <w:pPr>
        <w:jc w:val="both"/>
        <w:rPr>
          <w:rFonts w:ascii="Arial Narrow" w:hAnsi="Arial Narrow"/>
          <w:sz w:val="22"/>
          <w:szCs w:val="22"/>
        </w:rPr>
      </w:pPr>
      <w:r>
        <w:rPr>
          <w:rFonts w:ascii="Arial Narrow" w:hAnsi="Arial Narrow"/>
          <w:sz w:val="22"/>
          <w:szCs w:val="22"/>
        </w:rPr>
        <w:t>El valor de $</w:t>
      </w:r>
      <w:r w:rsidRPr="00EB1BB8">
        <w:rPr>
          <w:rFonts w:ascii="Arial Narrow" w:hAnsi="Arial Narrow"/>
          <w:sz w:val="22"/>
          <w:szCs w:val="22"/>
        </w:rPr>
        <w:t>184.101</w:t>
      </w:r>
      <w:r>
        <w:rPr>
          <w:rFonts w:ascii="Arial Narrow" w:hAnsi="Arial Narrow"/>
          <w:sz w:val="22"/>
          <w:szCs w:val="22"/>
        </w:rPr>
        <w:t xml:space="preserve"> miles registrado en –</w:t>
      </w:r>
      <w:r w:rsidRPr="001A2AC2">
        <w:rPr>
          <w:rFonts w:ascii="Arial Narrow" w:hAnsi="Arial Narrow"/>
          <w:sz w:val="22"/>
          <w:szCs w:val="22"/>
        </w:rPr>
        <w:t>Pago</w:t>
      </w:r>
      <w:r>
        <w:rPr>
          <w:rFonts w:ascii="Arial Narrow" w:hAnsi="Arial Narrow"/>
          <w:sz w:val="22"/>
          <w:szCs w:val="22"/>
        </w:rPr>
        <w:t xml:space="preserve"> </w:t>
      </w:r>
      <w:r w:rsidRPr="001A2AC2">
        <w:rPr>
          <w:rFonts w:ascii="Arial Narrow" w:hAnsi="Arial Narrow"/>
          <w:sz w:val="22"/>
          <w:szCs w:val="22"/>
        </w:rPr>
        <w:t xml:space="preserve">por cuenta de terceros, </w:t>
      </w:r>
      <w:r>
        <w:rPr>
          <w:rFonts w:ascii="Arial Narrow" w:hAnsi="Arial Narrow"/>
          <w:sz w:val="22"/>
          <w:szCs w:val="22"/>
        </w:rPr>
        <w:t xml:space="preserve">corresponde a los valores </w:t>
      </w:r>
      <w:r w:rsidRPr="001A2AC2">
        <w:rPr>
          <w:rFonts w:ascii="Arial Narrow" w:hAnsi="Arial Narrow"/>
          <w:sz w:val="22"/>
          <w:szCs w:val="22"/>
        </w:rPr>
        <w:t>por cobrar</w:t>
      </w:r>
      <w:r>
        <w:rPr>
          <w:rFonts w:ascii="Arial Narrow" w:hAnsi="Arial Narrow"/>
          <w:sz w:val="22"/>
          <w:szCs w:val="22"/>
        </w:rPr>
        <w:t xml:space="preserve"> a diferentes EPS </w:t>
      </w:r>
      <w:r w:rsidRPr="001A2AC2">
        <w:rPr>
          <w:rFonts w:ascii="Arial Narrow" w:hAnsi="Arial Narrow"/>
          <w:sz w:val="22"/>
          <w:szCs w:val="22"/>
        </w:rPr>
        <w:t>por</w:t>
      </w:r>
      <w:r>
        <w:rPr>
          <w:rFonts w:ascii="Arial Narrow" w:hAnsi="Arial Narrow"/>
          <w:sz w:val="22"/>
          <w:szCs w:val="22"/>
        </w:rPr>
        <w:t xml:space="preserve"> concepto de incapacidades de funcionarios el detalle es el siguiente:</w:t>
      </w:r>
    </w:p>
    <w:p w:rsidR="009F6DFC" w:rsidRDefault="009F6DFC" w:rsidP="009F6DFC">
      <w:pPr>
        <w:jc w:val="both"/>
        <w:rPr>
          <w:rFonts w:ascii="Arial Narrow" w:hAnsi="Arial Narrow"/>
          <w:sz w:val="22"/>
          <w:szCs w:val="22"/>
        </w:rPr>
      </w:pPr>
    </w:p>
    <w:p w:rsidR="009F6DFC" w:rsidRPr="001A2AC2" w:rsidRDefault="009F6DFC" w:rsidP="009F6DFC">
      <w:pPr>
        <w:jc w:val="center"/>
        <w:rPr>
          <w:rFonts w:ascii="Arial Narrow" w:hAnsi="Arial Narrow"/>
          <w:sz w:val="22"/>
          <w:szCs w:val="22"/>
        </w:rPr>
      </w:pPr>
      <w:r w:rsidRPr="00BD0409">
        <w:rPr>
          <w:noProof/>
          <w:lang w:val="es-CO" w:eastAsia="es-CO"/>
        </w:rPr>
        <w:drawing>
          <wp:inline distT="0" distB="0" distL="0" distR="0">
            <wp:extent cx="5152446" cy="1104900"/>
            <wp:effectExtent l="0" t="0" r="0" b="0"/>
            <wp:docPr id="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62740" cy="1107107"/>
                    </a:xfrm>
                    <a:prstGeom prst="rect">
                      <a:avLst/>
                    </a:prstGeom>
                    <a:noFill/>
                    <a:ln>
                      <a:noFill/>
                    </a:ln>
                  </pic:spPr>
                </pic:pic>
              </a:graphicData>
            </a:graphic>
          </wp:inline>
        </w:drawing>
      </w:r>
    </w:p>
    <w:p w:rsidR="009F6DFC" w:rsidRDefault="009F6DFC" w:rsidP="009F6DFC">
      <w:pPr>
        <w:rPr>
          <w:rFonts w:ascii="Arial Narrow" w:hAnsi="Arial Narrow"/>
          <w:sz w:val="22"/>
          <w:szCs w:val="22"/>
        </w:rPr>
      </w:pPr>
    </w:p>
    <w:p w:rsidR="009F6DFC" w:rsidRPr="001A2AC2" w:rsidRDefault="009F6DFC" w:rsidP="009F6DFC">
      <w:pPr>
        <w:jc w:val="both"/>
        <w:rPr>
          <w:rFonts w:ascii="Arial Narrow" w:hAnsi="Arial Narrow"/>
          <w:sz w:val="22"/>
          <w:szCs w:val="22"/>
        </w:rPr>
      </w:pPr>
      <w:r>
        <w:rPr>
          <w:rFonts w:ascii="Arial Narrow" w:hAnsi="Arial Narrow"/>
          <w:sz w:val="22"/>
          <w:szCs w:val="22"/>
        </w:rPr>
        <w:t>El valor de $</w:t>
      </w:r>
      <w:r w:rsidRPr="00D7578E">
        <w:t xml:space="preserve"> </w:t>
      </w:r>
      <w:r w:rsidRPr="00D7578E">
        <w:rPr>
          <w:rFonts w:ascii="Arial Narrow" w:hAnsi="Arial Narrow"/>
          <w:sz w:val="22"/>
          <w:szCs w:val="22"/>
        </w:rPr>
        <w:t>19.595.301</w:t>
      </w:r>
      <w:r>
        <w:rPr>
          <w:rFonts w:ascii="Arial Narrow" w:hAnsi="Arial Narrow"/>
          <w:sz w:val="22"/>
          <w:szCs w:val="22"/>
        </w:rPr>
        <w:t xml:space="preserve"> miles en la cuenta de –Comisiones </w:t>
      </w:r>
      <w:r w:rsidR="007D6FE5">
        <w:rPr>
          <w:rFonts w:ascii="Arial Narrow" w:hAnsi="Arial Narrow"/>
          <w:sz w:val="22"/>
          <w:szCs w:val="22"/>
        </w:rPr>
        <w:t xml:space="preserve">corresponde al </w:t>
      </w:r>
      <w:r>
        <w:rPr>
          <w:rFonts w:ascii="Arial Narrow" w:hAnsi="Arial Narrow"/>
          <w:sz w:val="22"/>
          <w:szCs w:val="22"/>
        </w:rPr>
        <w:t xml:space="preserve"> registró </w:t>
      </w:r>
      <w:r w:rsidR="007D6FE5">
        <w:rPr>
          <w:rFonts w:ascii="Arial Narrow" w:hAnsi="Arial Narrow"/>
          <w:sz w:val="22"/>
          <w:szCs w:val="22"/>
        </w:rPr>
        <w:t xml:space="preserve">de </w:t>
      </w:r>
      <w:r>
        <w:rPr>
          <w:rFonts w:ascii="Arial Narrow" w:hAnsi="Arial Narrow"/>
          <w:sz w:val="22"/>
          <w:szCs w:val="22"/>
        </w:rPr>
        <w:t xml:space="preserve">los valores </w:t>
      </w:r>
      <w:r w:rsidRPr="001A2AC2">
        <w:rPr>
          <w:rFonts w:ascii="Arial Narrow" w:hAnsi="Arial Narrow"/>
          <w:sz w:val="22"/>
          <w:szCs w:val="22"/>
        </w:rPr>
        <w:t>pendiente de cobro de acuerdo a lo facturado por concepto de Transporte de Carbón</w:t>
      </w:r>
      <w:r w:rsidR="00803B6E">
        <w:rPr>
          <w:rFonts w:ascii="Arial Narrow" w:hAnsi="Arial Narrow"/>
          <w:sz w:val="22"/>
          <w:szCs w:val="22"/>
        </w:rPr>
        <w:t xml:space="preserve"> y</w:t>
      </w:r>
      <w:r w:rsidRPr="001A2AC2">
        <w:rPr>
          <w:rFonts w:ascii="Arial Narrow" w:hAnsi="Arial Narrow"/>
          <w:sz w:val="22"/>
          <w:szCs w:val="22"/>
        </w:rPr>
        <w:t xml:space="preserve"> se registra en esta subcuenta de acuerdo al punto 6 del concepto 20045-45724 de la CGN. </w:t>
      </w:r>
      <w:r w:rsidR="00803B6E">
        <w:rPr>
          <w:rFonts w:ascii="Arial Narrow" w:hAnsi="Arial Narrow"/>
          <w:sz w:val="22"/>
          <w:szCs w:val="22"/>
        </w:rPr>
        <w:t>Los deudores de estos conceptos son:</w:t>
      </w:r>
    </w:p>
    <w:p w:rsidR="009F6DFC" w:rsidRDefault="009F6DFC" w:rsidP="009F6DFC">
      <w:pPr>
        <w:jc w:val="both"/>
        <w:rPr>
          <w:rFonts w:ascii="Arial Narrow" w:hAnsi="Arial Narrow"/>
          <w:b/>
          <w:color w:val="000000"/>
          <w:sz w:val="22"/>
          <w:szCs w:val="22"/>
          <w:lang w:eastAsia="es-MX"/>
        </w:rPr>
      </w:pPr>
    </w:p>
    <w:p w:rsidR="00775344" w:rsidRPr="00E73A6E" w:rsidRDefault="00775344" w:rsidP="00775344">
      <w:pPr>
        <w:jc w:val="both"/>
        <w:rPr>
          <w:b/>
          <w:color w:val="000000"/>
          <w:lang w:eastAsia="es-MX"/>
        </w:rPr>
      </w:pPr>
    </w:p>
    <w:p w:rsidR="00775344" w:rsidRDefault="00775344" w:rsidP="008608C3">
      <w:pPr>
        <w:jc w:val="center"/>
        <w:rPr>
          <w:rFonts w:ascii="Arial Narrow" w:hAnsi="Arial Narrow"/>
          <w:sz w:val="22"/>
          <w:szCs w:val="22"/>
        </w:rPr>
      </w:pPr>
      <w:r w:rsidRPr="00645A0D">
        <w:rPr>
          <w:noProof/>
          <w:lang w:val="es-CO" w:eastAsia="es-CO"/>
        </w:rPr>
        <w:drawing>
          <wp:inline distT="0" distB="0" distL="0" distR="0" wp14:anchorId="35172C67" wp14:editId="550F37EB">
            <wp:extent cx="4914900" cy="1019175"/>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0" cy="1019175"/>
                    </a:xfrm>
                    <a:prstGeom prst="rect">
                      <a:avLst/>
                    </a:prstGeom>
                    <a:noFill/>
                    <a:ln>
                      <a:noFill/>
                    </a:ln>
                  </pic:spPr>
                </pic:pic>
              </a:graphicData>
            </a:graphic>
          </wp:inline>
        </w:drawing>
      </w:r>
    </w:p>
    <w:p w:rsidR="00775344" w:rsidRDefault="00775344" w:rsidP="00775344">
      <w:pPr>
        <w:jc w:val="center"/>
        <w:rPr>
          <w:rFonts w:ascii="Arial Narrow" w:hAnsi="Arial Narrow"/>
          <w:sz w:val="22"/>
          <w:szCs w:val="22"/>
        </w:rPr>
      </w:pPr>
    </w:p>
    <w:p w:rsidR="009F6DFC" w:rsidRPr="001A2AC2" w:rsidRDefault="009F6DFC" w:rsidP="009F6DFC">
      <w:pPr>
        <w:jc w:val="both"/>
        <w:rPr>
          <w:rFonts w:ascii="Arial Narrow" w:hAnsi="Arial Narrow"/>
          <w:sz w:val="22"/>
          <w:szCs w:val="22"/>
        </w:rPr>
      </w:pPr>
      <w:r w:rsidRPr="001A2AC2">
        <w:rPr>
          <w:rFonts w:ascii="Arial Narrow" w:hAnsi="Arial Narrow"/>
          <w:sz w:val="22"/>
          <w:szCs w:val="22"/>
        </w:rPr>
        <w:t xml:space="preserve">En las comisiones por concepto de transporte de carbón se presentó una variación </w:t>
      </w:r>
      <w:r>
        <w:rPr>
          <w:rFonts w:ascii="Arial Narrow" w:hAnsi="Arial Narrow"/>
          <w:sz w:val="22"/>
          <w:szCs w:val="22"/>
        </w:rPr>
        <w:t xml:space="preserve">positiva </w:t>
      </w:r>
      <w:r w:rsidRPr="001A2AC2">
        <w:rPr>
          <w:rFonts w:ascii="Arial Narrow" w:hAnsi="Arial Narrow"/>
          <w:sz w:val="22"/>
          <w:szCs w:val="22"/>
        </w:rPr>
        <w:t>de $</w:t>
      </w:r>
      <w:r w:rsidRPr="0041346B">
        <w:rPr>
          <w:rFonts w:ascii="Arial Narrow" w:hAnsi="Arial Narrow"/>
          <w:sz w:val="22"/>
          <w:szCs w:val="22"/>
        </w:rPr>
        <w:t>7.912.553</w:t>
      </w:r>
      <w:r>
        <w:rPr>
          <w:rFonts w:ascii="Arial Narrow" w:hAnsi="Arial Narrow"/>
          <w:sz w:val="22"/>
          <w:szCs w:val="22"/>
        </w:rPr>
        <w:t xml:space="preserve"> m</w:t>
      </w:r>
      <w:r w:rsidRPr="001A2AC2">
        <w:rPr>
          <w:rFonts w:ascii="Arial Narrow" w:hAnsi="Arial Narrow"/>
          <w:sz w:val="22"/>
          <w:szCs w:val="22"/>
        </w:rPr>
        <w:t>iles,</w:t>
      </w:r>
      <w:r>
        <w:rPr>
          <w:rFonts w:ascii="Arial Narrow" w:hAnsi="Arial Narrow"/>
          <w:sz w:val="22"/>
          <w:szCs w:val="22"/>
        </w:rPr>
        <w:t xml:space="preserve"> respecto de la vigencia 2014, </w:t>
      </w:r>
      <w:r w:rsidRPr="001A2AC2">
        <w:rPr>
          <w:rFonts w:ascii="Arial Narrow" w:hAnsi="Arial Narrow"/>
          <w:sz w:val="22"/>
          <w:szCs w:val="22"/>
        </w:rPr>
        <w:t xml:space="preserve"> </w:t>
      </w:r>
      <w:r>
        <w:rPr>
          <w:rFonts w:ascii="Arial Narrow" w:hAnsi="Arial Narrow"/>
          <w:sz w:val="22"/>
          <w:szCs w:val="22"/>
        </w:rPr>
        <w:t>producto de las operaciones efectuadas en la vigencia 2015 (</w:t>
      </w:r>
      <w:r w:rsidRPr="001A2AC2">
        <w:rPr>
          <w:rFonts w:ascii="Arial Narrow" w:hAnsi="Arial Narrow"/>
          <w:sz w:val="22"/>
          <w:szCs w:val="22"/>
        </w:rPr>
        <w:t>ingresos facturados</w:t>
      </w:r>
      <w:r>
        <w:rPr>
          <w:rFonts w:ascii="Arial Narrow" w:hAnsi="Arial Narrow"/>
          <w:sz w:val="22"/>
          <w:szCs w:val="22"/>
        </w:rPr>
        <w:t xml:space="preserve"> mes de diciembre de 2015</w:t>
      </w:r>
      <w:r w:rsidRPr="001A2AC2">
        <w:rPr>
          <w:rFonts w:ascii="Arial Narrow" w:hAnsi="Arial Narrow"/>
          <w:sz w:val="22"/>
          <w:szCs w:val="22"/>
        </w:rPr>
        <w:t xml:space="preserve"> y pag</w:t>
      </w:r>
      <w:r>
        <w:rPr>
          <w:rFonts w:ascii="Arial Narrow" w:hAnsi="Arial Narrow"/>
          <w:sz w:val="22"/>
          <w:szCs w:val="22"/>
        </w:rPr>
        <w:t>os realizados)</w:t>
      </w:r>
      <w:r w:rsidRPr="001A2AC2">
        <w:rPr>
          <w:rFonts w:ascii="Arial Narrow" w:hAnsi="Arial Narrow"/>
          <w:sz w:val="22"/>
          <w:szCs w:val="22"/>
        </w:rPr>
        <w:t>.</w:t>
      </w:r>
    </w:p>
    <w:p w:rsidR="009F6DFC" w:rsidRPr="001A2AC2" w:rsidRDefault="009F6DFC" w:rsidP="009F6DFC">
      <w:pPr>
        <w:jc w:val="both"/>
        <w:rPr>
          <w:rFonts w:ascii="Arial Narrow" w:hAnsi="Arial Narrow"/>
          <w:sz w:val="22"/>
          <w:szCs w:val="22"/>
        </w:rPr>
      </w:pPr>
    </w:p>
    <w:p w:rsidR="009F6DFC" w:rsidRDefault="009F6DFC" w:rsidP="009F6DFC">
      <w:pPr>
        <w:jc w:val="both"/>
        <w:rPr>
          <w:rFonts w:ascii="Arial Narrow" w:hAnsi="Arial Narrow"/>
          <w:sz w:val="22"/>
          <w:szCs w:val="22"/>
        </w:rPr>
      </w:pPr>
      <w:r w:rsidRPr="001A2AC2">
        <w:rPr>
          <w:rFonts w:ascii="Arial Narrow" w:hAnsi="Arial Narrow"/>
          <w:sz w:val="22"/>
          <w:szCs w:val="22"/>
        </w:rPr>
        <w:t xml:space="preserve">En Otros Deudores – Indemnizaciones, </w:t>
      </w:r>
      <w:r>
        <w:rPr>
          <w:rFonts w:ascii="Arial Narrow" w:hAnsi="Arial Narrow"/>
          <w:sz w:val="22"/>
          <w:szCs w:val="22"/>
        </w:rPr>
        <w:t>por valor de $</w:t>
      </w:r>
      <w:r w:rsidRPr="00182103">
        <w:t xml:space="preserve"> </w:t>
      </w:r>
      <w:r w:rsidRPr="00182103">
        <w:rPr>
          <w:rFonts w:ascii="Arial Narrow" w:hAnsi="Arial Narrow"/>
          <w:sz w:val="22"/>
          <w:szCs w:val="22"/>
        </w:rPr>
        <w:t>270.787</w:t>
      </w:r>
      <w:r>
        <w:rPr>
          <w:rFonts w:ascii="Arial Narrow" w:hAnsi="Arial Narrow"/>
          <w:sz w:val="22"/>
          <w:szCs w:val="22"/>
        </w:rPr>
        <w:t xml:space="preserve"> miles, </w:t>
      </w:r>
      <w:r w:rsidRPr="001A2AC2">
        <w:rPr>
          <w:rFonts w:ascii="Arial Narrow" w:hAnsi="Arial Narrow"/>
          <w:sz w:val="22"/>
          <w:szCs w:val="22"/>
        </w:rPr>
        <w:t>se refleja el valor pendiente por pago por concepto de incumplimientos contractuales de la Sociedad Portuaria de la Penínsu</w:t>
      </w:r>
      <w:r>
        <w:rPr>
          <w:rFonts w:ascii="Arial Narrow" w:hAnsi="Arial Narrow"/>
          <w:sz w:val="22"/>
          <w:szCs w:val="22"/>
        </w:rPr>
        <w:t>la, por valor de $210.927 Miles y</w:t>
      </w:r>
      <w:r w:rsidRPr="001A2AC2">
        <w:rPr>
          <w:rFonts w:ascii="Arial Narrow" w:hAnsi="Arial Narrow"/>
          <w:sz w:val="22"/>
          <w:szCs w:val="22"/>
        </w:rPr>
        <w:t xml:space="preserve"> Autopista de Santander S.A</w:t>
      </w:r>
      <w:r w:rsidR="00803B6E">
        <w:rPr>
          <w:rFonts w:ascii="Arial Narrow" w:hAnsi="Arial Narrow"/>
          <w:sz w:val="22"/>
          <w:szCs w:val="22"/>
        </w:rPr>
        <w:t>.</w:t>
      </w:r>
      <w:r w:rsidRPr="001A2AC2">
        <w:rPr>
          <w:rFonts w:ascii="Arial Narrow" w:hAnsi="Arial Narrow"/>
          <w:sz w:val="22"/>
          <w:szCs w:val="22"/>
        </w:rPr>
        <w:t xml:space="preserve"> por valor de $59.860 Miles</w:t>
      </w:r>
      <w:r>
        <w:rPr>
          <w:rFonts w:ascii="Arial Narrow" w:hAnsi="Arial Narrow"/>
          <w:sz w:val="22"/>
          <w:szCs w:val="22"/>
        </w:rPr>
        <w:t>.</w:t>
      </w:r>
    </w:p>
    <w:p w:rsidR="009F6DFC" w:rsidRDefault="009F6DFC" w:rsidP="009F6DFC">
      <w:pPr>
        <w:jc w:val="both"/>
        <w:rPr>
          <w:rFonts w:ascii="Arial Narrow" w:hAnsi="Arial Narrow"/>
          <w:sz w:val="22"/>
          <w:szCs w:val="22"/>
        </w:rPr>
      </w:pPr>
    </w:p>
    <w:p w:rsidR="009F6DFC" w:rsidRDefault="009F6DFC" w:rsidP="009F6DFC">
      <w:pPr>
        <w:jc w:val="both"/>
        <w:rPr>
          <w:rFonts w:ascii="Arial Narrow" w:hAnsi="Arial Narrow"/>
          <w:sz w:val="22"/>
          <w:szCs w:val="22"/>
        </w:rPr>
      </w:pPr>
      <w:r>
        <w:rPr>
          <w:rFonts w:ascii="Arial Narrow" w:hAnsi="Arial Narrow"/>
          <w:sz w:val="22"/>
          <w:szCs w:val="22"/>
        </w:rPr>
        <w:t>El valor de $210.927</w:t>
      </w:r>
      <w:r w:rsidR="007D6FE5">
        <w:rPr>
          <w:rFonts w:ascii="Arial Narrow" w:hAnsi="Arial Narrow"/>
          <w:sz w:val="22"/>
          <w:szCs w:val="22"/>
        </w:rPr>
        <w:t xml:space="preserve"> miles,</w:t>
      </w:r>
      <w:r>
        <w:rPr>
          <w:rFonts w:ascii="Arial Narrow" w:hAnsi="Arial Narrow"/>
          <w:sz w:val="22"/>
          <w:szCs w:val="22"/>
        </w:rPr>
        <w:t xml:space="preserve"> de la </w:t>
      </w:r>
      <w:r w:rsidRPr="00F76F0A">
        <w:rPr>
          <w:rFonts w:ascii="Arial Narrow" w:hAnsi="Arial Narrow"/>
          <w:sz w:val="22"/>
          <w:szCs w:val="22"/>
        </w:rPr>
        <w:t>Sociedad Portuaria de la Península S.A</w:t>
      </w:r>
      <w:r w:rsidR="007D6FE5">
        <w:rPr>
          <w:rFonts w:ascii="Arial Narrow" w:hAnsi="Arial Narrow"/>
          <w:sz w:val="22"/>
          <w:szCs w:val="22"/>
        </w:rPr>
        <w:t xml:space="preserve"> -</w:t>
      </w:r>
      <w:r w:rsidRPr="00F76F0A">
        <w:rPr>
          <w:rFonts w:ascii="Arial Narrow" w:hAnsi="Arial Narrow"/>
          <w:sz w:val="22"/>
          <w:szCs w:val="22"/>
        </w:rPr>
        <w:t xml:space="preserve"> Pensoport S.A</w:t>
      </w:r>
      <w:r>
        <w:rPr>
          <w:rFonts w:ascii="Arial Narrow" w:hAnsi="Arial Narrow"/>
          <w:sz w:val="22"/>
          <w:szCs w:val="22"/>
        </w:rPr>
        <w:t>. corresponde a</w:t>
      </w:r>
      <w:r w:rsidR="007D6FE5">
        <w:rPr>
          <w:rFonts w:ascii="Arial Narrow" w:hAnsi="Arial Narrow"/>
          <w:sz w:val="22"/>
          <w:szCs w:val="22"/>
        </w:rPr>
        <w:t xml:space="preserve"> una</w:t>
      </w:r>
      <w:r>
        <w:rPr>
          <w:rFonts w:ascii="Arial Narrow" w:hAnsi="Arial Narrow"/>
          <w:sz w:val="22"/>
          <w:szCs w:val="22"/>
        </w:rPr>
        <w:t xml:space="preserve"> multa interpuesta mediante  </w:t>
      </w:r>
      <w:r w:rsidRPr="00F76F0A">
        <w:rPr>
          <w:rFonts w:ascii="Arial Narrow" w:hAnsi="Arial Narrow"/>
          <w:sz w:val="22"/>
          <w:szCs w:val="22"/>
        </w:rPr>
        <w:t xml:space="preserve">Resolución No. 545 de 2011 </w:t>
      </w:r>
      <w:r w:rsidR="00803B6E">
        <w:rPr>
          <w:rFonts w:ascii="Arial Narrow" w:hAnsi="Arial Narrow"/>
          <w:sz w:val="22"/>
          <w:szCs w:val="22"/>
        </w:rPr>
        <w:t xml:space="preserve">expedida por la Agencia </w:t>
      </w:r>
      <w:r w:rsidRPr="00F76F0A">
        <w:rPr>
          <w:rFonts w:ascii="Arial Narrow" w:hAnsi="Arial Narrow"/>
          <w:sz w:val="22"/>
          <w:szCs w:val="22"/>
        </w:rPr>
        <w:t xml:space="preserve">por </w:t>
      </w:r>
      <w:r w:rsidR="00803B6E">
        <w:rPr>
          <w:rFonts w:ascii="Arial Narrow" w:hAnsi="Arial Narrow"/>
          <w:sz w:val="22"/>
          <w:szCs w:val="22"/>
        </w:rPr>
        <w:t xml:space="preserve">el </w:t>
      </w:r>
      <w:r w:rsidRPr="00F76F0A">
        <w:rPr>
          <w:rFonts w:ascii="Arial Narrow" w:hAnsi="Arial Narrow"/>
          <w:sz w:val="22"/>
          <w:szCs w:val="22"/>
        </w:rPr>
        <w:t>incumplimiento total de su obligación contractual relacionada con el plan de invers</w:t>
      </w:r>
      <w:r>
        <w:rPr>
          <w:rFonts w:ascii="Arial Narrow" w:hAnsi="Arial Narrow"/>
          <w:sz w:val="22"/>
          <w:szCs w:val="22"/>
        </w:rPr>
        <w:t>iones establecido para el primer</w:t>
      </w:r>
      <w:r w:rsidRPr="00F76F0A">
        <w:rPr>
          <w:rFonts w:ascii="Arial Narrow" w:hAnsi="Arial Narrow"/>
          <w:sz w:val="22"/>
          <w:szCs w:val="22"/>
        </w:rPr>
        <w:t xml:space="preserve"> año, esto es</w:t>
      </w:r>
      <w:r w:rsidR="00803B6E">
        <w:rPr>
          <w:rFonts w:ascii="Arial Narrow" w:hAnsi="Arial Narrow"/>
          <w:sz w:val="22"/>
          <w:szCs w:val="22"/>
        </w:rPr>
        <w:t>,</w:t>
      </w:r>
      <w:r w:rsidRPr="00F76F0A">
        <w:rPr>
          <w:rFonts w:ascii="Arial Narrow" w:hAnsi="Arial Narrow"/>
          <w:sz w:val="22"/>
          <w:szCs w:val="22"/>
        </w:rPr>
        <w:t xml:space="preserve"> noviembre 2009 a noviembre 2010</w:t>
      </w:r>
      <w:r>
        <w:rPr>
          <w:rFonts w:ascii="Arial Narrow" w:hAnsi="Arial Narrow"/>
          <w:sz w:val="22"/>
          <w:szCs w:val="22"/>
        </w:rPr>
        <w:t xml:space="preserve">, tasada en dólares americanos </w:t>
      </w:r>
      <w:r w:rsidRPr="00F76F0A">
        <w:rPr>
          <w:rFonts w:ascii="Arial Narrow" w:hAnsi="Arial Narrow"/>
          <w:sz w:val="22"/>
          <w:szCs w:val="22"/>
        </w:rPr>
        <w:t>por valor (US$27.500)</w:t>
      </w:r>
      <w:r>
        <w:rPr>
          <w:rFonts w:ascii="Arial Narrow" w:hAnsi="Arial Narrow"/>
          <w:sz w:val="22"/>
          <w:szCs w:val="22"/>
        </w:rPr>
        <w:t xml:space="preserve">. Para la vigencia 2015 este derecho presentó una  variación positiva producto de las actualizaciones realizadas por valor de $145.134 miles calculadas con la </w:t>
      </w:r>
      <w:r w:rsidRPr="00F76F0A">
        <w:rPr>
          <w:rFonts w:ascii="Arial Narrow" w:hAnsi="Arial Narrow"/>
          <w:sz w:val="22"/>
          <w:szCs w:val="22"/>
        </w:rPr>
        <w:t>T</w:t>
      </w:r>
      <w:r>
        <w:rPr>
          <w:rFonts w:ascii="Arial Narrow" w:hAnsi="Arial Narrow"/>
          <w:sz w:val="22"/>
          <w:szCs w:val="22"/>
        </w:rPr>
        <w:t xml:space="preserve">asa </w:t>
      </w:r>
      <w:r w:rsidRPr="00F76F0A">
        <w:rPr>
          <w:rFonts w:ascii="Arial Narrow" w:hAnsi="Arial Narrow"/>
          <w:sz w:val="22"/>
          <w:szCs w:val="22"/>
        </w:rPr>
        <w:t>R</w:t>
      </w:r>
      <w:r>
        <w:rPr>
          <w:rFonts w:ascii="Arial Narrow" w:hAnsi="Arial Narrow"/>
          <w:sz w:val="22"/>
          <w:szCs w:val="22"/>
        </w:rPr>
        <w:t xml:space="preserve">epresentativa del </w:t>
      </w:r>
      <w:r w:rsidRPr="00F76F0A">
        <w:rPr>
          <w:rFonts w:ascii="Arial Narrow" w:hAnsi="Arial Narrow"/>
          <w:sz w:val="22"/>
          <w:szCs w:val="22"/>
        </w:rPr>
        <w:t>M</w:t>
      </w:r>
      <w:r>
        <w:rPr>
          <w:rFonts w:ascii="Arial Narrow" w:hAnsi="Arial Narrow"/>
          <w:sz w:val="22"/>
          <w:szCs w:val="22"/>
        </w:rPr>
        <w:t xml:space="preserve">ercado (TRM) a </w:t>
      </w:r>
      <w:r w:rsidRPr="00F76F0A">
        <w:rPr>
          <w:rFonts w:ascii="Arial Narrow" w:hAnsi="Arial Narrow"/>
          <w:sz w:val="22"/>
          <w:szCs w:val="22"/>
        </w:rPr>
        <w:t>31</w:t>
      </w:r>
      <w:r>
        <w:rPr>
          <w:rFonts w:ascii="Arial Narrow" w:hAnsi="Arial Narrow"/>
          <w:sz w:val="22"/>
          <w:szCs w:val="22"/>
        </w:rPr>
        <w:t xml:space="preserve"> de diciembre de </w:t>
      </w:r>
      <w:r w:rsidRPr="00F76F0A">
        <w:rPr>
          <w:rFonts w:ascii="Arial Narrow" w:hAnsi="Arial Narrow"/>
          <w:sz w:val="22"/>
          <w:szCs w:val="22"/>
        </w:rPr>
        <w:t>2015</w:t>
      </w:r>
      <w:r>
        <w:rPr>
          <w:rFonts w:ascii="Arial Narrow" w:hAnsi="Arial Narrow"/>
          <w:sz w:val="22"/>
          <w:szCs w:val="22"/>
        </w:rPr>
        <w:t>,</w:t>
      </w:r>
      <w:r w:rsidRPr="00F76F0A">
        <w:rPr>
          <w:rFonts w:ascii="Arial Narrow" w:hAnsi="Arial Narrow"/>
          <w:sz w:val="22"/>
          <w:szCs w:val="22"/>
        </w:rPr>
        <w:t xml:space="preserve"> </w:t>
      </w:r>
      <w:r>
        <w:rPr>
          <w:rFonts w:ascii="Arial Narrow" w:hAnsi="Arial Narrow"/>
          <w:sz w:val="22"/>
          <w:szCs w:val="22"/>
        </w:rPr>
        <w:t xml:space="preserve">por valor de </w:t>
      </w:r>
      <w:r w:rsidRPr="00F76F0A">
        <w:rPr>
          <w:rFonts w:ascii="Arial Narrow" w:hAnsi="Arial Narrow"/>
          <w:sz w:val="22"/>
          <w:szCs w:val="22"/>
        </w:rPr>
        <w:t>$3.149,47</w:t>
      </w:r>
      <w:r>
        <w:rPr>
          <w:rFonts w:ascii="Arial Narrow" w:hAnsi="Arial Narrow"/>
          <w:sz w:val="22"/>
          <w:szCs w:val="22"/>
        </w:rPr>
        <w:t xml:space="preserve"> pesos,</w:t>
      </w:r>
      <w:r w:rsidRPr="00F76F0A">
        <w:rPr>
          <w:rFonts w:ascii="Arial Narrow" w:hAnsi="Arial Narrow"/>
          <w:sz w:val="22"/>
          <w:szCs w:val="22"/>
        </w:rPr>
        <w:t xml:space="preserve">  </w:t>
      </w:r>
      <w:r>
        <w:rPr>
          <w:rFonts w:ascii="Arial Narrow" w:hAnsi="Arial Narrow"/>
          <w:sz w:val="22"/>
          <w:szCs w:val="22"/>
        </w:rPr>
        <w:t>i</w:t>
      </w:r>
      <w:r w:rsidRPr="00F76F0A">
        <w:rPr>
          <w:rFonts w:ascii="Arial Narrow" w:hAnsi="Arial Narrow"/>
          <w:sz w:val="22"/>
          <w:szCs w:val="22"/>
        </w:rPr>
        <w:t>ntereses a 31</w:t>
      </w:r>
      <w:r>
        <w:rPr>
          <w:rFonts w:ascii="Arial Narrow" w:hAnsi="Arial Narrow"/>
          <w:sz w:val="22"/>
          <w:szCs w:val="22"/>
        </w:rPr>
        <w:t xml:space="preserve"> de enero de 2015 por valor de </w:t>
      </w:r>
      <w:r w:rsidRPr="00F76F0A">
        <w:rPr>
          <w:rFonts w:ascii="Arial Narrow" w:hAnsi="Arial Narrow"/>
          <w:sz w:val="22"/>
          <w:szCs w:val="22"/>
        </w:rPr>
        <w:t xml:space="preserve">(US$39.472,17) TRM a </w:t>
      </w:r>
      <w:r>
        <w:rPr>
          <w:rFonts w:ascii="Arial Narrow" w:hAnsi="Arial Narrow"/>
          <w:sz w:val="22"/>
          <w:szCs w:val="22"/>
        </w:rPr>
        <w:t xml:space="preserve">esta misma fecha por </w:t>
      </w:r>
      <w:r w:rsidRPr="00F76F0A">
        <w:rPr>
          <w:rFonts w:ascii="Arial Narrow" w:hAnsi="Arial Narrow"/>
          <w:sz w:val="22"/>
          <w:szCs w:val="22"/>
        </w:rPr>
        <w:t>$2.441,10</w:t>
      </w:r>
      <w:r>
        <w:rPr>
          <w:rFonts w:ascii="Arial Narrow" w:hAnsi="Arial Narrow"/>
          <w:sz w:val="22"/>
          <w:szCs w:val="22"/>
        </w:rPr>
        <w:t xml:space="preserve"> pesos</w:t>
      </w:r>
      <w:r w:rsidRPr="00F76F0A">
        <w:rPr>
          <w:rFonts w:ascii="Arial Narrow" w:hAnsi="Arial Narrow"/>
          <w:sz w:val="22"/>
          <w:szCs w:val="22"/>
        </w:rPr>
        <w:t>.</w:t>
      </w:r>
    </w:p>
    <w:p w:rsidR="009F6DFC" w:rsidRDefault="009F6DFC" w:rsidP="009F6DFC">
      <w:pPr>
        <w:jc w:val="both"/>
        <w:rPr>
          <w:rFonts w:ascii="Arial Narrow" w:hAnsi="Arial Narrow"/>
          <w:sz w:val="22"/>
          <w:szCs w:val="22"/>
        </w:rPr>
      </w:pPr>
    </w:p>
    <w:p w:rsidR="009F6DFC" w:rsidRDefault="009F6DFC" w:rsidP="009F6DFC">
      <w:pPr>
        <w:jc w:val="both"/>
        <w:rPr>
          <w:rFonts w:ascii="Arial Narrow" w:hAnsi="Arial Narrow"/>
          <w:sz w:val="22"/>
          <w:szCs w:val="22"/>
        </w:rPr>
      </w:pPr>
      <w:r>
        <w:rPr>
          <w:rFonts w:ascii="Arial Narrow" w:hAnsi="Arial Narrow"/>
          <w:sz w:val="22"/>
          <w:szCs w:val="22"/>
        </w:rPr>
        <w:t xml:space="preserve">El valor de $59.860 miles a cargo de </w:t>
      </w:r>
      <w:r w:rsidRPr="00200897">
        <w:rPr>
          <w:rFonts w:ascii="Arial Narrow" w:hAnsi="Arial Narrow"/>
          <w:sz w:val="22"/>
          <w:szCs w:val="22"/>
        </w:rPr>
        <w:t>Autopistas de Santander S.A.</w:t>
      </w:r>
      <w:r>
        <w:rPr>
          <w:rFonts w:ascii="Arial Narrow" w:hAnsi="Arial Narrow"/>
          <w:sz w:val="22"/>
          <w:szCs w:val="22"/>
        </w:rPr>
        <w:t xml:space="preserve"> corresponde a </w:t>
      </w:r>
      <w:r w:rsidR="00803B6E">
        <w:rPr>
          <w:rFonts w:ascii="Arial Narrow" w:hAnsi="Arial Narrow"/>
          <w:sz w:val="22"/>
          <w:szCs w:val="22"/>
        </w:rPr>
        <w:t xml:space="preserve">una </w:t>
      </w:r>
      <w:r>
        <w:rPr>
          <w:rFonts w:ascii="Arial Narrow" w:hAnsi="Arial Narrow"/>
          <w:sz w:val="22"/>
          <w:szCs w:val="22"/>
        </w:rPr>
        <w:t>acción judicial interpuesta por la Agencia.</w:t>
      </w:r>
      <w:r w:rsidR="007D6FE5">
        <w:rPr>
          <w:rFonts w:ascii="Arial Narrow" w:hAnsi="Arial Narrow"/>
          <w:sz w:val="22"/>
          <w:szCs w:val="22"/>
        </w:rPr>
        <w:t xml:space="preserve"> </w:t>
      </w:r>
      <w:r>
        <w:rPr>
          <w:rFonts w:ascii="Arial Narrow" w:hAnsi="Arial Narrow"/>
          <w:sz w:val="22"/>
          <w:szCs w:val="22"/>
        </w:rPr>
        <w:t xml:space="preserve">La disminución presentada en esta cuenta por valor de $8.465.126 miles obedeció a la declaración de </w:t>
      </w:r>
      <w:r w:rsidR="007D6FE5">
        <w:rPr>
          <w:rFonts w:ascii="Arial Narrow" w:hAnsi="Arial Narrow"/>
          <w:sz w:val="22"/>
          <w:szCs w:val="22"/>
        </w:rPr>
        <w:t>pérdida</w:t>
      </w:r>
      <w:r w:rsidR="00803B6E">
        <w:rPr>
          <w:rFonts w:ascii="Arial Narrow" w:hAnsi="Arial Narrow"/>
          <w:sz w:val="22"/>
          <w:szCs w:val="22"/>
        </w:rPr>
        <w:t xml:space="preserve"> de </w:t>
      </w:r>
      <w:r w:rsidR="00803B6E">
        <w:rPr>
          <w:rFonts w:ascii="Arial Narrow" w:hAnsi="Arial Narrow"/>
          <w:sz w:val="22"/>
          <w:szCs w:val="22"/>
        </w:rPr>
        <w:lastRenderedPageBreak/>
        <w:t>ejecutoriedad de las r</w:t>
      </w:r>
      <w:r>
        <w:rPr>
          <w:rFonts w:ascii="Arial Narrow" w:hAnsi="Arial Narrow"/>
          <w:sz w:val="22"/>
          <w:szCs w:val="22"/>
        </w:rPr>
        <w:t>esoluciones Nos 469, 617 y 618</w:t>
      </w:r>
      <w:r w:rsidR="00803B6E">
        <w:rPr>
          <w:rFonts w:ascii="Arial Narrow" w:hAnsi="Arial Narrow"/>
          <w:sz w:val="22"/>
          <w:szCs w:val="22"/>
        </w:rPr>
        <w:t>,</w:t>
      </w:r>
      <w:r>
        <w:rPr>
          <w:rFonts w:ascii="Arial Narrow" w:hAnsi="Arial Narrow"/>
          <w:sz w:val="22"/>
          <w:szCs w:val="22"/>
        </w:rPr>
        <w:t xml:space="preserve"> todas de 2011, proferidas con ocasión de </w:t>
      </w:r>
      <w:r w:rsidR="00803B6E">
        <w:rPr>
          <w:rFonts w:ascii="Arial Narrow" w:hAnsi="Arial Narrow"/>
          <w:sz w:val="22"/>
          <w:szCs w:val="22"/>
        </w:rPr>
        <w:t xml:space="preserve">un </w:t>
      </w:r>
      <w:r>
        <w:rPr>
          <w:rFonts w:ascii="Arial Narrow" w:hAnsi="Arial Narrow"/>
          <w:sz w:val="22"/>
          <w:szCs w:val="22"/>
        </w:rPr>
        <w:t>procedim</w:t>
      </w:r>
      <w:r w:rsidR="00803B6E">
        <w:rPr>
          <w:rFonts w:ascii="Arial Narrow" w:hAnsi="Arial Narrow"/>
          <w:sz w:val="22"/>
          <w:szCs w:val="22"/>
        </w:rPr>
        <w:t xml:space="preserve">iento sancionatorio respecto a </w:t>
      </w:r>
      <w:r>
        <w:rPr>
          <w:rFonts w:ascii="Arial Narrow" w:hAnsi="Arial Narrow"/>
          <w:sz w:val="22"/>
          <w:szCs w:val="22"/>
        </w:rPr>
        <w:t xml:space="preserve">la ejecución del contrato de concesión 003 de 2006 suscrito con Sociedad Desarrollo Vial de Nariño –DEVINAR, tal como lo declaró la Resolución 524 del 9 de marzo de 2015 expedida por la Agencia Nacional de Infraestructura. </w:t>
      </w:r>
    </w:p>
    <w:p w:rsidR="009F6DFC" w:rsidRDefault="009F6DFC" w:rsidP="009F6DFC">
      <w:pPr>
        <w:jc w:val="both"/>
        <w:rPr>
          <w:rFonts w:ascii="Arial Narrow" w:hAnsi="Arial Narrow"/>
          <w:sz w:val="22"/>
          <w:szCs w:val="22"/>
        </w:rPr>
      </w:pPr>
    </w:p>
    <w:p w:rsidR="009F6DFC" w:rsidRPr="00BE7E46" w:rsidRDefault="009F6DFC" w:rsidP="009F6DFC">
      <w:pPr>
        <w:jc w:val="both"/>
        <w:rPr>
          <w:rFonts w:ascii="Arial Narrow" w:hAnsi="Arial Narrow"/>
          <w:color w:val="00B050"/>
          <w:sz w:val="22"/>
          <w:szCs w:val="22"/>
        </w:rPr>
      </w:pPr>
      <w:r w:rsidRPr="00805D08">
        <w:rPr>
          <w:rFonts w:ascii="Arial Narrow" w:hAnsi="Arial Narrow"/>
          <w:sz w:val="22"/>
          <w:szCs w:val="22"/>
        </w:rPr>
        <w:t>El valor de $25.094.696 miles registrado en Otros intereses</w:t>
      </w:r>
      <w:r w:rsidR="00805D08" w:rsidRPr="00805D08">
        <w:rPr>
          <w:rFonts w:ascii="Arial Narrow" w:hAnsi="Arial Narrow"/>
          <w:sz w:val="22"/>
          <w:szCs w:val="22"/>
        </w:rPr>
        <w:t xml:space="preserve"> que se encuentra en el patrimonio autónomo </w:t>
      </w:r>
      <w:r w:rsidRPr="00805D08">
        <w:rPr>
          <w:rFonts w:ascii="Arial Narrow" w:hAnsi="Arial Narrow"/>
          <w:sz w:val="22"/>
          <w:szCs w:val="22"/>
        </w:rPr>
        <w:t>corresponde</w:t>
      </w:r>
      <w:r w:rsidR="00805D08" w:rsidRPr="00805D08">
        <w:rPr>
          <w:rFonts w:ascii="Arial Narrow" w:hAnsi="Arial Narrow"/>
          <w:sz w:val="22"/>
          <w:szCs w:val="22"/>
        </w:rPr>
        <w:t xml:space="preserve"> a los rendimientos financieros correspondiente a los recursos entregados a la concesión Red Férrea del Pacífico desde el inicio de la concesión y  equivale a </w:t>
      </w:r>
      <w:r w:rsidRPr="00805D08">
        <w:rPr>
          <w:rFonts w:ascii="Arial Narrow" w:hAnsi="Arial Narrow"/>
          <w:sz w:val="22"/>
          <w:szCs w:val="22"/>
        </w:rPr>
        <w:t>$7.654.008 miles</w:t>
      </w:r>
      <w:r w:rsidR="00805D08" w:rsidRPr="00805D08">
        <w:rPr>
          <w:rFonts w:ascii="Arial Narrow" w:hAnsi="Arial Narrow"/>
          <w:sz w:val="22"/>
          <w:szCs w:val="22"/>
        </w:rPr>
        <w:t xml:space="preserve">. </w:t>
      </w:r>
      <w:r w:rsidR="001C4AFE" w:rsidRPr="00805D08">
        <w:rPr>
          <w:rFonts w:ascii="Arial Narrow" w:hAnsi="Arial Narrow"/>
          <w:sz w:val="22"/>
          <w:szCs w:val="22"/>
        </w:rPr>
        <w:t xml:space="preserve">Se registran en esta subcuenta de acuerdo al concepto 20084-112515 de la CGN. </w:t>
      </w:r>
    </w:p>
    <w:p w:rsidR="001C4AFE" w:rsidRDefault="001C4AFE" w:rsidP="009F6DFC">
      <w:pPr>
        <w:jc w:val="both"/>
        <w:rPr>
          <w:rFonts w:ascii="Arial Narrow" w:hAnsi="Arial Narrow"/>
          <w:sz w:val="22"/>
          <w:szCs w:val="22"/>
        </w:rPr>
      </w:pPr>
    </w:p>
    <w:p w:rsidR="009F6DFC" w:rsidRDefault="009F6DFC" w:rsidP="009F6DFC">
      <w:pPr>
        <w:jc w:val="both"/>
        <w:rPr>
          <w:rFonts w:ascii="Arial Narrow" w:hAnsi="Arial Narrow"/>
          <w:sz w:val="22"/>
          <w:szCs w:val="22"/>
        </w:rPr>
      </w:pPr>
      <w:r>
        <w:rPr>
          <w:rFonts w:ascii="Arial Narrow" w:hAnsi="Arial Narrow"/>
          <w:sz w:val="22"/>
          <w:szCs w:val="22"/>
        </w:rPr>
        <w:t>El aumento presentado en esta cuenta respecto a la vigencia anterior por valor de $17.440.687 miles obedeció al reconocimiento de los</w:t>
      </w:r>
      <w:r w:rsidRPr="001A2AC2">
        <w:rPr>
          <w:rFonts w:ascii="Arial Narrow" w:hAnsi="Arial Narrow"/>
          <w:sz w:val="22"/>
          <w:szCs w:val="22"/>
        </w:rPr>
        <w:t xml:space="preserve"> rendimientos financieros generados correspondiente a los recursos entregados a</w:t>
      </w:r>
      <w:r w:rsidR="007D6FE5">
        <w:rPr>
          <w:rFonts w:ascii="Arial Narrow" w:hAnsi="Arial Narrow"/>
          <w:sz w:val="22"/>
          <w:szCs w:val="22"/>
        </w:rPr>
        <w:t xml:space="preserve"> </w:t>
      </w:r>
      <w:r w:rsidRPr="001A2AC2">
        <w:rPr>
          <w:rFonts w:ascii="Arial Narrow" w:hAnsi="Arial Narrow"/>
          <w:sz w:val="22"/>
          <w:szCs w:val="22"/>
        </w:rPr>
        <w:t>l</w:t>
      </w:r>
      <w:r w:rsidR="007D6FE5">
        <w:rPr>
          <w:rFonts w:ascii="Arial Narrow" w:hAnsi="Arial Narrow"/>
          <w:sz w:val="22"/>
          <w:szCs w:val="22"/>
        </w:rPr>
        <w:t>os</w:t>
      </w:r>
      <w:r w:rsidRPr="001A2AC2">
        <w:rPr>
          <w:rFonts w:ascii="Arial Narrow" w:hAnsi="Arial Narrow"/>
          <w:sz w:val="22"/>
          <w:szCs w:val="22"/>
        </w:rPr>
        <w:t xml:space="preserve"> concesionario</w:t>
      </w:r>
      <w:r w:rsidR="007D6FE5">
        <w:rPr>
          <w:rFonts w:ascii="Arial Narrow" w:hAnsi="Arial Narrow"/>
          <w:sz w:val="22"/>
          <w:szCs w:val="22"/>
        </w:rPr>
        <w:t>s,</w:t>
      </w:r>
      <w:r w:rsidRPr="001A2AC2">
        <w:rPr>
          <w:rFonts w:ascii="Arial Narrow" w:hAnsi="Arial Narrow"/>
          <w:sz w:val="22"/>
          <w:szCs w:val="22"/>
        </w:rPr>
        <w:t xml:space="preserve"> </w:t>
      </w:r>
      <w:r>
        <w:rPr>
          <w:rFonts w:ascii="Arial Narrow" w:hAnsi="Arial Narrow"/>
          <w:sz w:val="22"/>
          <w:szCs w:val="22"/>
        </w:rPr>
        <w:t xml:space="preserve">a los patrimonios autónomos </w:t>
      </w:r>
      <w:r w:rsidRPr="001A2AC2">
        <w:rPr>
          <w:rFonts w:ascii="Arial Narrow" w:hAnsi="Arial Narrow"/>
          <w:sz w:val="22"/>
          <w:szCs w:val="22"/>
        </w:rPr>
        <w:t xml:space="preserve">de las concesiones </w:t>
      </w:r>
      <w:r>
        <w:rPr>
          <w:rFonts w:ascii="Arial Narrow" w:hAnsi="Arial Narrow"/>
          <w:sz w:val="22"/>
          <w:szCs w:val="22"/>
        </w:rPr>
        <w:t xml:space="preserve">que fueron </w:t>
      </w:r>
      <w:r w:rsidRPr="001A2AC2">
        <w:rPr>
          <w:rFonts w:ascii="Arial Narrow" w:hAnsi="Arial Narrow"/>
          <w:sz w:val="22"/>
          <w:szCs w:val="22"/>
        </w:rPr>
        <w:t>adjudicadas en el 2015 bajo el esquema de Asociación, Público, Privada (APP)</w:t>
      </w:r>
      <w:r w:rsidR="001C4AFE">
        <w:rPr>
          <w:rFonts w:ascii="Arial Narrow" w:hAnsi="Arial Narrow"/>
          <w:sz w:val="22"/>
          <w:szCs w:val="22"/>
        </w:rPr>
        <w:t>.</w:t>
      </w:r>
    </w:p>
    <w:p w:rsidR="009F6DFC" w:rsidRDefault="009F6DFC" w:rsidP="009F6DFC">
      <w:pPr>
        <w:jc w:val="both"/>
        <w:rPr>
          <w:rFonts w:ascii="Arial Narrow" w:hAnsi="Arial Narrow"/>
          <w:sz w:val="22"/>
          <w:szCs w:val="22"/>
        </w:rPr>
      </w:pPr>
    </w:p>
    <w:p w:rsidR="009F6DFC" w:rsidRDefault="009F6DFC" w:rsidP="009F6DFC">
      <w:pPr>
        <w:jc w:val="both"/>
        <w:rPr>
          <w:rFonts w:ascii="Arial Narrow" w:hAnsi="Arial Narrow"/>
          <w:sz w:val="22"/>
          <w:szCs w:val="22"/>
        </w:rPr>
      </w:pPr>
      <w:r>
        <w:rPr>
          <w:rFonts w:ascii="Arial Narrow" w:hAnsi="Arial Narrow"/>
          <w:sz w:val="22"/>
          <w:szCs w:val="22"/>
        </w:rPr>
        <w:t xml:space="preserve">Igualmente al registro de los rendimientos generados de </w:t>
      </w:r>
      <w:r w:rsidR="00BE7E46">
        <w:rPr>
          <w:rFonts w:ascii="Arial Narrow" w:hAnsi="Arial Narrow"/>
          <w:sz w:val="22"/>
          <w:szCs w:val="22"/>
        </w:rPr>
        <w:t>los recursos depositados en la Cuenta Única N</w:t>
      </w:r>
      <w:r>
        <w:rPr>
          <w:rFonts w:ascii="Arial Narrow" w:hAnsi="Arial Narrow"/>
          <w:sz w:val="22"/>
          <w:szCs w:val="22"/>
        </w:rPr>
        <w:t xml:space="preserve">acional </w:t>
      </w:r>
      <w:r w:rsidR="00BE7E46">
        <w:rPr>
          <w:rFonts w:ascii="Arial Narrow" w:hAnsi="Arial Narrow"/>
          <w:sz w:val="22"/>
          <w:szCs w:val="22"/>
        </w:rPr>
        <w:t>-</w:t>
      </w:r>
      <w:r>
        <w:rPr>
          <w:rFonts w:ascii="Arial Narrow" w:hAnsi="Arial Narrow"/>
          <w:sz w:val="22"/>
          <w:szCs w:val="22"/>
        </w:rPr>
        <w:t>CUN a 31 de diciembre de 2015 por valor de $</w:t>
      </w:r>
      <w:r w:rsidRPr="000235F6">
        <w:rPr>
          <w:rFonts w:ascii="Arial Narrow" w:hAnsi="Arial Narrow"/>
          <w:sz w:val="22"/>
          <w:szCs w:val="22"/>
        </w:rPr>
        <w:t>2.772.554</w:t>
      </w:r>
      <w:r>
        <w:rPr>
          <w:rFonts w:ascii="Arial Narrow" w:hAnsi="Arial Narrow"/>
          <w:sz w:val="22"/>
          <w:szCs w:val="22"/>
        </w:rPr>
        <w:t xml:space="preserve"> miles, de acuerdo a los lineamientos establecidos por la Contaduría General de la Nación para el manejo contable de estos recursos. </w:t>
      </w:r>
    </w:p>
    <w:p w:rsidR="009F6DFC" w:rsidRDefault="009F6DFC" w:rsidP="009F6DFC">
      <w:pPr>
        <w:jc w:val="both"/>
        <w:rPr>
          <w:rFonts w:ascii="Arial Narrow" w:hAnsi="Arial Narrow"/>
          <w:sz w:val="22"/>
          <w:szCs w:val="22"/>
        </w:rPr>
      </w:pPr>
    </w:p>
    <w:p w:rsidR="009F6DFC" w:rsidRDefault="009F6DFC" w:rsidP="009F6DFC">
      <w:pPr>
        <w:jc w:val="both"/>
        <w:rPr>
          <w:rFonts w:ascii="Arial Narrow" w:hAnsi="Arial Narrow"/>
          <w:sz w:val="22"/>
          <w:szCs w:val="22"/>
        </w:rPr>
      </w:pPr>
      <w:r>
        <w:rPr>
          <w:rFonts w:ascii="Arial Narrow" w:hAnsi="Arial Narrow"/>
          <w:sz w:val="22"/>
          <w:szCs w:val="22"/>
        </w:rPr>
        <w:t>El detalle de las variaciones es el siguiente:</w:t>
      </w:r>
    </w:p>
    <w:p w:rsidR="009F6DFC" w:rsidRDefault="009F6DFC" w:rsidP="009F6DFC">
      <w:pPr>
        <w:jc w:val="both"/>
        <w:rPr>
          <w:rFonts w:ascii="Arial Narrow" w:hAnsi="Arial Narrow"/>
          <w:sz w:val="22"/>
          <w:szCs w:val="22"/>
        </w:rPr>
      </w:pPr>
    </w:p>
    <w:p w:rsidR="009F6DFC" w:rsidRDefault="009F6DFC" w:rsidP="009F6DFC">
      <w:pPr>
        <w:jc w:val="center"/>
        <w:rPr>
          <w:rFonts w:ascii="Arial Narrow" w:hAnsi="Arial Narrow"/>
          <w:sz w:val="22"/>
          <w:szCs w:val="22"/>
        </w:rPr>
      </w:pPr>
      <w:r w:rsidRPr="00DC31D3">
        <w:rPr>
          <w:noProof/>
          <w:lang w:val="es-CO" w:eastAsia="es-CO"/>
        </w:rPr>
        <w:drawing>
          <wp:inline distT="0" distB="0" distL="0" distR="0">
            <wp:extent cx="4969566" cy="4078605"/>
            <wp:effectExtent l="0" t="0" r="2540" b="0"/>
            <wp:docPr id="1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9606" cy="4119673"/>
                    </a:xfrm>
                    <a:prstGeom prst="rect">
                      <a:avLst/>
                    </a:prstGeom>
                    <a:noFill/>
                    <a:ln>
                      <a:noFill/>
                    </a:ln>
                  </pic:spPr>
                </pic:pic>
              </a:graphicData>
            </a:graphic>
          </wp:inline>
        </w:drawing>
      </w:r>
    </w:p>
    <w:p w:rsidR="009F6DFC" w:rsidRDefault="009F6DFC" w:rsidP="009F6DFC">
      <w:pPr>
        <w:jc w:val="center"/>
        <w:rPr>
          <w:rFonts w:ascii="Arial Narrow" w:hAnsi="Arial Narrow"/>
          <w:sz w:val="22"/>
          <w:szCs w:val="22"/>
        </w:rPr>
      </w:pPr>
    </w:p>
    <w:p w:rsidR="009F6DFC" w:rsidRDefault="009F6DFC" w:rsidP="009F6DFC">
      <w:pPr>
        <w:jc w:val="both"/>
        <w:rPr>
          <w:rFonts w:ascii="Arial Narrow" w:hAnsi="Arial Narrow" w:cs="Gisha"/>
          <w:sz w:val="22"/>
          <w:szCs w:val="22"/>
        </w:rPr>
      </w:pPr>
      <w:r>
        <w:rPr>
          <w:rFonts w:ascii="Arial Narrow" w:hAnsi="Arial Narrow"/>
          <w:sz w:val="22"/>
          <w:szCs w:val="22"/>
        </w:rPr>
        <w:t>El valor de $</w:t>
      </w:r>
      <w:r w:rsidRPr="00751445">
        <w:t xml:space="preserve"> </w:t>
      </w:r>
      <w:r w:rsidRPr="00751445">
        <w:rPr>
          <w:rFonts w:ascii="Arial Narrow" w:hAnsi="Arial Narrow"/>
          <w:sz w:val="22"/>
          <w:szCs w:val="22"/>
        </w:rPr>
        <w:t>669.859</w:t>
      </w:r>
      <w:r>
        <w:rPr>
          <w:rFonts w:ascii="Arial Narrow" w:hAnsi="Arial Narrow"/>
          <w:sz w:val="22"/>
          <w:szCs w:val="22"/>
        </w:rPr>
        <w:t xml:space="preserve"> miles de </w:t>
      </w:r>
      <w:r w:rsidRPr="001A2AC2">
        <w:rPr>
          <w:rFonts w:ascii="Arial Narrow" w:hAnsi="Arial Narrow"/>
          <w:sz w:val="22"/>
          <w:szCs w:val="22"/>
        </w:rPr>
        <w:t>la cuenta Otros Deudores</w:t>
      </w:r>
      <w:r>
        <w:rPr>
          <w:rFonts w:ascii="Arial Narrow" w:hAnsi="Arial Narrow"/>
          <w:sz w:val="22"/>
          <w:szCs w:val="22"/>
        </w:rPr>
        <w:t xml:space="preserve">, corresponde a las </w:t>
      </w:r>
      <w:r w:rsidRPr="001A2AC2">
        <w:rPr>
          <w:rFonts w:ascii="Arial Narrow" w:hAnsi="Arial Narrow"/>
          <w:sz w:val="22"/>
          <w:szCs w:val="22"/>
        </w:rPr>
        <w:t xml:space="preserve">cuentas por cobrar </w:t>
      </w:r>
      <w:r>
        <w:rPr>
          <w:rFonts w:ascii="Arial Narrow" w:hAnsi="Arial Narrow" w:cs="Gisha"/>
          <w:sz w:val="22"/>
          <w:szCs w:val="22"/>
        </w:rPr>
        <w:t xml:space="preserve">del pago efectuado </w:t>
      </w:r>
      <w:r w:rsidRPr="001A2AC2">
        <w:rPr>
          <w:rFonts w:ascii="Arial Narrow" w:hAnsi="Arial Narrow" w:cs="Gisha"/>
          <w:sz w:val="22"/>
          <w:szCs w:val="22"/>
        </w:rPr>
        <w:t xml:space="preserve">al Presidente del Tribunal de Arbitramento constituido para dirimir las controversias entre la Concesión Bogotá- Girardot y la </w:t>
      </w:r>
      <w:r w:rsidRPr="001A2AC2">
        <w:rPr>
          <w:rFonts w:ascii="Arial Narrow" w:hAnsi="Arial Narrow" w:cs="Gisha"/>
          <w:sz w:val="22"/>
          <w:szCs w:val="22"/>
        </w:rPr>
        <w:lastRenderedPageBreak/>
        <w:t xml:space="preserve">Entidad </w:t>
      </w:r>
      <w:r>
        <w:rPr>
          <w:rFonts w:ascii="Arial Narrow" w:hAnsi="Arial Narrow" w:cs="Gisha"/>
          <w:sz w:val="22"/>
          <w:szCs w:val="22"/>
        </w:rPr>
        <w:t>de acuerdo</w:t>
      </w:r>
      <w:r w:rsidR="007D6FE5">
        <w:rPr>
          <w:rFonts w:ascii="Arial Narrow" w:hAnsi="Arial Narrow" w:cs="Gisha"/>
          <w:sz w:val="22"/>
          <w:szCs w:val="22"/>
        </w:rPr>
        <w:t xml:space="preserve"> al </w:t>
      </w:r>
      <w:r>
        <w:rPr>
          <w:rFonts w:ascii="Arial Narrow" w:hAnsi="Arial Narrow" w:cs="Gisha"/>
          <w:sz w:val="22"/>
          <w:szCs w:val="22"/>
        </w:rPr>
        <w:t xml:space="preserve"> Acta No. 9 del</w:t>
      </w:r>
      <w:r w:rsidRPr="001A2AC2">
        <w:rPr>
          <w:rFonts w:ascii="Arial Narrow" w:hAnsi="Arial Narrow" w:cs="Gisha"/>
          <w:sz w:val="22"/>
          <w:szCs w:val="22"/>
        </w:rPr>
        <w:t xml:space="preserve"> Tribunal</w:t>
      </w:r>
      <w:r w:rsidRPr="00751445">
        <w:rPr>
          <w:rFonts w:ascii="Arial Narrow" w:hAnsi="Arial Narrow" w:cs="Gisha"/>
          <w:sz w:val="22"/>
          <w:szCs w:val="22"/>
        </w:rPr>
        <w:t xml:space="preserve"> </w:t>
      </w:r>
      <w:r w:rsidRPr="001A2AC2">
        <w:rPr>
          <w:rFonts w:ascii="Arial Narrow" w:hAnsi="Arial Narrow" w:cs="Gisha"/>
          <w:sz w:val="22"/>
          <w:szCs w:val="22"/>
        </w:rPr>
        <w:t>por concepto de retenciones realizadas</w:t>
      </w:r>
      <w:r>
        <w:rPr>
          <w:rFonts w:ascii="Arial Narrow" w:hAnsi="Arial Narrow" w:cs="Gisha"/>
          <w:sz w:val="22"/>
          <w:szCs w:val="22"/>
        </w:rPr>
        <w:t xml:space="preserve"> a cargo de </w:t>
      </w:r>
      <w:r w:rsidRPr="001A2AC2">
        <w:rPr>
          <w:rFonts w:ascii="Arial Narrow" w:hAnsi="Arial Narrow" w:cs="Gisha"/>
          <w:sz w:val="22"/>
          <w:szCs w:val="22"/>
        </w:rPr>
        <w:t>la Dirección de Impuestos y Aduanas Nacionales y Secretaria de Hacienda de Bogotá D.C. Así mismo se registra la cuenta por cobrar por concepto de arrendamientos de bodegas y usos de vías del Consorcio Dracol Líneas Férreas y la Unión Temporal Ferroviaria Central.</w:t>
      </w:r>
    </w:p>
    <w:p w:rsidR="009F6DFC" w:rsidRDefault="009F6DFC" w:rsidP="009F6DFC">
      <w:pPr>
        <w:jc w:val="both"/>
        <w:rPr>
          <w:rFonts w:ascii="Arial Narrow" w:hAnsi="Arial Narrow" w:cs="Gisha"/>
          <w:sz w:val="22"/>
          <w:szCs w:val="22"/>
        </w:rPr>
      </w:pPr>
    </w:p>
    <w:p w:rsidR="00805D08" w:rsidRDefault="00805D08" w:rsidP="00805D08">
      <w:pPr>
        <w:jc w:val="both"/>
        <w:rPr>
          <w:rFonts w:ascii="Arial Narrow" w:hAnsi="Arial Narrow"/>
          <w:sz w:val="22"/>
          <w:szCs w:val="22"/>
        </w:rPr>
      </w:pPr>
      <w:r w:rsidRPr="00805D08">
        <w:rPr>
          <w:rFonts w:ascii="Arial Narrow" w:hAnsi="Arial Narrow" w:cs="Gisha"/>
          <w:sz w:val="22"/>
          <w:szCs w:val="22"/>
        </w:rPr>
        <w:t xml:space="preserve">Las partidas más significativas de esta cuenta corresponden al pago  por valor de $282.538 miles efectuado por la Agencia Nacional de Infraestructura, como consecuencia de una sentencia judicial en la que le condenó solidariamente junto con el Hospital Santa Catalina El Cairo. </w:t>
      </w:r>
      <w:r w:rsidRPr="00805D08">
        <w:rPr>
          <w:rFonts w:ascii="Arial Narrow" w:hAnsi="Arial Narrow"/>
          <w:sz w:val="22"/>
          <w:szCs w:val="22"/>
        </w:rPr>
        <w:t>Mediante Oficio ANI 20167010017791 de 27 de enero de 2016 la Agencia Nacional de Infraestructura le solicitó a la E.S.E. Hospital Santa Catalina El Cairo el reembolso del pago respecto del porcentaje que le corresponde a dicho hospital.</w:t>
      </w:r>
      <w:r>
        <w:rPr>
          <w:rFonts w:ascii="Arial Narrow" w:hAnsi="Arial Narrow"/>
          <w:sz w:val="22"/>
          <w:szCs w:val="22"/>
        </w:rPr>
        <w:t xml:space="preserve"> </w:t>
      </w:r>
    </w:p>
    <w:p w:rsidR="00805D08" w:rsidRDefault="00805D08" w:rsidP="00EE67B0">
      <w:pPr>
        <w:jc w:val="both"/>
        <w:rPr>
          <w:rFonts w:ascii="Arial Narrow" w:hAnsi="Arial Narrow" w:cs="Gisha"/>
          <w:color w:val="00B050"/>
          <w:sz w:val="22"/>
          <w:szCs w:val="22"/>
        </w:rPr>
      </w:pPr>
    </w:p>
    <w:p w:rsidR="00805D08" w:rsidRPr="007E5157" w:rsidRDefault="007E5157" w:rsidP="00EE67B0">
      <w:pPr>
        <w:jc w:val="both"/>
        <w:rPr>
          <w:rFonts w:ascii="Arial Narrow" w:hAnsi="Arial Narrow" w:cs="Gisha"/>
          <w:sz w:val="22"/>
          <w:szCs w:val="22"/>
        </w:rPr>
      </w:pPr>
      <w:r w:rsidRPr="007E5157">
        <w:rPr>
          <w:rFonts w:ascii="Arial Narrow" w:hAnsi="Arial Narrow" w:cs="Gisha"/>
          <w:sz w:val="22"/>
          <w:szCs w:val="22"/>
        </w:rPr>
        <w:t xml:space="preserve">Igual situación ocurrió </w:t>
      </w:r>
      <w:r>
        <w:rPr>
          <w:rFonts w:ascii="Arial Narrow" w:hAnsi="Arial Narrow" w:cs="Gisha"/>
          <w:sz w:val="22"/>
          <w:szCs w:val="22"/>
        </w:rPr>
        <w:t xml:space="preserve">respecto del </w:t>
      </w:r>
      <w:r w:rsidRPr="007E5157">
        <w:rPr>
          <w:rFonts w:ascii="Arial Narrow" w:hAnsi="Arial Narrow" w:cs="Gisha"/>
          <w:sz w:val="22"/>
          <w:szCs w:val="22"/>
        </w:rPr>
        <w:t>pago de la suma de $54.262 miles</w:t>
      </w:r>
      <w:r>
        <w:rPr>
          <w:rFonts w:ascii="Arial Narrow" w:hAnsi="Arial Narrow" w:cs="Gisha"/>
          <w:sz w:val="22"/>
          <w:szCs w:val="22"/>
        </w:rPr>
        <w:t xml:space="preserve"> </w:t>
      </w:r>
      <w:r w:rsidRPr="00805D08">
        <w:rPr>
          <w:rFonts w:ascii="Arial Narrow" w:hAnsi="Arial Narrow" w:cs="Gisha"/>
          <w:sz w:val="22"/>
          <w:szCs w:val="22"/>
        </w:rPr>
        <w:t>efectuado por la Agencia Nacional de Infraestructura</w:t>
      </w:r>
      <w:r>
        <w:rPr>
          <w:rFonts w:ascii="Arial Narrow" w:hAnsi="Arial Narrow" w:cs="Gisha"/>
          <w:sz w:val="22"/>
          <w:szCs w:val="22"/>
        </w:rPr>
        <w:t>,</w:t>
      </w:r>
      <w:r w:rsidRPr="007E5157">
        <w:rPr>
          <w:rFonts w:ascii="Arial Narrow" w:hAnsi="Arial Narrow" w:cs="Gisha"/>
          <w:sz w:val="22"/>
          <w:szCs w:val="22"/>
        </w:rPr>
        <w:t xml:space="preserve"> como consecuencia de una sentencia judicial en la que se </w:t>
      </w:r>
      <w:r w:rsidR="009731C5">
        <w:rPr>
          <w:rFonts w:ascii="Arial Narrow" w:hAnsi="Arial Narrow" w:cs="Gisha"/>
          <w:sz w:val="22"/>
          <w:szCs w:val="22"/>
        </w:rPr>
        <w:t xml:space="preserve">le </w:t>
      </w:r>
      <w:r w:rsidRPr="007E5157">
        <w:rPr>
          <w:rFonts w:ascii="Arial Narrow" w:hAnsi="Arial Narrow" w:cs="Gisha"/>
          <w:sz w:val="22"/>
          <w:szCs w:val="22"/>
        </w:rPr>
        <w:t>condenó solidariamente junto con  el concesionario Autopista de Santander</w:t>
      </w:r>
      <w:r>
        <w:rPr>
          <w:rFonts w:ascii="Arial Narrow" w:hAnsi="Arial Narrow" w:cs="Gisha"/>
          <w:sz w:val="22"/>
          <w:szCs w:val="22"/>
        </w:rPr>
        <w:t xml:space="preserve"> </w:t>
      </w:r>
      <w:r w:rsidR="00805D08" w:rsidRPr="007E5157">
        <w:rPr>
          <w:rFonts w:ascii="Arial Narrow" w:hAnsi="Arial Narrow" w:cs="Gisha"/>
          <w:sz w:val="22"/>
          <w:szCs w:val="22"/>
        </w:rPr>
        <w:t>S.A</w:t>
      </w:r>
      <w:r w:rsidR="00805D08" w:rsidRPr="00BE7E46">
        <w:rPr>
          <w:rFonts w:ascii="Arial Narrow" w:hAnsi="Arial Narrow" w:cs="Gisha"/>
          <w:color w:val="00B050"/>
          <w:sz w:val="22"/>
          <w:szCs w:val="22"/>
        </w:rPr>
        <w:t>.</w:t>
      </w:r>
    </w:p>
    <w:p w:rsidR="00805D08" w:rsidRDefault="00805D08" w:rsidP="00EE67B0">
      <w:pPr>
        <w:jc w:val="both"/>
        <w:rPr>
          <w:rFonts w:ascii="Arial Narrow" w:hAnsi="Arial Narrow" w:cs="Gisha"/>
          <w:color w:val="00B050"/>
          <w:sz w:val="22"/>
          <w:szCs w:val="22"/>
        </w:rPr>
      </w:pPr>
    </w:p>
    <w:p w:rsidR="00805D08" w:rsidRDefault="00805D08" w:rsidP="00EE67B0">
      <w:pPr>
        <w:jc w:val="both"/>
        <w:rPr>
          <w:rFonts w:ascii="Arial Narrow" w:hAnsi="Arial Narrow" w:cs="Gisha"/>
          <w:color w:val="00B050"/>
          <w:sz w:val="22"/>
          <w:szCs w:val="22"/>
        </w:rPr>
      </w:pPr>
    </w:p>
    <w:p w:rsidR="009F6DFC" w:rsidRPr="001A2AC2" w:rsidRDefault="009F6DFC" w:rsidP="009F6DFC">
      <w:pPr>
        <w:pStyle w:val="Ttulo4"/>
        <w:rPr>
          <w:rFonts w:ascii="Arial Narrow" w:hAnsi="Arial Narrow" w:cs="Gisha"/>
          <w:color w:val="auto"/>
          <w:sz w:val="22"/>
          <w:szCs w:val="22"/>
          <w:lang w:val="es-ES"/>
        </w:rPr>
      </w:pPr>
      <w:r w:rsidRPr="001A2AC2">
        <w:rPr>
          <w:rFonts w:ascii="Arial Narrow" w:hAnsi="Arial Narrow" w:cs="Gisha"/>
          <w:color w:val="auto"/>
          <w:sz w:val="22"/>
          <w:szCs w:val="22"/>
          <w:lang w:val="es-ES"/>
        </w:rPr>
        <w:t xml:space="preserve">NOTA </w:t>
      </w:r>
      <w:r w:rsidR="001F5A53">
        <w:rPr>
          <w:rFonts w:ascii="Arial Narrow" w:hAnsi="Arial Narrow" w:cs="Gisha"/>
          <w:color w:val="auto"/>
          <w:sz w:val="22"/>
          <w:szCs w:val="22"/>
          <w:lang w:val="es-ES"/>
        </w:rPr>
        <w:t>3</w:t>
      </w:r>
      <w:r w:rsidRPr="001A2AC2">
        <w:rPr>
          <w:rFonts w:ascii="Arial Narrow" w:hAnsi="Arial Narrow" w:cs="Gisha"/>
          <w:color w:val="auto"/>
          <w:sz w:val="22"/>
          <w:szCs w:val="22"/>
          <w:lang w:val="es-ES"/>
        </w:rPr>
        <w:t>.   PROPIEDADES, PLANTA Y EQUIPO</w:t>
      </w:r>
    </w:p>
    <w:p w:rsidR="009F6DFC" w:rsidRPr="001A2AC2" w:rsidRDefault="009F6DFC" w:rsidP="009F6DFC">
      <w:pPr>
        <w:jc w:val="both"/>
        <w:rPr>
          <w:rFonts w:ascii="Arial Narrow" w:hAnsi="Arial Narrow" w:cs="Gisha"/>
          <w:sz w:val="22"/>
          <w:szCs w:val="22"/>
        </w:rPr>
      </w:pPr>
    </w:p>
    <w:p w:rsidR="009F6DFC" w:rsidRDefault="009F6DFC" w:rsidP="009F6DFC">
      <w:pPr>
        <w:pStyle w:val="Textoindependiente"/>
        <w:rPr>
          <w:rFonts w:ascii="Arial Narrow" w:hAnsi="Arial Narrow" w:cs="Gisha"/>
          <w:b w:val="0"/>
          <w:bCs w:val="0"/>
          <w:i w:val="0"/>
          <w:iCs w:val="0"/>
          <w:vanish w:val="0"/>
          <w:color w:val="auto"/>
          <w:sz w:val="22"/>
          <w:szCs w:val="22"/>
          <w:u w:val="none"/>
          <w:lang w:val="es-ES"/>
        </w:rPr>
      </w:pPr>
      <w:r w:rsidRPr="0018721D">
        <w:rPr>
          <w:rFonts w:ascii="Arial Narrow" w:hAnsi="Arial Narrow" w:cs="Gisha"/>
          <w:b w:val="0"/>
          <w:bCs w:val="0"/>
          <w:i w:val="0"/>
          <w:iCs w:val="0"/>
          <w:vanish w:val="0"/>
          <w:color w:val="auto"/>
          <w:sz w:val="22"/>
          <w:szCs w:val="22"/>
          <w:u w:val="none"/>
          <w:lang w:val="es-ES"/>
        </w:rPr>
        <w:t>A 31 de diciembre de 201</w:t>
      </w:r>
      <w:r>
        <w:rPr>
          <w:rFonts w:ascii="Arial Narrow" w:hAnsi="Arial Narrow" w:cs="Gisha"/>
          <w:b w:val="0"/>
          <w:bCs w:val="0"/>
          <w:i w:val="0"/>
          <w:iCs w:val="0"/>
          <w:vanish w:val="0"/>
          <w:color w:val="auto"/>
          <w:sz w:val="22"/>
          <w:szCs w:val="22"/>
          <w:u w:val="none"/>
          <w:lang w:val="es-ES"/>
        </w:rPr>
        <w:t>5</w:t>
      </w:r>
      <w:r w:rsidRPr="0018721D">
        <w:rPr>
          <w:rFonts w:ascii="Arial Narrow" w:hAnsi="Arial Narrow" w:cs="Gisha"/>
          <w:b w:val="0"/>
          <w:bCs w:val="0"/>
          <w:i w:val="0"/>
          <w:iCs w:val="0"/>
          <w:vanish w:val="0"/>
          <w:color w:val="auto"/>
          <w:sz w:val="22"/>
          <w:szCs w:val="22"/>
          <w:u w:val="none"/>
          <w:lang w:val="es-ES"/>
        </w:rPr>
        <w:t xml:space="preserve"> la Cuenta Propiedad</w:t>
      </w:r>
      <w:r>
        <w:rPr>
          <w:rFonts w:ascii="Arial Narrow" w:hAnsi="Arial Narrow" w:cs="Gisha"/>
          <w:b w:val="0"/>
          <w:bCs w:val="0"/>
          <w:i w:val="0"/>
          <w:iCs w:val="0"/>
          <w:vanish w:val="0"/>
          <w:color w:val="auto"/>
          <w:sz w:val="22"/>
          <w:szCs w:val="22"/>
          <w:u w:val="none"/>
          <w:lang w:val="es-ES"/>
        </w:rPr>
        <w:t>es</w:t>
      </w:r>
      <w:r w:rsidRPr="0018721D">
        <w:rPr>
          <w:rFonts w:ascii="Arial Narrow" w:hAnsi="Arial Narrow" w:cs="Gisha"/>
          <w:b w:val="0"/>
          <w:bCs w:val="0"/>
          <w:i w:val="0"/>
          <w:iCs w:val="0"/>
          <w:vanish w:val="0"/>
          <w:color w:val="auto"/>
          <w:sz w:val="22"/>
          <w:szCs w:val="22"/>
          <w:u w:val="none"/>
          <w:lang w:val="es-ES"/>
        </w:rPr>
        <w:t xml:space="preserve"> Planta y Equipo presenta un saldo de $</w:t>
      </w:r>
      <w:r w:rsidRPr="00C55CC0">
        <w:t xml:space="preserve"> </w:t>
      </w:r>
      <w:r w:rsidRPr="00C55CC0">
        <w:rPr>
          <w:rFonts w:ascii="Arial Narrow" w:hAnsi="Arial Narrow" w:cs="Gisha"/>
          <w:b w:val="0"/>
          <w:bCs w:val="0"/>
          <w:i w:val="0"/>
          <w:iCs w:val="0"/>
          <w:vanish w:val="0"/>
          <w:color w:val="auto"/>
          <w:sz w:val="22"/>
          <w:szCs w:val="22"/>
          <w:u w:val="none"/>
          <w:lang w:val="es-ES"/>
        </w:rPr>
        <w:t>8.463.896</w:t>
      </w:r>
      <w:r w:rsidRPr="0018721D">
        <w:rPr>
          <w:rFonts w:ascii="Arial Narrow" w:hAnsi="Arial Narrow" w:cs="Gisha"/>
          <w:b w:val="0"/>
          <w:bCs w:val="0"/>
          <w:i w:val="0"/>
          <w:iCs w:val="0"/>
          <w:vanish w:val="0"/>
          <w:color w:val="auto"/>
          <w:sz w:val="22"/>
          <w:szCs w:val="22"/>
          <w:u w:val="none"/>
          <w:lang w:val="es-ES"/>
        </w:rPr>
        <w:t xml:space="preserve"> miles</w:t>
      </w:r>
      <w:r>
        <w:rPr>
          <w:rFonts w:ascii="Arial Narrow" w:hAnsi="Arial Narrow" w:cs="Gisha"/>
          <w:b w:val="0"/>
          <w:bCs w:val="0"/>
          <w:i w:val="0"/>
          <w:iCs w:val="0"/>
          <w:vanish w:val="0"/>
          <w:color w:val="auto"/>
          <w:sz w:val="22"/>
          <w:szCs w:val="22"/>
          <w:u w:val="none"/>
          <w:lang w:val="es-ES"/>
        </w:rPr>
        <w:t xml:space="preserve"> incluida la depreciación acumulada y provisiones,</w:t>
      </w:r>
      <w:r w:rsidRPr="0018721D">
        <w:rPr>
          <w:rFonts w:ascii="Arial Narrow" w:hAnsi="Arial Narrow" w:cs="Gisha"/>
          <w:b w:val="0"/>
          <w:bCs w:val="0"/>
          <w:i w:val="0"/>
          <w:iCs w:val="0"/>
          <w:vanish w:val="0"/>
          <w:color w:val="auto"/>
          <w:sz w:val="22"/>
          <w:szCs w:val="22"/>
          <w:u w:val="none"/>
          <w:lang w:val="es-ES"/>
        </w:rPr>
        <w:t xml:space="preserve"> correspondiente a los bienes muebles de propiedad de</w:t>
      </w:r>
      <w:r>
        <w:rPr>
          <w:rFonts w:ascii="Arial Narrow" w:hAnsi="Arial Narrow" w:cs="Gisha"/>
          <w:b w:val="0"/>
          <w:bCs w:val="0"/>
          <w:i w:val="0"/>
          <w:iCs w:val="0"/>
          <w:vanish w:val="0"/>
          <w:color w:val="auto"/>
          <w:sz w:val="22"/>
          <w:szCs w:val="22"/>
          <w:u w:val="none"/>
          <w:lang w:val="es-ES"/>
        </w:rPr>
        <w:t xml:space="preserve"> </w:t>
      </w:r>
      <w:r w:rsidRPr="0018721D">
        <w:rPr>
          <w:rFonts w:ascii="Arial Narrow" w:hAnsi="Arial Narrow" w:cs="Gisha"/>
          <w:b w:val="0"/>
          <w:bCs w:val="0"/>
          <w:i w:val="0"/>
          <w:iCs w:val="0"/>
          <w:vanish w:val="0"/>
          <w:color w:val="auto"/>
          <w:sz w:val="22"/>
          <w:szCs w:val="22"/>
          <w:u w:val="none"/>
          <w:lang w:val="es-ES"/>
        </w:rPr>
        <w:t>l</w:t>
      </w:r>
      <w:r>
        <w:rPr>
          <w:rFonts w:ascii="Arial Narrow" w:hAnsi="Arial Narrow" w:cs="Gisha"/>
          <w:b w:val="0"/>
          <w:bCs w:val="0"/>
          <w:i w:val="0"/>
          <w:iCs w:val="0"/>
          <w:vanish w:val="0"/>
          <w:color w:val="auto"/>
          <w:sz w:val="22"/>
          <w:szCs w:val="22"/>
          <w:u w:val="none"/>
          <w:lang w:val="es-ES"/>
        </w:rPr>
        <w:t>a</w:t>
      </w:r>
      <w:r w:rsidRPr="0018721D">
        <w:rPr>
          <w:rFonts w:ascii="Arial Narrow" w:hAnsi="Arial Narrow" w:cs="Gisha"/>
          <w:b w:val="0"/>
          <w:bCs w:val="0"/>
          <w:i w:val="0"/>
          <w:iCs w:val="0"/>
          <w:vanish w:val="0"/>
          <w:color w:val="auto"/>
          <w:sz w:val="22"/>
          <w:szCs w:val="22"/>
          <w:u w:val="none"/>
          <w:lang w:val="es-ES"/>
        </w:rPr>
        <w:t xml:space="preserve"> </w:t>
      </w:r>
      <w:r>
        <w:rPr>
          <w:rFonts w:ascii="Arial Narrow" w:hAnsi="Arial Narrow" w:cs="Gisha"/>
          <w:b w:val="0"/>
          <w:bCs w:val="0"/>
          <w:i w:val="0"/>
          <w:iCs w:val="0"/>
          <w:vanish w:val="0"/>
          <w:color w:val="auto"/>
          <w:sz w:val="22"/>
          <w:szCs w:val="22"/>
          <w:u w:val="none"/>
          <w:lang w:val="es-ES"/>
        </w:rPr>
        <w:t>Agencia</w:t>
      </w:r>
      <w:r w:rsidRPr="0018721D">
        <w:rPr>
          <w:rFonts w:ascii="Arial Narrow" w:hAnsi="Arial Narrow" w:cs="Gisha"/>
          <w:b w:val="0"/>
          <w:bCs w:val="0"/>
          <w:i w:val="0"/>
          <w:iCs w:val="0"/>
          <w:vanish w:val="0"/>
          <w:color w:val="auto"/>
          <w:sz w:val="22"/>
          <w:szCs w:val="22"/>
          <w:u w:val="none"/>
          <w:lang w:val="es-ES"/>
        </w:rPr>
        <w:t>, los cuales se detallan a continuación de acuerdo a su clasificación:</w:t>
      </w:r>
    </w:p>
    <w:p w:rsidR="009F6DFC" w:rsidRDefault="009F6DFC" w:rsidP="009F6DFC">
      <w:pPr>
        <w:pStyle w:val="Textoindependiente"/>
        <w:rPr>
          <w:rFonts w:ascii="Arial Narrow" w:hAnsi="Arial Narrow" w:cs="Gisha"/>
          <w:b w:val="0"/>
          <w:bCs w:val="0"/>
          <w:i w:val="0"/>
          <w:iCs w:val="0"/>
          <w:vanish w:val="0"/>
          <w:color w:val="auto"/>
          <w:sz w:val="22"/>
          <w:szCs w:val="22"/>
          <w:u w:val="none"/>
          <w:lang w:val="es-ES"/>
        </w:rPr>
      </w:pPr>
    </w:p>
    <w:p w:rsidR="009F6DFC" w:rsidRPr="001A2AC2" w:rsidRDefault="009F6DFC" w:rsidP="009F6DFC">
      <w:pPr>
        <w:jc w:val="center"/>
        <w:rPr>
          <w:rFonts w:ascii="Arial Narrow" w:hAnsi="Arial Narrow" w:cs="Gisha"/>
          <w:b/>
          <w:bCs/>
          <w:sz w:val="22"/>
          <w:szCs w:val="22"/>
        </w:rPr>
      </w:pPr>
      <w:r w:rsidRPr="008201BB">
        <w:rPr>
          <w:noProof/>
          <w:lang w:val="es-CO" w:eastAsia="es-CO"/>
        </w:rPr>
        <w:drawing>
          <wp:inline distT="0" distB="0" distL="0" distR="0">
            <wp:extent cx="5168265" cy="2711450"/>
            <wp:effectExtent l="0" t="0" r="0" b="0"/>
            <wp:docPr id="18"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68265" cy="2711450"/>
                    </a:xfrm>
                    <a:prstGeom prst="rect">
                      <a:avLst/>
                    </a:prstGeom>
                    <a:noFill/>
                    <a:ln>
                      <a:noFill/>
                    </a:ln>
                  </pic:spPr>
                </pic:pic>
              </a:graphicData>
            </a:graphic>
          </wp:inline>
        </w:drawing>
      </w:r>
    </w:p>
    <w:p w:rsidR="009F6DFC" w:rsidRDefault="009F6DFC" w:rsidP="009F6DFC">
      <w:pPr>
        <w:jc w:val="center"/>
        <w:rPr>
          <w:rFonts w:ascii="Arial Narrow" w:hAnsi="Arial Narrow"/>
          <w:noProof/>
          <w:sz w:val="22"/>
          <w:szCs w:val="22"/>
          <w:lang w:val="es-CO" w:eastAsia="es-CO"/>
        </w:rPr>
      </w:pPr>
    </w:p>
    <w:p w:rsidR="009F6DFC" w:rsidRDefault="009F6DFC" w:rsidP="009F6DFC">
      <w:pPr>
        <w:jc w:val="both"/>
        <w:rPr>
          <w:rFonts w:ascii="Arial Narrow" w:hAnsi="Arial Narrow" w:cs="Gisha"/>
          <w:sz w:val="22"/>
          <w:szCs w:val="22"/>
        </w:rPr>
      </w:pPr>
      <w:r>
        <w:rPr>
          <w:rFonts w:ascii="Arial Narrow" w:hAnsi="Arial Narrow" w:cs="Gisha"/>
          <w:sz w:val="22"/>
          <w:szCs w:val="22"/>
        </w:rPr>
        <w:t xml:space="preserve">El aumento presentado en la cuenta </w:t>
      </w:r>
      <w:r w:rsidRPr="001A2AC2">
        <w:rPr>
          <w:rFonts w:ascii="Arial Narrow" w:hAnsi="Arial Narrow" w:cs="Gisha"/>
          <w:sz w:val="22"/>
          <w:szCs w:val="22"/>
        </w:rPr>
        <w:t>Bienes Muebles en Bodega</w:t>
      </w:r>
      <w:r>
        <w:rPr>
          <w:rFonts w:ascii="Arial Narrow" w:hAnsi="Arial Narrow" w:cs="Gisha"/>
          <w:sz w:val="22"/>
          <w:szCs w:val="22"/>
        </w:rPr>
        <w:t xml:space="preserve">, obedeció a la incorporación efectuada de los bienes adquiridos para la adecuación de las oficinas del piso 8 de la torre 3. </w:t>
      </w:r>
    </w:p>
    <w:p w:rsidR="009F6DFC" w:rsidRDefault="009F6DFC" w:rsidP="009F6DFC">
      <w:pPr>
        <w:jc w:val="both"/>
        <w:rPr>
          <w:rFonts w:ascii="Arial Narrow" w:hAnsi="Arial Narrow" w:cs="Gisha"/>
          <w:sz w:val="22"/>
          <w:szCs w:val="22"/>
        </w:rPr>
      </w:pPr>
    </w:p>
    <w:p w:rsidR="009F6DFC" w:rsidRPr="00685DB6" w:rsidRDefault="009F6DFC" w:rsidP="009F6DFC">
      <w:pPr>
        <w:jc w:val="both"/>
        <w:rPr>
          <w:rFonts w:ascii="Arial Narrow" w:hAnsi="Arial Narrow" w:cs="Gisha"/>
          <w:sz w:val="22"/>
          <w:szCs w:val="22"/>
        </w:rPr>
      </w:pPr>
      <w:r w:rsidRPr="00685DB6">
        <w:rPr>
          <w:rFonts w:ascii="Arial Narrow" w:hAnsi="Arial Narrow" w:cs="Gisha"/>
          <w:sz w:val="22"/>
          <w:szCs w:val="22"/>
        </w:rPr>
        <w:t>La cuenta propiedad planta y equipo no explotados, presenta un incremento  de $133.</w:t>
      </w:r>
      <w:r>
        <w:rPr>
          <w:rFonts w:ascii="Arial Narrow" w:hAnsi="Arial Narrow" w:cs="Gisha"/>
          <w:sz w:val="22"/>
          <w:szCs w:val="22"/>
        </w:rPr>
        <w:t>611</w:t>
      </w:r>
      <w:r w:rsidRPr="00685DB6">
        <w:rPr>
          <w:rFonts w:ascii="Arial Narrow" w:hAnsi="Arial Narrow" w:cs="Gisha"/>
          <w:sz w:val="22"/>
          <w:szCs w:val="22"/>
        </w:rPr>
        <w:t xml:space="preserve"> miles </w:t>
      </w:r>
      <w:r>
        <w:rPr>
          <w:rFonts w:ascii="Arial Narrow" w:hAnsi="Arial Narrow" w:cs="Gisha"/>
          <w:sz w:val="22"/>
          <w:szCs w:val="22"/>
        </w:rPr>
        <w:t xml:space="preserve">resultado de </w:t>
      </w:r>
      <w:r w:rsidRPr="00685DB6">
        <w:rPr>
          <w:rFonts w:ascii="Arial Narrow" w:hAnsi="Arial Narrow" w:cs="Gisha"/>
          <w:sz w:val="22"/>
          <w:szCs w:val="22"/>
        </w:rPr>
        <w:t>los reintegros de bienes realizados al almacén por los diferentes funcionarios de la Agencia.</w:t>
      </w:r>
    </w:p>
    <w:p w:rsidR="009F6DFC" w:rsidRPr="00685DB6" w:rsidRDefault="009F6DFC" w:rsidP="009F6DFC">
      <w:pPr>
        <w:jc w:val="both"/>
        <w:rPr>
          <w:rFonts w:ascii="Arial Narrow" w:hAnsi="Arial Narrow" w:cs="Gisha"/>
          <w:sz w:val="22"/>
          <w:szCs w:val="22"/>
        </w:rPr>
      </w:pPr>
      <w:r w:rsidRPr="00685DB6">
        <w:rPr>
          <w:rFonts w:ascii="Arial Narrow" w:hAnsi="Arial Narrow" w:cs="Gisha"/>
          <w:sz w:val="22"/>
          <w:szCs w:val="22"/>
        </w:rPr>
        <w:t xml:space="preserve"> </w:t>
      </w:r>
    </w:p>
    <w:p w:rsidR="009F6DFC" w:rsidRPr="00685DB6" w:rsidRDefault="009F6DFC" w:rsidP="009F6DFC">
      <w:pPr>
        <w:jc w:val="both"/>
        <w:rPr>
          <w:rFonts w:ascii="Arial Narrow" w:hAnsi="Arial Narrow" w:cs="Gisha"/>
          <w:sz w:val="22"/>
          <w:szCs w:val="22"/>
        </w:rPr>
      </w:pPr>
      <w:r w:rsidRPr="00685DB6">
        <w:rPr>
          <w:rFonts w:ascii="Arial Narrow" w:hAnsi="Arial Narrow" w:cs="Gisha"/>
          <w:sz w:val="22"/>
          <w:szCs w:val="22"/>
        </w:rPr>
        <w:t>Los incrementos en las demás cuentas, dentro de la clasificación de Propiedad, Planta y Equipo corresponden a bienes entregados al servicio y las disminuciones a reintegros</w:t>
      </w:r>
      <w:r>
        <w:rPr>
          <w:rFonts w:ascii="Arial Narrow" w:hAnsi="Arial Narrow" w:cs="Gisha"/>
          <w:sz w:val="22"/>
          <w:szCs w:val="22"/>
        </w:rPr>
        <w:t xml:space="preserve"> teniendo en cuenta las diferentes situaciones administrativas y de logística para el adecuado funcionamiento de la entidad</w:t>
      </w:r>
      <w:r w:rsidRPr="00685DB6">
        <w:rPr>
          <w:rFonts w:ascii="Arial Narrow" w:hAnsi="Arial Narrow" w:cs="Gisha"/>
          <w:sz w:val="22"/>
          <w:szCs w:val="22"/>
        </w:rPr>
        <w:t>.</w:t>
      </w:r>
    </w:p>
    <w:p w:rsidR="009F6DFC" w:rsidRPr="00685DB6" w:rsidRDefault="009F6DFC" w:rsidP="009F6DFC">
      <w:pPr>
        <w:jc w:val="both"/>
        <w:rPr>
          <w:rFonts w:ascii="Arial Narrow" w:hAnsi="Arial Narrow" w:cs="Gisha"/>
          <w:sz w:val="22"/>
          <w:szCs w:val="22"/>
        </w:rPr>
      </w:pPr>
    </w:p>
    <w:p w:rsidR="009F6DFC" w:rsidRPr="001A2AC2" w:rsidRDefault="009F6DFC" w:rsidP="009F6DFC">
      <w:pPr>
        <w:jc w:val="both"/>
        <w:rPr>
          <w:rFonts w:ascii="Arial Narrow" w:hAnsi="Arial Narrow" w:cs="Gisha"/>
          <w:sz w:val="22"/>
          <w:szCs w:val="22"/>
        </w:rPr>
      </w:pPr>
      <w:r w:rsidRPr="00685DB6">
        <w:rPr>
          <w:rFonts w:ascii="Arial Narrow" w:hAnsi="Arial Narrow" w:cs="Gisha"/>
          <w:sz w:val="22"/>
          <w:szCs w:val="22"/>
        </w:rPr>
        <w:lastRenderedPageBreak/>
        <w:t xml:space="preserve">Respecto de las depreciaciones, </w:t>
      </w:r>
      <w:r>
        <w:rPr>
          <w:rFonts w:ascii="Arial Narrow" w:hAnsi="Arial Narrow" w:cs="Gisha"/>
          <w:sz w:val="22"/>
          <w:szCs w:val="22"/>
        </w:rPr>
        <w:t>para la vigencia 2015 se utilizó</w:t>
      </w:r>
      <w:r w:rsidRPr="00685DB6">
        <w:rPr>
          <w:rFonts w:ascii="Arial Narrow" w:hAnsi="Arial Narrow" w:cs="Gisha"/>
          <w:sz w:val="22"/>
          <w:szCs w:val="22"/>
        </w:rPr>
        <w:t xml:space="preserve"> el método de línea recta y el cálculo individualizado </w:t>
      </w:r>
      <w:r>
        <w:rPr>
          <w:rFonts w:ascii="Arial Narrow" w:hAnsi="Arial Narrow" w:cs="Gisha"/>
          <w:sz w:val="22"/>
          <w:szCs w:val="22"/>
        </w:rPr>
        <w:t xml:space="preserve">teniendo en cuenta la vida útil de los </w:t>
      </w:r>
      <w:r w:rsidRPr="00685DB6">
        <w:rPr>
          <w:rFonts w:ascii="Arial Narrow" w:hAnsi="Arial Narrow" w:cs="Gisha"/>
          <w:sz w:val="22"/>
          <w:szCs w:val="22"/>
        </w:rPr>
        <w:t>elemento</w:t>
      </w:r>
      <w:r>
        <w:rPr>
          <w:rFonts w:ascii="Arial Narrow" w:hAnsi="Arial Narrow" w:cs="Gisha"/>
          <w:sz w:val="22"/>
          <w:szCs w:val="22"/>
        </w:rPr>
        <w:t>s</w:t>
      </w:r>
      <w:r w:rsidRPr="00685DB6">
        <w:rPr>
          <w:rFonts w:ascii="Arial Narrow" w:hAnsi="Arial Narrow" w:cs="Gisha"/>
          <w:sz w:val="22"/>
          <w:szCs w:val="22"/>
        </w:rPr>
        <w:t xml:space="preserve"> dando cumplimiento a las normas expedidas por la Contaduría General de la Nación</w:t>
      </w:r>
      <w:r>
        <w:rPr>
          <w:rFonts w:ascii="Arial Narrow" w:hAnsi="Arial Narrow" w:cs="Gisha"/>
          <w:sz w:val="22"/>
          <w:szCs w:val="22"/>
        </w:rPr>
        <w:t xml:space="preserve"> en cuanto al manejo de los bienes, propiedades, planta y equipos</w:t>
      </w:r>
      <w:r w:rsidRPr="00685DB6">
        <w:rPr>
          <w:rFonts w:ascii="Arial Narrow" w:hAnsi="Arial Narrow" w:cs="Gisha"/>
          <w:sz w:val="22"/>
          <w:szCs w:val="22"/>
        </w:rPr>
        <w:t>.</w:t>
      </w:r>
      <w:r w:rsidRPr="001A2AC2">
        <w:rPr>
          <w:rFonts w:ascii="Arial Narrow" w:hAnsi="Arial Narrow" w:cs="Gisha"/>
          <w:sz w:val="22"/>
          <w:szCs w:val="22"/>
        </w:rPr>
        <w:t xml:space="preserve"> </w:t>
      </w:r>
    </w:p>
    <w:p w:rsidR="009F6DFC" w:rsidRPr="001A2AC2" w:rsidRDefault="009F6DFC" w:rsidP="009F6DFC">
      <w:pPr>
        <w:jc w:val="both"/>
        <w:rPr>
          <w:rFonts w:ascii="Arial Narrow" w:hAnsi="Arial Narrow" w:cs="Gisha"/>
          <w:sz w:val="22"/>
          <w:szCs w:val="22"/>
        </w:rPr>
      </w:pPr>
    </w:p>
    <w:p w:rsidR="009F6DFC" w:rsidRPr="001A2AC2" w:rsidRDefault="009F6DFC" w:rsidP="009F6DFC">
      <w:pPr>
        <w:rPr>
          <w:rFonts w:ascii="Arial Narrow" w:hAnsi="Arial Narrow" w:cs="Gisha"/>
          <w:b/>
          <w:bCs/>
          <w:sz w:val="22"/>
          <w:szCs w:val="22"/>
        </w:rPr>
      </w:pPr>
      <w:r w:rsidRPr="001A2AC2">
        <w:rPr>
          <w:rFonts w:ascii="Arial Narrow" w:hAnsi="Arial Narrow" w:cs="Gisha"/>
          <w:b/>
          <w:bCs/>
          <w:sz w:val="22"/>
          <w:szCs w:val="22"/>
        </w:rPr>
        <w:t xml:space="preserve">NOTA </w:t>
      </w:r>
      <w:r w:rsidR="001F5A53">
        <w:rPr>
          <w:rFonts w:ascii="Arial Narrow" w:hAnsi="Arial Narrow" w:cs="Gisha"/>
          <w:b/>
          <w:bCs/>
          <w:sz w:val="22"/>
          <w:szCs w:val="22"/>
        </w:rPr>
        <w:t>4</w:t>
      </w:r>
      <w:r w:rsidRPr="001A2AC2">
        <w:rPr>
          <w:rFonts w:ascii="Arial Narrow" w:hAnsi="Arial Narrow" w:cs="Gisha"/>
          <w:b/>
          <w:bCs/>
          <w:sz w:val="22"/>
          <w:szCs w:val="22"/>
        </w:rPr>
        <w:t>.  BIENES DE USO PÚBLICO</w:t>
      </w:r>
    </w:p>
    <w:p w:rsidR="009F6DFC" w:rsidRPr="001A2AC2" w:rsidRDefault="009F6DFC" w:rsidP="009F6DFC">
      <w:pPr>
        <w:pStyle w:val="Textoindependiente3"/>
        <w:widowControl w:val="0"/>
        <w:rPr>
          <w:rFonts w:ascii="Arial Narrow" w:hAnsi="Arial Narrow" w:cs="Gisha"/>
          <w:b/>
          <w:bCs/>
          <w:color w:val="auto"/>
          <w:sz w:val="22"/>
          <w:szCs w:val="22"/>
        </w:rPr>
      </w:pPr>
    </w:p>
    <w:p w:rsidR="009F6DFC" w:rsidRDefault="009F6DFC" w:rsidP="009F6DFC">
      <w:pPr>
        <w:jc w:val="both"/>
        <w:rPr>
          <w:rFonts w:ascii="Arial Narrow" w:hAnsi="Arial Narrow" w:cs="Gisha"/>
          <w:sz w:val="22"/>
          <w:szCs w:val="22"/>
        </w:rPr>
      </w:pPr>
      <w:r>
        <w:rPr>
          <w:rFonts w:ascii="Arial Narrow" w:hAnsi="Arial Narrow" w:cs="Gisha"/>
          <w:sz w:val="22"/>
          <w:szCs w:val="22"/>
        </w:rPr>
        <w:t>En esta cuenta se registra</w:t>
      </w:r>
      <w:r w:rsidR="00BE7E46">
        <w:rPr>
          <w:rFonts w:ascii="Arial Narrow" w:hAnsi="Arial Narrow" w:cs="Gisha"/>
          <w:sz w:val="22"/>
          <w:szCs w:val="22"/>
        </w:rPr>
        <w:t>n</w:t>
      </w:r>
      <w:r>
        <w:rPr>
          <w:rFonts w:ascii="Arial Narrow" w:hAnsi="Arial Narrow" w:cs="Gisha"/>
          <w:sz w:val="22"/>
          <w:szCs w:val="22"/>
        </w:rPr>
        <w:t xml:space="preserve"> todas las operaciones efectuadas en desarrollo de los contratos de concesión suscritos p</w:t>
      </w:r>
      <w:r w:rsidRPr="002214FB">
        <w:rPr>
          <w:rFonts w:ascii="Arial Narrow" w:hAnsi="Arial Narrow" w:cs="Gisha"/>
          <w:sz w:val="22"/>
          <w:szCs w:val="22"/>
        </w:rPr>
        <w:t xml:space="preserve">or la </w:t>
      </w:r>
      <w:r>
        <w:rPr>
          <w:rFonts w:ascii="Arial Narrow" w:hAnsi="Arial Narrow" w:cs="Gisha"/>
          <w:sz w:val="22"/>
          <w:szCs w:val="22"/>
        </w:rPr>
        <w:t>Agencia Nacional de Infraestructura</w:t>
      </w:r>
      <w:r w:rsidRPr="002214FB">
        <w:rPr>
          <w:rFonts w:ascii="Arial Narrow" w:hAnsi="Arial Narrow" w:cs="Gisha"/>
          <w:sz w:val="22"/>
          <w:szCs w:val="22"/>
        </w:rPr>
        <w:t xml:space="preserve">, </w:t>
      </w:r>
      <w:r>
        <w:rPr>
          <w:rFonts w:ascii="Arial Narrow" w:hAnsi="Arial Narrow" w:cs="Gisha"/>
          <w:sz w:val="22"/>
          <w:szCs w:val="22"/>
        </w:rPr>
        <w:t xml:space="preserve">cuyo fin principal es el </w:t>
      </w:r>
      <w:r w:rsidRPr="002214FB">
        <w:rPr>
          <w:rFonts w:ascii="Arial Narrow" w:hAnsi="Arial Narrow" w:cs="Gisha"/>
          <w:sz w:val="22"/>
          <w:szCs w:val="22"/>
        </w:rPr>
        <w:t xml:space="preserve">uso y goce de los habitantes del territorio nacional, orientados a generar bienestar social, </w:t>
      </w:r>
      <w:r w:rsidR="00BE7E46">
        <w:rPr>
          <w:rFonts w:ascii="Arial Narrow" w:hAnsi="Arial Narrow" w:cs="Gisha"/>
          <w:sz w:val="22"/>
          <w:szCs w:val="22"/>
        </w:rPr>
        <w:t xml:space="preserve">y </w:t>
      </w:r>
      <w:r>
        <w:rPr>
          <w:rFonts w:ascii="Arial Narrow" w:hAnsi="Arial Narrow" w:cs="Gisha"/>
          <w:sz w:val="22"/>
          <w:szCs w:val="22"/>
        </w:rPr>
        <w:t>en e</w:t>
      </w:r>
      <w:r w:rsidR="00BE7E46">
        <w:rPr>
          <w:rFonts w:ascii="Arial Narrow" w:hAnsi="Arial Narrow" w:cs="Gisha"/>
          <w:sz w:val="22"/>
          <w:szCs w:val="22"/>
        </w:rPr>
        <w:t xml:space="preserve">lla </w:t>
      </w:r>
      <w:r>
        <w:rPr>
          <w:rFonts w:ascii="Arial Narrow" w:hAnsi="Arial Narrow" w:cs="Gisha"/>
          <w:sz w:val="22"/>
          <w:szCs w:val="22"/>
        </w:rPr>
        <w:t xml:space="preserve">se </w:t>
      </w:r>
      <w:r w:rsidRPr="002214FB">
        <w:rPr>
          <w:rFonts w:ascii="Arial Narrow" w:hAnsi="Arial Narrow" w:cs="Gisha"/>
          <w:sz w:val="22"/>
          <w:szCs w:val="22"/>
        </w:rPr>
        <w:t>inclu</w:t>
      </w:r>
      <w:r>
        <w:rPr>
          <w:rFonts w:ascii="Arial Narrow" w:hAnsi="Arial Narrow" w:cs="Gisha"/>
          <w:sz w:val="22"/>
          <w:szCs w:val="22"/>
        </w:rPr>
        <w:t>yen los bienes construidos</w:t>
      </w:r>
      <w:r w:rsidRPr="002214FB">
        <w:rPr>
          <w:rFonts w:ascii="Arial Narrow" w:hAnsi="Arial Narrow" w:cs="Gisha"/>
          <w:sz w:val="22"/>
          <w:szCs w:val="22"/>
        </w:rPr>
        <w:t>, así como los destinados</w:t>
      </w:r>
      <w:r>
        <w:rPr>
          <w:rFonts w:ascii="Arial Narrow" w:hAnsi="Arial Narrow" w:cs="Gisha"/>
          <w:sz w:val="22"/>
          <w:szCs w:val="22"/>
        </w:rPr>
        <w:t xml:space="preserve"> a</w:t>
      </w:r>
      <w:r w:rsidRPr="002214FB">
        <w:rPr>
          <w:rFonts w:ascii="Arial Narrow" w:hAnsi="Arial Narrow" w:cs="Gisha"/>
          <w:sz w:val="22"/>
          <w:szCs w:val="22"/>
        </w:rPr>
        <w:t xml:space="preserve"> </w:t>
      </w:r>
      <w:r>
        <w:rPr>
          <w:rFonts w:ascii="Arial Narrow" w:hAnsi="Arial Narrow" w:cs="Gisha"/>
          <w:sz w:val="22"/>
          <w:szCs w:val="22"/>
        </w:rPr>
        <w:t>reestructurar el sector transporte en los modos carretero, férreo, portuario y aeroportuario</w:t>
      </w:r>
      <w:r w:rsidRPr="002214FB">
        <w:rPr>
          <w:rFonts w:ascii="Arial Narrow" w:hAnsi="Arial Narrow" w:cs="Gisha"/>
          <w:sz w:val="22"/>
          <w:szCs w:val="22"/>
        </w:rPr>
        <w:t>.</w:t>
      </w:r>
    </w:p>
    <w:p w:rsidR="009F6DFC" w:rsidRDefault="009F6DFC" w:rsidP="009F6DFC">
      <w:pPr>
        <w:jc w:val="both"/>
        <w:rPr>
          <w:rFonts w:ascii="Arial Narrow" w:hAnsi="Arial Narrow" w:cs="Gisha"/>
          <w:sz w:val="22"/>
          <w:szCs w:val="22"/>
        </w:rPr>
      </w:pPr>
    </w:p>
    <w:p w:rsidR="009F6DFC" w:rsidRPr="001A2AC2" w:rsidRDefault="009F6DFC" w:rsidP="009F6DFC">
      <w:pPr>
        <w:jc w:val="both"/>
        <w:rPr>
          <w:rFonts w:ascii="Arial Narrow" w:hAnsi="Arial Narrow" w:cs="Gisha"/>
          <w:sz w:val="22"/>
          <w:szCs w:val="22"/>
        </w:rPr>
      </w:pPr>
      <w:r w:rsidRPr="001A2AC2">
        <w:rPr>
          <w:rFonts w:ascii="Arial Narrow" w:hAnsi="Arial Narrow" w:cs="Gisha"/>
          <w:sz w:val="22"/>
          <w:szCs w:val="22"/>
        </w:rPr>
        <w:t>Su valor representa los desembolsos que ha efectuado la entidad en desarrollo de su actividad, por concepto de  aportes Nación, obras complementarias, mayores cantidades de</w:t>
      </w:r>
      <w:r>
        <w:rPr>
          <w:rFonts w:ascii="Arial Narrow" w:hAnsi="Arial Narrow" w:cs="Gisha"/>
          <w:sz w:val="22"/>
          <w:szCs w:val="22"/>
        </w:rPr>
        <w:t xml:space="preserve"> obras, compra de predios, etc.</w:t>
      </w:r>
      <w:r w:rsidRPr="001A2AC2">
        <w:rPr>
          <w:rFonts w:ascii="Arial Narrow" w:hAnsi="Arial Narrow" w:cs="Gisha"/>
          <w:sz w:val="22"/>
          <w:szCs w:val="22"/>
        </w:rPr>
        <w:t xml:space="preserve"> También se refleja el valor de la inversión privada efectuada por cada concesionario</w:t>
      </w:r>
      <w:r>
        <w:rPr>
          <w:rFonts w:ascii="Arial Narrow" w:hAnsi="Arial Narrow" w:cs="Gisha"/>
          <w:sz w:val="22"/>
          <w:szCs w:val="22"/>
        </w:rPr>
        <w:t xml:space="preserve"> durante la vigencia de los contratos de concesión</w:t>
      </w:r>
      <w:r w:rsidRPr="001A2AC2">
        <w:rPr>
          <w:rFonts w:ascii="Arial Narrow" w:hAnsi="Arial Narrow" w:cs="Gisha"/>
          <w:sz w:val="22"/>
          <w:szCs w:val="22"/>
        </w:rPr>
        <w:t>, (Ver anexo 2).</w:t>
      </w:r>
    </w:p>
    <w:p w:rsidR="009F6DFC" w:rsidRPr="001A2AC2" w:rsidRDefault="009F6DFC" w:rsidP="009F6DF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9F6DFC" w:rsidRDefault="009F6DFC" w:rsidP="009F6DFC">
      <w:pPr>
        <w:pStyle w:val="Textoindependiente"/>
        <w:rPr>
          <w:rFonts w:ascii="Arial Narrow" w:hAnsi="Arial Narrow" w:cs="Gisha"/>
          <w:b w:val="0"/>
          <w:bCs w:val="0"/>
          <w:i w:val="0"/>
          <w:iCs w:val="0"/>
          <w:vanish w:val="0"/>
          <w:color w:val="auto"/>
          <w:sz w:val="22"/>
          <w:szCs w:val="22"/>
          <w:u w:val="none"/>
          <w:lang w:val="es-ES"/>
        </w:rPr>
      </w:pPr>
      <w:r w:rsidRPr="001A2AC2">
        <w:rPr>
          <w:rFonts w:ascii="Arial Narrow" w:hAnsi="Arial Narrow" w:cs="Gisha"/>
          <w:b w:val="0"/>
          <w:bCs w:val="0"/>
          <w:i w:val="0"/>
          <w:iCs w:val="0"/>
          <w:vanish w:val="0"/>
          <w:color w:val="auto"/>
          <w:sz w:val="22"/>
          <w:szCs w:val="22"/>
          <w:u w:val="none"/>
          <w:lang w:val="es-ES"/>
        </w:rPr>
        <w:t>Su saldo comparativo (2014- 2015) a 31 de diciembre es el siguiente:</w:t>
      </w:r>
    </w:p>
    <w:p w:rsidR="009F6DFC" w:rsidRDefault="009F6DFC" w:rsidP="009F6DFC">
      <w:pPr>
        <w:jc w:val="center"/>
        <w:rPr>
          <w:rFonts w:ascii="Arial Narrow" w:hAnsi="Arial Narrow"/>
          <w:noProof/>
          <w:sz w:val="22"/>
          <w:szCs w:val="22"/>
          <w:lang w:val="es-CO" w:eastAsia="es-CO"/>
        </w:rPr>
      </w:pPr>
    </w:p>
    <w:p w:rsidR="009F6DFC" w:rsidRDefault="009F6DFC" w:rsidP="009F6DFC">
      <w:pPr>
        <w:jc w:val="center"/>
        <w:rPr>
          <w:rFonts w:ascii="Arial Narrow" w:hAnsi="Arial Narrow"/>
          <w:noProof/>
          <w:sz w:val="22"/>
          <w:szCs w:val="22"/>
          <w:lang w:val="es-CO" w:eastAsia="es-CO"/>
        </w:rPr>
      </w:pPr>
      <w:r w:rsidRPr="005C3A6C">
        <w:rPr>
          <w:noProof/>
          <w:lang w:val="es-CO" w:eastAsia="es-CO"/>
        </w:rPr>
        <w:drawing>
          <wp:inline distT="0" distB="0" distL="0" distR="0">
            <wp:extent cx="4723130" cy="2552065"/>
            <wp:effectExtent l="0" t="0" r="1270" b="63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23130" cy="2552065"/>
                    </a:xfrm>
                    <a:prstGeom prst="rect">
                      <a:avLst/>
                    </a:prstGeom>
                    <a:noFill/>
                    <a:ln>
                      <a:noFill/>
                    </a:ln>
                  </pic:spPr>
                </pic:pic>
              </a:graphicData>
            </a:graphic>
          </wp:inline>
        </w:drawing>
      </w:r>
    </w:p>
    <w:p w:rsidR="009F6DFC" w:rsidRDefault="009F6DFC" w:rsidP="009F6DFC">
      <w:pPr>
        <w:jc w:val="center"/>
        <w:rPr>
          <w:rFonts w:ascii="Arial Narrow" w:hAnsi="Arial Narrow"/>
          <w:noProof/>
          <w:sz w:val="22"/>
          <w:szCs w:val="22"/>
          <w:lang w:val="es-CO" w:eastAsia="es-CO"/>
        </w:rPr>
      </w:pPr>
    </w:p>
    <w:p w:rsidR="009F6DFC" w:rsidRDefault="009F6DFC" w:rsidP="009F6DFC">
      <w:pPr>
        <w:jc w:val="both"/>
        <w:rPr>
          <w:rFonts w:ascii="Arial Narrow" w:hAnsi="Arial Narrow" w:cs="Gisha"/>
          <w:sz w:val="22"/>
          <w:szCs w:val="22"/>
        </w:rPr>
      </w:pPr>
      <w:r>
        <w:rPr>
          <w:rFonts w:ascii="Arial Narrow" w:hAnsi="Arial Narrow" w:cs="Gisha"/>
          <w:sz w:val="22"/>
          <w:szCs w:val="22"/>
        </w:rPr>
        <w:t xml:space="preserve">Los contratos de concesiones viales empezaron a suscribirse desde 1994, clasificándose en cuatro etapas o grupos de proyectos conocidos como generaciones de concesiones, este grupo de proyectos se diferencian por la asignación de riesgos y la forma de retribución de los mismos. </w:t>
      </w:r>
    </w:p>
    <w:p w:rsidR="009F6DFC" w:rsidRDefault="009F6DFC" w:rsidP="009F6DFC">
      <w:pPr>
        <w:jc w:val="both"/>
        <w:rPr>
          <w:rFonts w:ascii="Arial Narrow" w:hAnsi="Arial Narrow" w:cs="Gisha"/>
          <w:sz w:val="22"/>
          <w:szCs w:val="22"/>
        </w:rPr>
      </w:pPr>
    </w:p>
    <w:p w:rsidR="00A9706E" w:rsidRPr="005D7AFC" w:rsidRDefault="00A9706E" w:rsidP="005D7AFC">
      <w:pPr>
        <w:ind w:firstLine="708"/>
        <w:jc w:val="both"/>
        <w:rPr>
          <w:rFonts w:ascii="Arial Narrow" w:hAnsi="Arial Narrow" w:cs="Gisha"/>
          <w:b/>
          <w:sz w:val="22"/>
          <w:szCs w:val="22"/>
        </w:rPr>
      </w:pPr>
      <w:r w:rsidRPr="005D7AFC">
        <w:rPr>
          <w:rFonts w:ascii="Arial Narrow" w:hAnsi="Arial Narrow" w:cs="Gisha"/>
          <w:b/>
          <w:sz w:val="22"/>
          <w:szCs w:val="22"/>
        </w:rPr>
        <w:t>RED CARRETERA:</w:t>
      </w:r>
    </w:p>
    <w:p w:rsidR="00A9706E" w:rsidRDefault="00A9706E" w:rsidP="009F6DFC">
      <w:pPr>
        <w:jc w:val="both"/>
        <w:rPr>
          <w:rFonts w:ascii="Arial Narrow" w:hAnsi="Arial Narrow" w:cs="Gisha"/>
          <w:sz w:val="22"/>
          <w:szCs w:val="22"/>
        </w:rPr>
      </w:pPr>
    </w:p>
    <w:p w:rsidR="009F6DFC" w:rsidRDefault="009F6DFC" w:rsidP="009F6DFC">
      <w:pPr>
        <w:jc w:val="both"/>
        <w:rPr>
          <w:rFonts w:ascii="Arial Narrow" w:hAnsi="Arial Narrow" w:cs="Gisha"/>
          <w:sz w:val="22"/>
          <w:szCs w:val="22"/>
        </w:rPr>
      </w:pPr>
      <w:r w:rsidRPr="001A2AC2">
        <w:rPr>
          <w:rFonts w:ascii="Arial Narrow" w:hAnsi="Arial Narrow" w:cs="Gisha"/>
          <w:sz w:val="22"/>
          <w:szCs w:val="22"/>
        </w:rPr>
        <w:t xml:space="preserve">En la </w:t>
      </w:r>
      <w:r>
        <w:rPr>
          <w:rFonts w:ascii="Arial Narrow" w:hAnsi="Arial Narrow" w:cs="Gisha"/>
          <w:sz w:val="22"/>
          <w:szCs w:val="22"/>
        </w:rPr>
        <w:t xml:space="preserve">cuenta </w:t>
      </w:r>
      <w:r w:rsidRPr="001A2AC2">
        <w:rPr>
          <w:rFonts w:ascii="Arial Narrow" w:hAnsi="Arial Narrow" w:cs="Gisha"/>
          <w:sz w:val="22"/>
          <w:szCs w:val="22"/>
        </w:rPr>
        <w:t xml:space="preserve">Red </w:t>
      </w:r>
      <w:r w:rsidR="00A9706E">
        <w:rPr>
          <w:rFonts w:ascii="Arial Narrow" w:hAnsi="Arial Narrow" w:cs="Gisha"/>
          <w:sz w:val="22"/>
          <w:szCs w:val="22"/>
        </w:rPr>
        <w:t>Carretera</w:t>
      </w:r>
      <w:r>
        <w:rPr>
          <w:rFonts w:ascii="Arial Narrow" w:hAnsi="Arial Narrow" w:cs="Gisha"/>
          <w:sz w:val="22"/>
          <w:szCs w:val="22"/>
        </w:rPr>
        <w:t xml:space="preserve"> tanto en construcción como en servicio </w:t>
      </w:r>
      <w:r w:rsidRPr="001A2AC2">
        <w:rPr>
          <w:rFonts w:ascii="Arial Narrow" w:hAnsi="Arial Narrow" w:cs="Gisha"/>
          <w:sz w:val="22"/>
          <w:szCs w:val="22"/>
        </w:rPr>
        <w:t>se registra el valor de la inversión privada en infraestructura de los proyectos de concesiones viales gestionados por</w:t>
      </w:r>
      <w:r w:rsidR="00A9706E">
        <w:rPr>
          <w:rFonts w:ascii="Arial Narrow" w:hAnsi="Arial Narrow" w:cs="Gisha"/>
          <w:sz w:val="22"/>
          <w:szCs w:val="22"/>
        </w:rPr>
        <w:t xml:space="preserve"> el INVIAS y</w:t>
      </w:r>
      <w:r w:rsidR="00BE7E46">
        <w:rPr>
          <w:rFonts w:ascii="Arial Narrow" w:hAnsi="Arial Narrow" w:cs="Gisha"/>
          <w:sz w:val="22"/>
          <w:szCs w:val="22"/>
        </w:rPr>
        <w:t xml:space="preserve"> la Entidad. E</w:t>
      </w:r>
      <w:r w:rsidRPr="001A2AC2">
        <w:rPr>
          <w:rFonts w:ascii="Arial Narrow" w:hAnsi="Arial Narrow" w:cs="Gisha"/>
          <w:sz w:val="22"/>
          <w:szCs w:val="22"/>
        </w:rPr>
        <w:t xml:space="preserve">sta información es recibida en los formatos </w:t>
      </w:r>
      <w:r>
        <w:rPr>
          <w:rFonts w:ascii="Arial Narrow" w:hAnsi="Arial Narrow" w:cs="Gisha"/>
          <w:sz w:val="22"/>
          <w:szCs w:val="22"/>
        </w:rPr>
        <w:t xml:space="preserve">internos </w:t>
      </w:r>
      <w:r w:rsidRPr="001A2AC2">
        <w:rPr>
          <w:rFonts w:ascii="Arial Narrow" w:hAnsi="Arial Narrow" w:cs="Gisha"/>
          <w:sz w:val="22"/>
          <w:szCs w:val="22"/>
        </w:rPr>
        <w:t>establecidos y se encuentra avalada por la</w:t>
      </w:r>
      <w:r w:rsidR="00BE7E46">
        <w:rPr>
          <w:rFonts w:ascii="Arial Narrow" w:hAnsi="Arial Narrow" w:cs="Gisha"/>
          <w:sz w:val="22"/>
          <w:szCs w:val="22"/>
        </w:rPr>
        <w:t>s</w:t>
      </w:r>
      <w:r w:rsidRPr="001A2AC2">
        <w:rPr>
          <w:rFonts w:ascii="Arial Narrow" w:hAnsi="Arial Narrow" w:cs="Gisha"/>
          <w:sz w:val="22"/>
          <w:szCs w:val="22"/>
        </w:rPr>
        <w:t xml:space="preserve"> interventoría</w:t>
      </w:r>
      <w:r w:rsidR="00BE7E46">
        <w:rPr>
          <w:rFonts w:ascii="Arial Narrow" w:hAnsi="Arial Narrow" w:cs="Gisha"/>
          <w:sz w:val="22"/>
          <w:szCs w:val="22"/>
        </w:rPr>
        <w:t>s y supervisio</w:t>
      </w:r>
      <w:r w:rsidRPr="001A2AC2">
        <w:rPr>
          <w:rFonts w:ascii="Arial Narrow" w:hAnsi="Arial Narrow" w:cs="Gisha"/>
          <w:sz w:val="22"/>
          <w:szCs w:val="22"/>
        </w:rPr>
        <w:t>n</w:t>
      </w:r>
      <w:r w:rsidR="00BE7E46">
        <w:rPr>
          <w:rFonts w:ascii="Arial Narrow" w:hAnsi="Arial Narrow" w:cs="Gisha"/>
          <w:sz w:val="22"/>
          <w:szCs w:val="22"/>
        </w:rPr>
        <w:t>es</w:t>
      </w:r>
      <w:r w:rsidRPr="001A2AC2">
        <w:rPr>
          <w:rFonts w:ascii="Arial Narrow" w:hAnsi="Arial Narrow" w:cs="Gisha"/>
          <w:sz w:val="22"/>
          <w:szCs w:val="22"/>
        </w:rPr>
        <w:t xml:space="preserve"> de los siguientes proyectos de concesión: </w:t>
      </w:r>
    </w:p>
    <w:p w:rsidR="005D7AFC" w:rsidRDefault="005D7AFC" w:rsidP="009F6DFC">
      <w:pPr>
        <w:jc w:val="both"/>
        <w:rPr>
          <w:rFonts w:ascii="Arial Narrow" w:hAnsi="Arial Narrow" w:cs="Gisha"/>
          <w:sz w:val="22"/>
          <w:szCs w:val="22"/>
        </w:rPr>
      </w:pPr>
    </w:p>
    <w:p w:rsidR="009F6DFC" w:rsidRPr="00BE7E46" w:rsidRDefault="009F6DFC" w:rsidP="00853B3A">
      <w:pPr>
        <w:pStyle w:val="Prrafodelista"/>
        <w:numPr>
          <w:ilvl w:val="0"/>
          <w:numId w:val="16"/>
        </w:numPr>
        <w:jc w:val="both"/>
        <w:rPr>
          <w:rFonts w:cs="Gisha"/>
          <w:sz w:val="22"/>
          <w:szCs w:val="22"/>
          <w:u w:val="single"/>
        </w:rPr>
      </w:pPr>
      <w:r w:rsidRPr="00BE7E46">
        <w:rPr>
          <w:rFonts w:cs="Gisha"/>
          <w:sz w:val="22"/>
          <w:szCs w:val="22"/>
          <w:u w:val="single"/>
        </w:rPr>
        <w:t>Desarrollo Malla Vial Valle del Cauca y Cauca</w:t>
      </w:r>
    </w:p>
    <w:p w:rsidR="009F6DFC" w:rsidRPr="004A2C5A" w:rsidRDefault="009F6DFC" w:rsidP="009F6DFC">
      <w:pPr>
        <w:jc w:val="both"/>
        <w:rPr>
          <w:rFonts w:ascii="Arial Narrow" w:hAnsi="Arial Narrow" w:cs="Gisha"/>
          <w:sz w:val="22"/>
          <w:szCs w:val="22"/>
        </w:rPr>
      </w:pPr>
    </w:p>
    <w:p w:rsidR="009F6DFC" w:rsidRDefault="009F6DFC" w:rsidP="009F6DFC">
      <w:pPr>
        <w:jc w:val="both"/>
        <w:rPr>
          <w:rFonts w:ascii="Arial Narrow" w:hAnsi="Arial Narrow" w:cs="Gisha"/>
          <w:sz w:val="22"/>
          <w:szCs w:val="22"/>
        </w:rPr>
      </w:pPr>
      <w:r>
        <w:rPr>
          <w:rFonts w:ascii="Arial Narrow" w:hAnsi="Arial Narrow" w:cs="Gisha"/>
          <w:sz w:val="22"/>
          <w:szCs w:val="22"/>
        </w:rPr>
        <w:t>La concesión Malla Vial del Cauca y Cauca, cont</w:t>
      </w:r>
      <w:r w:rsidR="00BE7E46">
        <w:rPr>
          <w:rFonts w:ascii="Arial Narrow" w:hAnsi="Arial Narrow" w:cs="Gisha"/>
          <w:sz w:val="22"/>
          <w:szCs w:val="22"/>
        </w:rPr>
        <w:t>rato No. 005 de 1999, suscrito</w:t>
      </w:r>
      <w:r>
        <w:rPr>
          <w:rFonts w:ascii="Arial Narrow" w:hAnsi="Arial Narrow" w:cs="Gisha"/>
          <w:sz w:val="22"/>
          <w:szCs w:val="22"/>
        </w:rPr>
        <w:t xml:space="preserve"> por el INVIAS, a 31 de diciembre de 2015 </w:t>
      </w:r>
      <w:r w:rsidR="00BE7E46">
        <w:rPr>
          <w:rFonts w:ascii="Arial Narrow" w:hAnsi="Arial Narrow" w:cs="Gisha"/>
          <w:sz w:val="22"/>
          <w:szCs w:val="22"/>
        </w:rPr>
        <w:t xml:space="preserve">presenta </w:t>
      </w:r>
      <w:r>
        <w:rPr>
          <w:rFonts w:ascii="Arial Narrow" w:hAnsi="Arial Narrow" w:cs="Gisha"/>
          <w:sz w:val="22"/>
          <w:szCs w:val="22"/>
        </w:rPr>
        <w:t>un valor de $</w:t>
      </w:r>
      <w:r w:rsidRPr="004A2C5A">
        <w:rPr>
          <w:rFonts w:ascii="Arial Narrow" w:hAnsi="Arial Narrow" w:cs="Gisha"/>
          <w:sz w:val="22"/>
          <w:szCs w:val="22"/>
        </w:rPr>
        <w:t xml:space="preserve"> 46.044.234</w:t>
      </w:r>
      <w:r>
        <w:rPr>
          <w:rFonts w:ascii="Arial Narrow" w:hAnsi="Arial Narrow" w:cs="Gisha"/>
          <w:sz w:val="22"/>
          <w:szCs w:val="22"/>
        </w:rPr>
        <w:t xml:space="preserve"> miles por concepto de infraestructura en construcción y $</w:t>
      </w:r>
      <w:r w:rsidRPr="004A2C5A">
        <w:rPr>
          <w:rFonts w:ascii="Arial Narrow" w:hAnsi="Arial Narrow" w:cs="Gisha"/>
          <w:sz w:val="22"/>
          <w:szCs w:val="22"/>
        </w:rPr>
        <w:t>420.839.08</w:t>
      </w:r>
      <w:r>
        <w:rPr>
          <w:rFonts w:ascii="Arial Narrow" w:hAnsi="Arial Narrow" w:cs="Gisha"/>
          <w:sz w:val="22"/>
          <w:szCs w:val="22"/>
        </w:rPr>
        <w:t>8 miles por concepto de infraestructura en servicio.</w:t>
      </w:r>
    </w:p>
    <w:p w:rsidR="009F6DFC" w:rsidRDefault="009F6DFC" w:rsidP="009F6DFC">
      <w:pPr>
        <w:jc w:val="both"/>
        <w:rPr>
          <w:rFonts w:ascii="Arial Narrow" w:hAnsi="Arial Narrow" w:cs="Gisha"/>
          <w:sz w:val="22"/>
          <w:szCs w:val="22"/>
        </w:rPr>
      </w:pPr>
      <w:r>
        <w:rPr>
          <w:rFonts w:ascii="Arial Narrow" w:hAnsi="Arial Narrow" w:cs="Gisha"/>
          <w:sz w:val="22"/>
          <w:szCs w:val="22"/>
        </w:rPr>
        <w:lastRenderedPageBreak/>
        <w:t>Las operaciones realizadas en la vigencia 2015 por este proyecto fueron las siguientes:</w:t>
      </w:r>
    </w:p>
    <w:p w:rsidR="009F6DFC" w:rsidRDefault="009F6DFC" w:rsidP="009F6DFC">
      <w:pPr>
        <w:jc w:val="both"/>
        <w:rPr>
          <w:rFonts w:ascii="Arial Narrow" w:hAnsi="Arial Narrow" w:cs="Gisha"/>
          <w:sz w:val="22"/>
          <w:szCs w:val="22"/>
        </w:rPr>
      </w:pPr>
    </w:p>
    <w:p w:rsidR="009F6DFC" w:rsidRDefault="009F6DFC" w:rsidP="00853B3A">
      <w:pPr>
        <w:pStyle w:val="Prrafodelista"/>
        <w:numPr>
          <w:ilvl w:val="0"/>
          <w:numId w:val="17"/>
        </w:numPr>
        <w:jc w:val="both"/>
        <w:rPr>
          <w:rFonts w:cs="Gisha"/>
          <w:sz w:val="22"/>
          <w:szCs w:val="22"/>
        </w:rPr>
      </w:pPr>
      <w:r>
        <w:rPr>
          <w:rFonts w:cs="Gisha"/>
          <w:sz w:val="22"/>
          <w:szCs w:val="22"/>
        </w:rPr>
        <w:t>Aporte estatal realizado por valor de $</w:t>
      </w:r>
      <w:r w:rsidRPr="00FA63AE">
        <w:rPr>
          <w:rFonts w:cs="Gisha"/>
          <w:sz w:val="22"/>
          <w:szCs w:val="22"/>
        </w:rPr>
        <w:t xml:space="preserve"> 2.652.011</w:t>
      </w:r>
      <w:r>
        <w:rPr>
          <w:rFonts w:cs="Gisha"/>
          <w:sz w:val="22"/>
          <w:szCs w:val="22"/>
        </w:rPr>
        <w:t xml:space="preserve"> miles</w:t>
      </w:r>
    </w:p>
    <w:p w:rsidR="009F6DFC" w:rsidRDefault="009F6DFC" w:rsidP="00853B3A">
      <w:pPr>
        <w:pStyle w:val="Prrafodelista"/>
        <w:numPr>
          <w:ilvl w:val="0"/>
          <w:numId w:val="17"/>
        </w:numPr>
        <w:jc w:val="both"/>
        <w:rPr>
          <w:rFonts w:cs="Gisha"/>
          <w:sz w:val="22"/>
          <w:szCs w:val="22"/>
        </w:rPr>
      </w:pPr>
      <w:r>
        <w:rPr>
          <w:rFonts w:cs="Gisha"/>
          <w:sz w:val="22"/>
          <w:szCs w:val="22"/>
        </w:rPr>
        <w:t>El valor de $</w:t>
      </w:r>
      <w:r w:rsidRPr="00B61293">
        <w:rPr>
          <w:rFonts w:cs="Gisha"/>
          <w:sz w:val="22"/>
          <w:szCs w:val="22"/>
        </w:rPr>
        <w:t xml:space="preserve"> 1.809.24</w:t>
      </w:r>
      <w:r>
        <w:rPr>
          <w:rFonts w:cs="Gisha"/>
          <w:sz w:val="22"/>
          <w:szCs w:val="22"/>
        </w:rPr>
        <w:t>2 miles correspondiente a la ejecución de aportes estatales</w:t>
      </w:r>
    </w:p>
    <w:p w:rsidR="009F6DFC" w:rsidRDefault="009F6DFC" w:rsidP="00853B3A">
      <w:pPr>
        <w:pStyle w:val="Prrafodelista"/>
        <w:numPr>
          <w:ilvl w:val="0"/>
          <w:numId w:val="17"/>
        </w:numPr>
        <w:jc w:val="both"/>
        <w:rPr>
          <w:rFonts w:cs="Gisha"/>
          <w:sz w:val="22"/>
          <w:szCs w:val="22"/>
        </w:rPr>
      </w:pPr>
      <w:r w:rsidRPr="005A0B00">
        <w:rPr>
          <w:rFonts w:cs="Gisha"/>
          <w:sz w:val="22"/>
          <w:szCs w:val="22"/>
        </w:rPr>
        <w:t xml:space="preserve">Reconstrucción puente </w:t>
      </w:r>
      <w:r>
        <w:rPr>
          <w:rFonts w:cs="Gisha"/>
          <w:sz w:val="22"/>
          <w:szCs w:val="22"/>
        </w:rPr>
        <w:t>M</w:t>
      </w:r>
      <w:r w:rsidRPr="005A0B00">
        <w:rPr>
          <w:rFonts w:cs="Gisha"/>
          <w:sz w:val="22"/>
          <w:szCs w:val="22"/>
        </w:rPr>
        <w:t>andiva atentados terroristas por valor de $ 119.730</w:t>
      </w:r>
      <w:r>
        <w:rPr>
          <w:rFonts w:cs="Gisha"/>
          <w:sz w:val="22"/>
          <w:szCs w:val="22"/>
        </w:rPr>
        <w:t xml:space="preserve"> miles.</w:t>
      </w:r>
    </w:p>
    <w:p w:rsidR="009F6DFC" w:rsidRDefault="009F6DFC" w:rsidP="00853B3A">
      <w:pPr>
        <w:pStyle w:val="Prrafodelista"/>
        <w:numPr>
          <w:ilvl w:val="0"/>
          <w:numId w:val="17"/>
        </w:numPr>
        <w:jc w:val="both"/>
        <w:rPr>
          <w:rFonts w:cs="Gisha"/>
          <w:sz w:val="22"/>
          <w:szCs w:val="22"/>
        </w:rPr>
      </w:pPr>
      <w:r>
        <w:rPr>
          <w:rFonts w:cs="Gisha"/>
          <w:sz w:val="22"/>
          <w:szCs w:val="22"/>
        </w:rPr>
        <w:t>El valor de $</w:t>
      </w:r>
      <w:r w:rsidRPr="005A0B00">
        <w:t xml:space="preserve"> </w:t>
      </w:r>
      <w:r>
        <w:rPr>
          <w:rFonts w:cs="Gisha"/>
          <w:sz w:val="22"/>
          <w:szCs w:val="22"/>
        </w:rPr>
        <w:t>3.271.687 miles correspondiente a capital privado</w:t>
      </w:r>
    </w:p>
    <w:p w:rsidR="009F6DFC" w:rsidRDefault="009F6DFC" w:rsidP="009F6DFC">
      <w:pPr>
        <w:pStyle w:val="Prrafodelista"/>
        <w:ind w:left="720"/>
        <w:jc w:val="both"/>
        <w:rPr>
          <w:rFonts w:cs="Gisha"/>
          <w:sz w:val="22"/>
          <w:szCs w:val="22"/>
        </w:rPr>
      </w:pPr>
    </w:p>
    <w:p w:rsidR="009F6DFC" w:rsidRPr="00BE7E46" w:rsidRDefault="009F6DFC" w:rsidP="00853B3A">
      <w:pPr>
        <w:pStyle w:val="Prrafodelista"/>
        <w:numPr>
          <w:ilvl w:val="0"/>
          <w:numId w:val="16"/>
        </w:numPr>
        <w:jc w:val="both"/>
        <w:rPr>
          <w:rFonts w:cs="Gisha"/>
          <w:sz w:val="22"/>
          <w:szCs w:val="22"/>
          <w:u w:val="single"/>
        </w:rPr>
      </w:pPr>
      <w:r w:rsidRPr="00BE7E46">
        <w:rPr>
          <w:rFonts w:cs="Gisha"/>
          <w:sz w:val="22"/>
          <w:szCs w:val="22"/>
          <w:u w:val="single"/>
        </w:rPr>
        <w:t>Desarrollo Vial del Norte de Bogotá</w:t>
      </w:r>
    </w:p>
    <w:p w:rsidR="009F6DFC" w:rsidRPr="00E02BB6" w:rsidRDefault="009F6DFC" w:rsidP="009F6DFC">
      <w:pPr>
        <w:jc w:val="both"/>
        <w:rPr>
          <w:rFonts w:ascii="Arial Narrow" w:hAnsi="Arial Narrow" w:cs="Gisha"/>
          <w:sz w:val="22"/>
          <w:szCs w:val="22"/>
        </w:rPr>
      </w:pPr>
    </w:p>
    <w:p w:rsidR="009F6DFC" w:rsidRDefault="009F6DFC" w:rsidP="009F6DFC">
      <w:pPr>
        <w:jc w:val="both"/>
        <w:rPr>
          <w:rFonts w:ascii="Arial Narrow" w:hAnsi="Arial Narrow" w:cs="Gisha"/>
          <w:sz w:val="22"/>
          <w:szCs w:val="22"/>
        </w:rPr>
      </w:pPr>
      <w:r w:rsidRPr="00E02BB6">
        <w:rPr>
          <w:rFonts w:ascii="Arial Narrow" w:hAnsi="Arial Narrow" w:cs="Gisha"/>
          <w:sz w:val="22"/>
          <w:szCs w:val="22"/>
        </w:rPr>
        <w:t xml:space="preserve">La concesión </w:t>
      </w:r>
      <w:r>
        <w:rPr>
          <w:rFonts w:ascii="Arial Narrow" w:hAnsi="Arial Narrow" w:cs="Gisha"/>
          <w:sz w:val="22"/>
          <w:szCs w:val="22"/>
        </w:rPr>
        <w:t xml:space="preserve">Desarrollo Vial del Norte de Bogotá, </w:t>
      </w:r>
      <w:r w:rsidR="00BE7E46">
        <w:rPr>
          <w:rFonts w:ascii="Arial Narrow" w:hAnsi="Arial Narrow" w:cs="Gisha"/>
          <w:sz w:val="22"/>
          <w:szCs w:val="22"/>
        </w:rPr>
        <w:t>contrato No. 664 de 1994, suscrito</w:t>
      </w:r>
      <w:r>
        <w:rPr>
          <w:rFonts w:ascii="Arial Narrow" w:hAnsi="Arial Narrow" w:cs="Gisha"/>
          <w:sz w:val="22"/>
          <w:szCs w:val="22"/>
        </w:rPr>
        <w:t xml:space="preserve"> por el INVIAS, a 31 de diciembre de 2015 </w:t>
      </w:r>
      <w:r w:rsidR="00BE7E46">
        <w:rPr>
          <w:rFonts w:ascii="Arial Narrow" w:hAnsi="Arial Narrow" w:cs="Gisha"/>
          <w:sz w:val="22"/>
          <w:szCs w:val="22"/>
        </w:rPr>
        <w:t xml:space="preserve">presenta </w:t>
      </w:r>
      <w:r>
        <w:rPr>
          <w:rFonts w:ascii="Arial Narrow" w:hAnsi="Arial Narrow" w:cs="Gisha"/>
          <w:sz w:val="22"/>
          <w:szCs w:val="22"/>
        </w:rPr>
        <w:t>un valor de $ 10.177.053 miles en infraestructura en construcción y $ 241.902.989 miles en infraestructura en servicio.</w:t>
      </w:r>
    </w:p>
    <w:p w:rsidR="009F6DFC" w:rsidRDefault="009F6DFC" w:rsidP="009F6DFC">
      <w:pPr>
        <w:jc w:val="both"/>
        <w:rPr>
          <w:rFonts w:ascii="Arial Narrow" w:hAnsi="Arial Narrow" w:cs="Gisha"/>
          <w:sz w:val="22"/>
          <w:szCs w:val="22"/>
        </w:rPr>
      </w:pPr>
    </w:p>
    <w:p w:rsidR="009F6DFC" w:rsidRPr="00BE7E46" w:rsidRDefault="009F6DFC" w:rsidP="00853B3A">
      <w:pPr>
        <w:pStyle w:val="Prrafodelista"/>
        <w:numPr>
          <w:ilvl w:val="0"/>
          <w:numId w:val="16"/>
        </w:numPr>
        <w:jc w:val="both"/>
        <w:rPr>
          <w:rFonts w:cs="Gisha"/>
          <w:sz w:val="22"/>
          <w:szCs w:val="22"/>
          <w:u w:val="single"/>
          <w:lang w:val="es-ES"/>
        </w:rPr>
      </w:pPr>
      <w:r w:rsidRPr="00BE7E46">
        <w:rPr>
          <w:rFonts w:cs="Gisha"/>
          <w:sz w:val="22"/>
          <w:szCs w:val="22"/>
          <w:u w:val="single"/>
        </w:rPr>
        <w:t>Armenia – Pereira – Manizales</w:t>
      </w:r>
    </w:p>
    <w:p w:rsidR="009F6DFC" w:rsidRPr="001D40D8" w:rsidRDefault="009F6DFC" w:rsidP="009F6DFC">
      <w:pPr>
        <w:jc w:val="both"/>
        <w:rPr>
          <w:rFonts w:ascii="Arial Narrow" w:hAnsi="Arial Narrow" w:cs="Gisha"/>
          <w:sz w:val="22"/>
          <w:szCs w:val="22"/>
        </w:rPr>
      </w:pPr>
    </w:p>
    <w:p w:rsidR="009F6DFC" w:rsidRDefault="009F6DFC" w:rsidP="009F6DFC">
      <w:pPr>
        <w:jc w:val="both"/>
        <w:rPr>
          <w:rFonts w:ascii="Arial Narrow" w:hAnsi="Arial Narrow" w:cs="Gisha"/>
          <w:sz w:val="22"/>
          <w:szCs w:val="22"/>
        </w:rPr>
      </w:pPr>
      <w:r w:rsidRPr="001D40D8">
        <w:rPr>
          <w:rFonts w:ascii="Arial Narrow" w:hAnsi="Arial Narrow" w:cs="Gisha"/>
          <w:sz w:val="22"/>
          <w:szCs w:val="22"/>
        </w:rPr>
        <w:t xml:space="preserve">La concesión </w:t>
      </w:r>
      <w:r>
        <w:rPr>
          <w:rFonts w:ascii="Arial Narrow" w:hAnsi="Arial Narrow" w:cs="Gisha"/>
          <w:sz w:val="22"/>
          <w:szCs w:val="22"/>
        </w:rPr>
        <w:t xml:space="preserve">Armenia – Pereira – Manizales, </w:t>
      </w:r>
      <w:r w:rsidR="00BE7E46">
        <w:rPr>
          <w:rFonts w:ascii="Arial Narrow" w:hAnsi="Arial Narrow" w:cs="Gisha"/>
          <w:sz w:val="22"/>
          <w:szCs w:val="22"/>
        </w:rPr>
        <w:t xml:space="preserve"> contrato No. 113 de 1997, suscrito </w:t>
      </w:r>
      <w:r>
        <w:rPr>
          <w:rFonts w:ascii="Arial Narrow" w:hAnsi="Arial Narrow" w:cs="Gisha"/>
          <w:sz w:val="22"/>
          <w:szCs w:val="22"/>
        </w:rPr>
        <w:t xml:space="preserve">por el INVIAS, a 31 de diciembre de 2015 </w:t>
      </w:r>
      <w:r w:rsidR="00BE7E46">
        <w:rPr>
          <w:rFonts w:ascii="Arial Narrow" w:hAnsi="Arial Narrow" w:cs="Gisha"/>
          <w:sz w:val="22"/>
          <w:szCs w:val="22"/>
        </w:rPr>
        <w:t xml:space="preserve">presenta </w:t>
      </w:r>
      <w:r>
        <w:rPr>
          <w:rFonts w:ascii="Arial Narrow" w:hAnsi="Arial Narrow" w:cs="Gisha"/>
          <w:sz w:val="22"/>
          <w:szCs w:val="22"/>
        </w:rPr>
        <w:t>un valor de $</w:t>
      </w:r>
      <w:r w:rsidRPr="001D40D8">
        <w:rPr>
          <w:rFonts w:ascii="Arial Narrow" w:hAnsi="Arial Narrow" w:cs="Gisha"/>
          <w:sz w:val="22"/>
          <w:szCs w:val="22"/>
        </w:rPr>
        <w:t xml:space="preserve"> 45.204.094</w:t>
      </w:r>
      <w:r>
        <w:rPr>
          <w:rFonts w:ascii="Arial Narrow" w:hAnsi="Arial Narrow" w:cs="Gisha"/>
          <w:sz w:val="22"/>
          <w:szCs w:val="22"/>
        </w:rPr>
        <w:t xml:space="preserve"> miles en infraestructura en construcción y $ 827.742.439 miles en infraestructura en servicio.</w:t>
      </w:r>
    </w:p>
    <w:p w:rsidR="009F6DFC" w:rsidRDefault="009F6DFC" w:rsidP="009F6DFC">
      <w:pPr>
        <w:jc w:val="both"/>
        <w:rPr>
          <w:rFonts w:ascii="Arial Narrow" w:hAnsi="Arial Narrow" w:cs="Gisha"/>
          <w:sz w:val="22"/>
          <w:szCs w:val="22"/>
        </w:rPr>
      </w:pPr>
    </w:p>
    <w:p w:rsidR="009F6DFC" w:rsidRDefault="009F6DFC" w:rsidP="009F6DFC">
      <w:pPr>
        <w:jc w:val="both"/>
        <w:rPr>
          <w:rFonts w:ascii="Arial Narrow" w:hAnsi="Arial Narrow" w:cs="Gisha"/>
          <w:sz w:val="22"/>
          <w:szCs w:val="22"/>
        </w:rPr>
      </w:pPr>
      <w:r>
        <w:rPr>
          <w:rFonts w:ascii="Arial Narrow" w:hAnsi="Arial Narrow" w:cs="Gisha"/>
          <w:sz w:val="22"/>
          <w:szCs w:val="22"/>
        </w:rPr>
        <w:t>Las operaciones realizadas en la vigencia 2015 por este proyecto fueron las siguientes:</w:t>
      </w:r>
    </w:p>
    <w:p w:rsidR="009F6DFC" w:rsidRDefault="009F6DFC" w:rsidP="009F6DFC">
      <w:pPr>
        <w:jc w:val="both"/>
        <w:rPr>
          <w:rFonts w:ascii="Arial Narrow" w:hAnsi="Arial Narrow" w:cs="Gisha"/>
          <w:sz w:val="22"/>
          <w:szCs w:val="22"/>
        </w:rPr>
      </w:pPr>
    </w:p>
    <w:p w:rsidR="009F6DFC" w:rsidRDefault="009F6DFC" w:rsidP="00853B3A">
      <w:pPr>
        <w:pStyle w:val="Prrafodelista"/>
        <w:numPr>
          <w:ilvl w:val="0"/>
          <w:numId w:val="18"/>
        </w:numPr>
        <w:jc w:val="both"/>
        <w:rPr>
          <w:rFonts w:cs="Gisha"/>
          <w:sz w:val="22"/>
          <w:szCs w:val="22"/>
        </w:rPr>
      </w:pPr>
      <w:r>
        <w:rPr>
          <w:rFonts w:cs="Gisha"/>
          <w:sz w:val="22"/>
          <w:szCs w:val="22"/>
        </w:rPr>
        <w:t xml:space="preserve">Aporte estatal realizado por $ 36.323.700 miles </w:t>
      </w:r>
    </w:p>
    <w:p w:rsidR="009F6DFC" w:rsidRDefault="009F6DFC" w:rsidP="00853B3A">
      <w:pPr>
        <w:pStyle w:val="Prrafodelista"/>
        <w:numPr>
          <w:ilvl w:val="0"/>
          <w:numId w:val="18"/>
        </w:numPr>
        <w:jc w:val="both"/>
        <w:rPr>
          <w:rFonts w:cs="Gisha"/>
          <w:sz w:val="22"/>
          <w:szCs w:val="22"/>
        </w:rPr>
      </w:pPr>
      <w:r>
        <w:rPr>
          <w:rFonts w:cs="Gisha"/>
          <w:sz w:val="22"/>
          <w:szCs w:val="22"/>
        </w:rPr>
        <w:t>El valor de $</w:t>
      </w:r>
      <w:r w:rsidRPr="007637FC">
        <w:t xml:space="preserve"> </w:t>
      </w:r>
      <w:r>
        <w:rPr>
          <w:rFonts w:cs="Gisha"/>
          <w:sz w:val="22"/>
          <w:szCs w:val="22"/>
        </w:rPr>
        <w:t>17.388.183 miles correspondiente a ejecución de aportes estatales.</w:t>
      </w:r>
    </w:p>
    <w:p w:rsidR="009F6DFC" w:rsidRDefault="009F6DFC" w:rsidP="00853B3A">
      <w:pPr>
        <w:pStyle w:val="Prrafodelista"/>
        <w:numPr>
          <w:ilvl w:val="0"/>
          <w:numId w:val="18"/>
        </w:numPr>
        <w:jc w:val="both"/>
        <w:rPr>
          <w:rFonts w:cs="Gisha"/>
          <w:sz w:val="22"/>
          <w:szCs w:val="22"/>
        </w:rPr>
      </w:pPr>
      <w:r>
        <w:rPr>
          <w:rFonts w:cs="Gisha"/>
          <w:sz w:val="22"/>
          <w:szCs w:val="22"/>
        </w:rPr>
        <w:t>Inversión de capital privado por valor de $ 27.500.000 miles</w:t>
      </w:r>
    </w:p>
    <w:p w:rsidR="009F6DFC" w:rsidRPr="00CD097C" w:rsidRDefault="009F6DFC" w:rsidP="009F6DFC">
      <w:pPr>
        <w:jc w:val="both"/>
        <w:rPr>
          <w:rFonts w:cs="Gisha"/>
          <w:sz w:val="22"/>
          <w:szCs w:val="22"/>
        </w:rPr>
      </w:pPr>
    </w:p>
    <w:p w:rsidR="009F6DFC" w:rsidRPr="00BE7E46" w:rsidRDefault="009F6DFC" w:rsidP="00853B3A">
      <w:pPr>
        <w:pStyle w:val="Prrafodelista"/>
        <w:numPr>
          <w:ilvl w:val="0"/>
          <w:numId w:val="16"/>
        </w:numPr>
        <w:jc w:val="both"/>
        <w:rPr>
          <w:rFonts w:cs="Gisha"/>
          <w:sz w:val="22"/>
          <w:szCs w:val="22"/>
          <w:u w:val="single"/>
          <w:lang w:val="es-ES"/>
        </w:rPr>
      </w:pPr>
      <w:r w:rsidRPr="00BE7E46">
        <w:rPr>
          <w:rFonts w:cs="Gisha"/>
          <w:sz w:val="22"/>
          <w:szCs w:val="22"/>
          <w:u w:val="single"/>
        </w:rPr>
        <w:t>Siberia, La Punta, El Vino</w:t>
      </w:r>
    </w:p>
    <w:p w:rsidR="009F6DFC" w:rsidRPr="00EB042A" w:rsidRDefault="009F6DFC" w:rsidP="009F6DFC">
      <w:pPr>
        <w:jc w:val="both"/>
        <w:rPr>
          <w:rFonts w:ascii="Arial Narrow" w:hAnsi="Arial Narrow" w:cs="Gisha"/>
          <w:sz w:val="22"/>
          <w:szCs w:val="22"/>
        </w:rPr>
      </w:pPr>
    </w:p>
    <w:p w:rsidR="009F6DFC" w:rsidRDefault="009F6DFC" w:rsidP="009F6DFC">
      <w:pPr>
        <w:jc w:val="both"/>
        <w:rPr>
          <w:rFonts w:ascii="Arial Narrow" w:hAnsi="Arial Narrow" w:cs="Gisha"/>
          <w:sz w:val="22"/>
          <w:szCs w:val="22"/>
        </w:rPr>
      </w:pPr>
      <w:r w:rsidRPr="00EB042A">
        <w:rPr>
          <w:rFonts w:ascii="Arial Narrow" w:hAnsi="Arial Narrow" w:cs="Gisha"/>
          <w:sz w:val="22"/>
          <w:szCs w:val="22"/>
        </w:rPr>
        <w:t xml:space="preserve">La concesión </w:t>
      </w:r>
      <w:r w:rsidRPr="001A2AC2">
        <w:rPr>
          <w:rFonts w:ascii="Arial Narrow" w:hAnsi="Arial Narrow" w:cs="Gisha"/>
          <w:sz w:val="22"/>
          <w:szCs w:val="22"/>
        </w:rPr>
        <w:t>Siberia, La Punta, El Vino</w:t>
      </w:r>
      <w:r>
        <w:rPr>
          <w:rFonts w:ascii="Arial Narrow" w:hAnsi="Arial Narrow" w:cs="Gisha"/>
          <w:sz w:val="22"/>
          <w:szCs w:val="22"/>
        </w:rPr>
        <w:t xml:space="preserve">, contrato No. 447 de 1994, </w:t>
      </w:r>
      <w:r w:rsidR="00BE7E46">
        <w:rPr>
          <w:rFonts w:ascii="Arial Narrow" w:hAnsi="Arial Narrow" w:cs="Gisha"/>
          <w:sz w:val="22"/>
          <w:szCs w:val="22"/>
        </w:rPr>
        <w:t xml:space="preserve">suscrito por el INVIAS, </w:t>
      </w:r>
      <w:r w:rsidR="00BE7E46" w:rsidRPr="005D7AFC">
        <w:rPr>
          <w:rFonts w:ascii="Arial Narrow" w:hAnsi="Arial Narrow" w:cs="Gisha"/>
          <w:sz w:val="22"/>
          <w:szCs w:val="22"/>
        </w:rPr>
        <w:t xml:space="preserve">a 31 de diciembre de 2015  presenta un  </w:t>
      </w:r>
      <w:r w:rsidRPr="005D7AFC">
        <w:rPr>
          <w:rFonts w:ascii="Arial Narrow" w:hAnsi="Arial Narrow" w:cs="Gisha"/>
          <w:sz w:val="22"/>
          <w:szCs w:val="22"/>
        </w:rPr>
        <w:t xml:space="preserve">valor </w:t>
      </w:r>
      <w:r>
        <w:rPr>
          <w:rFonts w:ascii="Arial Narrow" w:hAnsi="Arial Narrow" w:cs="Gisha"/>
          <w:sz w:val="22"/>
          <w:szCs w:val="22"/>
        </w:rPr>
        <w:t>de $ 301.908.532 miles por infraestructura en construcción y $278.404.356 miles infraestructura en servicio.</w:t>
      </w:r>
    </w:p>
    <w:p w:rsidR="009F6DFC" w:rsidRDefault="009F6DFC" w:rsidP="009F6DFC">
      <w:pPr>
        <w:jc w:val="both"/>
        <w:rPr>
          <w:rFonts w:ascii="Arial Narrow" w:hAnsi="Arial Narrow" w:cs="Gisha"/>
          <w:sz w:val="22"/>
          <w:szCs w:val="22"/>
        </w:rPr>
      </w:pPr>
    </w:p>
    <w:p w:rsidR="009F6DFC" w:rsidRDefault="009F6DFC" w:rsidP="009F6DFC">
      <w:pPr>
        <w:jc w:val="both"/>
        <w:rPr>
          <w:rFonts w:ascii="Arial Narrow" w:hAnsi="Arial Narrow" w:cs="Gisha"/>
          <w:sz w:val="22"/>
          <w:szCs w:val="22"/>
        </w:rPr>
      </w:pPr>
      <w:r>
        <w:rPr>
          <w:rFonts w:ascii="Arial Narrow" w:hAnsi="Arial Narrow" w:cs="Gisha"/>
          <w:sz w:val="22"/>
          <w:szCs w:val="22"/>
        </w:rPr>
        <w:t>Las operaciones realizadas en la vigencia 2015 por este proyecto fueron las siguientes:</w:t>
      </w:r>
    </w:p>
    <w:p w:rsidR="009F6DFC" w:rsidRDefault="009F6DFC" w:rsidP="009F6DFC">
      <w:pPr>
        <w:jc w:val="both"/>
        <w:rPr>
          <w:rFonts w:ascii="Arial Narrow" w:hAnsi="Arial Narrow" w:cs="Gisha"/>
          <w:sz w:val="22"/>
          <w:szCs w:val="22"/>
        </w:rPr>
      </w:pPr>
    </w:p>
    <w:p w:rsidR="009F6DFC" w:rsidRDefault="009F6DFC" w:rsidP="00853B3A">
      <w:pPr>
        <w:pStyle w:val="Prrafodelista"/>
        <w:numPr>
          <w:ilvl w:val="0"/>
          <w:numId w:val="18"/>
        </w:numPr>
        <w:jc w:val="both"/>
        <w:rPr>
          <w:rFonts w:cs="Gisha"/>
          <w:sz w:val="22"/>
          <w:szCs w:val="22"/>
        </w:rPr>
      </w:pPr>
      <w:r>
        <w:rPr>
          <w:rFonts w:cs="Gisha"/>
          <w:sz w:val="22"/>
          <w:szCs w:val="22"/>
        </w:rPr>
        <w:t xml:space="preserve">Inversión de capital privado por valor de $ </w:t>
      </w:r>
      <w:r w:rsidR="00A760CA">
        <w:rPr>
          <w:rFonts w:cs="Gisha"/>
          <w:sz w:val="22"/>
          <w:szCs w:val="22"/>
        </w:rPr>
        <w:t>59</w:t>
      </w:r>
      <w:r>
        <w:rPr>
          <w:rFonts w:cs="Gisha"/>
          <w:sz w:val="22"/>
          <w:szCs w:val="22"/>
        </w:rPr>
        <w:t>.</w:t>
      </w:r>
      <w:r w:rsidR="00A760CA">
        <w:rPr>
          <w:rFonts w:cs="Gisha"/>
          <w:sz w:val="22"/>
          <w:szCs w:val="22"/>
        </w:rPr>
        <w:t>758</w:t>
      </w:r>
      <w:r>
        <w:rPr>
          <w:rFonts w:cs="Gisha"/>
          <w:sz w:val="22"/>
          <w:szCs w:val="22"/>
        </w:rPr>
        <w:t>.</w:t>
      </w:r>
      <w:r w:rsidR="00A760CA">
        <w:rPr>
          <w:rFonts w:cs="Gisha"/>
          <w:sz w:val="22"/>
          <w:szCs w:val="22"/>
        </w:rPr>
        <w:t>274</w:t>
      </w:r>
      <w:r>
        <w:rPr>
          <w:rFonts w:cs="Gisha"/>
          <w:sz w:val="22"/>
          <w:szCs w:val="22"/>
        </w:rPr>
        <w:t xml:space="preserve"> miles</w:t>
      </w:r>
    </w:p>
    <w:p w:rsidR="009F6DFC" w:rsidRPr="00C77EA7" w:rsidRDefault="009F6DFC" w:rsidP="00853B3A">
      <w:pPr>
        <w:pStyle w:val="Prrafodelista"/>
        <w:numPr>
          <w:ilvl w:val="0"/>
          <w:numId w:val="18"/>
        </w:numPr>
        <w:jc w:val="both"/>
        <w:rPr>
          <w:rFonts w:cs="Gisha"/>
          <w:sz w:val="22"/>
          <w:szCs w:val="22"/>
        </w:rPr>
      </w:pPr>
      <w:r w:rsidRPr="00C77EA7">
        <w:rPr>
          <w:rFonts w:cs="Gisha"/>
          <w:sz w:val="22"/>
          <w:szCs w:val="22"/>
        </w:rPr>
        <w:t>Pagos por fondos de contingencias de entidades estatales efectuado por FIDUPREVISORA por valor de $16.917.825 miles.</w:t>
      </w:r>
    </w:p>
    <w:p w:rsidR="009F6DFC" w:rsidRPr="00791435" w:rsidRDefault="009F6DFC" w:rsidP="009F6DFC">
      <w:pPr>
        <w:jc w:val="both"/>
        <w:rPr>
          <w:rFonts w:cs="Gisha"/>
          <w:sz w:val="22"/>
          <w:szCs w:val="22"/>
        </w:rPr>
      </w:pPr>
    </w:p>
    <w:p w:rsidR="009F6DFC" w:rsidRPr="00BE7E46" w:rsidRDefault="009F6DFC" w:rsidP="00853B3A">
      <w:pPr>
        <w:pStyle w:val="Prrafodelista"/>
        <w:numPr>
          <w:ilvl w:val="0"/>
          <w:numId w:val="16"/>
        </w:numPr>
        <w:jc w:val="both"/>
        <w:rPr>
          <w:rFonts w:cs="Gisha"/>
          <w:sz w:val="22"/>
          <w:szCs w:val="22"/>
          <w:u w:val="single"/>
          <w:lang w:val="es-ES"/>
        </w:rPr>
      </w:pPr>
      <w:r w:rsidRPr="00BE7E46">
        <w:rPr>
          <w:rFonts w:cs="Gisha"/>
          <w:sz w:val="22"/>
          <w:szCs w:val="22"/>
          <w:u w:val="single"/>
        </w:rPr>
        <w:t>Fontibón - Facatativá - Los Alpes</w:t>
      </w:r>
    </w:p>
    <w:p w:rsidR="009F6DFC" w:rsidRDefault="009F6DFC" w:rsidP="009F6DFC">
      <w:pPr>
        <w:jc w:val="both"/>
        <w:rPr>
          <w:rFonts w:cs="Gisha"/>
          <w:sz w:val="22"/>
          <w:szCs w:val="22"/>
        </w:rPr>
      </w:pPr>
    </w:p>
    <w:p w:rsidR="009F6DFC" w:rsidRDefault="009F6DFC" w:rsidP="009F6DFC">
      <w:pPr>
        <w:jc w:val="both"/>
        <w:rPr>
          <w:rFonts w:ascii="Arial Narrow" w:hAnsi="Arial Narrow" w:cs="Gisha"/>
          <w:sz w:val="22"/>
          <w:szCs w:val="22"/>
        </w:rPr>
      </w:pPr>
      <w:r w:rsidRPr="00E01B9F">
        <w:rPr>
          <w:rFonts w:ascii="Arial Narrow" w:hAnsi="Arial Narrow" w:cs="Gisha"/>
          <w:sz w:val="22"/>
          <w:szCs w:val="22"/>
        </w:rPr>
        <w:t xml:space="preserve">La concesión </w:t>
      </w:r>
      <w:r w:rsidRPr="001A2AC2">
        <w:rPr>
          <w:rFonts w:ascii="Arial Narrow" w:hAnsi="Arial Narrow" w:cs="Gisha"/>
          <w:sz w:val="22"/>
          <w:szCs w:val="22"/>
        </w:rPr>
        <w:t>Fontibón - Facatativá - Los Alpes</w:t>
      </w:r>
      <w:r>
        <w:rPr>
          <w:rFonts w:ascii="Arial Narrow" w:hAnsi="Arial Narrow" w:cs="Gisha"/>
          <w:sz w:val="22"/>
          <w:szCs w:val="22"/>
        </w:rPr>
        <w:t>, contrato No. 937 de 1995</w:t>
      </w:r>
      <w:r w:rsidR="00BE7E46">
        <w:rPr>
          <w:rFonts w:ascii="Arial Narrow" w:hAnsi="Arial Narrow" w:cs="Gisha"/>
          <w:sz w:val="22"/>
          <w:szCs w:val="22"/>
        </w:rPr>
        <w:t xml:space="preserve">, suscrito </w:t>
      </w:r>
      <w:r>
        <w:rPr>
          <w:rFonts w:ascii="Arial Narrow" w:hAnsi="Arial Narrow" w:cs="Gisha"/>
          <w:sz w:val="22"/>
          <w:szCs w:val="22"/>
        </w:rPr>
        <w:t xml:space="preserve">por el INVIAS, </w:t>
      </w:r>
      <w:r w:rsidR="00BE7E46" w:rsidRPr="005D7AFC">
        <w:rPr>
          <w:rFonts w:ascii="Arial Narrow" w:hAnsi="Arial Narrow" w:cs="Gisha"/>
          <w:sz w:val="22"/>
          <w:szCs w:val="22"/>
        </w:rPr>
        <w:t xml:space="preserve">a 31 de diciembre de 2015  presenta  </w:t>
      </w:r>
      <w:r>
        <w:rPr>
          <w:rFonts w:ascii="Arial Narrow" w:hAnsi="Arial Narrow" w:cs="Gisha"/>
          <w:sz w:val="22"/>
          <w:szCs w:val="22"/>
        </w:rPr>
        <w:t>un valor de $11.719.667 miles por infraestructura en construcción y $</w:t>
      </w:r>
      <w:r w:rsidRPr="00E01B9F">
        <w:rPr>
          <w:rFonts w:ascii="Arial Narrow" w:hAnsi="Arial Narrow" w:cs="Gisha"/>
          <w:sz w:val="22"/>
          <w:szCs w:val="22"/>
        </w:rPr>
        <w:t>1.641.66</w:t>
      </w:r>
      <w:r>
        <w:rPr>
          <w:rFonts w:ascii="Arial Narrow" w:hAnsi="Arial Narrow" w:cs="Gisha"/>
          <w:sz w:val="22"/>
          <w:szCs w:val="22"/>
        </w:rPr>
        <w:t>9 miles en infraestructura en servicio.</w:t>
      </w:r>
    </w:p>
    <w:p w:rsidR="00DC5D68" w:rsidRDefault="00DC5D68" w:rsidP="009F6DFC">
      <w:pPr>
        <w:jc w:val="both"/>
        <w:rPr>
          <w:rFonts w:ascii="Arial Narrow" w:hAnsi="Arial Narrow" w:cs="Gisha"/>
          <w:sz w:val="22"/>
          <w:szCs w:val="22"/>
        </w:rPr>
      </w:pPr>
    </w:p>
    <w:p w:rsidR="009F6DFC" w:rsidRPr="00BE7E46" w:rsidRDefault="009F6DFC" w:rsidP="00853B3A">
      <w:pPr>
        <w:pStyle w:val="Prrafodelista"/>
        <w:numPr>
          <w:ilvl w:val="0"/>
          <w:numId w:val="16"/>
        </w:numPr>
        <w:jc w:val="both"/>
        <w:rPr>
          <w:rFonts w:cs="Gisha"/>
          <w:sz w:val="22"/>
          <w:szCs w:val="22"/>
          <w:u w:val="single"/>
          <w:lang w:val="es-ES"/>
        </w:rPr>
      </w:pPr>
      <w:r w:rsidRPr="00BE7E46">
        <w:rPr>
          <w:rFonts w:cs="Gisha"/>
          <w:sz w:val="22"/>
          <w:szCs w:val="22"/>
          <w:u w:val="single"/>
        </w:rPr>
        <w:t>Cartagena – Barranquilla</w:t>
      </w:r>
    </w:p>
    <w:p w:rsidR="009F6DFC" w:rsidRPr="00E165A1" w:rsidRDefault="009F6DFC" w:rsidP="009F6DFC">
      <w:pPr>
        <w:jc w:val="both"/>
        <w:rPr>
          <w:rFonts w:ascii="Arial Narrow" w:hAnsi="Arial Narrow" w:cs="Gisha"/>
          <w:sz w:val="22"/>
          <w:szCs w:val="22"/>
        </w:rPr>
      </w:pPr>
    </w:p>
    <w:p w:rsidR="009F6DFC" w:rsidRDefault="009F6DFC" w:rsidP="009F6DFC">
      <w:pPr>
        <w:jc w:val="both"/>
        <w:rPr>
          <w:rFonts w:ascii="Arial Narrow" w:hAnsi="Arial Narrow" w:cs="Gisha"/>
          <w:sz w:val="22"/>
          <w:szCs w:val="22"/>
        </w:rPr>
      </w:pPr>
      <w:r>
        <w:rPr>
          <w:rFonts w:ascii="Arial Narrow" w:hAnsi="Arial Narrow" w:cs="Gisha"/>
          <w:sz w:val="22"/>
          <w:szCs w:val="22"/>
        </w:rPr>
        <w:t xml:space="preserve">La concesión </w:t>
      </w:r>
      <w:r w:rsidRPr="001A2AC2">
        <w:rPr>
          <w:rFonts w:ascii="Arial Narrow" w:hAnsi="Arial Narrow" w:cs="Gisha"/>
          <w:sz w:val="22"/>
          <w:szCs w:val="22"/>
        </w:rPr>
        <w:t>Cartagena – Barranquilla</w:t>
      </w:r>
      <w:r>
        <w:rPr>
          <w:rFonts w:ascii="Arial Narrow" w:hAnsi="Arial Narrow" w:cs="Gisha"/>
          <w:sz w:val="22"/>
          <w:szCs w:val="22"/>
        </w:rPr>
        <w:t xml:space="preserve">, contrato No. 503 de 1994, </w:t>
      </w:r>
      <w:r w:rsidR="00BE7E46">
        <w:rPr>
          <w:rFonts w:ascii="Arial Narrow" w:hAnsi="Arial Narrow" w:cs="Gisha"/>
          <w:sz w:val="22"/>
          <w:szCs w:val="22"/>
        </w:rPr>
        <w:t xml:space="preserve">suscrito </w:t>
      </w:r>
      <w:r>
        <w:rPr>
          <w:rFonts w:ascii="Arial Narrow" w:hAnsi="Arial Narrow" w:cs="Gisha"/>
          <w:sz w:val="22"/>
          <w:szCs w:val="22"/>
        </w:rPr>
        <w:t xml:space="preserve">por el INVIAS, </w:t>
      </w:r>
      <w:r w:rsidR="00BE7E46" w:rsidRPr="005D7AFC">
        <w:rPr>
          <w:rFonts w:ascii="Arial Narrow" w:hAnsi="Arial Narrow" w:cs="Gisha"/>
          <w:sz w:val="22"/>
          <w:szCs w:val="22"/>
        </w:rPr>
        <w:t xml:space="preserve">a 31 de diciembre de 2015  presenta </w:t>
      </w:r>
      <w:r>
        <w:rPr>
          <w:rFonts w:ascii="Arial Narrow" w:hAnsi="Arial Narrow" w:cs="Gisha"/>
          <w:sz w:val="22"/>
          <w:szCs w:val="22"/>
        </w:rPr>
        <w:t>un valor de $ 767.616.912 miles por concepto de infraestructura en servicio.</w:t>
      </w:r>
    </w:p>
    <w:p w:rsidR="009F6DFC" w:rsidRDefault="009F6DFC" w:rsidP="009F6DFC">
      <w:pPr>
        <w:jc w:val="both"/>
        <w:rPr>
          <w:rFonts w:ascii="Arial Narrow" w:hAnsi="Arial Narrow" w:cs="Gisha"/>
          <w:sz w:val="22"/>
          <w:szCs w:val="22"/>
        </w:rPr>
      </w:pPr>
    </w:p>
    <w:p w:rsidR="009F6DFC" w:rsidRDefault="009F6DFC" w:rsidP="009F6DFC">
      <w:pPr>
        <w:jc w:val="both"/>
        <w:rPr>
          <w:rFonts w:ascii="Arial Narrow" w:hAnsi="Arial Narrow" w:cs="Gisha"/>
          <w:sz w:val="22"/>
          <w:szCs w:val="22"/>
        </w:rPr>
      </w:pPr>
      <w:r>
        <w:rPr>
          <w:rFonts w:ascii="Arial Narrow" w:hAnsi="Arial Narrow" w:cs="Gisha"/>
          <w:sz w:val="22"/>
          <w:szCs w:val="22"/>
        </w:rPr>
        <w:t>Las operaciones realizadas en la vigencia 2015 por este proyecto fueron las siguientes:</w:t>
      </w:r>
    </w:p>
    <w:p w:rsidR="009F6DFC" w:rsidRDefault="009F6DFC" w:rsidP="009F6DFC">
      <w:pPr>
        <w:jc w:val="both"/>
        <w:rPr>
          <w:rFonts w:ascii="Arial Narrow" w:hAnsi="Arial Narrow" w:cs="Gisha"/>
          <w:sz w:val="22"/>
          <w:szCs w:val="22"/>
        </w:rPr>
      </w:pPr>
    </w:p>
    <w:p w:rsidR="009F6DFC" w:rsidRDefault="009F6DFC" w:rsidP="00853B3A">
      <w:pPr>
        <w:pStyle w:val="Prrafodelista"/>
        <w:numPr>
          <w:ilvl w:val="0"/>
          <w:numId w:val="18"/>
        </w:numPr>
        <w:jc w:val="both"/>
        <w:rPr>
          <w:rFonts w:cs="Gisha"/>
          <w:sz w:val="22"/>
          <w:szCs w:val="22"/>
        </w:rPr>
      </w:pPr>
      <w:r>
        <w:rPr>
          <w:rFonts w:cs="Gisha"/>
          <w:sz w:val="22"/>
          <w:szCs w:val="22"/>
        </w:rPr>
        <w:lastRenderedPageBreak/>
        <w:t xml:space="preserve">Aporte estatal realizado por $10.000.000 miles </w:t>
      </w:r>
    </w:p>
    <w:p w:rsidR="009F6DFC" w:rsidRDefault="009F6DFC" w:rsidP="00853B3A">
      <w:pPr>
        <w:pStyle w:val="Prrafodelista"/>
        <w:numPr>
          <w:ilvl w:val="0"/>
          <w:numId w:val="18"/>
        </w:numPr>
        <w:jc w:val="both"/>
        <w:rPr>
          <w:rFonts w:cs="Gisha"/>
          <w:sz w:val="22"/>
          <w:szCs w:val="22"/>
        </w:rPr>
      </w:pPr>
      <w:r>
        <w:rPr>
          <w:rFonts w:cs="Gisha"/>
          <w:sz w:val="22"/>
          <w:szCs w:val="22"/>
        </w:rPr>
        <w:t>El valor de $10.000.000 miles correspondiente a ejecución de aportes estatales.</w:t>
      </w:r>
    </w:p>
    <w:p w:rsidR="009F6DFC" w:rsidRDefault="009F6DFC" w:rsidP="00853B3A">
      <w:pPr>
        <w:pStyle w:val="Prrafodelista"/>
        <w:numPr>
          <w:ilvl w:val="0"/>
          <w:numId w:val="18"/>
        </w:numPr>
        <w:jc w:val="both"/>
        <w:rPr>
          <w:rFonts w:cs="Gisha"/>
          <w:sz w:val="22"/>
          <w:szCs w:val="22"/>
        </w:rPr>
      </w:pPr>
      <w:r>
        <w:rPr>
          <w:rFonts w:cs="Gisha"/>
          <w:sz w:val="22"/>
          <w:szCs w:val="22"/>
        </w:rPr>
        <w:t>Inversión de capital privado por valor de $55.000.000 miles</w:t>
      </w:r>
    </w:p>
    <w:p w:rsidR="009F6DFC" w:rsidRPr="00396476" w:rsidRDefault="009F6DFC" w:rsidP="009F6DFC">
      <w:pPr>
        <w:jc w:val="both"/>
        <w:rPr>
          <w:rFonts w:cs="Gisha"/>
          <w:sz w:val="22"/>
          <w:szCs w:val="22"/>
        </w:rPr>
      </w:pPr>
    </w:p>
    <w:p w:rsidR="009F6DFC" w:rsidRPr="00BE7E46" w:rsidRDefault="009F6DFC" w:rsidP="00853B3A">
      <w:pPr>
        <w:pStyle w:val="Prrafodelista"/>
        <w:numPr>
          <w:ilvl w:val="0"/>
          <w:numId w:val="16"/>
        </w:numPr>
        <w:jc w:val="both"/>
        <w:rPr>
          <w:rFonts w:cs="Gisha"/>
          <w:sz w:val="22"/>
          <w:szCs w:val="22"/>
          <w:u w:val="single"/>
          <w:lang w:val="es-ES"/>
        </w:rPr>
      </w:pPr>
      <w:r w:rsidRPr="00BE7E46">
        <w:rPr>
          <w:rFonts w:cs="Gisha"/>
          <w:sz w:val="22"/>
          <w:szCs w:val="22"/>
          <w:u w:val="single"/>
        </w:rPr>
        <w:t>Santa Marta - Riohacha – Paraguachón</w:t>
      </w:r>
    </w:p>
    <w:p w:rsidR="009F6DFC" w:rsidRDefault="009F6DFC" w:rsidP="009F6DFC">
      <w:pPr>
        <w:jc w:val="both"/>
        <w:rPr>
          <w:rFonts w:cs="Gisha"/>
          <w:sz w:val="22"/>
          <w:szCs w:val="22"/>
        </w:rPr>
      </w:pPr>
    </w:p>
    <w:p w:rsidR="00DC5D68" w:rsidRDefault="009F6DFC" w:rsidP="009F6DFC">
      <w:pPr>
        <w:jc w:val="both"/>
        <w:rPr>
          <w:rFonts w:ascii="Arial Narrow" w:hAnsi="Arial Narrow" w:cs="Gisha"/>
          <w:sz w:val="22"/>
          <w:szCs w:val="22"/>
        </w:rPr>
      </w:pPr>
      <w:r w:rsidRPr="002215A9">
        <w:rPr>
          <w:rFonts w:ascii="Arial Narrow" w:hAnsi="Arial Narrow" w:cs="Gisha"/>
          <w:sz w:val="22"/>
          <w:szCs w:val="22"/>
        </w:rPr>
        <w:t xml:space="preserve">La </w:t>
      </w:r>
      <w:r w:rsidRPr="001A2AC2">
        <w:rPr>
          <w:rFonts w:ascii="Arial Narrow" w:hAnsi="Arial Narrow" w:cs="Gisha"/>
          <w:sz w:val="22"/>
          <w:szCs w:val="22"/>
        </w:rPr>
        <w:t>Concesión Santa Marta - Riohacha – Paraguachón</w:t>
      </w:r>
      <w:r>
        <w:rPr>
          <w:rFonts w:ascii="Arial Narrow" w:hAnsi="Arial Narrow" w:cs="Gisha"/>
          <w:sz w:val="22"/>
          <w:szCs w:val="22"/>
        </w:rPr>
        <w:t xml:space="preserve">, contrato No. 445 de 1994, </w:t>
      </w:r>
      <w:r w:rsidR="00DC5D68">
        <w:rPr>
          <w:rFonts w:ascii="Arial Narrow" w:hAnsi="Arial Narrow" w:cs="Gisha"/>
          <w:sz w:val="22"/>
          <w:szCs w:val="22"/>
        </w:rPr>
        <w:t xml:space="preserve"> suscrito </w:t>
      </w:r>
      <w:r>
        <w:rPr>
          <w:rFonts w:ascii="Arial Narrow" w:hAnsi="Arial Narrow" w:cs="Gisha"/>
          <w:sz w:val="22"/>
          <w:szCs w:val="22"/>
        </w:rPr>
        <w:t xml:space="preserve">por el INVIAS, </w:t>
      </w:r>
      <w:r w:rsidR="00DC5D68" w:rsidRPr="005D7AFC">
        <w:rPr>
          <w:rFonts w:ascii="Arial Narrow" w:hAnsi="Arial Narrow" w:cs="Gisha"/>
          <w:sz w:val="22"/>
          <w:szCs w:val="22"/>
        </w:rPr>
        <w:t xml:space="preserve">a 31 de diciembre de 2015  presenta </w:t>
      </w:r>
      <w:r>
        <w:rPr>
          <w:rFonts w:ascii="Arial Narrow" w:hAnsi="Arial Narrow" w:cs="Gisha"/>
          <w:sz w:val="22"/>
          <w:szCs w:val="22"/>
        </w:rPr>
        <w:t>un valor de $ 931.621 miles en infraestructura en construcción y $</w:t>
      </w:r>
      <w:r w:rsidRPr="0060025F">
        <w:rPr>
          <w:rFonts w:ascii="Arial Narrow" w:hAnsi="Arial Narrow" w:cs="Gisha"/>
          <w:sz w:val="22"/>
          <w:szCs w:val="22"/>
        </w:rPr>
        <w:t>982.126.53</w:t>
      </w:r>
      <w:r>
        <w:rPr>
          <w:rFonts w:ascii="Arial Narrow" w:hAnsi="Arial Narrow" w:cs="Gisha"/>
          <w:sz w:val="22"/>
          <w:szCs w:val="22"/>
        </w:rPr>
        <w:t>7 miles en infraestructura en servicio.</w:t>
      </w:r>
    </w:p>
    <w:p w:rsidR="00DC5D68" w:rsidRDefault="00DC5D68" w:rsidP="009F6DFC">
      <w:pPr>
        <w:jc w:val="both"/>
        <w:rPr>
          <w:rFonts w:ascii="Arial Narrow" w:hAnsi="Arial Narrow" w:cs="Gisha"/>
          <w:sz w:val="22"/>
          <w:szCs w:val="22"/>
        </w:rPr>
      </w:pPr>
    </w:p>
    <w:p w:rsidR="009F6DFC" w:rsidRDefault="009F6DFC" w:rsidP="009F6DFC">
      <w:pPr>
        <w:jc w:val="both"/>
        <w:rPr>
          <w:rFonts w:ascii="Arial Narrow" w:hAnsi="Arial Narrow" w:cs="Gisha"/>
          <w:sz w:val="22"/>
          <w:szCs w:val="22"/>
        </w:rPr>
      </w:pPr>
      <w:r>
        <w:rPr>
          <w:rFonts w:ascii="Arial Narrow" w:hAnsi="Arial Narrow" w:cs="Gisha"/>
          <w:sz w:val="22"/>
          <w:szCs w:val="22"/>
        </w:rPr>
        <w:t>Las operaciones realizadas en la vigencia 2015 por este proyecto fueron las siguientes:</w:t>
      </w:r>
    </w:p>
    <w:p w:rsidR="009F6DFC" w:rsidRDefault="009F6DFC" w:rsidP="009F6DFC">
      <w:pPr>
        <w:jc w:val="both"/>
        <w:rPr>
          <w:rFonts w:ascii="Arial Narrow" w:hAnsi="Arial Narrow" w:cs="Gisha"/>
          <w:sz w:val="22"/>
          <w:szCs w:val="22"/>
        </w:rPr>
      </w:pPr>
    </w:p>
    <w:p w:rsidR="009F6DFC" w:rsidRDefault="009F6DFC" w:rsidP="00853B3A">
      <w:pPr>
        <w:pStyle w:val="Prrafodelista"/>
        <w:numPr>
          <w:ilvl w:val="0"/>
          <w:numId w:val="18"/>
        </w:numPr>
        <w:jc w:val="both"/>
        <w:rPr>
          <w:rFonts w:cs="Gisha"/>
          <w:sz w:val="22"/>
          <w:szCs w:val="22"/>
        </w:rPr>
      </w:pPr>
      <w:r>
        <w:rPr>
          <w:rFonts w:cs="Gisha"/>
          <w:sz w:val="22"/>
          <w:szCs w:val="22"/>
        </w:rPr>
        <w:t>El valor de $</w:t>
      </w:r>
      <w:r w:rsidRPr="00351781">
        <w:rPr>
          <w:rFonts w:cs="Gisha"/>
          <w:sz w:val="22"/>
          <w:szCs w:val="22"/>
        </w:rPr>
        <w:t>6.211.49</w:t>
      </w:r>
      <w:r>
        <w:rPr>
          <w:rFonts w:cs="Gisha"/>
          <w:sz w:val="22"/>
          <w:szCs w:val="22"/>
        </w:rPr>
        <w:t>7</w:t>
      </w:r>
      <w:r w:rsidRPr="00351781">
        <w:rPr>
          <w:rFonts w:cs="Gisha"/>
          <w:sz w:val="22"/>
          <w:szCs w:val="22"/>
        </w:rPr>
        <w:t xml:space="preserve"> </w:t>
      </w:r>
      <w:r>
        <w:rPr>
          <w:rFonts w:cs="Gisha"/>
          <w:sz w:val="22"/>
          <w:szCs w:val="22"/>
        </w:rPr>
        <w:t>miles correspondiente a ejecución de aportes estatales.</w:t>
      </w:r>
    </w:p>
    <w:p w:rsidR="009F6DFC" w:rsidRPr="002215A9" w:rsidRDefault="009F6DFC" w:rsidP="009F6DFC">
      <w:pPr>
        <w:jc w:val="both"/>
        <w:rPr>
          <w:rFonts w:ascii="Arial Narrow" w:hAnsi="Arial Narrow" w:cs="Gisha"/>
          <w:sz w:val="22"/>
          <w:szCs w:val="22"/>
        </w:rPr>
      </w:pPr>
    </w:p>
    <w:p w:rsidR="009F6DFC" w:rsidRPr="00DC5D68" w:rsidRDefault="009F6DFC" w:rsidP="00853B3A">
      <w:pPr>
        <w:pStyle w:val="Prrafodelista"/>
        <w:numPr>
          <w:ilvl w:val="0"/>
          <w:numId w:val="16"/>
        </w:numPr>
        <w:jc w:val="both"/>
        <w:rPr>
          <w:rFonts w:cs="Gisha"/>
          <w:sz w:val="22"/>
          <w:szCs w:val="22"/>
          <w:u w:val="single"/>
          <w:lang w:val="es-ES"/>
        </w:rPr>
      </w:pPr>
      <w:r w:rsidRPr="00DC5D68">
        <w:rPr>
          <w:rFonts w:cs="Gisha"/>
          <w:sz w:val="22"/>
          <w:szCs w:val="22"/>
          <w:u w:val="single"/>
        </w:rPr>
        <w:t>Ruta Caribe</w:t>
      </w:r>
    </w:p>
    <w:p w:rsidR="009F6DFC" w:rsidRDefault="009F6DFC" w:rsidP="009F6DFC">
      <w:pPr>
        <w:jc w:val="both"/>
        <w:rPr>
          <w:rFonts w:cs="Gisha"/>
          <w:sz w:val="22"/>
          <w:szCs w:val="22"/>
        </w:rPr>
      </w:pPr>
    </w:p>
    <w:p w:rsidR="009F6DFC" w:rsidRDefault="009F6DFC" w:rsidP="009F6DFC">
      <w:pPr>
        <w:jc w:val="both"/>
        <w:rPr>
          <w:rFonts w:ascii="Arial Narrow" w:hAnsi="Arial Narrow" w:cs="Gisha"/>
          <w:sz w:val="22"/>
          <w:szCs w:val="22"/>
        </w:rPr>
      </w:pPr>
      <w:r w:rsidRPr="00BE3B3A">
        <w:rPr>
          <w:rFonts w:ascii="Arial Narrow" w:hAnsi="Arial Narrow" w:cs="Gisha"/>
          <w:sz w:val="22"/>
          <w:szCs w:val="22"/>
        </w:rPr>
        <w:t xml:space="preserve">La concesión </w:t>
      </w:r>
      <w:r>
        <w:rPr>
          <w:rFonts w:ascii="Arial Narrow" w:hAnsi="Arial Narrow" w:cs="Gisha"/>
          <w:sz w:val="22"/>
          <w:szCs w:val="22"/>
        </w:rPr>
        <w:t>Ruta Caribe, contrato No. 0</w:t>
      </w:r>
      <w:r w:rsidR="00DC5D68">
        <w:rPr>
          <w:rFonts w:ascii="Arial Narrow" w:hAnsi="Arial Narrow" w:cs="Gisha"/>
          <w:sz w:val="22"/>
          <w:szCs w:val="22"/>
        </w:rPr>
        <w:t xml:space="preserve">08 de 2007, suscrito </w:t>
      </w:r>
      <w:r>
        <w:rPr>
          <w:rFonts w:ascii="Arial Narrow" w:hAnsi="Arial Narrow" w:cs="Gisha"/>
          <w:sz w:val="22"/>
          <w:szCs w:val="22"/>
        </w:rPr>
        <w:t xml:space="preserve">por la </w:t>
      </w:r>
      <w:r w:rsidR="00DC5D68">
        <w:rPr>
          <w:rFonts w:ascii="Arial Narrow" w:hAnsi="Arial Narrow" w:cs="Gisha"/>
          <w:sz w:val="22"/>
          <w:szCs w:val="22"/>
        </w:rPr>
        <w:t>Entidad</w:t>
      </w:r>
      <w:r>
        <w:rPr>
          <w:rFonts w:ascii="Arial Narrow" w:hAnsi="Arial Narrow" w:cs="Gisha"/>
          <w:sz w:val="22"/>
          <w:szCs w:val="22"/>
        </w:rPr>
        <w:t xml:space="preserve">, </w:t>
      </w:r>
      <w:r w:rsidR="00DC5D68" w:rsidRPr="005D7AFC">
        <w:rPr>
          <w:rFonts w:ascii="Arial Narrow" w:hAnsi="Arial Narrow" w:cs="Gisha"/>
          <w:sz w:val="22"/>
          <w:szCs w:val="22"/>
        </w:rPr>
        <w:t xml:space="preserve">a 31 de diciembre de 2015  presenta </w:t>
      </w:r>
      <w:r>
        <w:rPr>
          <w:rFonts w:ascii="Arial Narrow" w:hAnsi="Arial Narrow" w:cs="Gisha"/>
          <w:sz w:val="22"/>
          <w:szCs w:val="22"/>
        </w:rPr>
        <w:t>un valor de $ 38.092.710 miles por concepto de infraestructura en construcción y $</w:t>
      </w:r>
      <w:r w:rsidRPr="00BE3B3A">
        <w:rPr>
          <w:rFonts w:ascii="Arial Narrow" w:hAnsi="Arial Narrow" w:cs="Gisha"/>
          <w:sz w:val="22"/>
          <w:szCs w:val="22"/>
        </w:rPr>
        <w:t>1.306.819.52</w:t>
      </w:r>
      <w:r>
        <w:rPr>
          <w:rFonts w:ascii="Arial Narrow" w:hAnsi="Arial Narrow" w:cs="Gisha"/>
          <w:sz w:val="22"/>
          <w:szCs w:val="22"/>
        </w:rPr>
        <w:t>5 miles en infraestructura en servicio.</w:t>
      </w:r>
    </w:p>
    <w:p w:rsidR="009F6DFC" w:rsidRDefault="009F6DFC" w:rsidP="009F6DFC">
      <w:pPr>
        <w:jc w:val="both"/>
        <w:rPr>
          <w:rFonts w:ascii="Arial Narrow" w:hAnsi="Arial Narrow" w:cs="Gisha"/>
          <w:sz w:val="22"/>
          <w:szCs w:val="22"/>
        </w:rPr>
      </w:pPr>
    </w:p>
    <w:p w:rsidR="009F6DFC" w:rsidRDefault="009F6DFC" w:rsidP="009F6DFC">
      <w:pPr>
        <w:jc w:val="both"/>
        <w:rPr>
          <w:rFonts w:ascii="Arial Narrow" w:hAnsi="Arial Narrow" w:cs="Gisha"/>
          <w:sz w:val="22"/>
          <w:szCs w:val="22"/>
        </w:rPr>
      </w:pPr>
      <w:r>
        <w:rPr>
          <w:rFonts w:ascii="Arial Narrow" w:hAnsi="Arial Narrow" w:cs="Gisha"/>
          <w:sz w:val="22"/>
          <w:szCs w:val="22"/>
        </w:rPr>
        <w:t>Las operaciones realizadas en la vigencia 2015 por este proyecto fueron las siguientes:</w:t>
      </w:r>
    </w:p>
    <w:p w:rsidR="009F6DFC" w:rsidRDefault="009F6DFC" w:rsidP="009F6DFC">
      <w:pPr>
        <w:jc w:val="both"/>
        <w:rPr>
          <w:rFonts w:ascii="Arial Narrow" w:hAnsi="Arial Narrow" w:cs="Gisha"/>
          <w:sz w:val="22"/>
          <w:szCs w:val="22"/>
        </w:rPr>
      </w:pPr>
    </w:p>
    <w:p w:rsidR="009F6DFC" w:rsidRDefault="009F6DFC" w:rsidP="00853B3A">
      <w:pPr>
        <w:pStyle w:val="Prrafodelista"/>
        <w:numPr>
          <w:ilvl w:val="0"/>
          <w:numId w:val="18"/>
        </w:numPr>
        <w:jc w:val="both"/>
        <w:rPr>
          <w:rFonts w:cs="Gisha"/>
          <w:sz w:val="22"/>
          <w:szCs w:val="22"/>
        </w:rPr>
      </w:pPr>
      <w:r>
        <w:rPr>
          <w:rFonts w:cs="Gisha"/>
          <w:sz w:val="22"/>
          <w:szCs w:val="22"/>
        </w:rPr>
        <w:t xml:space="preserve">Aporte estatal realizado por $ 129.017.013 miles </w:t>
      </w:r>
    </w:p>
    <w:p w:rsidR="009F6DFC" w:rsidRDefault="009F6DFC" w:rsidP="00853B3A">
      <w:pPr>
        <w:pStyle w:val="Prrafodelista"/>
        <w:numPr>
          <w:ilvl w:val="0"/>
          <w:numId w:val="18"/>
        </w:numPr>
        <w:jc w:val="both"/>
        <w:rPr>
          <w:rFonts w:cs="Gisha"/>
          <w:sz w:val="22"/>
          <w:szCs w:val="22"/>
        </w:rPr>
      </w:pPr>
      <w:r>
        <w:rPr>
          <w:rFonts w:cs="Gisha"/>
          <w:sz w:val="22"/>
          <w:szCs w:val="22"/>
        </w:rPr>
        <w:t>El valor de $72.417.496 miles correspondiente a ejecución de aportes estatales.</w:t>
      </w:r>
    </w:p>
    <w:p w:rsidR="009F6DFC" w:rsidRDefault="009F6DFC" w:rsidP="00853B3A">
      <w:pPr>
        <w:pStyle w:val="Prrafodelista"/>
        <w:numPr>
          <w:ilvl w:val="0"/>
          <w:numId w:val="18"/>
        </w:numPr>
        <w:jc w:val="both"/>
        <w:rPr>
          <w:rFonts w:cs="Gisha"/>
          <w:sz w:val="22"/>
          <w:szCs w:val="22"/>
        </w:rPr>
      </w:pPr>
      <w:r>
        <w:rPr>
          <w:rFonts w:cs="Gisha"/>
          <w:sz w:val="22"/>
          <w:szCs w:val="22"/>
        </w:rPr>
        <w:t>Inversión de capital privado por valor de $ 10.440.142 miles</w:t>
      </w:r>
    </w:p>
    <w:p w:rsidR="009F6DFC" w:rsidRDefault="009F6DFC" w:rsidP="00853B3A">
      <w:pPr>
        <w:pStyle w:val="Prrafodelista"/>
        <w:numPr>
          <w:ilvl w:val="0"/>
          <w:numId w:val="18"/>
        </w:numPr>
        <w:jc w:val="both"/>
        <w:rPr>
          <w:rFonts w:cs="Gisha"/>
          <w:sz w:val="22"/>
          <w:szCs w:val="22"/>
        </w:rPr>
      </w:pPr>
      <w:r>
        <w:rPr>
          <w:rFonts w:cs="Gisha"/>
          <w:sz w:val="22"/>
          <w:szCs w:val="22"/>
        </w:rPr>
        <w:t>El valor de $ 2.592.321 miles correspondiente a pago por el Fondo de Contingencias de entidades Estatales efectuados por la FIDUPREVISORA.</w:t>
      </w:r>
    </w:p>
    <w:p w:rsidR="009F6DFC" w:rsidRDefault="009F6DFC" w:rsidP="009F6DFC">
      <w:pPr>
        <w:pStyle w:val="Prrafodelista"/>
        <w:ind w:left="720"/>
        <w:jc w:val="both"/>
        <w:rPr>
          <w:rFonts w:cs="Gisha"/>
          <w:sz w:val="22"/>
          <w:szCs w:val="22"/>
        </w:rPr>
      </w:pPr>
    </w:p>
    <w:p w:rsidR="009F6DFC" w:rsidRPr="00DC5D68" w:rsidRDefault="009F6DFC" w:rsidP="00853B3A">
      <w:pPr>
        <w:pStyle w:val="Prrafodelista"/>
        <w:numPr>
          <w:ilvl w:val="0"/>
          <w:numId w:val="16"/>
        </w:numPr>
        <w:jc w:val="both"/>
        <w:rPr>
          <w:rFonts w:cs="Gisha"/>
          <w:sz w:val="22"/>
          <w:szCs w:val="22"/>
          <w:u w:val="single"/>
          <w:lang w:val="es-ES"/>
        </w:rPr>
      </w:pPr>
      <w:r w:rsidRPr="00DC5D68">
        <w:rPr>
          <w:rFonts w:cs="Gisha"/>
          <w:sz w:val="22"/>
          <w:szCs w:val="22"/>
          <w:u w:val="single"/>
          <w:lang w:val="es-ES"/>
        </w:rPr>
        <w:t>Desarrollo Vial del Oriente de Medellín</w:t>
      </w:r>
    </w:p>
    <w:p w:rsidR="009F6DFC" w:rsidRDefault="009F6DFC" w:rsidP="009F6DFC">
      <w:pPr>
        <w:jc w:val="both"/>
        <w:rPr>
          <w:rFonts w:cs="Gisha"/>
          <w:sz w:val="22"/>
          <w:szCs w:val="22"/>
        </w:rPr>
      </w:pPr>
    </w:p>
    <w:p w:rsidR="009F6DFC" w:rsidRDefault="009F6DFC" w:rsidP="009F6DFC">
      <w:pPr>
        <w:jc w:val="both"/>
        <w:rPr>
          <w:rFonts w:ascii="Arial Narrow" w:hAnsi="Arial Narrow" w:cs="Gisha"/>
          <w:sz w:val="22"/>
          <w:szCs w:val="22"/>
        </w:rPr>
      </w:pPr>
      <w:r w:rsidRPr="007D74E0">
        <w:rPr>
          <w:rFonts w:ascii="Arial Narrow" w:hAnsi="Arial Narrow" w:cs="Gisha"/>
          <w:sz w:val="22"/>
          <w:szCs w:val="22"/>
        </w:rPr>
        <w:t>La concesión Desarrollo Vial del Oriente de Medellín</w:t>
      </w:r>
      <w:r>
        <w:rPr>
          <w:rFonts w:ascii="Arial Narrow" w:hAnsi="Arial Narrow" w:cs="Gisha"/>
          <w:sz w:val="22"/>
          <w:szCs w:val="22"/>
        </w:rPr>
        <w:t xml:space="preserve">, contrato No. 275 de 1996 </w:t>
      </w:r>
      <w:r w:rsidR="00DC5D68">
        <w:rPr>
          <w:rFonts w:ascii="Arial Narrow" w:hAnsi="Arial Narrow" w:cs="Gisha"/>
          <w:sz w:val="22"/>
          <w:szCs w:val="22"/>
        </w:rPr>
        <w:t xml:space="preserve">suscrito </w:t>
      </w:r>
      <w:r>
        <w:rPr>
          <w:rFonts w:ascii="Arial Narrow" w:hAnsi="Arial Narrow" w:cs="Gisha"/>
          <w:sz w:val="22"/>
          <w:szCs w:val="22"/>
        </w:rPr>
        <w:t xml:space="preserve">por el INVIAS, </w:t>
      </w:r>
      <w:r w:rsidR="00DC5D68" w:rsidRPr="005D7AFC">
        <w:rPr>
          <w:rFonts w:ascii="Arial Narrow" w:hAnsi="Arial Narrow" w:cs="Gisha"/>
          <w:sz w:val="22"/>
          <w:szCs w:val="22"/>
        </w:rPr>
        <w:t xml:space="preserve">a 31 de diciembre de 2015  presenta </w:t>
      </w:r>
      <w:r>
        <w:rPr>
          <w:rFonts w:ascii="Arial Narrow" w:hAnsi="Arial Narrow" w:cs="Gisha"/>
          <w:sz w:val="22"/>
          <w:szCs w:val="22"/>
        </w:rPr>
        <w:t>un valor de $ 51.628.712 miles correspondiente a infraestructura en construcción y $ 367.030.237 miles en infraestructura en servicio.</w:t>
      </w:r>
    </w:p>
    <w:p w:rsidR="009F6DFC" w:rsidRDefault="009F6DFC" w:rsidP="009F6DFC">
      <w:pPr>
        <w:jc w:val="both"/>
        <w:rPr>
          <w:rFonts w:ascii="Arial Narrow" w:hAnsi="Arial Narrow" w:cs="Gisha"/>
          <w:sz w:val="22"/>
          <w:szCs w:val="22"/>
        </w:rPr>
      </w:pPr>
    </w:p>
    <w:p w:rsidR="009F6DFC" w:rsidRDefault="009F6DFC" w:rsidP="009F6DFC">
      <w:pPr>
        <w:jc w:val="both"/>
        <w:rPr>
          <w:rFonts w:ascii="Arial Narrow" w:hAnsi="Arial Narrow" w:cs="Gisha"/>
          <w:sz w:val="22"/>
          <w:szCs w:val="22"/>
        </w:rPr>
      </w:pPr>
      <w:r>
        <w:rPr>
          <w:rFonts w:ascii="Arial Narrow" w:hAnsi="Arial Narrow" w:cs="Gisha"/>
          <w:sz w:val="22"/>
          <w:szCs w:val="22"/>
        </w:rPr>
        <w:t>Las operaciones realizadas en la vigencia 2015 por este proyecto fueron las siguientes:</w:t>
      </w:r>
    </w:p>
    <w:p w:rsidR="009F6DFC" w:rsidRDefault="009F6DFC" w:rsidP="009F6DFC">
      <w:pPr>
        <w:jc w:val="both"/>
        <w:rPr>
          <w:rFonts w:ascii="Arial Narrow" w:hAnsi="Arial Narrow" w:cs="Gisha"/>
          <w:sz w:val="22"/>
          <w:szCs w:val="22"/>
        </w:rPr>
      </w:pPr>
    </w:p>
    <w:p w:rsidR="009F6DFC" w:rsidRDefault="009F6DFC" w:rsidP="00853B3A">
      <w:pPr>
        <w:pStyle w:val="Prrafodelista"/>
        <w:numPr>
          <w:ilvl w:val="0"/>
          <w:numId w:val="18"/>
        </w:numPr>
        <w:jc w:val="both"/>
        <w:rPr>
          <w:rFonts w:cs="Gisha"/>
          <w:sz w:val="22"/>
          <w:szCs w:val="22"/>
        </w:rPr>
      </w:pPr>
      <w:r>
        <w:rPr>
          <w:rFonts w:cs="Gisha"/>
          <w:sz w:val="22"/>
          <w:szCs w:val="22"/>
        </w:rPr>
        <w:t>El valor de $ 332.036 miles correspondiente a ejecución de recursos públicos.</w:t>
      </w:r>
    </w:p>
    <w:p w:rsidR="009F6DFC" w:rsidRDefault="009F6DFC" w:rsidP="00853B3A">
      <w:pPr>
        <w:pStyle w:val="Prrafodelista"/>
        <w:numPr>
          <w:ilvl w:val="0"/>
          <w:numId w:val="18"/>
        </w:numPr>
        <w:jc w:val="both"/>
        <w:rPr>
          <w:rFonts w:cs="Gisha"/>
          <w:sz w:val="22"/>
          <w:szCs w:val="22"/>
        </w:rPr>
      </w:pPr>
      <w:r>
        <w:rPr>
          <w:rFonts w:cs="Gisha"/>
          <w:sz w:val="22"/>
          <w:szCs w:val="22"/>
        </w:rPr>
        <w:t>Inversión de capital privado por valor de $ 8</w:t>
      </w:r>
      <w:r w:rsidR="0002155A">
        <w:rPr>
          <w:rFonts w:cs="Gisha"/>
          <w:sz w:val="22"/>
          <w:szCs w:val="22"/>
        </w:rPr>
        <w:t>8</w:t>
      </w:r>
      <w:r>
        <w:rPr>
          <w:rFonts w:cs="Gisha"/>
          <w:sz w:val="22"/>
          <w:szCs w:val="22"/>
        </w:rPr>
        <w:t>.</w:t>
      </w:r>
      <w:r w:rsidR="0002155A">
        <w:rPr>
          <w:rFonts w:cs="Gisha"/>
          <w:sz w:val="22"/>
          <w:szCs w:val="22"/>
        </w:rPr>
        <w:t>0</w:t>
      </w:r>
      <w:r>
        <w:rPr>
          <w:rFonts w:cs="Gisha"/>
          <w:sz w:val="22"/>
          <w:szCs w:val="22"/>
        </w:rPr>
        <w:t>00.000 miles</w:t>
      </w:r>
    </w:p>
    <w:p w:rsidR="009F6DFC" w:rsidRPr="007D74E0" w:rsidRDefault="009F6DFC" w:rsidP="009F6DFC">
      <w:pPr>
        <w:jc w:val="both"/>
        <w:rPr>
          <w:rFonts w:ascii="Arial Narrow" w:hAnsi="Arial Narrow" w:cs="Gisha"/>
          <w:sz w:val="22"/>
          <w:szCs w:val="22"/>
        </w:rPr>
      </w:pPr>
    </w:p>
    <w:p w:rsidR="009F6DFC" w:rsidRPr="00DC5D68" w:rsidRDefault="009F6DFC" w:rsidP="00853B3A">
      <w:pPr>
        <w:pStyle w:val="Prrafodelista"/>
        <w:numPr>
          <w:ilvl w:val="0"/>
          <w:numId w:val="16"/>
        </w:numPr>
        <w:jc w:val="both"/>
        <w:rPr>
          <w:rFonts w:cs="Gisha"/>
          <w:sz w:val="22"/>
          <w:szCs w:val="22"/>
          <w:u w:val="single"/>
          <w:lang w:val="es-ES"/>
        </w:rPr>
      </w:pPr>
      <w:r w:rsidRPr="00DC5D68">
        <w:rPr>
          <w:rFonts w:cs="Gisha"/>
          <w:sz w:val="22"/>
          <w:szCs w:val="22"/>
          <w:u w:val="single"/>
        </w:rPr>
        <w:t>Bogotá -  Villavicencio</w:t>
      </w:r>
    </w:p>
    <w:p w:rsidR="009F6DFC" w:rsidRDefault="009F6DFC" w:rsidP="009F6DFC">
      <w:pPr>
        <w:jc w:val="both"/>
        <w:rPr>
          <w:rFonts w:cs="Gisha"/>
          <w:sz w:val="22"/>
          <w:szCs w:val="22"/>
        </w:rPr>
      </w:pPr>
    </w:p>
    <w:p w:rsidR="009F6DFC" w:rsidRPr="005D7AFC" w:rsidRDefault="009F6DFC" w:rsidP="009F6DFC">
      <w:pPr>
        <w:jc w:val="both"/>
        <w:rPr>
          <w:rFonts w:ascii="Arial Narrow" w:hAnsi="Arial Narrow" w:cs="Gisha"/>
          <w:sz w:val="22"/>
          <w:szCs w:val="22"/>
        </w:rPr>
      </w:pPr>
      <w:r w:rsidRPr="007F43CE">
        <w:rPr>
          <w:rFonts w:ascii="Arial Narrow" w:hAnsi="Arial Narrow" w:cs="Gisha"/>
          <w:sz w:val="22"/>
          <w:szCs w:val="22"/>
        </w:rPr>
        <w:t xml:space="preserve">La concesión </w:t>
      </w:r>
      <w:r w:rsidRPr="001A2AC2">
        <w:rPr>
          <w:rFonts w:ascii="Arial Narrow" w:hAnsi="Arial Narrow" w:cs="Gisha"/>
          <w:sz w:val="22"/>
          <w:szCs w:val="22"/>
        </w:rPr>
        <w:t>Bogotá -  Villavicencio</w:t>
      </w:r>
      <w:r>
        <w:rPr>
          <w:rFonts w:ascii="Arial Narrow" w:hAnsi="Arial Narrow" w:cs="Gisha"/>
          <w:sz w:val="22"/>
          <w:szCs w:val="22"/>
        </w:rPr>
        <w:t xml:space="preserve">, </w:t>
      </w:r>
      <w:r w:rsidR="00DC5D68">
        <w:rPr>
          <w:rFonts w:ascii="Arial Narrow" w:hAnsi="Arial Narrow" w:cs="Gisha"/>
          <w:sz w:val="22"/>
          <w:szCs w:val="22"/>
        </w:rPr>
        <w:t>contrato No. 444 de 1994 suscrito</w:t>
      </w:r>
      <w:r>
        <w:rPr>
          <w:rFonts w:ascii="Arial Narrow" w:hAnsi="Arial Narrow" w:cs="Gisha"/>
          <w:sz w:val="22"/>
          <w:szCs w:val="22"/>
        </w:rPr>
        <w:t xml:space="preserve"> por el INVIAS</w:t>
      </w:r>
      <w:r w:rsidR="00DC5D68">
        <w:rPr>
          <w:rFonts w:ascii="Arial Narrow" w:hAnsi="Arial Narrow" w:cs="Gisha"/>
          <w:sz w:val="22"/>
          <w:szCs w:val="22"/>
        </w:rPr>
        <w:t xml:space="preserve">, </w:t>
      </w:r>
      <w:r w:rsidR="00DC5D68" w:rsidRPr="005D7AFC">
        <w:rPr>
          <w:rFonts w:ascii="Arial Narrow" w:hAnsi="Arial Narrow" w:cs="Gisha"/>
          <w:sz w:val="22"/>
          <w:szCs w:val="22"/>
        </w:rPr>
        <w:t xml:space="preserve">a 31 de diciembre de 2015  presenta </w:t>
      </w:r>
      <w:r w:rsidRPr="005D7AFC">
        <w:rPr>
          <w:rFonts w:ascii="Arial Narrow" w:hAnsi="Arial Narrow" w:cs="Gisha"/>
          <w:sz w:val="22"/>
          <w:szCs w:val="22"/>
        </w:rPr>
        <w:t>un valor de $ 3.888.955.658 miles correspondiente a infraestructura en servicio.</w:t>
      </w:r>
    </w:p>
    <w:p w:rsidR="009F6DFC" w:rsidRDefault="009F6DFC" w:rsidP="009F6DFC">
      <w:pPr>
        <w:jc w:val="both"/>
        <w:rPr>
          <w:rFonts w:ascii="Arial Narrow" w:hAnsi="Arial Narrow" w:cs="Gisha"/>
          <w:sz w:val="22"/>
          <w:szCs w:val="22"/>
        </w:rPr>
      </w:pPr>
    </w:p>
    <w:p w:rsidR="009F6DFC" w:rsidRDefault="009F6DFC" w:rsidP="009F6DFC">
      <w:pPr>
        <w:jc w:val="both"/>
        <w:rPr>
          <w:rFonts w:ascii="Arial Narrow" w:hAnsi="Arial Narrow" w:cs="Gisha"/>
          <w:sz w:val="22"/>
          <w:szCs w:val="22"/>
        </w:rPr>
      </w:pPr>
      <w:r>
        <w:rPr>
          <w:rFonts w:ascii="Arial Narrow" w:hAnsi="Arial Narrow" w:cs="Gisha"/>
          <w:sz w:val="22"/>
          <w:szCs w:val="22"/>
        </w:rPr>
        <w:t>Las operaciones realizadas en la vigencia 2015 por este proyecto fueron las siguientes:</w:t>
      </w:r>
    </w:p>
    <w:p w:rsidR="009F6DFC" w:rsidRDefault="009F6DFC" w:rsidP="009F6DFC">
      <w:pPr>
        <w:jc w:val="both"/>
        <w:rPr>
          <w:rFonts w:ascii="Arial Narrow" w:hAnsi="Arial Narrow" w:cs="Gisha"/>
          <w:sz w:val="22"/>
          <w:szCs w:val="22"/>
        </w:rPr>
      </w:pPr>
    </w:p>
    <w:p w:rsidR="009F6DFC" w:rsidRDefault="009F6DFC" w:rsidP="00853B3A">
      <w:pPr>
        <w:pStyle w:val="Prrafodelista"/>
        <w:numPr>
          <w:ilvl w:val="0"/>
          <w:numId w:val="18"/>
        </w:numPr>
        <w:jc w:val="both"/>
        <w:rPr>
          <w:rFonts w:cs="Gisha"/>
          <w:sz w:val="22"/>
          <w:szCs w:val="22"/>
        </w:rPr>
      </w:pPr>
      <w:r>
        <w:rPr>
          <w:rFonts w:cs="Gisha"/>
          <w:sz w:val="22"/>
          <w:szCs w:val="22"/>
        </w:rPr>
        <w:t xml:space="preserve">Aporte estatal realizado por $ 381.157.000 miles </w:t>
      </w:r>
    </w:p>
    <w:p w:rsidR="009F6DFC" w:rsidRDefault="009F6DFC" w:rsidP="00853B3A">
      <w:pPr>
        <w:pStyle w:val="Prrafodelista"/>
        <w:numPr>
          <w:ilvl w:val="0"/>
          <w:numId w:val="18"/>
        </w:numPr>
        <w:jc w:val="both"/>
        <w:rPr>
          <w:rFonts w:cs="Gisha"/>
          <w:sz w:val="22"/>
          <w:szCs w:val="22"/>
        </w:rPr>
      </w:pPr>
      <w:r>
        <w:rPr>
          <w:rFonts w:cs="Gisha"/>
          <w:sz w:val="22"/>
          <w:szCs w:val="22"/>
        </w:rPr>
        <w:t>El valor de $</w:t>
      </w:r>
      <w:r w:rsidRPr="009151D7">
        <w:t xml:space="preserve"> </w:t>
      </w:r>
      <w:r>
        <w:rPr>
          <w:rFonts w:cs="Gisha"/>
          <w:sz w:val="22"/>
          <w:szCs w:val="22"/>
        </w:rPr>
        <w:t>381.157.000 miles correspondiente a ejecución de aportes estatales.</w:t>
      </w:r>
    </w:p>
    <w:p w:rsidR="009F6DFC" w:rsidRDefault="009F6DFC" w:rsidP="00853B3A">
      <w:pPr>
        <w:pStyle w:val="Prrafodelista"/>
        <w:numPr>
          <w:ilvl w:val="0"/>
          <w:numId w:val="18"/>
        </w:numPr>
        <w:jc w:val="both"/>
        <w:rPr>
          <w:rFonts w:cs="Gisha"/>
          <w:sz w:val="22"/>
          <w:szCs w:val="22"/>
        </w:rPr>
      </w:pPr>
      <w:r>
        <w:rPr>
          <w:rFonts w:cs="Gisha"/>
          <w:sz w:val="22"/>
          <w:szCs w:val="22"/>
        </w:rPr>
        <w:t>Inversión de capital privado por valor de $ 39.700.000 miles</w:t>
      </w:r>
    </w:p>
    <w:p w:rsidR="009F6DFC" w:rsidRDefault="009F6DFC" w:rsidP="00853B3A">
      <w:pPr>
        <w:pStyle w:val="Prrafodelista"/>
        <w:numPr>
          <w:ilvl w:val="0"/>
          <w:numId w:val="18"/>
        </w:numPr>
        <w:jc w:val="both"/>
        <w:rPr>
          <w:rFonts w:cs="Gisha"/>
          <w:sz w:val="22"/>
          <w:szCs w:val="22"/>
        </w:rPr>
      </w:pPr>
      <w:r>
        <w:rPr>
          <w:rFonts w:cs="Gisha"/>
          <w:sz w:val="22"/>
          <w:szCs w:val="22"/>
        </w:rPr>
        <w:lastRenderedPageBreak/>
        <w:t>El valor de $ 128.598.768 miles correspondiente a pago por el Fondo de Contingencias de entidades Estatales efectuados por la FIDUPREVISORA.</w:t>
      </w:r>
    </w:p>
    <w:p w:rsidR="009F6DFC" w:rsidRPr="007F43CE" w:rsidRDefault="009F6DFC" w:rsidP="009F6DFC">
      <w:pPr>
        <w:jc w:val="both"/>
        <w:rPr>
          <w:rFonts w:ascii="Arial Narrow" w:hAnsi="Arial Narrow" w:cs="Gisha"/>
          <w:sz w:val="22"/>
          <w:szCs w:val="22"/>
        </w:rPr>
      </w:pPr>
      <w:r>
        <w:rPr>
          <w:rFonts w:ascii="Arial Narrow" w:hAnsi="Arial Narrow" w:cs="Gisha"/>
          <w:sz w:val="22"/>
          <w:szCs w:val="22"/>
        </w:rPr>
        <w:t xml:space="preserve">  </w:t>
      </w:r>
    </w:p>
    <w:p w:rsidR="009F6DFC" w:rsidRPr="00DC5D68" w:rsidRDefault="009F6DFC" w:rsidP="00853B3A">
      <w:pPr>
        <w:pStyle w:val="Prrafodelista"/>
        <w:numPr>
          <w:ilvl w:val="0"/>
          <w:numId w:val="16"/>
        </w:numPr>
        <w:jc w:val="both"/>
        <w:rPr>
          <w:rFonts w:cs="Gisha"/>
          <w:sz w:val="22"/>
          <w:szCs w:val="22"/>
          <w:u w:val="single"/>
          <w:lang w:val="es-ES"/>
        </w:rPr>
      </w:pPr>
      <w:r w:rsidRPr="00DC5D68">
        <w:rPr>
          <w:rFonts w:cs="Gisha"/>
          <w:sz w:val="22"/>
          <w:szCs w:val="22"/>
          <w:u w:val="single"/>
        </w:rPr>
        <w:t>Bogotá –Girardot</w:t>
      </w:r>
    </w:p>
    <w:p w:rsidR="009F6DFC" w:rsidRPr="00B92429" w:rsidRDefault="009F6DFC" w:rsidP="009F6DFC">
      <w:pPr>
        <w:jc w:val="both"/>
        <w:rPr>
          <w:rFonts w:ascii="Arial Narrow" w:hAnsi="Arial Narrow" w:cs="Gisha"/>
          <w:sz w:val="22"/>
          <w:szCs w:val="22"/>
        </w:rPr>
      </w:pPr>
    </w:p>
    <w:p w:rsidR="009F6DFC" w:rsidRDefault="009F6DFC" w:rsidP="009F6DFC">
      <w:pPr>
        <w:jc w:val="both"/>
        <w:rPr>
          <w:rFonts w:ascii="Arial Narrow" w:hAnsi="Arial Narrow" w:cs="Gisha"/>
          <w:sz w:val="22"/>
          <w:szCs w:val="22"/>
        </w:rPr>
      </w:pPr>
      <w:r>
        <w:rPr>
          <w:rFonts w:ascii="Arial Narrow" w:hAnsi="Arial Narrow" w:cs="Gisha"/>
          <w:sz w:val="22"/>
          <w:szCs w:val="22"/>
        </w:rPr>
        <w:t xml:space="preserve">La concesión </w:t>
      </w:r>
      <w:r w:rsidRPr="001A2AC2">
        <w:rPr>
          <w:rFonts w:ascii="Arial Narrow" w:hAnsi="Arial Narrow" w:cs="Gisha"/>
          <w:sz w:val="22"/>
          <w:szCs w:val="22"/>
        </w:rPr>
        <w:t>Bogotá –Girardot</w:t>
      </w:r>
      <w:r>
        <w:rPr>
          <w:rFonts w:ascii="Arial Narrow" w:hAnsi="Arial Narrow" w:cs="Gisha"/>
          <w:sz w:val="22"/>
          <w:szCs w:val="22"/>
        </w:rPr>
        <w:t xml:space="preserve">, </w:t>
      </w:r>
      <w:r w:rsidR="00DC5D68">
        <w:rPr>
          <w:rFonts w:ascii="Arial Narrow" w:hAnsi="Arial Narrow" w:cs="Gisha"/>
          <w:sz w:val="22"/>
          <w:szCs w:val="22"/>
        </w:rPr>
        <w:t>contrato de concesión No. 040 de 2004, suscrito</w:t>
      </w:r>
      <w:r>
        <w:rPr>
          <w:rFonts w:ascii="Arial Narrow" w:hAnsi="Arial Narrow" w:cs="Gisha"/>
          <w:sz w:val="22"/>
          <w:szCs w:val="22"/>
        </w:rPr>
        <w:t xml:space="preserve"> por la </w:t>
      </w:r>
      <w:r w:rsidR="00DC5D68">
        <w:rPr>
          <w:rFonts w:ascii="Arial Narrow" w:hAnsi="Arial Narrow" w:cs="Gisha"/>
          <w:sz w:val="22"/>
          <w:szCs w:val="22"/>
        </w:rPr>
        <w:t>Entidad</w:t>
      </w:r>
      <w:r w:rsidRPr="00DC5D68">
        <w:rPr>
          <w:rFonts w:ascii="Arial Narrow" w:hAnsi="Arial Narrow" w:cs="Gisha"/>
          <w:sz w:val="22"/>
          <w:szCs w:val="22"/>
        </w:rPr>
        <w:t xml:space="preserve">, </w:t>
      </w:r>
      <w:r w:rsidR="00DC5D68" w:rsidRPr="00DC5D68">
        <w:rPr>
          <w:rFonts w:ascii="Arial Narrow" w:hAnsi="Arial Narrow" w:cs="Gisha"/>
          <w:sz w:val="22"/>
          <w:szCs w:val="22"/>
        </w:rPr>
        <w:t xml:space="preserve"> a 31 de diciembre de 2015  presenta </w:t>
      </w:r>
      <w:r>
        <w:rPr>
          <w:rFonts w:ascii="Arial Narrow" w:hAnsi="Arial Narrow" w:cs="Gisha"/>
          <w:sz w:val="22"/>
          <w:szCs w:val="22"/>
        </w:rPr>
        <w:t xml:space="preserve">un valor de $ </w:t>
      </w:r>
      <w:r w:rsidR="00C109D9">
        <w:rPr>
          <w:rFonts w:ascii="Arial Narrow" w:hAnsi="Arial Narrow" w:cs="Gisha"/>
          <w:sz w:val="22"/>
          <w:szCs w:val="22"/>
        </w:rPr>
        <w:t>1.994.385.304 miles</w:t>
      </w:r>
      <w:r>
        <w:rPr>
          <w:rFonts w:ascii="Arial Narrow" w:hAnsi="Arial Narrow" w:cs="Gisha"/>
          <w:sz w:val="22"/>
          <w:szCs w:val="22"/>
        </w:rPr>
        <w:t xml:space="preserve"> correspondiente a la infraestructura en servicio.</w:t>
      </w:r>
      <w:r w:rsidR="00F73967">
        <w:rPr>
          <w:rFonts w:ascii="Arial Narrow" w:hAnsi="Arial Narrow" w:cs="Gisha"/>
          <w:sz w:val="22"/>
          <w:szCs w:val="22"/>
        </w:rPr>
        <w:t xml:space="preserve"> </w:t>
      </w:r>
      <w:r w:rsidR="00784B47">
        <w:rPr>
          <w:rFonts w:ascii="Arial Narrow" w:hAnsi="Arial Narrow" w:cs="Gisha"/>
          <w:sz w:val="22"/>
          <w:szCs w:val="22"/>
        </w:rPr>
        <w:t>E</w:t>
      </w:r>
      <w:r w:rsidR="00F73967">
        <w:rPr>
          <w:rFonts w:ascii="Arial Narrow" w:hAnsi="Arial Narrow" w:cs="Gisha"/>
          <w:sz w:val="22"/>
          <w:szCs w:val="22"/>
        </w:rPr>
        <w:t>ste proyecto el 31 de agosto de 2015 alcanzó el ingreso esperado, por valor de $882.000.000 miles</w:t>
      </w:r>
      <w:r w:rsidR="00DC5D68">
        <w:rPr>
          <w:rFonts w:ascii="Arial Narrow" w:hAnsi="Arial Narrow" w:cs="Gisha"/>
          <w:sz w:val="22"/>
          <w:szCs w:val="22"/>
        </w:rPr>
        <w:t>, de pesos de diciembre de 2012. N</w:t>
      </w:r>
      <w:r w:rsidR="00F73967">
        <w:rPr>
          <w:rFonts w:ascii="Arial Narrow" w:hAnsi="Arial Narrow" w:cs="Gisha"/>
          <w:sz w:val="22"/>
          <w:szCs w:val="22"/>
        </w:rPr>
        <w:t>o obs</w:t>
      </w:r>
      <w:r w:rsidR="00DC5D68">
        <w:rPr>
          <w:rFonts w:ascii="Arial Narrow" w:hAnsi="Arial Narrow" w:cs="Gisha"/>
          <w:sz w:val="22"/>
          <w:szCs w:val="22"/>
        </w:rPr>
        <w:t>tante el concesionario convocó un Tribunal de A</w:t>
      </w:r>
      <w:r w:rsidR="00F73967">
        <w:rPr>
          <w:rFonts w:ascii="Arial Narrow" w:hAnsi="Arial Narrow" w:cs="Gisha"/>
          <w:sz w:val="22"/>
          <w:szCs w:val="22"/>
        </w:rPr>
        <w:t xml:space="preserve">rbitramento </w:t>
      </w:r>
      <w:r w:rsidR="00DC5D68">
        <w:rPr>
          <w:rFonts w:ascii="Arial Narrow" w:hAnsi="Arial Narrow" w:cs="Gisha"/>
          <w:sz w:val="22"/>
          <w:szCs w:val="22"/>
        </w:rPr>
        <w:t>(</w:t>
      </w:r>
      <w:r w:rsidR="00F73967">
        <w:rPr>
          <w:rFonts w:ascii="Arial Narrow" w:hAnsi="Arial Narrow" w:cs="Gisha"/>
          <w:sz w:val="22"/>
          <w:szCs w:val="22"/>
        </w:rPr>
        <w:t>No. 3</w:t>
      </w:r>
      <w:r w:rsidR="00DC5D68">
        <w:rPr>
          <w:rFonts w:ascii="Arial Narrow" w:hAnsi="Arial Narrow" w:cs="Gisha"/>
          <w:sz w:val="22"/>
          <w:szCs w:val="22"/>
        </w:rPr>
        <w:t>)</w:t>
      </w:r>
      <w:r w:rsidR="00F73967">
        <w:rPr>
          <w:rFonts w:ascii="Arial Narrow" w:hAnsi="Arial Narrow" w:cs="Gisha"/>
          <w:sz w:val="22"/>
          <w:szCs w:val="22"/>
        </w:rPr>
        <w:t xml:space="preserve"> por no estar de </w:t>
      </w:r>
      <w:r w:rsidR="00DC5D68">
        <w:rPr>
          <w:rFonts w:ascii="Arial Narrow" w:hAnsi="Arial Narrow" w:cs="Gisha"/>
          <w:sz w:val="22"/>
          <w:szCs w:val="22"/>
        </w:rPr>
        <w:t>acuerdo con el ingreso esperado.</w:t>
      </w:r>
      <w:r w:rsidR="00F73967">
        <w:rPr>
          <w:rFonts w:ascii="Arial Narrow" w:hAnsi="Arial Narrow" w:cs="Gisha"/>
          <w:sz w:val="22"/>
          <w:szCs w:val="22"/>
        </w:rPr>
        <w:t xml:space="preserve"> </w:t>
      </w:r>
      <w:r w:rsidR="00DC5D68">
        <w:rPr>
          <w:rFonts w:ascii="Arial Narrow" w:hAnsi="Arial Narrow" w:cs="Gisha"/>
          <w:sz w:val="22"/>
          <w:szCs w:val="22"/>
        </w:rPr>
        <w:t>A</w:t>
      </w:r>
      <w:r w:rsidR="00F73967">
        <w:rPr>
          <w:rFonts w:ascii="Arial Narrow" w:hAnsi="Arial Narrow" w:cs="Gisha"/>
          <w:sz w:val="22"/>
          <w:szCs w:val="22"/>
        </w:rPr>
        <w:t>l cierre de la vigencia</w:t>
      </w:r>
      <w:r w:rsidR="00DC5D68">
        <w:rPr>
          <w:rFonts w:ascii="Arial Narrow" w:hAnsi="Arial Narrow" w:cs="Gisha"/>
          <w:sz w:val="22"/>
          <w:szCs w:val="22"/>
        </w:rPr>
        <w:t xml:space="preserve"> 2015</w:t>
      </w:r>
      <w:r w:rsidR="00F73967">
        <w:rPr>
          <w:rFonts w:ascii="Arial Narrow" w:hAnsi="Arial Narrow" w:cs="Gisha"/>
          <w:sz w:val="22"/>
          <w:szCs w:val="22"/>
        </w:rPr>
        <w:t xml:space="preserve"> no</w:t>
      </w:r>
      <w:r w:rsidR="00DC5D68">
        <w:rPr>
          <w:rFonts w:ascii="Arial Narrow" w:hAnsi="Arial Narrow" w:cs="Gisha"/>
          <w:sz w:val="22"/>
          <w:szCs w:val="22"/>
        </w:rPr>
        <w:t xml:space="preserve"> se había proferido providencia de fondo sobre el particular.</w:t>
      </w:r>
      <w:r w:rsidR="00F73967">
        <w:rPr>
          <w:rFonts w:ascii="Arial Narrow" w:hAnsi="Arial Narrow" w:cs="Gisha"/>
          <w:sz w:val="22"/>
          <w:szCs w:val="22"/>
        </w:rPr>
        <w:t xml:space="preserve"> </w:t>
      </w:r>
    </w:p>
    <w:p w:rsidR="009F6DFC" w:rsidRDefault="009F6DFC" w:rsidP="009F6DFC">
      <w:pPr>
        <w:jc w:val="both"/>
        <w:rPr>
          <w:rFonts w:ascii="Arial Narrow" w:hAnsi="Arial Narrow" w:cs="Gisha"/>
          <w:sz w:val="22"/>
          <w:szCs w:val="22"/>
        </w:rPr>
      </w:pPr>
    </w:p>
    <w:p w:rsidR="009F6DFC" w:rsidRDefault="009F6DFC" w:rsidP="009F6DFC">
      <w:pPr>
        <w:jc w:val="both"/>
        <w:rPr>
          <w:rFonts w:ascii="Arial Narrow" w:hAnsi="Arial Narrow" w:cs="Gisha"/>
          <w:sz w:val="22"/>
          <w:szCs w:val="22"/>
        </w:rPr>
      </w:pPr>
      <w:r>
        <w:rPr>
          <w:rFonts w:ascii="Arial Narrow" w:hAnsi="Arial Narrow" w:cs="Gisha"/>
          <w:sz w:val="22"/>
          <w:szCs w:val="22"/>
        </w:rPr>
        <w:t>Las operaciones realizadas en la vigencia 2015 por este proyecto fueron las siguientes:</w:t>
      </w:r>
    </w:p>
    <w:p w:rsidR="009F6DFC" w:rsidRDefault="009F6DFC" w:rsidP="009F6DFC">
      <w:pPr>
        <w:jc w:val="both"/>
        <w:rPr>
          <w:rFonts w:ascii="Arial Narrow" w:hAnsi="Arial Narrow" w:cs="Gisha"/>
          <w:sz w:val="22"/>
          <w:szCs w:val="22"/>
        </w:rPr>
      </w:pPr>
    </w:p>
    <w:p w:rsidR="009F6DFC" w:rsidRDefault="009F6DFC" w:rsidP="00853B3A">
      <w:pPr>
        <w:pStyle w:val="Prrafodelista"/>
        <w:numPr>
          <w:ilvl w:val="0"/>
          <w:numId w:val="18"/>
        </w:numPr>
        <w:jc w:val="both"/>
        <w:rPr>
          <w:rFonts w:cs="Gisha"/>
          <w:sz w:val="22"/>
          <w:szCs w:val="22"/>
        </w:rPr>
      </w:pPr>
      <w:r>
        <w:rPr>
          <w:rFonts w:cs="Gisha"/>
          <w:sz w:val="22"/>
          <w:szCs w:val="22"/>
        </w:rPr>
        <w:t xml:space="preserve">Aporte estatal realizado por $ 8.707.000 miles </w:t>
      </w:r>
    </w:p>
    <w:p w:rsidR="009F6DFC" w:rsidRDefault="009F6DFC" w:rsidP="00853B3A">
      <w:pPr>
        <w:pStyle w:val="Prrafodelista"/>
        <w:numPr>
          <w:ilvl w:val="0"/>
          <w:numId w:val="18"/>
        </w:numPr>
        <w:jc w:val="both"/>
        <w:rPr>
          <w:rFonts w:cs="Gisha"/>
          <w:sz w:val="22"/>
          <w:szCs w:val="22"/>
        </w:rPr>
      </w:pPr>
      <w:r>
        <w:rPr>
          <w:rFonts w:cs="Gisha"/>
          <w:sz w:val="22"/>
          <w:szCs w:val="22"/>
        </w:rPr>
        <w:t>El valor de $</w:t>
      </w:r>
      <w:r w:rsidRPr="009151D7">
        <w:t xml:space="preserve"> </w:t>
      </w:r>
      <w:r>
        <w:rPr>
          <w:rFonts w:cs="Gisha"/>
          <w:sz w:val="22"/>
          <w:szCs w:val="22"/>
        </w:rPr>
        <w:t>12.078.964 miles correspondiente a ejecución de aportes estatales.</w:t>
      </w:r>
    </w:p>
    <w:p w:rsidR="00497374" w:rsidRDefault="00497374" w:rsidP="00853B3A">
      <w:pPr>
        <w:pStyle w:val="Prrafodelista"/>
        <w:numPr>
          <w:ilvl w:val="0"/>
          <w:numId w:val="18"/>
        </w:numPr>
        <w:jc w:val="both"/>
        <w:rPr>
          <w:rFonts w:cs="Gisha"/>
          <w:sz w:val="22"/>
          <w:szCs w:val="22"/>
        </w:rPr>
      </w:pPr>
      <w:r>
        <w:rPr>
          <w:rFonts w:cs="Gisha"/>
          <w:sz w:val="22"/>
          <w:szCs w:val="22"/>
        </w:rPr>
        <w:t>El valor de $ 1.129.735 miles correspondiente a pago por el Fondo de Contingencias de entidades Estatales efectuados por la FIDUPREVISORA.</w:t>
      </w:r>
    </w:p>
    <w:p w:rsidR="009F6DFC" w:rsidRDefault="009F6DFC" w:rsidP="009F6DFC">
      <w:pPr>
        <w:jc w:val="both"/>
        <w:rPr>
          <w:rFonts w:ascii="Arial Narrow" w:hAnsi="Arial Narrow" w:cs="Gisha"/>
          <w:sz w:val="22"/>
          <w:szCs w:val="22"/>
        </w:rPr>
      </w:pPr>
    </w:p>
    <w:p w:rsidR="009F6DFC" w:rsidRPr="00DC5D68" w:rsidRDefault="009F6DFC" w:rsidP="00853B3A">
      <w:pPr>
        <w:pStyle w:val="Prrafodelista"/>
        <w:numPr>
          <w:ilvl w:val="0"/>
          <w:numId w:val="16"/>
        </w:numPr>
        <w:jc w:val="both"/>
        <w:rPr>
          <w:rFonts w:cs="Gisha"/>
          <w:sz w:val="22"/>
          <w:szCs w:val="22"/>
          <w:u w:val="single"/>
          <w:lang w:val="es-ES"/>
        </w:rPr>
      </w:pPr>
      <w:r w:rsidRPr="00DC5D68">
        <w:rPr>
          <w:rFonts w:cs="Gisha"/>
          <w:sz w:val="22"/>
          <w:szCs w:val="22"/>
          <w:u w:val="single"/>
          <w:lang w:val="es-ES"/>
        </w:rPr>
        <w:t>Rumichaca – Pasto - Chachagui</w:t>
      </w:r>
    </w:p>
    <w:p w:rsidR="009F6DFC" w:rsidRDefault="009F6DFC" w:rsidP="009F6DFC">
      <w:pPr>
        <w:jc w:val="both"/>
        <w:rPr>
          <w:rFonts w:cs="Gisha"/>
          <w:sz w:val="22"/>
          <w:szCs w:val="22"/>
        </w:rPr>
      </w:pPr>
    </w:p>
    <w:p w:rsidR="009F6DFC" w:rsidRDefault="009F6DFC" w:rsidP="009F6DFC">
      <w:pPr>
        <w:jc w:val="both"/>
        <w:rPr>
          <w:rFonts w:ascii="Arial Narrow" w:hAnsi="Arial Narrow" w:cs="Gisha"/>
          <w:sz w:val="22"/>
          <w:szCs w:val="22"/>
        </w:rPr>
      </w:pPr>
      <w:r w:rsidRPr="009611D5">
        <w:rPr>
          <w:rFonts w:ascii="Arial Narrow" w:hAnsi="Arial Narrow" w:cs="Gisha"/>
          <w:sz w:val="22"/>
          <w:szCs w:val="22"/>
        </w:rPr>
        <w:t xml:space="preserve">La Concesión Rumichaca – Pasto </w:t>
      </w:r>
      <w:r>
        <w:rPr>
          <w:rFonts w:ascii="Arial Narrow" w:hAnsi="Arial Narrow" w:cs="Gisha"/>
          <w:sz w:val="22"/>
          <w:szCs w:val="22"/>
        </w:rPr>
        <w:t>–</w:t>
      </w:r>
      <w:r w:rsidRPr="009611D5">
        <w:rPr>
          <w:rFonts w:ascii="Arial Narrow" w:hAnsi="Arial Narrow" w:cs="Gisha"/>
          <w:sz w:val="22"/>
          <w:szCs w:val="22"/>
        </w:rPr>
        <w:t xml:space="preserve"> Chachagui</w:t>
      </w:r>
      <w:r>
        <w:rPr>
          <w:rFonts w:ascii="Arial Narrow" w:hAnsi="Arial Narrow" w:cs="Gisha"/>
          <w:sz w:val="22"/>
          <w:szCs w:val="22"/>
        </w:rPr>
        <w:t xml:space="preserve">, contrato No. 003 de 2006, </w:t>
      </w:r>
      <w:r w:rsidR="00DC5D68">
        <w:rPr>
          <w:rFonts w:ascii="Arial Narrow" w:hAnsi="Arial Narrow" w:cs="Gisha"/>
          <w:sz w:val="22"/>
          <w:szCs w:val="22"/>
        </w:rPr>
        <w:t xml:space="preserve">suscrito por la Entidad </w:t>
      </w:r>
      <w:r w:rsidR="00DC5D68" w:rsidRPr="005D7AFC">
        <w:rPr>
          <w:rFonts w:ascii="Arial Narrow" w:hAnsi="Arial Narrow" w:cs="Gisha"/>
          <w:sz w:val="22"/>
          <w:szCs w:val="22"/>
        </w:rPr>
        <w:t xml:space="preserve">a 31 de diciembre de 2015  presenta </w:t>
      </w:r>
      <w:r>
        <w:rPr>
          <w:rFonts w:ascii="Arial Narrow" w:hAnsi="Arial Narrow" w:cs="Gisha"/>
          <w:sz w:val="22"/>
          <w:szCs w:val="22"/>
        </w:rPr>
        <w:t>un valor en infraestructura en construcción de $ 404.917.851 miles y en infraestructura en servicio de $97.910.382 miles.</w:t>
      </w:r>
    </w:p>
    <w:p w:rsidR="009F6DFC" w:rsidRDefault="009F6DFC" w:rsidP="009F6DFC">
      <w:pPr>
        <w:jc w:val="both"/>
        <w:rPr>
          <w:rFonts w:ascii="Arial Narrow" w:hAnsi="Arial Narrow" w:cs="Gisha"/>
          <w:sz w:val="22"/>
          <w:szCs w:val="22"/>
        </w:rPr>
      </w:pPr>
    </w:p>
    <w:p w:rsidR="009F6DFC" w:rsidRDefault="009F6DFC" w:rsidP="009F6DFC">
      <w:pPr>
        <w:jc w:val="both"/>
        <w:rPr>
          <w:rFonts w:ascii="Arial Narrow" w:hAnsi="Arial Narrow" w:cs="Gisha"/>
          <w:sz w:val="22"/>
          <w:szCs w:val="22"/>
        </w:rPr>
      </w:pPr>
      <w:r>
        <w:rPr>
          <w:rFonts w:ascii="Arial Narrow" w:hAnsi="Arial Narrow" w:cs="Gisha"/>
          <w:sz w:val="22"/>
          <w:szCs w:val="22"/>
        </w:rPr>
        <w:t>Las operaciones realizadas en la vigencia 2015 por este proyecto fueron las siguientes:</w:t>
      </w:r>
    </w:p>
    <w:p w:rsidR="009F6DFC" w:rsidRDefault="009F6DFC" w:rsidP="009F6DFC">
      <w:pPr>
        <w:jc w:val="both"/>
        <w:rPr>
          <w:rFonts w:ascii="Arial Narrow" w:hAnsi="Arial Narrow" w:cs="Gisha"/>
          <w:sz w:val="22"/>
          <w:szCs w:val="22"/>
        </w:rPr>
      </w:pPr>
    </w:p>
    <w:p w:rsidR="00826065" w:rsidRPr="008A2144" w:rsidRDefault="00826065" w:rsidP="00853B3A">
      <w:pPr>
        <w:pStyle w:val="Prrafodelista"/>
        <w:numPr>
          <w:ilvl w:val="0"/>
          <w:numId w:val="19"/>
        </w:numPr>
        <w:jc w:val="both"/>
        <w:rPr>
          <w:rFonts w:cs="Gisha"/>
          <w:sz w:val="22"/>
          <w:szCs w:val="22"/>
        </w:rPr>
      </w:pPr>
      <w:r w:rsidRPr="008A2144">
        <w:rPr>
          <w:sz w:val="22"/>
          <w:szCs w:val="22"/>
          <w:lang w:val="es-MX" w:eastAsia="es-MX"/>
        </w:rPr>
        <w:t>El valor de $29.418.274 miles correspondiente a inversión de capital privado</w:t>
      </w:r>
      <w:r w:rsidR="003B3A60" w:rsidRPr="008A2144">
        <w:rPr>
          <w:rFonts w:cs="Gisha"/>
          <w:sz w:val="22"/>
          <w:szCs w:val="22"/>
        </w:rPr>
        <w:t>.</w:t>
      </w:r>
    </w:p>
    <w:p w:rsidR="00DC5D68" w:rsidRPr="00DC5D68" w:rsidRDefault="009F6DFC" w:rsidP="00DC5D68">
      <w:pPr>
        <w:pStyle w:val="Prrafodelista"/>
        <w:numPr>
          <w:ilvl w:val="0"/>
          <w:numId w:val="19"/>
        </w:numPr>
        <w:jc w:val="both"/>
        <w:rPr>
          <w:rFonts w:cs="Gisha"/>
          <w:sz w:val="22"/>
          <w:szCs w:val="22"/>
        </w:rPr>
      </w:pPr>
      <w:r w:rsidRPr="008A2144">
        <w:rPr>
          <w:sz w:val="22"/>
          <w:szCs w:val="22"/>
          <w:lang w:val="es-MX" w:eastAsia="es-MX"/>
        </w:rPr>
        <w:t xml:space="preserve">El contrato con la Concesión Rumichaca-Pasto- Chachagui, terminó </w:t>
      </w:r>
      <w:r w:rsidR="00784B47" w:rsidRPr="008A2144">
        <w:rPr>
          <w:sz w:val="22"/>
          <w:szCs w:val="22"/>
          <w:lang w:val="es-MX" w:eastAsia="es-MX"/>
        </w:rPr>
        <w:t xml:space="preserve">anticipadamente </w:t>
      </w:r>
      <w:r w:rsidRPr="008A2144">
        <w:rPr>
          <w:sz w:val="22"/>
          <w:szCs w:val="22"/>
          <w:lang w:val="es-MX" w:eastAsia="es-MX"/>
        </w:rPr>
        <w:t xml:space="preserve">por </w:t>
      </w:r>
      <w:r w:rsidR="00784B47" w:rsidRPr="008A2144">
        <w:rPr>
          <w:sz w:val="22"/>
          <w:szCs w:val="22"/>
          <w:lang w:val="es-MX" w:eastAsia="es-MX"/>
        </w:rPr>
        <w:t>mutuo acuerdo entre las partes</w:t>
      </w:r>
      <w:r w:rsidRPr="008A2144">
        <w:rPr>
          <w:sz w:val="22"/>
          <w:szCs w:val="22"/>
          <w:lang w:val="es-MX" w:eastAsia="es-MX"/>
        </w:rPr>
        <w:t xml:space="preserve"> el día 30 de Abril de 2015.</w:t>
      </w:r>
      <w:r w:rsidR="00F73967" w:rsidRPr="008A2144">
        <w:rPr>
          <w:sz w:val="22"/>
          <w:szCs w:val="22"/>
          <w:lang w:val="es-MX" w:eastAsia="es-MX"/>
        </w:rPr>
        <w:t xml:space="preserve"> </w:t>
      </w:r>
      <w:r w:rsidR="00F73967" w:rsidRPr="008A2144">
        <w:rPr>
          <w:rFonts w:cs="Gisha"/>
          <w:sz w:val="22"/>
          <w:szCs w:val="22"/>
        </w:rPr>
        <w:t xml:space="preserve">En este proyecto existe un tribunal </w:t>
      </w:r>
      <w:r w:rsidR="00DC5D68">
        <w:rPr>
          <w:rFonts w:cs="Gisha"/>
          <w:sz w:val="22"/>
          <w:szCs w:val="22"/>
        </w:rPr>
        <w:t xml:space="preserve">en curso en el </w:t>
      </w:r>
      <w:r w:rsidR="00784B47" w:rsidRPr="008A2144">
        <w:rPr>
          <w:rFonts w:cs="Gisha"/>
          <w:sz w:val="22"/>
          <w:szCs w:val="22"/>
        </w:rPr>
        <w:t xml:space="preserve">cual </w:t>
      </w:r>
      <w:r w:rsidR="00DC5D68">
        <w:rPr>
          <w:rFonts w:cs="Gisha"/>
          <w:sz w:val="22"/>
          <w:szCs w:val="22"/>
        </w:rPr>
        <w:t xml:space="preserve"> se determinará</w:t>
      </w:r>
      <w:r w:rsidR="00784B47" w:rsidRPr="008A2144">
        <w:rPr>
          <w:rFonts w:cs="Gisha"/>
          <w:sz w:val="22"/>
          <w:szCs w:val="22"/>
        </w:rPr>
        <w:t xml:space="preserve"> la compensación por terminación anticipada</w:t>
      </w:r>
      <w:r w:rsidR="00DC5D68">
        <w:rPr>
          <w:rFonts w:cs="Gisha"/>
          <w:sz w:val="22"/>
          <w:szCs w:val="22"/>
        </w:rPr>
        <w:t xml:space="preserve">.  </w:t>
      </w:r>
      <w:r w:rsidR="00DC5D68" w:rsidRPr="00DC5D68">
        <w:rPr>
          <w:rFonts w:cs="Gisha"/>
          <w:sz w:val="22"/>
          <w:szCs w:val="22"/>
        </w:rPr>
        <w:t xml:space="preserve">Al cierre de la vigencia 2015 no se había proferido providencia de fondo sobre el particular. </w:t>
      </w:r>
    </w:p>
    <w:p w:rsidR="00DC5D68" w:rsidRDefault="00DC5D68" w:rsidP="009F6DFC">
      <w:pPr>
        <w:jc w:val="both"/>
        <w:rPr>
          <w:rFonts w:cs="Gisha"/>
          <w:sz w:val="22"/>
          <w:szCs w:val="22"/>
        </w:rPr>
      </w:pPr>
    </w:p>
    <w:p w:rsidR="009F6DFC" w:rsidRPr="00DC5D68" w:rsidRDefault="009F6DFC" w:rsidP="00853B3A">
      <w:pPr>
        <w:pStyle w:val="Prrafodelista"/>
        <w:numPr>
          <w:ilvl w:val="0"/>
          <w:numId w:val="16"/>
        </w:numPr>
        <w:jc w:val="both"/>
        <w:rPr>
          <w:rFonts w:cs="Gisha"/>
          <w:sz w:val="22"/>
          <w:szCs w:val="22"/>
          <w:u w:val="single"/>
          <w:lang w:val="es-ES"/>
        </w:rPr>
      </w:pPr>
      <w:r w:rsidRPr="00DC5D68">
        <w:rPr>
          <w:rFonts w:cs="Gisha"/>
          <w:sz w:val="22"/>
          <w:szCs w:val="22"/>
          <w:u w:val="single"/>
        </w:rPr>
        <w:t>Zona Metropolitana de Bucaramanga</w:t>
      </w:r>
    </w:p>
    <w:p w:rsidR="009F6DFC" w:rsidRDefault="009F6DFC" w:rsidP="009F6DFC">
      <w:pPr>
        <w:jc w:val="both"/>
        <w:rPr>
          <w:rFonts w:cs="Gisha"/>
          <w:sz w:val="22"/>
          <w:szCs w:val="22"/>
        </w:rPr>
      </w:pPr>
    </w:p>
    <w:p w:rsidR="009F6DFC" w:rsidRDefault="009F6DFC" w:rsidP="009F6DFC">
      <w:pPr>
        <w:jc w:val="both"/>
        <w:rPr>
          <w:rFonts w:ascii="Arial Narrow" w:hAnsi="Arial Narrow" w:cs="Gisha"/>
          <w:sz w:val="22"/>
          <w:szCs w:val="22"/>
        </w:rPr>
      </w:pPr>
      <w:r w:rsidRPr="003829A7">
        <w:rPr>
          <w:rFonts w:ascii="Arial Narrow" w:hAnsi="Arial Narrow" w:cs="Gisha"/>
          <w:sz w:val="22"/>
          <w:szCs w:val="22"/>
        </w:rPr>
        <w:t xml:space="preserve">La concesión </w:t>
      </w:r>
      <w:r w:rsidRPr="001A2AC2">
        <w:rPr>
          <w:rFonts w:ascii="Arial Narrow" w:hAnsi="Arial Narrow" w:cs="Gisha"/>
          <w:sz w:val="22"/>
          <w:szCs w:val="22"/>
        </w:rPr>
        <w:t>Zona Metropolitana de Bucaramanga</w:t>
      </w:r>
      <w:r>
        <w:rPr>
          <w:rFonts w:ascii="Arial Narrow" w:hAnsi="Arial Narrow" w:cs="Gisha"/>
          <w:sz w:val="22"/>
          <w:szCs w:val="22"/>
        </w:rPr>
        <w:t>, contrato de concesión No. 002 de 2006</w:t>
      </w:r>
      <w:r w:rsidR="00DC5D68">
        <w:rPr>
          <w:rFonts w:ascii="Arial Narrow" w:hAnsi="Arial Narrow" w:cs="Gisha"/>
          <w:sz w:val="22"/>
          <w:szCs w:val="22"/>
        </w:rPr>
        <w:t xml:space="preserve">, suscrito por la Entidad </w:t>
      </w:r>
      <w:r w:rsidR="00DC5D68" w:rsidRPr="005D7AFC">
        <w:rPr>
          <w:rFonts w:ascii="Arial Narrow" w:hAnsi="Arial Narrow" w:cs="Gisha"/>
          <w:sz w:val="22"/>
          <w:szCs w:val="22"/>
        </w:rPr>
        <w:t>a 31 de diciembre de 2015  presenta</w:t>
      </w:r>
      <w:r w:rsidR="00DC5D68">
        <w:rPr>
          <w:rFonts w:ascii="Arial Narrow" w:hAnsi="Arial Narrow" w:cs="Gisha"/>
          <w:sz w:val="22"/>
          <w:szCs w:val="22"/>
        </w:rPr>
        <w:t xml:space="preserve"> </w:t>
      </w:r>
      <w:r>
        <w:rPr>
          <w:rFonts w:ascii="Arial Narrow" w:hAnsi="Arial Narrow" w:cs="Gisha"/>
          <w:sz w:val="22"/>
          <w:szCs w:val="22"/>
        </w:rPr>
        <w:t>en construcción el valor de $198.469.806 miles y en infraestructura en servicio el valor de $ 377.464.046 miles.</w:t>
      </w:r>
    </w:p>
    <w:p w:rsidR="009F6DFC" w:rsidRDefault="009F6DFC" w:rsidP="009F6DFC">
      <w:pPr>
        <w:jc w:val="both"/>
        <w:rPr>
          <w:rFonts w:ascii="Arial Narrow" w:hAnsi="Arial Narrow" w:cs="Gisha"/>
          <w:sz w:val="22"/>
          <w:szCs w:val="22"/>
        </w:rPr>
      </w:pPr>
    </w:p>
    <w:p w:rsidR="009F6DFC" w:rsidRDefault="009F6DFC" w:rsidP="009F6DFC">
      <w:pPr>
        <w:jc w:val="both"/>
        <w:rPr>
          <w:rFonts w:ascii="Arial Narrow" w:hAnsi="Arial Narrow" w:cs="Gisha"/>
          <w:sz w:val="22"/>
          <w:szCs w:val="22"/>
        </w:rPr>
      </w:pPr>
      <w:r>
        <w:rPr>
          <w:rFonts w:ascii="Arial Narrow" w:hAnsi="Arial Narrow" w:cs="Gisha"/>
          <w:sz w:val="22"/>
          <w:szCs w:val="22"/>
        </w:rPr>
        <w:t>Las operaciones realizadas en la vigencia 2015 por este proyecto fueron las siguientes:</w:t>
      </w:r>
    </w:p>
    <w:p w:rsidR="009F6DFC" w:rsidRDefault="009F6DFC" w:rsidP="009F6DFC">
      <w:pPr>
        <w:jc w:val="both"/>
        <w:rPr>
          <w:rFonts w:ascii="Arial Narrow" w:hAnsi="Arial Narrow" w:cs="Gisha"/>
          <w:sz w:val="22"/>
          <w:szCs w:val="22"/>
        </w:rPr>
      </w:pPr>
    </w:p>
    <w:p w:rsidR="009F6DFC" w:rsidRDefault="009F6DFC" w:rsidP="00853B3A">
      <w:pPr>
        <w:pStyle w:val="Prrafodelista"/>
        <w:numPr>
          <w:ilvl w:val="0"/>
          <w:numId w:val="18"/>
        </w:numPr>
        <w:jc w:val="both"/>
        <w:rPr>
          <w:rFonts w:cs="Gisha"/>
          <w:sz w:val="22"/>
          <w:szCs w:val="22"/>
        </w:rPr>
      </w:pPr>
      <w:r>
        <w:rPr>
          <w:rFonts w:cs="Gisha"/>
          <w:sz w:val="22"/>
          <w:szCs w:val="22"/>
        </w:rPr>
        <w:t xml:space="preserve">Aporte estatal realizado por $ 10.000.000 miles </w:t>
      </w:r>
    </w:p>
    <w:p w:rsidR="009F6DFC" w:rsidRDefault="009F6DFC" w:rsidP="00853B3A">
      <w:pPr>
        <w:pStyle w:val="Prrafodelista"/>
        <w:numPr>
          <w:ilvl w:val="0"/>
          <w:numId w:val="18"/>
        </w:numPr>
        <w:jc w:val="both"/>
        <w:rPr>
          <w:rFonts w:cs="Gisha"/>
          <w:sz w:val="22"/>
          <w:szCs w:val="22"/>
        </w:rPr>
      </w:pPr>
      <w:r>
        <w:rPr>
          <w:rFonts w:cs="Gisha"/>
          <w:sz w:val="22"/>
          <w:szCs w:val="22"/>
        </w:rPr>
        <w:t>El valor de $</w:t>
      </w:r>
      <w:r w:rsidRPr="00330DCB">
        <w:t xml:space="preserve"> </w:t>
      </w:r>
      <w:r>
        <w:rPr>
          <w:rFonts w:cs="Gisha"/>
          <w:sz w:val="22"/>
          <w:szCs w:val="22"/>
        </w:rPr>
        <w:t>5.500.517 miles correspondiente a pago por el Fondo de Contingencias de entidades Estatales efectuados por la FIDUPREVISORA.</w:t>
      </w:r>
    </w:p>
    <w:p w:rsidR="009F6DFC" w:rsidRPr="003829A7" w:rsidRDefault="009F6DFC" w:rsidP="009F6DFC">
      <w:pPr>
        <w:jc w:val="both"/>
        <w:rPr>
          <w:rFonts w:ascii="Arial Narrow" w:hAnsi="Arial Narrow" w:cs="Gisha"/>
          <w:sz w:val="22"/>
          <w:szCs w:val="22"/>
        </w:rPr>
      </w:pPr>
    </w:p>
    <w:p w:rsidR="009F6DFC" w:rsidRPr="00DC5D68" w:rsidRDefault="009F6DFC" w:rsidP="00853B3A">
      <w:pPr>
        <w:pStyle w:val="Prrafodelista"/>
        <w:numPr>
          <w:ilvl w:val="0"/>
          <w:numId w:val="16"/>
        </w:numPr>
        <w:jc w:val="both"/>
        <w:rPr>
          <w:rFonts w:cs="Gisha"/>
          <w:sz w:val="22"/>
          <w:szCs w:val="22"/>
          <w:u w:val="single"/>
          <w:lang w:val="es-ES"/>
        </w:rPr>
      </w:pPr>
      <w:r w:rsidRPr="00DC5D68">
        <w:rPr>
          <w:rFonts w:cs="Gisha"/>
          <w:sz w:val="22"/>
          <w:szCs w:val="22"/>
          <w:u w:val="single"/>
          <w:lang w:val="es-ES"/>
        </w:rPr>
        <w:t>Malla Vial del Meta</w:t>
      </w:r>
    </w:p>
    <w:p w:rsidR="009F6DFC" w:rsidRDefault="009F6DFC" w:rsidP="009F6DFC">
      <w:pPr>
        <w:jc w:val="both"/>
        <w:rPr>
          <w:rFonts w:cs="Gisha"/>
          <w:sz w:val="22"/>
          <w:szCs w:val="22"/>
        </w:rPr>
      </w:pPr>
    </w:p>
    <w:p w:rsidR="009F6DFC" w:rsidRDefault="009F6DFC" w:rsidP="009F6DFC">
      <w:pPr>
        <w:jc w:val="both"/>
        <w:rPr>
          <w:rFonts w:ascii="Arial Narrow" w:hAnsi="Arial Narrow" w:cs="Gisha"/>
          <w:sz w:val="22"/>
          <w:szCs w:val="22"/>
        </w:rPr>
      </w:pPr>
      <w:r w:rsidRPr="00C74108">
        <w:rPr>
          <w:rFonts w:ascii="Arial Narrow" w:hAnsi="Arial Narrow" w:cs="Gisha"/>
          <w:sz w:val="22"/>
          <w:szCs w:val="22"/>
        </w:rPr>
        <w:t>La concesión Malla Vial del Meta</w:t>
      </w:r>
      <w:r>
        <w:rPr>
          <w:rFonts w:ascii="Arial Narrow" w:hAnsi="Arial Narrow" w:cs="Gisha"/>
          <w:sz w:val="22"/>
          <w:szCs w:val="22"/>
        </w:rPr>
        <w:t xml:space="preserve">, contrato No. 446 de 1994 </w:t>
      </w:r>
      <w:r w:rsidR="00C67EDB">
        <w:rPr>
          <w:rFonts w:ascii="Arial Narrow" w:hAnsi="Arial Narrow" w:cs="Gisha"/>
          <w:sz w:val="22"/>
          <w:szCs w:val="22"/>
        </w:rPr>
        <w:t xml:space="preserve">suscrito </w:t>
      </w:r>
      <w:r>
        <w:rPr>
          <w:rFonts w:ascii="Arial Narrow" w:hAnsi="Arial Narrow" w:cs="Gisha"/>
          <w:sz w:val="22"/>
          <w:szCs w:val="22"/>
        </w:rPr>
        <w:t xml:space="preserve">por el INVIAS, </w:t>
      </w:r>
      <w:r w:rsidR="00C67EDB" w:rsidRPr="005D7AFC">
        <w:rPr>
          <w:rFonts w:ascii="Arial Narrow" w:hAnsi="Arial Narrow" w:cs="Gisha"/>
          <w:sz w:val="22"/>
          <w:szCs w:val="22"/>
        </w:rPr>
        <w:t xml:space="preserve">a 31 de diciembre de 2015  presenta </w:t>
      </w:r>
      <w:r w:rsidRPr="005D7AFC">
        <w:rPr>
          <w:rFonts w:ascii="Arial Narrow" w:hAnsi="Arial Narrow" w:cs="Gisha"/>
          <w:sz w:val="22"/>
          <w:szCs w:val="22"/>
        </w:rPr>
        <w:t xml:space="preserve">un </w:t>
      </w:r>
      <w:r>
        <w:rPr>
          <w:rFonts w:ascii="Arial Narrow" w:hAnsi="Arial Narrow" w:cs="Gisha"/>
          <w:sz w:val="22"/>
          <w:szCs w:val="22"/>
        </w:rPr>
        <w:t xml:space="preserve">valor de $ </w:t>
      </w:r>
      <w:r w:rsidR="00C109D9">
        <w:rPr>
          <w:rFonts w:ascii="Arial Narrow" w:hAnsi="Arial Narrow" w:cs="Gisha"/>
          <w:sz w:val="22"/>
          <w:szCs w:val="22"/>
        </w:rPr>
        <w:t>225.251.435</w:t>
      </w:r>
      <w:r>
        <w:rPr>
          <w:rFonts w:ascii="Arial Narrow" w:hAnsi="Arial Narrow" w:cs="Gisha"/>
          <w:sz w:val="22"/>
          <w:szCs w:val="22"/>
        </w:rPr>
        <w:t xml:space="preserve"> miles por concepto de infraestructura en servicio.</w:t>
      </w:r>
    </w:p>
    <w:p w:rsidR="009F6DFC" w:rsidRDefault="009F6DFC" w:rsidP="009F6DFC">
      <w:pPr>
        <w:jc w:val="both"/>
        <w:rPr>
          <w:rFonts w:ascii="Arial Narrow" w:hAnsi="Arial Narrow" w:cs="Gisha"/>
          <w:sz w:val="22"/>
          <w:szCs w:val="22"/>
        </w:rPr>
      </w:pPr>
      <w:r>
        <w:rPr>
          <w:rFonts w:ascii="Arial Narrow" w:hAnsi="Arial Narrow" w:cs="Gisha"/>
          <w:sz w:val="22"/>
          <w:szCs w:val="22"/>
        </w:rPr>
        <w:lastRenderedPageBreak/>
        <w:t>Las operaciones realizadas en la vigencia 2015 por este proyecto fueron las siguientes:</w:t>
      </w:r>
    </w:p>
    <w:p w:rsidR="009F6DFC" w:rsidRDefault="009F6DFC" w:rsidP="009F6DFC">
      <w:pPr>
        <w:jc w:val="both"/>
        <w:rPr>
          <w:rFonts w:ascii="Arial Narrow" w:hAnsi="Arial Narrow" w:cs="Gisha"/>
          <w:sz w:val="22"/>
          <w:szCs w:val="22"/>
        </w:rPr>
      </w:pPr>
    </w:p>
    <w:p w:rsidR="009F6DFC" w:rsidRDefault="009F6DFC" w:rsidP="00853B3A">
      <w:pPr>
        <w:pStyle w:val="Prrafodelista"/>
        <w:numPr>
          <w:ilvl w:val="0"/>
          <w:numId w:val="18"/>
        </w:numPr>
        <w:jc w:val="both"/>
        <w:rPr>
          <w:rFonts w:cs="Gisha"/>
          <w:sz w:val="22"/>
          <w:szCs w:val="22"/>
        </w:rPr>
      </w:pPr>
      <w:r>
        <w:rPr>
          <w:rFonts w:cs="Gisha"/>
          <w:sz w:val="22"/>
          <w:szCs w:val="22"/>
        </w:rPr>
        <w:t>El saldo de la cuenta a favor de la Agencia correspondiente al 53.65% del recaudo de peajes de acuerdo a lo establecido en el Otrosí 9 del 23 de noviembre de 2015, fue cancelado el 3 de noviembre de 2015. El restante 46.35% del recaudo de peajes se reconocieron como gasto en las actividades de operación y mantenimiento del proyecto</w:t>
      </w:r>
      <w:r w:rsidR="007E6DD6">
        <w:rPr>
          <w:rFonts w:cs="Gisha"/>
          <w:sz w:val="22"/>
          <w:szCs w:val="22"/>
        </w:rPr>
        <w:t xml:space="preserve"> que son del concesionario</w:t>
      </w:r>
      <w:r>
        <w:rPr>
          <w:rFonts w:cs="Gisha"/>
          <w:sz w:val="22"/>
          <w:szCs w:val="22"/>
        </w:rPr>
        <w:t>.</w:t>
      </w:r>
    </w:p>
    <w:p w:rsidR="00C67EDB" w:rsidRDefault="00C67EDB" w:rsidP="00C67EDB">
      <w:pPr>
        <w:pStyle w:val="Prrafodelista"/>
        <w:ind w:left="720"/>
        <w:jc w:val="both"/>
        <w:rPr>
          <w:rFonts w:cs="Gisha"/>
          <w:sz w:val="22"/>
          <w:szCs w:val="22"/>
        </w:rPr>
      </w:pPr>
    </w:p>
    <w:p w:rsidR="009F6DFC" w:rsidRPr="005D7AFC" w:rsidRDefault="005D7AFC" w:rsidP="005D7AFC">
      <w:pPr>
        <w:pStyle w:val="Prrafodelista"/>
        <w:numPr>
          <w:ilvl w:val="0"/>
          <w:numId w:val="18"/>
        </w:numPr>
        <w:jc w:val="both"/>
        <w:rPr>
          <w:rFonts w:cs="Gisha"/>
          <w:sz w:val="22"/>
          <w:szCs w:val="22"/>
        </w:rPr>
      </w:pPr>
      <w:r w:rsidRPr="005D7AFC">
        <w:rPr>
          <w:rFonts w:cs="Gisha"/>
          <w:sz w:val="22"/>
          <w:szCs w:val="22"/>
        </w:rPr>
        <w:t xml:space="preserve">El contrato de concesión se liquidó el 9 de diciembre de 2015; sin embargo, la liquidación del patrimonio autónomo respectivo está en curso. </w:t>
      </w:r>
    </w:p>
    <w:p w:rsidR="005D7AFC" w:rsidRPr="005D7AFC" w:rsidRDefault="005D7AFC" w:rsidP="005D7AFC">
      <w:pPr>
        <w:pStyle w:val="Prrafodelista"/>
        <w:rPr>
          <w:rFonts w:cs="Gisha"/>
          <w:color w:val="00B0F0"/>
          <w:sz w:val="22"/>
          <w:szCs w:val="22"/>
        </w:rPr>
      </w:pPr>
    </w:p>
    <w:p w:rsidR="009F6DFC" w:rsidRPr="00C67EDB" w:rsidRDefault="009F6DFC" w:rsidP="00853B3A">
      <w:pPr>
        <w:pStyle w:val="Prrafodelista"/>
        <w:numPr>
          <w:ilvl w:val="0"/>
          <w:numId w:val="16"/>
        </w:numPr>
        <w:jc w:val="both"/>
        <w:rPr>
          <w:rFonts w:cs="Gisha"/>
          <w:sz w:val="22"/>
          <w:szCs w:val="22"/>
          <w:u w:val="single"/>
          <w:lang w:val="es-ES"/>
        </w:rPr>
      </w:pPr>
      <w:r w:rsidRPr="00C67EDB">
        <w:rPr>
          <w:rFonts w:cs="Gisha"/>
          <w:sz w:val="22"/>
          <w:szCs w:val="22"/>
          <w:u w:val="single"/>
        </w:rPr>
        <w:t>Córdoba – Sucre</w:t>
      </w:r>
    </w:p>
    <w:p w:rsidR="009F6DFC" w:rsidRDefault="009F6DFC" w:rsidP="009F6DFC">
      <w:pPr>
        <w:jc w:val="both"/>
        <w:rPr>
          <w:rFonts w:cs="Gisha"/>
          <w:sz w:val="22"/>
          <w:szCs w:val="22"/>
        </w:rPr>
      </w:pPr>
    </w:p>
    <w:p w:rsidR="009F6DFC" w:rsidRDefault="009F6DFC" w:rsidP="009F6DFC">
      <w:pPr>
        <w:jc w:val="both"/>
        <w:rPr>
          <w:rFonts w:ascii="Arial Narrow" w:hAnsi="Arial Narrow" w:cs="Gisha"/>
          <w:sz w:val="22"/>
          <w:szCs w:val="22"/>
        </w:rPr>
      </w:pPr>
      <w:r w:rsidRPr="00A427CC">
        <w:rPr>
          <w:rFonts w:ascii="Arial Narrow" w:hAnsi="Arial Narrow" w:cs="Gisha"/>
          <w:sz w:val="22"/>
          <w:szCs w:val="22"/>
        </w:rPr>
        <w:t xml:space="preserve">La concesión </w:t>
      </w:r>
      <w:r>
        <w:rPr>
          <w:rFonts w:ascii="Arial Narrow" w:hAnsi="Arial Narrow" w:cs="Gisha"/>
          <w:sz w:val="22"/>
          <w:szCs w:val="22"/>
        </w:rPr>
        <w:t>Córdoba – Sucre, c</w:t>
      </w:r>
      <w:r w:rsidR="00C67EDB">
        <w:rPr>
          <w:rFonts w:ascii="Arial Narrow" w:hAnsi="Arial Narrow" w:cs="Gisha"/>
          <w:sz w:val="22"/>
          <w:szCs w:val="22"/>
        </w:rPr>
        <w:t>ontrato No. 002 de 2007 suscrito por la Entidad</w:t>
      </w:r>
      <w:r>
        <w:rPr>
          <w:rFonts w:ascii="Arial Narrow" w:hAnsi="Arial Narrow" w:cs="Gisha"/>
          <w:sz w:val="22"/>
          <w:szCs w:val="22"/>
        </w:rPr>
        <w:t xml:space="preserve">, </w:t>
      </w:r>
      <w:r w:rsidR="00C67EDB" w:rsidRPr="005D7AFC">
        <w:rPr>
          <w:rFonts w:ascii="Arial Narrow" w:hAnsi="Arial Narrow" w:cs="Gisha"/>
          <w:sz w:val="22"/>
          <w:szCs w:val="22"/>
        </w:rPr>
        <w:t xml:space="preserve"> a 31 de diciembre de 2015  presenta</w:t>
      </w:r>
      <w:r w:rsidR="00C67EDB">
        <w:rPr>
          <w:rFonts w:ascii="Arial Narrow" w:hAnsi="Arial Narrow" w:cs="Gisha"/>
          <w:sz w:val="22"/>
          <w:szCs w:val="22"/>
        </w:rPr>
        <w:t xml:space="preserve"> </w:t>
      </w:r>
      <w:r>
        <w:rPr>
          <w:rFonts w:ascii="Arial Narrow" w:hAnsi="Arial Narrow" w:cs="Gisha"/>
          <w:sz w:val="22"/>
          <w:szCs w:val="22"/>
        </w:rPr>
        <w:t>un valor de $</w:t>
      </w:r>
      <w:r w:rsidRPr="00A427CC">
        <w:rPr>
          <w:rFonts w:ascii="Arial Narrow" w:hAnsi="Arial Narrow" w:cs="Gisha"/>
          <w:sz w:val="22"/>
          <w:szCs w:val="22"/>
        </w:rPr>
        <w:t>226.09</w:t>
      </w:r>
      <w:r>
        <w:rPr>
          <w:rFonts w:ascii="Arial Narrow" w:hAnsi="Arial Narrow" w:cs="Gisha"/>
          <w:sz w:val="22"/>
          <w:szCs w:val="22"/>
        </w:rPr>
        <w:t>8.873 miles correspondiente a la infraestructura en construcción y $ 1.508.501.226 miles por infraestructura en servicio.</w:t>
      </w:r>
    </w:p>
    <w:p w:rsidR="009F6DFC" w:rsidRDefault="009F6DFC" w:rsidP="009F6DFC">
      <w:pPr>
        <w:jc w:val="both"/>
        <w:rPr>
          <w:rFonts w:ascii="Arial Narrow" w:hAnsi="Arial Narrow" w:cs="Gisha"/>
          <w:sz w:val="22"/>
          <w:szCs w:val="22"/>
        </w:rPr>
      </w:pPr>
    </w:p>
    <w:p w:rsidR="009F6DFC" w:rsidRDefault="009F6DFC" w:rsidP="009F6DFC">
      <w:pPr>
        <w:jc w:val="both"/>
        <w:rPr>
          <w:rFonts w:ascii="Arial Narrow" w:hAnsi="Arial Narrow" w:cs="Gisha"/>
          <w:sz w:val="22"/>
          <w:szCs w:val="22"/>
        </w:rPr>
      </w:pPr>
      <w:r>
        <w:rPr>
          <w:rFonts w:ascii="Arial Narrow" w:hAnsi="Arial Narrow" w:cs="Gisha"/>
          <w:sz w:val="22"/>
          <w:szCs w:val="22"/>
        </w:rPr>
        <w:t>Las operaciones realizadas en la vigencia 2015 por este proyecto fueron las siguientes:</w:t>
      </w:r>
    </w:p>
    <w:p w:rsidR="009F6DFC" w:rsidRDefault="009F6DFC" w:rsidP="009F6DFC">
      <w:pPr>
        <w:jc w:val="both"/>
        <w:rPr>
          <w:rFonts w:ascii="Arial Narrow" w:hAnsi="Arial Narrow" w:cs="Gisha"/>
          <w:sz w:val="22"/>
          <w:szCs w:val="22"/>
        </w:rPr>
      </w:pPr>
    </w:p>
    <w:p w:rsidR="009F6DFC" w:rsidRDefault="009F6DFC" w:rsidP="00853B3A">
      <w:pPr>
        <w:pStyle w:val="Prrafodelista"/>
        <w:numPr>
          <w:ilvl w:val="0"/>
          <w:numId w:val="18"/>
        </w:numPr>
        <w:jc w:val="both"/>
        <w:rPr>
          <w:rFonts w:cs="Gisha"/>
          <w:sz w:val="22"/>
          <w:szCs w:val="22"/>
        </w:rPr>
      </w:pPr>
      <w:r>
        <w:rPr>
          <w:rFonts w:cs="Gisha"/>
          <w:sz w:val="22"/>
          <w:szCs w:val="22"/>
        </w:rPr>
        <w:t xml:space="preserve">Aporte estatal realizado por $ 89.000.000 miles </w:t>
      </w:r>
    </w:p>
    <w:p w:rsidR="009F6DFC" w:rsidRDefault="009F6DFC" w:rsidP="00853B3A">
      <w:pPr>
        <w:pStyle w:val="Prrafodelista"/>
        <w:numPr>
          <w:ilvl w:val="0"/>
          <w:numId w:val="18"/>
        </w:numPr>
        <w:jc w:val="both"/>
        <w:rPr>
          <w:rFonts w:cs="Gisha"/>
          <w:sz w:val="22"/>
          <w:szCs w:val="22"/>
        </w:rPr>
      </w:pPr>
      <w:r>
        <w:rPr>
          <w:rFonts w:cs="Gisha"/>
          <w:sz w:val="22"/>
          <w:szCs w:val="22"/>
        </w:rPr>
        <w:t>El valor de $</w:t>
      </w:r>
      <w:r w:rsidRPr="009151D7">
        <w:t xml:space="preserve"> </w:t>
      </w:r>
      <w:r>
        <w:rPr>
          <w:rFonts w:cs="Gisha"/>
          <w:sz w:val="22"/>
          <w:szCs w:val="22"/>
        </w:rPr>
        <w:t>279.154.000 miles correspondiente a ejecución de aportes estatales.</w:t>
      </w:r>
    </w:p>
    <w:p w:rsidR="009F6DFC" w:rsidRPr="00A427CC" w:rsidRDefault="009F6DFC" w:rsidP="009F6DFC">
      <w:pPr>
        <w:jc w:val="both"/>
        <w:rPr>
          <w:rFonts w:ascii="Arial Narrow" w:hAnsi="Arial Narrow" w:cs="Gisha"/>
          <w:sz w:val="22"/>
          <w:szCs w:val="22"/>
        </w:rPr>
      </w:pPr>
    </w:p>
    <w:p w:rsidR="009F6DFC" w:rsidRPr="00C67EDB" w:rsidRDefault="009F6DFC" w:rsidP="00853B3A">
      <w:pPr>
        <w:pStyle w:val="Prrafodelista"/>
        <w:numPr>
          <w:ilvl w:val="0"/>
          <w:numId w:val="16"/>
        </w:numPr>
        <w:jc w:val="both"/>
        <w:rPr>
          <w:rFonts w:cs="Gisha"/>
          <w:sz w:val="22"/>
          <w:szCs w:val="22"/>
          <w:u w:val="single"/>
          <w:lang w:val="es-ES"/>
        </w:rPr>
      </w:pPr>
      <w:r w:rsidRPr="00C67EDB">
        <w:rPr>
          <w:rFonts w:cs="Gisha"/>
          <w:sz w:val="22"/>
          <w:szCs w:val="22"/>
          <w:u w:val="single"/>
        </w:rPr>
        <w:t>Área Metropolitana de Cúcuta y Norte de Santander</w:t>
      </w:r>
    </w:p>
    <w:p w:rsidR="009F6DFC" w:rsidRDefault="009F6DFC" w:rsidP="009F6DFC">
      <w:pPr>
        <w:jc w:val="both"/>
        <w:rPr>
          <w:rFonts w:cs="Gisha"/>
          <w:sz w:val="22"/>
          <w:szCs w:val="22"/>
        </w:rPr>
      </w:pPr>
    </w:p>
    <w:p w:rsidR="009F6DFC" w:rsidRDefault="009F6DFC" w:rsidP="009F6DFC">
      <w:pPr>
        <w:jc w:val="both"/>
        <w:rPr>
          <w:rFonts w:ascii="Arial Narrow" w:hAnsi="Arial Narrow" w:cs="Gisha"/>
          <w:sz w:val="22"/>
          <w:szCs w:val="22"/>
        </w:rPr>
      </w:pPr>
      <w:r w:rsidRPr="00506387">
        <w:rPr>
          <w:rFonts w:ascii="Arial Narrow" w:hAnsi="Arial Narrow" w:cs="Gisha"/>
          <w:sz w:val="22"/>
          <w:szCs w:val="22"/>
        </w:rPr>
        <w:t xml:space="preserve">La concesión </w:t>
      </w:r>
      <w:r w:rsidRPr="001A2AC2">
        <w:rPr>
          <w:rFonts w:ascii="Arial Narrow" w:hAnsi="Arial Narrow" w:cs="Gisha"/>
          <w:sz w:val="22"/>
          <w:szCs w:val="22"/>
        </w:rPr>
        <w:t>Área Metropolitana de Cúcuta y Norte de Santander</w:t>
      </w:r>
      <w:r>
        <w:rPr>
          <w:rFonts w:ascii="Arial Narrow" w:hAnsi="Arial Narrow" w:cs="Gisha"/>
          <w:sz w:val="22"/>
          <w:szCs w:val="22"/>
        </w:rPr>
        <w:t>, contrato No. 006</w:t>
      </w:r>
      <w:r w:rsidR="00C67EDB">
        <w:rPr>
          <w:rFonts w:ascii="Arial Narrow" w:hAnsi="Arial Narrow" w:cs="Gisha"/>
          <w:sz w:val="22"/>
          <w:szCs w:val="22"/>
        </w:rPr>
        <w:t xml:space="preserve"> de 2007 suscrito por la Entidad</w:t>
      </w:r>
      <w:r>
        <w:rPr>
          <w:rFonts w:ascii="Arial Narrow" w:hAnsi="Arial Narrow" w:cs="Gisha"/>
          <w:sz w:val="22"/>
          <w:szCs w:val="22"/>
        </w:rPr>
        <w:t xml:space="preserve">, </w:t>
      </w:r>
      <w:r w:rsidR="00C67EDB" w:rsidRPr="005D7AFC">
        <w:rPr>
          <w:rFonts w:ascii="Arial Narrow" w:hAnsi="Arial Narrow" w:cs="Gisha"/>
          <w:sz w:val="22"/>
          <w:szCs w:val="22"/>
        </w:rPr>
        <w:t xml:space="preserve">a 31 de diciembre de 2015  presenta </w:t>
      </w:r>
      <w:r>
        <w:rPr>
          <w:rFonts w:ascii="Arial Narrow" w:hAnsi="Arial Narrow" w:cs="Gisha"/>
          <w:sz w:val="22"/>
          <w:szCs w:val="22"/>
        </w:rPr>
        <w:t>un valor por infraestructura en construcción por valor de $ 144.532.049 miles y en servicio de $ 299.931.815 miles.</w:t>
      </w:r>
    </w:p>
    <w:p w:rsidR="009F6DFC" w:rsidRDefault="009F6DFC" w:rsidP="009F6DFC">
      <w:pPr>
        <w:jc w:val="both"/>
        <w:rPr>
          <w:rFonts w:ascii="Arial Narrow" w:hAnsi="Arial Narrow" w:cs="Gisha"/>
          <w:sz w:val="22"/>
          <w:szCs w:val="22"/>
        </w:rPr>
      </w:pPr>
    </w:p>
    <w:p w:rsidR="009F6DFC" w:rsidRDefault="009F6DFC" w:rsidP="009F6DFC">
      <w:pPr>
        <w:jc w:val="both"/>
        <w:rPr>
          <w:rFonts w:ascii="Arial Narrow" w:hAnsi="Arial Narrow" w:cs="Gisha"/>
          <w:sz w:val="22"/>
          <w:szCs w:val="22"/>
        </w:rPr>
      </w:pPr>
      <w:r>
        <w:rPr>
          <w:rFonts w:ascii="Arial Narrow" w:hAnsi="Arial Narrow" w:cs="Gisha"/>
          <w:sz w:val="22"/>
          <w:szCs w:val="22"/>
        </w:rPr>
        <w:t>Las operaciones realizadas en la vigencia 2015 por este proyecto fueron las siguientes:</w:t>
      </w:r>
    </w:p>
    <w:p w:rsidR="009F6DFC" w:rsidRDefault="009F6DFC" w:rsidP="009F6DFC">
      <w:pPr>
        <w:jc w:val="both"/>
        <w:rPr>
          <w:rFonts w:ascii="Arial Narrow" w:hAnsi="Arial Narrow" w:cs="Gisha"/>
          <w:sz w:val="22"/>
          <w:szCs w:val="22"/>
        </w:rPr>
      </w:pPr>
    </w:p>
    <w:p w:rsidR="009F6DFC" w:rsidRDefault="009F6DFC" w:rsidP="00853B3A">
      <w:pPr>
        <w:pStyle w:val="Prrafodelista"/>
        <w:numPr>
          <w:ilvl w:val="0"/>
          <w:numId w:val="18"/>
        </w:numPr>
        <w:jc w:val="both"/>
        <w:rPr>
          <w:rFonts w:cs="Gisha"/>
          <w:sz w:val="22"/>
          <w:szCs w:val="22"/>
        </w:rPr>
      </w:pPr>
      <w:r>
        <w:rPr>
          <w:rFonts w:cs="Gisha"/>
          <w:sz w:val="22"/>
          <w:szCs w:val="22"/>
        </w:rPr>
        <w:t>Compra de predios urbanización Camila los Patios por valor de $ 572.120 miles.</w:t>
      </w:r>
    </w:p>
    <w:p w:rsidR="009F6DFC" w:rsidRPr="0086263D" w:rsidRDefault="009F6DFC" w:rsidP="00853B3A">
      <w:pPr>
        <w:pStyle w:val="Prrafodelista"/>
        <w:numPr>
          <w:ilvl w:val="0"/>
          <w:numId w:val="18"/>
        </w:numPr>
        <w:jc w:val="both"/>
        <w:rPr>
          <w:rFonts w:cs="Gisha"/>
          <w:sz w:val="22"/>
          <w:szCs w:val="22"/>
          <w:lang w:val="es-ES"/>
        </w:rPr>
      </w:pPr>
      <w:r w:rsidRPr="0086263D">
        <w:rPr>
          <w:rFonts w:cs="Gisha"/>
          <w:sz w:val="22"/>
          <w:szCs w:val="22"/>
        </w:rPr>
        <w:t xml:space="preserve">Predio expropiado al señor Manuel Alfonso Gutierrez por valor de  $1.754.938 miles </w:t>
      </w:r>
      <w:r w:rsidRPr="0086263D">
        <w:rPr>
          <w:rFonts w:cs="Arial"/>
          <w:sz w:val="22"/>
          <w:szCs w:val="22"/>
        </w:rPr>
        <w:t>ordenado por el Juzgado Civil del Circuito de los Patios –Norte de Santander</w:t>
      </w:r>
      <w:r w:rsidR="00C67EDB">
        <w:rPr>
          <w:rFonts w:cs="Arial"/>
          <w:sz w:val="22"/>
          <w:szCs w:val="22"/>
        </w:rPr>
        <w:t>. P</w:t>
      </w:r>
      <w:r w:rsidRPr="0086263D">
        <w:rPr>
          <w:rFonts w:cs="Arial"/>
          <w:sz w:val="22"/>
          <w:szCs w:val="22"/>
        </w:rPr>
        <w:t>redio</w:t>
      </w:r>
      <w:r w:rsidR="00C67EDB">
        <w:rPr>
          <w:rFonts w:cs="Arial"/>
          <w:sz w:val="22"/>
          <w:szCs w:val="22"/>
        </w:rPr>
        <w:t>:</w:t>
      </w:r>
      <w:r w:rsidRPr="0086263D">
        <w:rPr>
          <w:rFonts w:cs="Arial"/>
          <w:sz w:val="22"/>
          <w:szCs w:val="22"/>
        </w:rPr>
        <w:t xml:space="preserve"> San Antonio los Vados</w:t>
      </w:r>
      <w:r>
        <w:rPr>
          <w:rFonts w:cs="Arial"/>
          <w:sz w:val="22"/>
          <w:szCs w:val="22"/>
        </w:rPr>
        <w:t>.</w:t>
      </w:r>
    </w:p>
    <w:p w:rsidR="009F6DFC" w:rsidRDefault="009F6DFC" w:rsidP="00853B3A">
      <w:pPr>
        <w:pStyle w:val="Prrafodelista"/>
        <w:numPr>
          <w:ilvl w:val="0"/>
          <w:numId w:val="18"/>
        </w:numPr>
        <w:jc w:val="both"/>
        <w:rPr>
          <w:rFonts w:cs="Gisha"/>
          <w:sz w:val="22"/>
          <w:szCs w:val="22"/>
        </w:rPr>
      </w:pPr>
      <w:r>
        <w:rPr>
          <w:rFonts w:cs="Gisha"/>
          <w:sz w:val="22"/>
          <w:szCs w:val="22"/>
        </w:rPr>
        <w:t>El valor de $</w:t>
      </w:r>
      <w:r w:rsidRPr="009151D7">
        <w:t xml:space="preserve"> </w:t>
      </w:r>
      <w:r>
        <w:rPr>
          <w:rFonts w:cs="Gisha"/>
          <w:sz w:val="22"/>
          <w:szCs w:val="22"/>
        </w:rPr>
        <w:t>1.762.442 miles correspondiente a ejecución de aportes estatales.</w:t>
      </w:r>
    </w:p>
    <w:p w:rsidR="009F6DFC" w:rsidRDefault="009F6DFC" w:rsidP="00853B3A">
      <w:pPr>
        <w:pStyle w:val="Prrafodelista"/>
        <w:numPr>
          <w:ilvl w:val="0"/>
          <w:numId w:val="18"/>
        </w:numPr>
        <w:jc w:val="both"/>
        <w:rPr>
          <w:rFonts w:cs="Gisha"/>
          <w:sz w:val="22"/>
          <w:szCs w:val="22"/>
        </w:rPr>
      </w:pPr>
      <w:r>
        <w:rPr>
          <w:rFonts w:cs="Gisha"/>
          <w:sz w:val="22"/>
          <w:szCs w:val="22"/>
        </w:rPr>
        <w:t>Inversión de capital privado por valor de $ 2.950.000 miles</w:t>
      </w:r>
    </w:p>
    <w:p w:rsidR="009F6DFC" w:rsidRDefault="009F6DFC" w:rsidP="00853B3A">
      <w:pPr>
        <w:pStyle w:val="Prrafodelista"/>
        <w:numPr>
          <w:ilvl w:val="0"/>
          <w:numId w:val="18"/>
        </w:numPr>
        <w:jc w:val="both"/>
        <w:rPr>
          <w:rFonts w:cs="Gisha"/>
          <w:sz w:val="22"/>
          <w:szCs w:val="22"/>
        </w:rPr>
      </w:pPr>
      <w:r>
        <w:rPr>
          <w:rFonts w:cs="Gisha"/>
          <w:sz w:val="22"/>
          <w:szCs w:val="22"/>
        </w:rPr>
        <w:t>El valor de $ 3.753.767 miles correspondiente a pago por el Fondo de Contingencias de entidades Estatales efectuados por la FIDUPREVISORA.</w:t>
      </w:r>
    </w:p>
    <w:p w:rsidR="009F6DFC" w:rsidRPr="00CD097C" w:rsidRDefault="009F6DFC" w:rsidP="009F6DFC">
      <w:pPr>
        <w:pStyle w:val="Prrafodelista"/>
        <w:ind w:left="720"/>
        <w:jc w:val="both"/>
        <w:rPr>
          <w:rFonts w:cs="Gisha"/>
          <w:sz w:val="22"/>
          <w:szCs w:val="22"/>
          <w:lang w:val="es-ES"/>
        </w:rPr>
      </w:pPr>
    </w:p>
    <w:p w:rsidR="009F6DFC" w:rsidRPr="00C67EDB" w:rsidRDefault="009F6DFC" w:rsidP="00853B3A">
      <w:pPr>
        <w:pStyle w:val="Prrafodelista"/>
        <w:numPr>
          <w:ilvl w:val="0"/>
          <w:numId w:val="16"/>
        </w:numPr>
        <w:jc w:val="both"/>
        <w:rPr>
          <w:rFonts w:cs="Gisha"/>
          <w:sz w:val="22"/>
          <w:szCs w:val="22"/>
          <w:u w:val="single"/>
          <w:lang w:val="es-ES"/>
        </w:rPr>
      </w:pPr>
      <w:r w:rsidRPr="00C67EDB">
        <w:rPr>
          <w:rFonts w:cs="Gisha"/>
          <w:sz w:val="22"/>
          <w:szCs w:val="22"/>
          <w:u w:val="single"/>
        </w:rPr>
        <w:t>Briceño – Tunja – Sogamoso</w:t>
      </w:r>
    </w:p>
    <w:p w:rsidR="009F6DFC" w:rsidRDefault="009F6DFC" w:rsidP="009F6DFC">
      <w:pPr>
        <w:jc w:val="both"/>
        <w:rPr>
          <w:rFonts w:cs="Gisha"/>
          <w:sz w:val="22"/>
          <w:szCs w:val="22"/>
        </w:rPr>
      </w:pPr>
    </w:p>
    <w:p w:rsidR="009F6DFC" w:rsidRDefault="009F6DFC" w:rsidP="009F6DFC">
      <w:pPr>
        <w:jc w:val="both"/>
        <w:rPr>
          <w:rFonts w:ascii="Arial Narrow" w:hAnsi="Arial Narrow" w:cs="Gisha"/>
          <w:sz w:val="22"/>
          <w:szCs w:val="22"/>
        </w:rPr>
      </w:pPr>
      <w:r w:rsidRPr="00381C37">
        <w:rPr>
          <w:rFonts w:ascii="Arial Narrow" w:hAnsi="Arial Narrow" w:cs="Gisha"/>
          <w:sz w:val="22"/>
          <w:szCs w:val="22"/>
        </w:rPr>
        <w:t xml:space="preserve">La concesión </w:t>
      </w:r>
      <w:r w:rsidRPr="001A2AC2">
        <w:rPr>
          <w:rFonts w:ascii="Arial Narrow" w:hAnsi="Arial Narrow" w:cs="Gisha"/>
          <w:sz w:val="22"/>
          <w:szCs w:val="22"/>
        </w:rPr>
        <w:t xml:space="preserve">Briceño </w:t>
      </w:r>
      <w:r>
        <w:rPr>
          <w:rFonts w:ascii="Arial Narrow" w:hAnsi="Arial Narrow" w:cs="Gisha"/>
          <w:sz w:val="22"/>
          <w:szCs w:val="22"/>
        </w:rPr>
        <w:t xml:space="preserve">– Tunja – Sogamoso, contrato No. 377 de 2002 suscrito por </w:t>
      </w:r>
      <w:r w:rsidR="001C4AFE">
        <w:rPr>
          <w:rFonts w:ascii="Arial Narrow" w:hAnsi="Arial Narrow" w:cs="Gisha"/>
          <w:sz w:val="22"/>
          <w:szCs w:val="22"/>
        </w:rPr>
        <w:t>IN</w:t>
      </w:r>
      <w:r w:rsidR="00C67EDB">
        <w:rPr>
          <w:rFonts w:ascii="Arial Narrow" w:hAnsi="Arial Narrow" w:cs="Gisha"/>
          <w:sz w:val="22"/>
          <w:szCs w:val="22"/>
        </w:rPr>
        <w:t>VIAS</w:t>
      </w:r>
      <w:r>
        <w:rPr>
          <w:rFonts w:ascii="Arial Narrow" w:hAnsi="Arial Narrow" w:cs="Gisha"/>
          <w:sz w:val="22"/>
          <w:szCs w:val="22"/>
        </w:rPr>
        <w:t xml:space="preserve">, </w:t>
      </w:r>
      <w:r w:rsidR="00C67EDB">
        <w:rPr>
          <w:rFonts w:ascii="Arial Narrow" w:hAnsi="Arial Narrow" w:cs="Gisha"/>
          <w:sz w:val="22"/>
          <w:szCs w:val="22"/>
        </w:rPr>
        <w:t xml:space="preserve"> </w:t>
      </w:r>
      <w:r w:rsidR="00C67EDB" w:rsidRPr="005D7AFC">
        <w:rPr>
          <w:rFonts w:ascii="Arial Narrow" w:hAnsi="Arial Narrow" w:cs="Gisha"/>
          <w:sz w:val="22"/>
          <w:szCs w:val="22"/>
        </w:rPr>
        <w:t xml:space="preserve">a 31 de diciembre de 2015  presenta </w:t>
      </w:r>
      <w:r w:rsidR="00C67EDB">
        <w:rPr>
          <w:rFonts w:ascii="Arial Narrow" w:hAnsi="Arial Narrow" w:cs="Gisha"/>
          <w:sz w:val="22"/>
          <w:szCs w:val="22"/>
        </w:rPr>
        <w:t xml:space="preserve">un </w:t>
      </w:r>
      <w:r>
        <w:rPr>
          <w:rFonts w:ascii="Arial Narrow" w:hAnsi="Arial Narrow" w:cs="Gisha"/>
          <w:sz w:val="22"/>
          <w:szCs w:val="22"/>
        </w:rPr>
        <w:t>valor de $ 45.345.427 miles en infraestructura en construcción y $ 931.424.827 miles en infraestructura en servicio.</w:t>
      </w:r>
    </w:p>
    <w:p w:rsidR="009F6DFC" w:rsidRDefault="009F6DFC" w:rsidP="009F6DFC">
      <w:pPr>
        <w:jc w:val="both"/>
        <w:rPr>
          <w:rFonts w:ascii="Arial Narrow" w:hAnsi="Arial Narrow" w:cs="Gisha"/>
          <w:sz w:val="22"/>
          <w:szCs w:val="22"/>
        </w:rPr>
      </w:pPr>
    </w:p>
    <w:p w:rsidR="009F6DFC" w:rsidRDefault="009F6DFC" w:rsidP="009F6DFC">
      <w:pPr>
        <w:jc w:val="both"/>
        <w:rPr>
          <w:rFonts w:ascii="Arial Narrow" w:hAnsi="Arial Narrow" w:cs="Gisha"/>
          <w:sz w:val="22"/>
          <w:szCs w:val="22"/>
        </w:rPr>
      </w:pPr>
      <w:r>
        <w:rPr>
          <w:rFonts w:ascii="Arial Narrow" w:hAnsi="Arial Narrow" w:cs="Gisha"/>
          <w:sz w:val="22"/>
          <w:szCs w:val="22"/>
        </w:rPr>
        <w:t>Las operaciones realizadas en la vigencia 2015 por este proyecto fueron las siguientes:</w:t>
      </w:r>
    </w:p>
    <w:p w:rsidR="009F6DFC" w:rsidRDefault="009F6DFC" w:rsidP="009F6DFC">
      <w:pPr>
        <w:jc w:val="both"/>
        <w:rPr>
          <w:rFonts w:ascii="Arial Narrow" w:hAnsi="Arial Narrow" w:cs="Gisha"/>
          <w:sz w:val="22"/>
          <w:szCs w:val="22"/>
        </w:rPr>
      </w:pPr>
    </w:p>
    <w:p w:rsidR="009F6DFC" w:rsidRDefault="009F6DFC" w:rsidP="00853B3A">
      <w:pPr>
        <w:pStyle w:val="Prrafodelista"/>
        <w:numPr>
          <w:ilvl w:val="0"/>
          <w:numId w:val="20"/>
        </w:numPr>
        <w:jc w:val="both"/>
        <w:rPr>
          <w:rFonts w:cs="Gisha"/>
          <w:sz w:val="22"/>
          <w:szCs w:val="22"/>
        </w:rPr>
      </w:pPr>
      <w:r>
        <w:rPr>
          <w:rFonts w:cs="Gisha"/>
          <w:sz w:val="22"/>
          <w:szCs w:val="22"/>
        </w:rPr>
        <w:t>El valor de $</w:t>
      </w:r>
      <w:r w:rsidRPr="005940DB">
        <w:t xml:space="preserve"> </w:t>
      </w:r>
      <w:r>
        <w:rPr>
          <w:rFonts w:cs="Gisha"/>
          <w:sz w:val="22"/>
          <w:szCs w:val="22"/>
        </w:rPr>
        <w:t>8.146.075 miles correspondiente a la ejecución de recursos públicos.</w:t>
      </w:r>
    </w:p>
    <w:p w:rsidR="009F6DFC" w:rsidRDefault="009F6DFC" w:rsidP="00853B3A">
      <w:pPr>
        <w:pStyle w:val="Prrafodelista"/>
        <w:numPr>
          <w:ilvl w:val="0"/>
          <w:numId w:val="20"/>
        </w:numPr>
        <w:jc w:val="both"/>
        <w:rPr>
          <w:rFonts w:cs="Gisha"/>
          <w:sz w:val="22"/>
          <w:szCs w:val="22"/>
        </w:rPr>
      </w:pPr>
      <w:r>
        <w:rPr>
          <w:rFonts w:cs="Gisha"/>
          <w:sz w:val="22"/>
          <w:szCs w:val="22"/>
        </w:rPr>
        <w:t>El valor de $ 4.575.262 miles de la inversión de capital privado.</w:t>
      </w:r>
    </w:p>
    <w:p w:rsidR="009F6DFC" w:rsidRDefault="009F6DFC" w:rsidP="00853B3A">
      <w:pPr>
        <w:pStyle w:val="Prrafodelista"/>
        <w:numPr>
          <w:ilvl w:val="0"/>
          <w:numId w:val="20"/>
        </w:numPr>
        <w:jc w:val="both"/>
        <w:rPr>
          <w:rFonts w:cs="Gisha"/>
          <w:sz w:val="22"/>
          <w:szCs w:val="22"/>
        </w:rPr>
      </w:pPr>
      <w:r>
        <w:rPr>
          <w:rFonts w:cs="Gisha"/>
          <w:sz w:val="22"/>
          <w:szCs w:val="22"/>
        </w:rPr>
        <w:lastRenderedPageBreak/>
        <w:t>El valor de $ 3.854.339 miles corr</w:t>
      </w:r>
      <w:r w:rsidR="00C67EDB">
        <w:rPr>
          <w:rFonts w:cs="Gisha"/>
          <w:sz w:val="22"/>
          <w:szCs w:val="22"/>
        </w:rPr>
        <w:t>espondiente a la ejecución del Convenio I</w:t>
      </w:r>
      <w:r>
        <w:rPr>
          <w:rFonts w:cs="Gisha"/>
          <w:sz w:val="22"/>
          <w:szCs w:val="22"/>
        </w:rPr>
        <w:t>nteradmi</w:t>
      </w:r>
      <w:r w:rsidR="00C67EDB">
        <w:rPr>
          <w:rFonts w:cs="Gisha"/>
          <w:sz w:val="22"/>
          <w:szCs w:val="22"/>
        </w:rPr>
        <w:t>nistrativo suscrito entre la Agencia</w:t>
      </w:r>
      <w:r>
        <w:rPr>
          <w:rFonts w:cs="Gisha"/>
          <w:sz w:val="22"/>
          <w:szCs w:val="22"/>
        </w:rPr>
        <w:t xml:space="preserve"> </w:t>
      </w:r>
      <w:r w:rsidR="00C67EDB">
        <w:rPr>
          <w:rFonts w:cs="Gisha"/>
          <w:sz w:val="22"/>
          <w:szCs w:val="22"/>
        </w:rPr>
        <w:t xml:space="preserve">y el </w:t>
      </w:r>
      <w:r>
        <w:rPr>
          <w:rFonts w:cs="Gisha"/>
          <w:sz w:val="22"/>
          <w:szCs w:val="22"/>
        </w:rPr>
        <w:t>INVIAS.</w:t>
      </w:r>
    </w:p>
    <w:p w:rsidR="009F6DFC" w:rsidRPr="00381C37" w:rsidRDefault="009F6DFC" w:rsidP="00853B3A">
      <w:pPr>
        <w:pStyle w:val="Prrafodelista"/>
        <w:numPr>
          <w:ilvl w:val="0"/>
          <w:numId w:val="20"/>
        </w:numPr>
        <w:jc w:val="both"/>
        <w:rPr>
          <w:rFonts w:cs="Gisha"/>
          <w:sz w:val="22"/>
          <w:szCs w:val="22"/>
        </w:rPr>
      </w:pPr>
      <w:r w:rsidRPr="00BA18B5">
        <w:rPr>
          <w:rFonts w:cs="Gisha"/>
          <w:sz w:val="22"/>
          <w:szCs w:val="22"/>
        </w:rPr>
        <w:t>Reconocimiento de auto q</w:t>
      </w:r>
      <w:r>
        <w:rPr>
          <w:rFonts w:cs="Gisha"/>
          <w:sz w:val="22"/>
          <w:szCs w:val="22"/>
        </w:rPr>
        <w:t>ue</w:t>
      </w:r>
      <w:r w:rsidRPr="00BA18B5">
        <w:rPr>
          <w:rFonts w:cs="Gisha"/>
          <w:sz w:val="22"/>
          <w:szCs w:val="22"/>
        </w:rPr>
        <w:t xml:space="preserve"> aprueba conciliación judicial</w:t>
      </w:r>
      <w:r>
        <w:rPr>
          <w:rFonts w:cs="Gisha"/>
          <w:sz w:val="22"/>
          <w:szCs w:val="22"/>
        </w:rPr>
        <w:t xml:space="preserve"> del </w:t>
      </w:r>
      <w:r w:rsidRPr="00BA18B5">
        <w:rPr>
          <w:rFonts w:cs="Gisha"/>
          <w:sz w:val="22"/>
          <w:szCs w:val="22"/>
        </w:rPr>
        <w:t>acuerdo conciliatorio con CCS constructores, expediente 2013 02093</w:t>
      </w:r>
      <w:r>
        <w:rPr>
          <w:rFonts w:cs="Gisha"/>
          <w:sz w:val="22"/>
          <w:szCs w:val="22"/>
        </w:rPr>
        <w:t xml:space="preserve"> por valor de $ 41.953.316 miles.</w:t>
      </w:r>
    </w:p>
    <w:p w:rsidR="009F6DFC" w:rsidRPr="00381C37" w:rsidRDefault="009F6DFC" w:rsidP="009F6DFC">
      <w:pPr>
        <w:jc w:val="both"/>
        <w:rPr>
          <w:rFonts w:ascii="Arial Narrow" w:hAnsi="Arial Narrow" w:cs="Gisha"/>
          <w:sz w:val="22"/>
          <w:szCs w:val="22"/>
        </w:rPr>
      </w:pPr>
    </w:p>
    <w:p w:rsidR="009F6DFC" w:rsidRPr="00C67EDB" w:rsidRDefault="009F6DFC" w:rsidP="00853B3A">
      <w:pPr>
        <w:pStyle w:val="Prrafodelista"/>
        <w:numPr>
          <w:ilvl w:val="0"/>
          <w:numId w:val="16"/>
        </w:numPr>
        <w:jc w:val="both"/>
        <w:rPr>
          <w:rFonts w:cs="Gisha"/>
          <w:sz w:val="22"/>
          <w:szCs w:val="22"/>
          <w:u w:val="single"/>
          <w:lang w:val="es-ES"/>
        </w:rPr>
      </w:pPr>
      <w:r w:rsidRPr="00C67EDB">
        <w:rPr>
          <w:rFonts w:cs="Gisha"/>
          <w:sz w:val="22"/>
          <w:szCs w:val="22"/>
          <w:u w:val="single"/>
        </w:rPr>
        <w:t>Ibagué - Girardot- Cajamarca</w:t>
      </w:r>
    </w:p>
    <w:p w:rsidR="009F6DFC" w:rsidRDefault="009F6DFC" w:rsidP="009F6DFC">
      <w:pPr>
        <w:jc w:val="both"/>
        <w:rPr>
          <w:rFonts w:cs="Gisha"/>
          <w:sz w:val="22"/>
          <w:szCs w:val="22"/>
        </w:rPr>
      </w:pPr>
    </w:p>
    <w:p w:rsidR="009F6DFC" w:rsidRDefault="009F6DFC" w:rsidP="009F6DFC">
      <w:pPr>
        <w:jc w:val="both"/>
        <w:rPr>
          <w:rFonts w:ascii="Arial Narrow" w:hAnsi="Arial Narrow" w:cs="Gisha"/>
          <w:sz w:val="22"/>
          <w:szCs w:val="22"/>
        </w:rPr>
      </w:pPr>
      <w:r w:rsidRPr="00A83677">
        <w:rPr>
          <w:rFonts w:ascii="Arial Narrow" w:hAnsi="Arial Narrow" w:cs="Gisha"/>
          <w:sz w:val="22"/>
          <w:szCs w:val="22"/>
        </w:rPr>
        <w:t xml:space="preserve">La concesión </w:t>
      </w:r>
      <w:r w:rsidRPr="001A2AC2">
        <w:rPr>
          <w:rFonts w:ascii="Arial Narrow" w:hAnsi="Arial Narrow" w:cs="Gisha"/>
          <w:sz w:val="22"/>
          <w:szCs w:val="22"/>
        </w:rPr>
        <w:t>Ibagué - Girardot- Cajamarca</w:t>
      </w:r>
      <w:r>
        <w:rPr>
          <w:rFonts w:ascii="Arial Narrow" w:hAnsi="Arial Narrow" w:cs="Gisha"/>
          <w:sz w:val="22"/>
          <w:szCs w:val="22"/>
        </w:rPr>
        <w:t>, con</w:t>
      </w:r>
      <w:r w:rsidR="00C67EDB">
        <w:rPr>
          <w:rFonts w:ascii="Arial Narrow" w:hAnsi="Arial Narrow" w:cs="Gisha"/>
          <w:sz w:val="22"/>
          <w:szCs w:val="22"/>
        </w:rPr>
        <w:t>trato No. 007 de 2007 suscrito por la Entidad</w:t>
      </w:r>
      <w:r>
        <w:rPr>
          <w:rFonts w:ascii="Arial Narrow" w:hAnsi="Arial Narrow" w:cs="Gisha"/>
          <w:sz w:val="22"/>
          <w:szCs w:val="22"/>
        </w:rPr>
        <w:t xml:space="preserve"> </w:t>
      </w:r>
      <w:r w:rsidR="00C67EDB" w:rsidRPr="005D7AFC">
        <w:rPr>
          <w:rFonts w:ascii="Arial Narrow" w:hAnsi="Arial Narrow" w:cs="Gisha"/>
          <w:sz w:val="22"/>
          <w:szCs w:val="22"/>
        </w:rPr>
        <w:t xml:space="preserve">a 31 de diciembre de 2015  presenta </w:t>
      </w:r>
      <w:r>
        <w:rPr>
          <w:rFonts w:ascii="Arial Narrow" w:hAnsi="Arial Narrow" w:cs="Gisha"/>
          <w:sz w:val="22"/>
          <w:szCs w:val="22"/>
        </w:rPr>
        <w:t>un valor de $ 828.755.767 miles correspondiente a Infraestructura en servicio.</w:t>
      </w:r>
    </w:p>
    <w:p w:rsidR="009F6DFC" w:rsidRDefault="009F6DFC" w:rsidP="009F6DFC">
      <w:pPr>
        <w:jc w:val="both"/>
        <w:rPr>
          <w:rFonts w:ascii="Arial Narrow" w:hAnsi="Arial Narrow" w:cs="Gisha"/>
          <w:sz w:val="22"/>
          <w:szCs w:val="22"/>
        </w:rPr>
      </w:pPr>
    </w:p>
    <w:p w:rsidR="009F6DFC" w:rsidRDefault="009F6DFC" w:rsidP="009F6DFC">
      <w:pPr>
        <w:jc w:val="both"/>
        <w:rPr>
          <w:rFonts w:ascii="Arial Narrow" w:hAnsi="Arial Narrow" w:cs="Gisha"/>
          <w:sz w:val="22"/>
          <w:szCs w:val="22"/>
        </w:rPr>
      </w:pPr>
      <w:r>
        <w:rPr>
          <w:rFonts w:ascii="Arial Narrow" w:hAnsi="Arial Narrow" w:cs="Gisha"/>
          <w:sz w:val="22"/>
          <w:szCs w:val="22"/>
        </w:rPr>
        <w:t>Las operaciones realizadas en la vigencia 2015 por este proyecto fueron las siguientes:</w:t>
      </w:r>
    </w:p>
    <w:p w:rsidR="009F6DFC" w:rsidRDefault="009F6DFC" w:rsidP="009F6DFC">
      <w:pPr>
        <w:jc w:val="both"/>
        <w:rPr>
          <w:rFonts w:ascii="Arial Narrow" w:hAnsi="Arial Narrow" w:cs="Gisha"/>
          <w:sz w:val="22"/>
          <w:szCs w:val="22"/>
        </w:rPr>
      </w:pPr>
    </w:p>
    <w:p w:rsidR="009F6DFC" w:rsidRDefault="009F6DFC" w:rsidP="00853B3A">
      <w:pPr>
        <w:pStyle w:val="Prrafodelista"/>
        <w:numPr>
          <w:ilvl w:val="0"/>
          <w:numId w:val="18"/>
        </w:numPr>
        <w:jc w:val="both"/>
        <w:rPr>
          <w:rFonts w:cs="Gisha"/>
          <w:sz w:val="22"/>
          <w:szCs w:val="22"/>
        </w:rPr>
      </w:pPr>
      <w:r>
        <w:rPr>
          <w:rFonts w:cs="Gisha"/>
          <w:sz w:val="22"/>
          <w:szCs w:val="22"/>
        </w:rPr>
        <w:t>Inversión de capital privado por valor de $ 7.000.000 miles</w:t>
      </w:r>
    </w:p>
    <w:p w:rsidR="009F6DFC" w:rsidRPr="00A83677" w:rsidRDefault="009F6DFC" w:rsidP="009F6DFC">
      <w:pPr>
        <w:jc w:val="both"/>
        <w:rPr>
          <w:rFonts w:ascii="Arial Narrow" w:hAnsi="Arial Narrow" w:cs="Gisha"/>
          <w:sz w:val="22"/>
          <w:szCs w:val="22"/>
        </w:rPr>
      </w:pPr>
    </w:p>
    <w:p w:rsidR="009F6DFC" w:rsidRPr="00C67EDB" w:rsidRDefault="009F6DFC" w:rsidP="00853B3A">
      <w:pPr>
        <w:pStyle w:val="Prrafodelista"/>
        <w:numPr>
          <w:ilvl w:val="0"/>
          <w:numId w:val="16"/>
        </w:numPr>
        <w:jc w:val="both"/>
        <w:rPr>
          <w:rFonts w:cs="Gisha"/>
          <w:sz w:val="22"/>
          <w:szCs w:val="22"/>
          <w:u w:val="single"/>
          <w:lang w:val="es-ES"/>
        </w:rPr>
      </w:pPr>
      <w:r w:rsidRPr="00C67EDB">
        <w:rPr>
          <w:rFonts w:cs="Gisha"/>
          <w:sz w:val="22"/>
          <w:szCs w:val="22"/>
          <w:u w:val="single"/>
        </w:rPr>
        <w:t>Pereira - La Victoria</w:t>
      </w:r>
    </w:p>
    <w:p w:rsidR="009F6DFC" w:rsidRDefault="009F6DFC" w:rsidP="009F6DFC">
      <w:pPr>
        <w:jc w:val="both"/>
        <w:rPr>
          <w:rFonts w:cs="Gisha"/>
          <w:sz w:val="22"/>
          <w:szCs w:val="22"/>
        </w:rPr>
      </w:pPr>
    </w:p>
    <w:p w:rsidR="009F6DFC" w:rsidRDefault="009F6DFC" w:rsidP="009F6DFC">
      <w:pPr>
        <w:jc w:val="both"/>
        <w:rPr>
          <w:rFonts w:ascii="Arial Narrow" w:hAnsi="Arial Narrow" w:cs="Gisha"/>
          <w:sz w:val="22"/>
          <w:szCs w:val="22"/>
        </w:rPr>
      </w:pPr>
      <w:r w:rsidRPr="00402F4B">
        <w:rPr>
          <w:rFonts w:ascii="Arial Narrow" w:hAnsi="Arial Narrow" w:cs="Gisha"/>
          <w:sz w:val="22"/>
          <w:szCs w:val="22"/>
        </w:rPr>
        <w:t xml:space="preserve">La concesión </w:t>
      </w:r>
      <w:r w:rsidRPr="001A2AC2">
        <w:rPr>
          <w:rFonts w:ascii="Arial Narrow" w:hAnsi="Arial Narrow" w:cs="Gisha"/>
          <w:sz w:val="22"/>
          <w:szCs w:val="22"/>
        </w:rPr>
        <w:t>Pereira - La Victoria</w:t>
      </w:r>
      <w:r>
        <w:rPr>
          <w:rFonts w:ascii="Arial Narrow" w:hAnsi="Arial Narrow" w:cs="Gisha"/>
          <w:sz w:val="22"/>
          <w:szCs w:val="22"/>
        </w:rPr>
        <w:t>, con</w:t>
      </w:r>
      <w:r w:rsidR="00C67EDB">
        <w:rPr>
          <w:rFonts w:ascii="Arial Narrow" w:hAnsi="Arial Narrow" w:cs="Gisha"/>
          <w:sz w:val="22"/>
          <w:szCs w:val="22"/>
        </w:rPr>
        <w:t>trato No. 046 de 2004 suscrito</w:t>
      </w:r>
      <w:r>
        <w:rPr>
          <w:rFonts w:ascii="Arial Narrow" w:hAnsi="Arial Narrow" w:cs="Gisha"/>
          <w:sz w:val="22"/>
          <w:szCs w:val="22"/>
        </w:rPr>
        <w:t xml:space="preserve"> por la </w:t>
      </w:r>
      <w:r w:rsidR="00C67EDB">
        <w:rPr>
          <w:rFonts w:ascii="Arial Narrow" w:hAnsi="Arial Narrow" w:cs="Gisha"/>
          <w:sz w:val="22"/>
          <w:szCs w:val="22"/>
        </w:rPr>
        <w:t>Entidad</w:t>
      </w:r>
      <w:r>
        <w:rPr>
          <w:rFonts w:ascii="Arial Narrow" w:hAnsi="Arial Narrow" w:cs="Gisha"/>
          <w:sz w:val="22"/>
          <w:szCs w:val="22"/>
        </w:rPr>
        <w:t xml:space="preserve">, </w:t>
      </w:r>
      <w:r w:rsidR="00C67EDB">
        <w:rPr>
          <w:rFonts w:ascii="Arial Narrow" w:hAnsi="Arial Narrow" w:cs="Gisha"/>
          <w:sz w:val="22"/>
          <w:szCs w:val="22"/>
        </w:rPr>
        <w:t xml:space="preserve"> </w:t>
      </w:r>
      <w:r w:rsidR="00C67EDB" w:rsidRPr="005D7AFC">
        <w:rPr>
          <w:rFonts w:ascii="Arial Narrow" w:hAnsi="Arial Narrow" w:cs="Gisha"/>
          <w:sz w:val="22"/>
          <w:szCs w:val="22"/>
        </w:rPr>
        <w:t>a 31 de diciembre de 2015  presenta</w:t>
      </w:r>
      <w:r w:rsidR="00C67EDB">
        <w:rPr>
          <w:rFonts w:ascii="Arial Narrow" w:hAnsi="Arial Narrow" w:cs="Gisha"/>
          <w:sz w:val="22"/>
          <w:szCs w:val="22"/>
        </w:rPr>
        <w:t xml:space="preserve"> </w:t>
      </w:r>
      <w:r>
        <w:rPr>
          <w:rFonts w:ascii="Arial Narrow" w:hAnsi="Arial Narrow" w:cs="Gisha"/>
          <w:sz w:val="22"/>
          <w:szCs w:val="22"/>
        </w:rPr>
        <w:t>un valor de $194.249.994 miles en infraestructura en construcción y $ 361.633.672 miles en infraestructura en servicio.</w:t>
      </w:r>
    </w:p>
    <w:p w:rsidR="009F6DFC" w:rsidRDefault="009F6DFC" w:rsidP="009F6DFC">
      <w:pPr>
        <w:jc w:val="both"/>
        <w:rPr>
          <w:rFonts w:ascii="Arial Narrow" w:hAnsi="Arial Narrow" w:cs="Gisha"/>
          <w:sz w:val="22"/>
          <w:szCs w:val="22"/>
        </w:rPr>
      </w:pPr>
    </w:p>
    <w:p w:rsidR="009F6DFC" w:rsidRDefault="009F6DFC" w:rsidP="009F6DFC">
      <w:pPr>
        <w:jc w:val="both"/>
        <w:rPr>
          <w:rFonts w:ascii="Arial Narrow" w:hAnsi="Arial Narrow" w:cs="Gisha"/>
          <w:sz w:val="22"/>
          <w:szCs w:val="22"/>
        </w:rPr>
      </w:pPr>
      <w:r>
        <w:rPr>
          <w:rFonts w:ascii="Arial Narrow" w:hAnsi="Arial Narrow" w:cs="Gisha"/>
          <w:sz w:val="22"/>
          <w:szCs w:val="22"/>
        </w:rPr>
        <w:t>Las operaciones realizadas en la vigencia 2015 por este proyecto fueron las siguientes:</w:t>
      </w:r>
    </w:p>
    <w:p w:rsidR="009F6DFC" w:rsidRDefault="009F6DFC" w:rsidP="009F6DFC">
      <w:pPr>
        <w:jc w:val="both"/>
        <w:rPr>
          <w:rFonts w:ascii="Arial Narrow" w:hAnsi="Arial Narrow" w:cs="Gisha"/>
          <w:sz w:val="22"/>
          <w:szCs w:val="22"/>
        </w:rPr>
      </w:pPr>
    </w:p>
    <w:p w:rsidR="009F6DFC" w:rsidRDefault="009F6DFC" w:rsidP="00853B3A">
      <w:pPr>
        <w:pStyle w:val="Prrafodelista"/>
        <w:numPr>
          <w:ilvl w:val="0"/>
          <w:numId w:val="20"/>
        </w:numPr>
        <w:jc w:val="both"/>
        <w:rPr>
          <w:rFonts w:cs="Gisha"/>
          <w:sz w:val="22"/>
          <w:szCs w:val="22"/>
        </w:rPr>
      </w:pPr>
      <w:r>
        <w:rPr>
          <w:rFonts w:cs="Gisha"/>
          <w:sz w:val="22"/>
          <w:szCs w:val="22"/>
        </w:rPr>
        <w:t>El valor de $</w:t>
      </w:r>
      <w:r w:rsidRPr="005940DB">
        <w:t xml:space="preserve"> </w:t>
      </w:r>
      <w:r>
        <w:rPr>
          <w:rFonts w:cs="Gisha"/>
          <w:sz w:val="22"/>
          <w:szCs w:val="22"/>
        </w:rPr>
        <w:t>3.868.142 miles correspondiente a la ejecución de recursos públicos.</w:t>
      </w:r>
    </w:p>
    <w:p w:rsidR="009F6DFC" w:rsidRPr="00402F4B" w:rsidRDefault="009F6DFC" w:rsidP="009F6DFC">
      <w:pPr>
        <w:jc w:val="both"/>
        <w:rPr>
          <w:rFonts w:ascii="Arial Narrow" w:hAnsi="Arial Narrow" w:cs="Gisha"/>
          <w:sz w:val="22"/>
          <w:szCs w:val="22"/>
        </w:rPr>
      </w:pPr>
    </w:p>
    <w:p w:rsidR="009F6DFC" w:rsidRPr="00C67EDB" w:rsidRDefault="009F6DFC" w:rsidP="00853B3A">
      <w:pPr>
        <w:pStyle w:val="Prrafodelista"/>
        <w:numPr>
          <w:ilvl w:val="0"/>
          <w:numId w:val="16"/>
        </w:numPr>
        <w:jc w:val="both"/>
        <w:rPr>
          <w:rFonts w:cs="Gisha"/>
          <w:sz w:val="22"/>
          <w:szCs w:val="22"/>
          <w:u w:val="single"/>
          <w:lang w:val="es-ES"/>
        </w:rPr>
      </w:pPr>
      <w:r w:rsidRPr="00C67EDB">
        <w:rPr>
          <w:rFonts w:cs="Gisha"/>
          <w:sz w:val="22"/>
          <w:szCs w:val="22"/>
          <w:u w:val="single"/>
        </w:rPr>
        <w:t>Neiva – Espinal – Girardot</w:t>
      </w:r>
    </w:p>
    <w:p w:rsidR="009F6DFC" w:rsidRDefault="009F6DFC" w:rsidP="009F6DFC">
      <w:pPr>
        <w:jc w:val="both"/>
        <w:rPr>
          <w:rFonts w:cs="Gisha"/>
          <w:sz w:val="22"/>
          <w:szCs w:val="22"/>
        </w:rPr>
      </w:pPr>
    </w:p>
    <w:p w:rsidR="00C109D9" w:rsidRDefault="009F6DFC" w:rsidP="009F6DFC">
      <w:pPr>
        <w:jc w:val="both"/>
        <w:rPr>
          <w:rFonts w:ascii="Arial Narrow" w:hAnsi="Arial Narrow" w:cs="Gisha"/>
          <w:sz w:val="22"/>
          <w:szCs w:val="22"/>
        </w:rPr>
      </w:pPr>
      <w:r w:rsidRPr="001C1C0D">
        <w:rPr>
          <w:rFonts w:ascii="Arial Narrow" w:hAnsi="Arial Narrow" w:cs="Gisha"/>
          <w:sz w:val="22"/>
          <w:szCs w:val="22"/>
        </w:rPr>
        <w:t xml:space="preserve">La concesión </w:t>
      </w:r>
      <w:r w:rsidRPr="001A2AC2">
        <w:rPr>
          <w:rFonts w:ascii="Arial Narrow" w:hAnsi="Arial Narrow" w:cs="Gisha"/>
          <w:sz w:val="22"/>
          <w:szCs w:val="22"/>
        </w:rPr>
        <w:t>Neiva</w:t>
      </w:r>
      <w:r w:rsidRPr="001C1C0D">
        <w:rPr>
          <w:rFonts w:ascii="Arial Narrow" w:hAnsi="Arial Narrow" w:cs="Gisha"/>
          <w:sz w:val="22"/>
          <w:szCs w:val="22"/>
        </w:rPr>
        <w:t xml:space="preserve"> </w:t>
      </w:r>
      <w:r w:rsidRPr="001A2AC2">
        <w:rPr>
          <w:rFonts w:ascii="Arial Narrow" w:hAnsi="Arial Narrow" w:cs="Gisha"/>
          <w:sz w:val="22"/>
          <w:szCs w:val="22"/>
        </w:rPr>
        <w:t>– Espinal – Girardot</w:t>
      </w:r>
      <w:r>
        <w:rPr>
          <w:rFonts w:ascii="Arial Narrow" w:hAnsi="Arial Narrow" w:cs="Gisha"/>
          <w:sz w:val="22"/>
          <w:szCs w:val="22"/>
        </w:rPr>
        <w:t xml:space="preserve">, contrato No. 849 de 1995, </w:t>
      </w:r>
      <w:r w:rsidR="00C67EDB">
        <w:rPr>
          <w:rFonts w:ascii="Arial Narrow" w:hAnsi="Arial Narrow" w:cs="Gisha"/>
          <w:sz w:val="22"/>
          <w:szCs w:val="22"/>
        </w:rPr>
        <w:t xml:space="preserve">suscrito </w:t>
      </w:r>
      <w:r>
        <w:rPr>
          <w:rFonts w:ascii="Arial Narrow" w:hAnsi="Arial Narrow" w:cs="Gisha"/>
          <w:sz w:val="22"/>
          <w:szCs w:val="22"/>
        </w:rPr>
        <w:t xml:space="preserve">por el INVIAS, </w:t>
      </w:r>
      <w:r w:rsidR="00C67EDB" w:rsidRPr="005D7AFC">
        <w:rPr>
          <w:rFonts w:ascii="Arial Narrow" w:hAnsi="Arial Narrow" w:cs="Gisha"/>
          <w:sz w:val="22"/>
          <w:szCs w:val="22"/>
        </w:rPr>
        <w:t xml:space="preserve">a 31 de diciembre de 2015  presenta </w:t>
      </w:r>
      <w:r w:rsidRPr="005D7AFC">
        <w:rPr>
          <w:rFonts w:ascii="Arial Narrow" w:hAnsi="Arial Narrow" w:cs="Gisha"/>
          <w:sz w:val="22"/>
          <w:szCs w:val="22"/>
        </w:rPr>
        <w:t>u</w:t>
      </w:r>
      <w:r>
        <w:rPr>
          <w:rFonts w:ascii="Arial Narrow" w:hAnsi="Arial Narrow" w:cs="Gisha"/>
          <w:sz w:val="22"/>
          <w:szCs w:val="22"/>
        </w:rPr>
        <w:t xml:space="preserve">n valor de </w:t>
      </w:r>
      <w:r w:rsidR="00C109D9">
        <w:rPr>
          <w:rFonts w:ascii="Arial Narrow" w:hAnsi="Arial Narrow" w:cs="Gisha"/>
          <w:sz w:val="22"/>
          <w:szCs w:val="22"/>
        </w:rPr>
        <w:t xml:space="preserve"> $78.585.768 miles </w:t>
      </w:r>
      <w:r>
        <w:rPr>
          <w:rFonts w:ascii="Arial Narrow" w:hAnsi="Arial Narrow" w:cs="Gisha"/>
          <w:sz w:val="22"/>
          <w:szCs w:val="22"/>
        </w:rPr>
        <w:t>en infraestructura en servicio</w:t>
      </w:r>
      <w:r w:rsidR="00C109D9">
        <w:rPr>
          <w:rFonts w:ascii="Arial Narrow" w:hAnsi="Arial Narrow" w:cs="Gisha"/>
          <w:sz w:val="22"/>
          <w:szCs w:val="22"/>
        </w:rPr>
        <w:t>.</w:t>
      </w:r>
    </w:p>
    <w:p w:rsidR="009F6DFC" w:rsidRDefault="009F6DFC" w:rsidP="009F6DFC">
      <w:pPr>
        <w:jc w:val="both"/>
        <w:rPr>
          <w:rFonts w:ascii="Arial Narrow" w:hAnsi="Arial Narrow" w:cs="Gisha"/>
          <w:sz w:val="22"/>
          <w:szCs w:val="22"/>
        </w:rPr>
      </w:pPr>
      <w:r>
        <w:rPr>
          <w:rFonts w:ascii="Arial Narrow" w:hAnsi="Arial Narrow" w:cs="Gisha"/>
          <w:sz w:val="22"/>
          <w:szCs w:val="22"/>
        </w:rPr>
        <w:t xml:space="preserve"> </w:t>
      </w:r>
    </w:p>
    <w:p w:rsidR="009F6DFC" w:rsidRDefault="009F6DFC" w:rsidP="009F6DFC">
      <w:pPr>
        <w:jc w:val="both"/>
        <w:rPr>
          <w:rFonts w:ascii="Arial Narrow" w:hAnsi="Arial Narrow" w:cs="Gisha"/>
          <w:sz w:val="22"/>
          <w:szCs w:val="22"/>
        </w:rPr>
      </w:pPr>
      <w:r>
        <w:rPr>
          <w:rFonts w:ascii="Arial Narrow" w:hAnsi="Arial Narrow" w:cs="Gisha"/>
          <w:sz w:val="22"/>
          <w:szCs w:val="22"/>
        </w:rPr>
        <w:t>Las operaciones realizadas en la vigencia 2015 por este proyecto fueron las siguientes:</w:t>
      </w:r>
    </w:p>
    <w:p w:rsidR="009F6DFC" w:rsidRDefault="009F6DFC" w:rsidP="009F6DFC">
      <w:pPr>
        <w:jc w:val="both"/>
        <w:rPr>
          <w:rFonts w:ascii="Arial Narrow" w:hAnsi="Arial Narrow" w:cs="Gisha"/>
          <w:sz w:val="22"/>
          <w:szCs w:val="22"/>
        </w:rPr>
      </w:pPr>
    </w:p>
    <w:p w:rsidR="009531C7" w:rsidRDefault="009F6DFC" w:rsidP="00853B3A">
      <w:pPr>
        <w:pStyle w:val="Prrafodelista"/>
        <w:numPr>
          <w:ilvl w:val="0"/>
          <w:numId w:val="18"/>
        </w:numPr>
        <w:jc w:val="both"/>
        <w:rPr>
          <w:rFonts w:cs="Gisha"/>
          <w:sz w:val="22"/>
          <w:szCs w:val="22"/>
        </w:rPr>
      </w:pPr>
      <w:r w:rsidRPr="009531C7">
        <w:rPr>
          <w:rFonts w:cs="Gisha"/>
          <w:sz w:val="22"/>
          <w:szCs w:val="22"/>
        </w:rPr>
        <w:t xml:space="preserve">En otrosí del 30 de enero de 2014, se estableció que el concesionario recaudaría los ingresos hasta alcanzar la TIR contractual real que esta tasada en el 11.64%. </w:t>
      </w:r>
      <w:r w:rsidR="009531C7" w:rsidRPr="009531C7">
        <w:rPr>
          <w:rFonts w:cs="Gisha"/>
          <w:sz w:val="22"/>
          <w:szCs w:val="22"/>
        </w:rPr>
        <w:t>L</w:t>
      </w:r>
      <w:r w:rsidRPr="009531C7">
        <w:rPr>
          <w:rFonts w:cs="Gisha"/>
          <w:sz w:val="22"/>
          <w:szCs w:val="22"/>
        </w:rPr>
        <w:t>o anterior ocurrió el 27 de octubre de 2015, hecho que quedó plasmado en el acta de alcance de la TIR contractual, por lo tanto los ingresos que se obtienen a parti</w:t>
      </w:r>
      <w:r w:rsidR="00C67EDB">
        <w:rPr>
          <w:rFonts w:cs="Gisha"/>
          <w:sz w:val="22"/>
          <w:szCs w:val="22"/>
        </w:rPr>
        <w:t xml:space="preserve">r de dicha fecha, </w:t>
      </w:r>
      <w:r w:rsidR="00C67EDB" w:rsidRPr="009531C7">
        <w:rPr>
          <w:rFonts w:cs="Gisha"/>
          <w:sz w:val="22"/>
          <w:szCs w:val="22"/>
        </w:rPr>
        <w:t>después de descontar los costos de mantenimiento y operación</w:t>
      </w:r>
      <w:r w:rsidR="00C67EDB">
        <w:rPr>
          <w:rFonts w:cs="Gisha"/>
          <w:sz w:val="22"/>
          <w:szCs w:val="22"/>
        </w:rPr>
        <w:t xml:space="preserve"> son para la Agencia</w:t>
      </w:r>
      <w:r w:rsidRPr="009531C7">
        <w:rPr>
          <w:rFonts w:cs="Gisha"/>
          <w:sz w:val="22"/>
          <w:szCs w:val="22"/>
        </w:rPr>
        <w:t>.</w:t>
      </w:r>
      <w:r w:rsidR="009531C7" w:rsidRPr="009531C7">
        <w:rPr>
          <w:rFonts w:cs="Gisha"/>
          <w:sz w:val="22"/>
          <w:szCs w:val="22"/>
        </w:rPr>
        <w:t xml:space="preserve"> Este proyecto está en proceso de liquidación y los recursos que se encuentran en las cuentas del patrimonio autónomo tiene como destinación el laudo, los temas prediales </w:t>
      </w:r>
      <w:r w:rsidR="009531C7">
        <w:rPr>
          <w:rFonts w:cs="Gisha"/>
          <w:sz w:val="22"/>
          <w:szCs w:val="22"/>
        </w:rPr>
        <w:t xml:space="preserve">y ambientales </w:t>
      </w:r>
      <w:r w:rsidR="009531C7" w:rsidRPr="009531C7">
        <w:rPr>
          <w:rFonts w:cs="Gisha"/>
          <w:sz w:val="22"/>
          <w:szCs w:val="22"/>
        </w:rPr>
        <w:t xml:space="preserve">pendientes, </w:t>
      </w:r>
      <w:r w:rsidR="009531C7">
        <w:rPr>
          <w:rFonts w:cs="Gisha"/>
          <w:sz w:val="22"/>
          <w:szCs w:val="22"/>
        </w:rPr>
        <w:t>así como los costos de mantenimiento y operación, hasta la liquidación. Al cierre de la vigencia aún no hay fallo del tribunal.</w:t>
      </w:r>
    </w:p>
    <w:p w:rsidR="005D7AFC" w:rsidRPr="00D92680" w:rsidRDefault="005D7AFC" w:rsidP="00D92680">
      <w:pPr>
        <w:jc w:val="both"/>
        <w:rPr>
          <w:rFonts w:cs="Gisha"/>
          <w:sz w:val="22"/>
          <w:szCs w:val="22"/>
        </w:rPr>
      </w:pPr>
    </w:p>
    <w:p w:rsidR="00D92680" w:rsidRPr="00C67EDB" w:rsidRDefault="009531C7" w:rsidP="00853B3A">
      <w:pPr>
        <w:pStyle w:val="Prrafodelista"/>
        <w:numPr>
          <w:ilvl w:val="0"/>
          <w:numId w:val="16"/>
        </w:numPr>
        <w:jc w:val="both"/>
        <w:rPr>
          <w:rFonts w:cs="Gisha"/>
          <w:sz w:val="22"/>
          <w:szCs w:val="22"/>
          <w:u w:val="single"/>
          <w:lang w:val="es-ES"/>
        </w:rPr>
      </w:pPr>
      <w:r w:rsidRPr="009531C7">
        <w:rPr>
          <w:rFonts w:cs="Gisha"/>
          <w:sz w:val="22"/>
          <w:szCs w:val="22"/>
        </w:rPr>
        <w:t xml:space="preserve"> </w:t>
      </w:r>
      <w:r w:rsidR="00D92680" w:rsidRPr="00C67EDB">
        <w:rPr>
          <w:rFonts w:cs="Gisha"/>
          <w:sz w:val="22"/>
          <w:szCs w:val="22"/>
          <w:u w:val="single"/>
          <w:lang w:val="es-ES"/>
        </w:rPr>
        <w:t>Zipaquirá - Palenque</w:t>
      </w:r>
    </w:p>
    <w:p w:rsidR="00D92680" w:rsidRDefault="00D92680" w:rsidP="00D92680">
      <w:pPr>
        <w:jc w:val="both"/>
        <w:rPr>
          <w:rFonts w:cs="Gisha"/>
          <w:sz w:val="22"/>
          <w:szCs w:val="22"/>
        </w:rPr>
      </w:pPr>
    </w:p>
    <w:p w:rsidR="00D92680" w:rsidRDefault="00D92680" w:rsidP="00D92680">
      <w:pPr>
        <w:jc w:val="both"/>
        <w:rPr>
          <w:rFonts w:ascii="Arial Narrow" w:hAnsi="Arial Narrow" w:cs="Gisha"/>
          <w:sz w:val="22"/>
          <w:szCs w:val="22"/>
        </w:rPr>
      </w:pPr>
      <w:r w:rsidRPr="00D92680">
        <w:rPr>
          <w:rFonts w:ascii="Arial Narrow" w:hAnsi="Arial Narrow" w:cs="Gisha"/>
          <w:sz w:val="22"/>
          <w:szCs w:val="22"/>
        </w:rPr>
        <w:t xml:space="preserve">La concesión Zipaquirá - Palenque, </w:t>
      </w:r>
      <w:r w:rsidR="00C67EDB">
        <w:rPr>
          <w:rFonts w:ascii="Arial Narrow" w:hAnsi="Arial Narrow" w:cs="Gisha"/>
          <w:sz w:val="22"/>
          <w:szCs w:val="22"/>
        </w:rPr>
        <w:t>contrato 1161 de 2001 suscrito</w:t>
      </w:r>
      <w:r w:rsidRPr="00D92680">
        <w:rPr>
          <w:rFonts w:ascii="Arial Narrow" w:hAnsi="Arial Narrow" w:cs="Gisha"/>
          <w:sz w:val="22"/>
          <w:szCs w:val="22"/>
        </w:rPr>
        <w:t xml:space="preserve"> por INVIAS, </w:t>
      </w:r>
      <w:r w:rsidR="00C67EDB">
        <w:rPr>
          <w:rFonts w:ascii="Arial Narrow" w:hAnsi="Arial Narrow" w:cs="Gisha"/>
          <w:sz w:val="22"/>
          <w:szCs w:val="22"/>
        </w:rPr>
        <w:t xml:space="preserve"> </w:t>
      </w:r>
      <w:r w:rsidR="00C67EDB" w:rsidRPr="005D7AFC">
        <w:rPr>
          <w:rFonts w:ascii="Arial Narrow" w:hAnsi="Arial Narrow" w:cs="Gisha"/>
          <w:sz w:val="22"/>
          <w:szCs w:val="22"/>
        </w:rPr>
        <w:t xml:space="preserve">a 31 de diciembre de 2015  presenta </w:t>
      </w:r>
      <w:r w:rsidRPr="00D92680">
        <w:rPr>
          <w:rFonts w:ascii="Arial Narrow" w:hAnsi="Arial Narrow" w:cs="Gisha"/>
          <w:sz w:val="22"/>
          <w:szCs w:val="22"/>
        </w:rPr>
        <w:t xml:space="preserve">un valor de $ 469.970.901 miles por infraestructura en </w:t>
      </w:r>
      <w:r>
        <w:rPr>
          <w:rFonts w:ascii="Arial Narrow" w:hAnsi="Arial Narrow" w:cs="Gisha"/>
          <w:sz w:val="22"/>
          <w:szCs w:val="22"/>
        </w:rPr>
        <w:t>servicio.</w:t>
      </w:r>
    </w:p>
    <w:p w:rsidR="00D92680" w:rsidRDefault="00D92680" w:rsidP="00D92680">
      <w:pPr>
        <w:jc w:val="both"/>
        <w:rPr>
          <w:rFonts w:ascii="Arial Narrow" w:hAnsi="Arial Narrow" w:cs="Gisha"/>
          <w:sz w:val="22"/>
          <w:szCs w:val="22"/>
        </w:rPr>
      </w:pPr>
    </w:p>
    <w:p w:rsidR="00D92680" w:rsidRPr="00D92680" w:rsidRDefault="00C67EDB" w:rsidP="00D92680">
      <w:pPr>
        <w:jc w:val="both"/>
        <w:rPr>
          <w:rFonts w:ascii="Arial Narrow" w:hAnsi="Arial Narrow" w:cs="Gisha"/>
          <w:sz w:val="22"/>
          <w:szCs w:val="22"/>
        </w:rPr>
      </w:pPr>
      <w:r>
        <w:rPr>
          <w:rFonts w:ascii="Arial Narrow" w:hAnsi="Arial Narrow" w:cs="Gisha"/>
          <w:sz w:val="22"/>
          <w:szCs w:val="22"/>
        </w:rPr>
        <w:t>Este contrato pertenece a la Tercera G</w:t>
      </w:r>
      <w:r w:rsidR="00D92680" w:rsidRPr="00D92680">
        <w:rPr>
          <w:rFonts w:ascii="Arial Narrow" w:hAnsi="Arial Narrow" w:cs="Gisha"/>
          <w:sz w:val="22"/>
          <w:szCs w:val="22"/>
        </w:rPr>
        <w:t xml:space="preserve">eneración de concesiones y se remunera </w:t>
      </w:r>
      <w:r w:rsidR="008860AE">
        <w:rPr>
          <w:rFonts w:ascii="Arial Narrow" w:hAnsi="Arial Narrow" w:cs="Gisha"/>
          <w:sz w:val="22"/>
          <w:szCs w:val="22"/>
        </w:rPr>
        <w:t>v</w:t>
      </w:r>
      <w:r w:rsidR="00D92680" w:rsidRPr="00D92680">
        <w:rPr>
          <w:rFonts w:ascii="Arial Narrow" w:hAnsi="Arial Narrow" w:cs="Gisha"/>
          <w:sz w:val="22"/>
          <w:szCs w:val="22"/>
        </w:rPr>
        <w:t>ía ingreso esperado – IE. El ingreso esperado se alcanzó el 9 de enero de 2012 y la reversión se hizo en abril 1 de 2012. A la fecha no se ha suscrito el acta de liquidación del contrato de concesión</w:t>
      </w:r>
      <w:r w:rsidR="00521E6F">
        <w:rPr>
          <w:rFonts w:ascii="Arial Narrow" w:hAnsi="Arial Narrow" w:cs="Gisha"/>
          <w:sz w:val="22"/>
          <w:szCs w:val="22"/>
        </w:rPr>
        <w:t xml:space="preserve"> ya que s</w:t>
      </w:r>
      <w:r w:rsidR="00D92680" w:rsidRPr="00D92680">
        <w:rPr>
          <w:rFonts w:ascii="Arial Narrow" w:hAnsi="Arial Narrow" w:cs="Gisha"/>
          <w:sz w:val="22"/>
          <w:szCs w:val="22"/>
        </w:rPr>
        <w:t xml:space="preserve">e encuentra en curso tribunal de arbitramento sobre controversias contractuales y liquidación del contrato. </w:t>
      </w:r>
    </w:p>
    <w:p w:rsidR="00D92680" w:rsidRPr="00205345" w:rsidRDefault="00D92680" w:rsidP="00D92680">
      <w:pPr>
        <w:jc w:val="both"/>
        <w:rPr>
          <w:rFonts w:ascii="Arial Narrow" w:hAnsi="Arial Narrow" w:cs="Gisha"/>
          <w:sz w:val="22"/>
          <w:szCs w:val="22"/>
        </w:rPr>
      </w:pPr>
    </w:p>
    <w:p w:rsidR="009F6DFC" w:rsidRPr="00C67EDB" w:rsidRDefault="009F6DFC" w:rsidP="00853B3A">
      <w:pPr>
        <w:pStyle w:val="Prrafodelista"/>
        <w:numPr>
          <w:ilvl w:val="0"/>
          <w:numId w:val="16"/>
        </w:numPr>
        <w:jc w:val="both"/>
        <w:rPr>
          <w:rFonts w:cs="Gisha"/>
          <w:sz w:val="22"/>
          <w:szCs w:val="22"/>
          <w:u w:val="single"/>
          <w:lang w:val="es-ES"/>
        </w:rPr>
      </w:pPr>
      <w:r w:rsidRPr="00C67EDB">
        <w:rPr>
          <w:rFonts w:cs="Gisha"/>
          <w:sz w:val="22"/>
          <w:szCs w:val="22"/>
          <w:u w:val="single"/>
        </w:rPr>
        <w:lastRenderedPageBreak/>
        <w:t>Ruta del Sol Sector I</w:t>
      </w:r>
    </w:p>
    <w:p w:rsidR="009F6DFC" w:rsidRDefault="009F6DFC" w:rsidP="009F6DFC">
      <w:pPr>
        <w:jc w:val="both"/>
        <w:rPr>
          <w:rFonts w:cs="Gisha"/>
          <w:sz w:val="22"/>
          <w:szCs w:val="22"/>
        </w:rPr>
      </w:pPr>
    </w:p>
    <w:p w:rsidR="009F6DFC" w:rsidRPr="001D13DD" w:rsidRDefault="009F6DFC" w:rsidP="009F6DFC">
      <w:pPr>
        <w:jc w:val="both"/>
        <w:rPr>
          <w:rFonts w:ascii="Arial Narrow" w:hAnsi="Arial Narrow" w:cs="Gisha"/>
          <w:sz w:val="22"/>
          <w:szCs w:val="22"/>
        </w:rPr>
      </w:pPr>
      <w:r w:rsidRPr="001D13DD">
        <w:rPr>
          <w:rFonts w:ascii="Arial Narrow" w:hAnsi="Arial Narrow" w:cs="Gisha"/>
          <w:sz w:val="22"/>
          <w:szCs w:val="22"/>
        </w:rPr>
        <w:t>La concesión Ruta del Sol I</w:t>
      </w:r>
      <w:r>
        <w:rPr>
          <w:rFonts w:ascii="Arial Narrow" w:hAnsi="Arial Narrow" w:cs="Gisha"/>
          <w:sz w:val="22"/>
          <w:szCs w:val="22"/>
        </w:rPr>
        <w:t>, contrato No.</w:t>
      </w:r>
      <w:r w:rsidR="00C67EDB">
        <w:rPr>
          <w:rFonts w:ascii="Arial Narrow" w:hAnsi="Arial Narrow" w:cs="Gisha"/>
          <w:sz w:val="22"/>
          <w:szCs w:val="22"/>
        </w:rPr>
        <w:t xml:space="preserve"> 002 de 2010 suscrito por la Entidad</w:t>
      </w:r>
      <w:r>
        <w:rPr>
          <w:rFonts w:ascii="Arial Narrow" w:hAnsi="Arial Narrow" w:cs="Gisha"/>
          <w:sz w:val="22"/>
          <w:szCs w:val="22"/>
        </w:rPr>
        <w:t xml:space="preserve">, </w:t>
      </w:r>
      <w:r w:rsidR="00C67EDB" w:rsidRPr="005D7AFC">
        <w:rPr>
          <w:rFonts w:ascii="Arial Narrow" w:hAnsi="Arial Narrow" w:cs="Gisha"/>
          <w:sz w:val="22"/>
          <w:szCs w:val="22"/>
        </w:rPr>
        <w:t xml:space="preserve">a 31 de diciembre de 2015  presenta </w:t>
      </w:r>
      <w:r>
        <w:rPr>
          <w:rFonts w:ascii="Arial Narrow" w:hAnsi="Arial Narrow" w:cs="Gisha"/>
          <w:sz w:val="22"/>
          <w:szCs w:val="22"/>
        </w:rPr>
        <w:t>el valor de $</w:t>
      </w:r>
      <w:r w:rsidRPr="008541E8">
        <w:rPr>
          <w:rFonts w:ascii="Arial Narrow" w:hAnsi="Arial Narrow" w:cs="Gisha"/>
          <w:sz w:val="22"/>
          <w:szCs w:val="22"/>
        </w:rPr>
        <w:t xml:space="preserve"> </w:t>
      </w:r>
      <w:r>
        <w:rPr>
          <w:rFonts w:ascii="Arial Narrow" w:hAnsi="Arial Narrow" w:cs="Gisha"/>
          <w:sz w:val="22"/>
          <w:szCs w:val="22"/>
        </w:rPr>
        <w:t>509.227.151 miles en infraestructura en construcción y $ 1.491.167.019 miles en infraestructura en servicio.</w:t>
      </w:r>
    </w:p>
    <w:p w:rsidR="009F6DFC" w:rsidRDefault="009F6DFC" w:rsidP="009F6DFC">
      <w:pPr>
        <w:jc w:val="both"/>
        <w:rPr>
          <w:rFonts w:cs="Gisha"/>
          <w:sz w:val="22"/>
          <w:szCs w:val="22"/>
        </w:rPr>
      </w:pPr>
    </w:p>
    <w:p w:rsidR="009F6DFC" w:rsidRDefault="009F6DFC" w:rsidP="009F6DFC">
      <w:pPr>
        <w:jc w:val="both"/>
        <w:rPr>
          <w:rFonts w:ascii="Arial Narrow" w:hAnsi="Arial Narrow" w:cs="Gisha"/>
          <w:sz w:val="22"/>
          <w:szCs w:val="22"/>
        </w:rPr>
      </w:pPr>
      <w:r>
        <w:rPr>
          <w:rFonts w:ascii="Arial Narrow" w:hAnsi="Arial Narrow" w:cs="Gisha"/>
          <w:sz w:val="22"/>
          <w:szCs w:val="22"/>
        </w:rPr>
        <w:t>Las operaciones realizadas en la vigencia 2015 por este proyecto fueron las siguientes:</w:t>
      </w:r>
    </w:p>
    <w:p w:rsidR="009F6DFC" w:rsidRDefault="009F6DFC" w:rsidP="009F6DFC">
      <w:pPr>
        <w:jc w:val="both"/>
        <w:rPr>
          <w:rFonts w:ascii="Arial Narrow" w:hAnsi="Arial Narrow" w:cs="Gisha"/>
          <w:sz w:val="22"/>
          <w:szCs w:val="22"/>
        </w:rPr>
      </w:pPr>
    </w:p>
    <w:p w:rsidR="009F6DFC" w:rsidRDefault="009F6DFC" w:rsidP="00853B3A">
      <w:pPr>
        <w:pStyle w:val="Prrafodelista"/>
        <w:numPr>
          <w:ilvl w:val="0"/>
          <w:numId w:val="20"/>
        </w:numPr>
        <w:jc w:val="both"/>
        <w:rPr>
          <w:rFonts w:cs="Gisha"/>
          <w:sz w:val="22"/>
          <w:szCs w:val="22"/>
        </w:rPr>
      </w:pPr>
      <w:r>
        <w:rPr>
          <w:rFonts w:cs="Gisha"/>
          <w:sz w:val="22"/>
          <w:szCs w:val="22"/>
        </w:rPr>
        <w:t>El valor de $</w:t>
      </w:r>
      <w:r w:rsidRPr="005940DB">
        <w:t xml:space="preserve"> </w:t>
      </w:r>
      <w:r>
        <w:rPr>
          <w:rFonts w:cs="Gisha"/>
          <w:sz w:val="22"/>
          <w:szCs w:val="22"/>
        </w:rPr>
        <w:t>179.749.213 miles correspondiente a recursos públicos aportados.</w:t>
      </w:r>
    </w:p>
    <w:p w:rsidR="009F6DFC" w:rsidRDefault="009F6DFC" w:rsidP="00853B3A">
      <w:pPr>
        <w:pStyle w:val="Prrafodelista"/>
        <w:numPr>
          <w:ilvl w:val="0"/>
          <w:numId w:val="20"/>
        </w:numPr>
        <w:jc w:val="both"/>
        <w:rPr>
          <w:rFonts w:cs="Gisha"/>
          <w:sz w:val="22"/>
          <w:szCs w:val="22"/>
        </w:rPr>
      </w:pPr>
      <w:r>
        <w:rPr>
          <w:rFonts w:cs="Gisha"/>
          <w:sz w:val="22"/>
          <w:szCs w:val="22"/>
        </w:rPr>
        <w:t>El valor de $ 5.859.702 miles correspondiente a la ejecución de recursos públicos</w:t>
      </w:r>
    </w:p>
    <w:p w:rsidR="009F6DFC" w:rsidRDefault="009F6DFC" w:rsidP="00853B3A">
      <w:pPr>
        <w:pStyle w:val="Prrafodelista"/>
        <w:numPr>
          <w:ilvl w:val="0"/>
          <w:numId w:val="20"/>
        </w:numPr>
        <w:jc w:val="both"/>
        <w:rPr>
          <w:rFonts w:cs="Gisha"/>
          <w:sz w:val="22"/>
          <w:szCs w:val="22"/>
        </w:rPr>
      </w:pPr>
      <w:r>
        <w:rPr>
          <w:rFonts w:cs="Gisha"/>
          <w:sz w:val="22"/>
          <w:szCs w:val="22"/>
        </w:rPr>
        <w:t>El valor de $</w:t>
      </w:r>
      <w:r w:rsidRPr="00E20B34">
        <w:t xml:space="preserve"> </w:t>
      </w:r>
      <w:r>
        <w:rPr>
          <w:rFonts w:cs="Gisha"/>
          <w:sz w:val="22"/>
          <w:szCs w:val="22"/>
        </w:rPr>
        <w:t>31.322.898 miles de inversión privada.</w:t>
      </w:r>
    </w:p>
    <w:p w:rsidR="009F6DFC" w:rsidRPr="001D13DD" w:rsidRDefault="009F6DFC" w:rsidP="009F6DFC">
      <w:pPr>
        <w:jc w:val="both"/>
        <w:rPr>
          <w:rFonts w:cs="Gisha"/>
          <w:sz w:val="22"/>
          <w:szCs w:val="22"/>
        </w:rPr>
      </w:pPr>
    </w:p>
    <w:p w:rsidR="009F6DFC" w:rsidRPr="00C67EDB" w:rsidRDefault="009F6DFC" w:rsidP="00853B3A">
      <w:pPr>
        <w:pStyle w:val="Prrafodelista"/>
        <w:numPr>
          <w:ilvl w:val="0"/>
          <w:numId w:val="16"/>
        </w:numPr>
        <w:jc w:val="both"/>
        <w:rPr>
          <w:rFonts w:cs="Gisha"/>
          <w:sz w:val="22"/>
          <w:szCs w:val="22"/>
          <w:u w:val="single"/>
          <w:lang w:val="es-ES"/>
        </w:rPr>
      </w:pPr>
      <w:r w:rsidRPr="00C67EDB">
        <w:rPr>
          <w:rFonts w:cs="Gisha"/>
          <w:sz w:val="22"/>
          <w:szCs w:val="22"/>
          <w:u w:val="single"/>
        </w:rPr>
        <w:t>Ruta del Sol Sector 2</w:t>
      </w:r>
    </w:p>
    <w:p w:rsidR="009F6DFC" w:rsidRDefault="009F6DFC" w:rsidP="009F6DFC">
      <w:pPr>
        <w:jc w:val="both"/>
        <w:rPr>
          <w:rFonts w:cs="Gisha"/>
          <w:sz w:val="22"/>
          <w:szCs w:val="22"/>
        </w:rPr>
      </w:pPr>
    </w:p>
    <w:p w:rsidR="009F6DFC" w:rsidRDefault="009F6DFC" w:rsidP="009F6DFC">
      <w:pPr>
        <w:jc w:val="both"/>
        <w:rPr>
          <w:rFonts w:ascii="Arial Narrow" w:hAnsi="Arial Narrow" w:cs="Gisha"/>
          <w:sz w:val="22"/>
          <w:szCs w:val="22"/>
        </w:rPr>
      </w:pPr>
      <w:r w:rsidRPr="001D13DD">
        <w:rPr>
          <w:rFonts w:ascii="Arial Narrow" w:hAnsi="Arial Narrow" w:cs="Gisha"/>
          <w:sz w:val="22"/>
          <w:szCs w:val="22"/>
        </w:rPr>
        <w:t>La concesión Ruta del Sol I</w:t>
      </w:r>
      <w:r>
        <w:rPr>
          <w:rFonts w:ascii="Arial Narrow" w:hAnsi="Arial Narrow" w:cs="Gisha"/>
          <w:sz w:val="22"/>
          <w:szCs w:val="22"/>
        </w:rPr>
        <w:t>I, contrato No.</w:t>
      </w:r>
      <w:r w:rsidR="00C67EDB">
        <w:rPr>
          <w:rFonts w:ascii="Arial Narrow" w:hAnsi="Arial Narrow" w:cs="Gisha"/>
          <w:sz w:val="22"/>
          <w:szCs w:val="22"/>
        </w:rPr>
        <w:t xml:space="preserve"> 001 de 2010 suscrito por la Entidad</w:t>
      </w:r>
      <w:r>
        <w:rPr>
          <w:rFonts w:ascii="Arial Narrow" w:hAnsi="Arial Narrow" w:cs="Gisha"/>
          <w:sz w:val="22"/>
          <w:szCs w:val="22"/>
        </w:rPr>
        <w:t xml:space="preserve">, </w:t>
      </w:r>
      <w:r w:rsidR="00C67EDB" w:rsidRPr="005D7AFC">
        <w:rPr>
          <w:rFonts w:ascii="Arial Narrow" w:hAnsi="Arial Narrow" w:cs="Gisha"/>
          <w:sz w:val="22"/>
          <w:szCs w:val="22"/>
        </w:rPr>
        <w:t xml:space="preserve">a 31 de diciembre de 2015  presenta </w:t>
      </w:r>
      <w:r>
        <w:rPr>
          <w:rFonts w:ascii="Arial Narrow" w:hAnsi="Arial Narrow" w:cs="Gisha"/>
          <w:sz w:val="22"/>
          <w:szCs w:val="22"/>
        </w:rPr>
        <w:t>el valor de $</w:t>
      </w:r>
      <w:r w:rsidRPr="008541E8">
        <w:rPr>
          <w:rFonts w:ascii="Arial Narrow" w:hAnsi="Arial Narrow" w:cs="Gisha"/>
          <w:sz w:val="22"/>
          <w:szCs w:val="22"/>
        </w:rPr>
        <w:t xml:space="preserve"> </w:t>
      </w:r>
      <w:r>
        <w:rPr>
          <w:rFonts w:ascii="Arial Narrow" w:hAnsi="Arial Narrow" w:cs="Gisha"/>
          <w:sz w:val="22"/>
          <w:szCs w:val="22"/>
        </w:rPr>
        <w:t>3.</w:t>
      </w:r>
      <w:r w:rsidR="00C44B44">
        <w:rPr>
          <w:rFonts w:ascii="Arial Narrow" w:hAnsi="Arial Narrow" w:cs="Gisha"/>
          <w:sz w:val="22"/>
          <w:szCs w:val="22"/>
        </w:rPr>
        <w:t>484.459.280</w:t>
      </w:r>
      <w:r>
        <w:rPr>
          <w:rFonts w:ascii="Arial Narrow" w:hAnsi="Arial Narrow" w:cs="Gisha"/>
          <w:sz w:val="22"/>
          <w:szCs w:val="22"/>
        </w:rPr>
        <w:t xml:space="preserve"> miles en infraestructura en construcción y $ 704.393.366 miles en infraestructura en servicio.</w:t>
      </w:r>
    </w:p>
    <w:p w:rsidR="009F6DFC" w:rsidRDefault="009F6DFC" w:rsidP="009F6DFC">
      <w:pPr>
        <w:jc w:val="both"/>
        <w:rPr>
          <w:rFonts w:cs="Gisha"/>
          <w:sz w:val="22"/>
          <w:szCs w:val="22"/>
        </w:rPr>
      </w:pPr>
    </w:p>
    <w:p w:rsidR="009F6DFC" w:rsidRDefault="009F6DFC" w:rsidP="009F6DFC">
      <w:pPr>
        <w:jc w:val="both"/>
        <w:rPr>
          <w:rFonts w:ascii="Arial Narrow" w:hAnsi="Arial Narrow" w:cs="Gisha"/>
          <w:sz w:val="22"/>
          <w:szCs w:val="22"/>
        </w:rPr>
      </w:pPr>
      <w:r>
        <w:rPr>
          <w:rFonts w:ascii="Arial Narrow" w:hAnsi="Arial Narrow" w:cs="Gisha"/>
          <w:sz w:val="22"/>
          <w:szCs w:val="22"/>
        </w:rPr>
        <w:t>Las operaciones realizadas en la vigencia 2015 por este proyecto fueron las siguientes:</w:t>
      </w:r>
    </w:p>
    <w:p w:rsidR="009F6DFC" w:rsidRDefault="009F6DFC" w:rsidP="009F6DFC">
      <w:pPr>
        <w:jc w:val="both"/>
        <w:rPr>
          <w:rFonts w:ascii="Arial Narrow" w:hAnsi="Arial Narrow" w:cs="Gisha"/>
          <w:sz w:val="22"/>
          <w:szCs w:val="22"/>
        </w:rPr>
      </w:pPr>
    </w:p>
    <w:p w:rsidR="009F6DFC" w:rsidRDefault="009F6DFC" w:rsidP="00853B3A">
      <w:pPr>
        <w:pStyle w:val="Prrafodelista"/>
        <w:numPr>
          <w:ilvl w:val="0"/>
          <w:numId w:val="20"/>
        </w:numPr>
        <w:jc w:val="both"/>
        <w:rPr>
          <w:rFonts w:cs="Gisha"/>
          <w:sz w:val="22"/>
          <w:szCs w:val="22"/>
        </w:rPr>
      </w:pPr>
      <w:r>
        <w:rPr>
          <w:rFonts w:cs="Gisha"/>
          <w:sz w:val="22"/>
          <w:szCs w:val="22"/>
        </w:rPr>
        <w:t>El valor de $</w:t>
      </w:r>
      <w:r w:rsidRPr="005940DB">
        <w:t xml:space="preserve"> </w:t>
      </w:r>
      <w:r>
        <w:rPr>
          <w:rFonts w:cs="Gisha"/>
          <w:sz w:val="22"/>
          <w:szCs w:val="22"/>
        </w:rPr>
        <w:t>828.611.235 miles correspondiente a recursos públicos aportados.</w:t>
      </w:r>
    </w:p>
    <w:p w:rsidR="009F6DFC" w:rsidRDefault="009F6DFC" w:rsidP="00853B3A">
      <w:pPr>
        <w:pStyle w:val="Prrafodelista"/>
        <w:numPr>
          <w:ilvl w:val="0"/>
          <w:numId w:val="20"/>
        </w:numPr>
        <w:jc w:val="both"/>
        <w:rPr>
          <w:rFonts w:cs="Gisha"/>
          <w:sz w:val="22"/>
          <w:szCs w:val="22"/>
        </w:rPr>
      </w:pPr>
      <w:r>
        <w:rPr>
          <w:rFonts w:cs="Gisha"/>
          <w:sz w:val="22"/>
          <w:szCs w:val="22"/>
        </w:rPr>
        <w:t>El valor de $ 176.019.826 miles correspondiente a la ejecución de recursos públicos</w:t>
      </w:r>
    </w:p>
    <w:p w:rsidR="009F6DFC" w:rsidRDefault="009F6DFC" w:rsidP="00853B3A">
      <w:pPr>
        <w:pStyle w:val="Prrafodelista"/>
        <w:numPr>
          <w:ilvl w:val="0"/>
          <w:numId w:val="20"/>
        </w:numPr>
        <w:jc w:val="both"/>
        <w:rPr>
          <w:rFonts w:cs="Gisha"/>
          <w:sz w:val="22"/>
          <w:szCs w:val="22"/>
        </w:rPr>
      </w:pPr>
      <w:r>
        <w:rPr>
          <w:rFonts w:cs="Gisha"/>
          <w:sz w:val="22"/>
          <w:szCs w:val="22"/>
        </w:rPr>
        <w:t>El valor de $</w:t>
      </w:r>
      <w:r w:rsidRPr="00E20B34">
        <w:t xml:space="preserve"> </w:t>
      </w:r>
      <w:r>
        <w:rPr>
          <w:rFonts w:cs="Gisha"/>
          <w:sz w:val="22"/>
          <w:szCs w:val="22"/>
        </w:rPr>
        <w:t>569.989.000 miles de inversión privada.</w:t>
      </w:r>
    </w:p>
    <w:p w:rsidR="009F6DFC" w:rsidRDefault="009F6DFC" w:rsidP="009F6DFC">
      <w:pPr>
        <w:jc w:val="both"/>
        <w:rPr>
          <w:rFonts w:cs="Gisha"/>
          <w:sz w:val="22"/>
          <w:szCs w:val="22"/>
        </w:rPr>
      </w:pPr>
    </w:p>
    <w:p w:rsidR="009F6DFC" w:rsidRPr="00C67EDB" w:rsidRDefault="009F6DFC" w:rsidP="00853B3A">
      <w:pPr>
        <w:pStyle w:val="Prrafodelista"/>
        <w:numPr>
          <w:ilvl w:val="0"/>
          <w:numId w:val="16"/>
        </w:numPr>
        <w:jc w:val="both"/>
        <w:rPr>
          <w:rFonts w:cs="Gisha"/>
          <w:sz w:val="22"/>
          <w:szCs w:val="22"/>
          <w:u w:val="single"/>
          <w:lang w:val="es-ES"/>
        </w:rPr>
      </w:pPr>
      <w:r w:rsidRPr="00C67EDB">
        <w:rPr>
          <w:rFonts w:cs="Gisha"/>
          <w:sz w:val="22"/>
          <w:szCs w:val="22"/>
          <w:u w:val="single"/>
        </w:rPr>
        <w:t>Ruta del Sol Sector 3</w:t>
      </w:r>
    </w:p>
    <w:p w:rsidR="009F6DFC" w:rsidRDefault="009F6DFC" w:rsidP="009F6DFC">
      <w:pPr>
        <w:jc w:val="both"/>
        <w:rPr>
          <w:rFonts w:cs="Gisha"/>
          <w:sz w:val="22"/>
          <w:szCs w:val="22"/>
        </w:rPr>
      </w:pPr>
    </w:p>
    <w:p w:rsidR="009F6DFC" w:rsidRDefault="009F6DFC" w:rsidP="009F6DFC">
      <w:pPr>
        <w:jc w:val="both"/>
        <w:rPr>
          <w:rFonts w:ascii="Arial Narrow" w:hAnsi="Arial Narrow" w:cs="Gisha"/>
          <w:sz w:val="22"/>
          <w:szCs w:val="22"/>
        </w:rPr>
      </w:pPr>
      <w:r w:rsidRPr="00C07307">
        <w:rPr>
          <w:rFonts w:ascii="Arial Narrow" w:hAnsi="Arial Narrow" w:cs="Gisha"/>
          <w:sz w:val="22"/>
          <w:szCs w:val="22"/>
        </w:rPr>
        <w:t xml:space="preserve">La concesión </w:t>
      </w:r>
      <w:r w:rsidRPr="001A2AC2">
        <w:rPr>
          <w:rFonts w:ascii="Arial Narrow" w:hAnsi="Arial Narrow" w:cs="Gisha"/>
          <w:sz w:val="22"/>
          <w:szCs w:val="22"/>
        </w:rPr>
        <w:t>Ruta del Sol Sector 3</w:t>
      </w:r>
      <w:r>
        <w:rPr>
          <w:rFonts w:ascii="Arial Narrow" w:hAnsi="Arial Narrow" w:cs="Gisha"/>
          <w:sz w:val="22"/>
          <w:szCs w:val="22"/>
        </w:rPr>
        <w:t>, contra</w:t>
      </w:r>
      <w:r w:rsidR="00C67EDB">
        <w:rPr>
          <w:rFonts w:ascii="Arial Narrow" w:hAnsi="Arial Narrow" w:cs="Gisha"/>
          <w:sz w:val="22"/>
          <w:szCs w:val="22"/>
        </w:rPr>
        <w:t>to No. 007 de 2010, suscrito por la Entidad</w:t>
      </w:r>
      <w:r>
        <w:rPr>
          <w:rFonts w:ascii="Arial Narrow" w:hAnsi="Arial Narrow" w:cs="Gisha"/>
          <w:sz w:val="22"/>
          <w:szCs w:val="22"/>
        </w:rPr>
        <w:t xml:space="preserve">, </w:t>
      </w:r>
      <w:r w:rsidR="00C67EDB" w:rsidRPr="005D7AFC">
        <w:rPr>
          <w:rFonts w:ascii="Arial Narrow" w:hAnsi="Arial Narrow" w:cs="Gisha"/>
          <w:sz w:val="22"/>
          <w:szCs w:val="22"/>
        </w:rPr>
        <w:t xml:space="preserve">a 31 de diciembre de 2015  presenta </w:t>
      </w:r>
      <w:r>
        <w:rPr>
          <w:rFonts w:ascii="Arial Narrow" w:hAnsi="Arial Narrow" w:cs="Gisha"/>
          <w:sz w:val="22"/>
          <w:szCs w:val="22"/>
        </w:rPr>
        <w:t>un valor de $ 1.548.466.083 miles en infraestructura en construcción y $ 281.425.340 miles en infraestructura en servicio.</w:t>
      </w:r>
    </w:p>
    <w:p w:rsidR="009F6DFC" w:rsidRDefault="009F6DFC" w:rsidP="009F6DFC">
      <w:pPr>
        <w:jc w:val="both"/>
        <w:rPr>
          <w:rFonts w:ascii="Arial Narrow" w:hAnsi="Arial Narrow" w:cs="Gisha"/>
          <w:sz w:val="22"/>
          <w:szCs w:val="22"/>
        </w:rPr>
      </w:pPr>
    </w:p>
    <w:p w:rsidR="009F6DFC" w:rsidRDefault="009F6DFC" w:rsidP="009F6DFC">
      <w:pPr>
        <w:jc w:val="both"/>
        <w:rPr>
          <w:rFonts w:ascii="Arial Narrow" w:hAnsi="Arial Narrow" w:cs="Gisha"/>
          <w:sz w:val="22"/>
          <w:szCs w:val="22"/>
        </w:rPr>
      </w:pPr>
      <w:r>
        <w:rPr>
          <w:rFonts w:ascii="Arial Narrow" w:hAnsi="Arial Narrow" w:cs="Gisha"/>
          <w:sz w:val="22"/>
          <w:szCs w:val="22"/>
        </w:rPr>
        <w:t>Las operaciones realizadas en la vigencia 2015 por este proyecto fueron las siguientes:</w:t>
      </w:r>
    </w:p>
    <w:p w:rsidR="009F6DFC" w:rsidRDefault="009F6DFC" w:rsidP="009F6DFC">
      <w:pPr>
        <w:jc w:val="both"/>
        <w:rPr>
          <w:rFonts w:ascii="Arial Narrow" w:hAnsi="Arial Narrow" w:cs="Gisha"/>
          <w:sz w:val="22"/>
          <w:szCs w:val="22"/>
        </w:rPr>
      </w:pPr>
    </w:p>
    <w:p w:rsidR="009F6DFC" w:rsidRDefault="009F6DFC" w:rsidP="00853B3A">
      <w:pPr>
        <w:pStyle w:val="Prrafodelista"/>
        <w:numPr>
          <w:ilvl w:val="0"/>
          <w:numId w:val="20"/>
        </w:numPr>
        <w:jc w:val="both"/>
        <w:rPr>
          <w:rFonts w:cs="Gisha"/>
          <w:sz w:val="22"/>
          <w:szCs w:val="22"/>
        </w:rPr>
      </w:pPr>
      <w:r>
        <w:rPr>
          <w:rFonts w:cs="Gisha"/>
          <w:sz w:val="22"/>
          <w:szCs w:val="22"/>
        </w:rPr>
        <w:t>El valor de $</w:t>
      </w:r>
      <w:r w:rsidRPr="005940DB">
        <w:t xml:space="preserve"> </w:t>
      </w:r>
      <w:r>
        <w:rPr>
          <w:rFonts w:cs="Gisha"/>
          <w:sz w:val="22"/>
          <w:szCs w:val="22"/>
        </w:rPr>
        <w:t>265.372.980 miles correspondiente a recursos públicos aportados.</w:t>
      </w:r>
    </w:p>
    <w:p w:rsidR="009F6DFC" w:rsidRDefault="009F6DFC" w:rsidP="00853B3A">
      <w:pPr>
        <w:pStyle w:val="Prrafodelista"/>
        <w:numPr>
          <w:ilvl w:val="0"/>
          <w:numId w:val="20"/>
        </w:numPr>
        <w:jc w:val="both"/>
        <w:rPr>
          <w:rFonts w:cs="Gisha"/>
          <w:sz w:val="22"/>
          <w:szCs w:val="22"/>
        </w:rPr>
      </w:pPr>
      <w:r>
        <w:rPr>
          <w:rFonts w:cs="Gisha"/>
          <w:sz w:val="22"/>
          <w:szCs w:val="22"/>
        </w:rPr>
        <w:t>El valor de $ 14.622.723 miles correspondiente a la ejecución de recursos públicos</w:t>
      </w:r>
    </w:p>
    <w:p w:rsidR="009F6DFC" w:rsidRDefault="009F6DFC" w:rsidP="00853B3A">
      <w:pPr>
        <w:pStyle w:val="Prrafodelista"/>
        <w:numPr>
          <w:ilvl w:val="0"/>
          <w:numId w:val="20"/>
        </w:numPr>
        <w:jc w:val="both"/>
        <w:rPr>
          <w:rFonts w:cs="Gisha"/>
          <w:sz w:val="22"/>
          <w:szCs w:val="22"/>
        </w:rPr>
      </w:pPr>
      <w:r>
        <w:rPr>
          <w:rFonts w:cs="Gisha"/>
          <w:sz w:val="22"/>
          <w:szCs w:val="22"/>
        </w:rPr>
        <w:t>El valor de $</w:t>
      </w:r>
      <w:r w:rsidRPr="00E20B34">
        <w:t xml:space="preserve"> </w:t>
      </w:r>
      <w:r>
        <w:rPr>
          <w:rFonts w:cs="Gisha"/>
          <w:sz w:val="22"/>
          <w:szCs w:val="22"/>
        </w:rPr>
        <w:t>151.140.000 miles de inversión privada.</w:t>
      </w:r>
    </w:p>
    <w:p w:rsidR="009F6DFC" w:rsidRDefault="009F6DFC" w:rsidP="00853B3A">
      <w:pPr>
        <w:pStyle w:val="Prrafodelista"/>
        <w:numPr>
          <w:ilvl w:val="0"/>
          <w:numId w:val="20"/>
        </w:numPr>
        <w:jc w:val="both"/>
        <w:rPr>
          <w:rFonts w:cs="Gisha"/>
          <w:sz w:val="22"/>
          <w:szCs w:val="22"/>
        </w:rPr>
      </w:pPr>
      <w:r>
        <w:rPr>
          <w:rFonts w:cs="Gisha"/>
          <w:sz w:val="22"/>
          <w:szCs w:val="22"/>
        </w:rPr>
        <w:t>El valor de $ 40.188.880 miles correspondiente a pago por el Fondo de Contingencias de entidades Estatales efectuados por la FIDUPREVISORA.</w:t>
      </w:r>
    </w:p>
    <w:p w:rsidR="005D7AFC" w:rsidRPr="00C07307" w:rsidRDefault="005D7AFC" w:rsidP="009F6DFC">
      <w:pPr>
        <w:jc w:val="both"/>
        <w:rPr>
          <w:rFonts w:ascii="Arial Narrow" w:hAnsi="Arial Narrow" w:cs="Gisha"/>
          <w:sz w:val="22"/>
          <w:szCs w:val="22"/>
        </w:rPr>
      </w:pPr>
    </w:p>
    <w:p w:rsidR="009F6DFC" w:rsidRPr="00C67EDB" w:rsidRDefault="009F6DFC" w:rsidP="00853B3A">
      <w:pPr>
        <w:pStyle w:val="Prrafodelista"/>
        <w:numPr>
          <w:ilvl w:val="0"/>
          <w:numId w:val="16"/>
        </w:numPr>
        <w:jc w:val="both"/>
        <w:rPr>
          <w:rFonts w:cs="Gisha"/>
          <w:sz w:val="22"/>
          <w:szCs w:val="22"/>
          <w:u w:val="single"/>
          <w:lang w:val="es-ES"/>
        </w:rPr>
      </w:pPr>
      <w:r w:rsidRPr="00C67EDB">
        <w:rPr>
          <w:rFonts w:cs="Gisha"/>
          <w:sz w:val="22"/>
          <w:szCs w:val="22"/>
          <w:u w:val="single"/>
        </w:rPr>
        <w:t xml:space="preserve">Transversal </w:t>
      </w:r>
      <w:r w:rsidR="00C67EDB">
        <w:rPr>
          <w:rFonts w:cs="Gisha"/>
          <w:sz w:val="22"/>
          <w:szCs w:val="22"/>
          <w:u w:val="single"/>
        </w:rPr>
        <w:t>d</w:t>
      </w:r>
      <w:r w:rsidRPr="00C67EDB">
        <w:rPr>
          <w:rFonts w:cs="Gisha"/>
          <w:sz w:val="22"/>
          <w:szCs w:val="22"/>
          <w:u w:val="single"/>
        </w:rPr>
        <w:t>e Las Américas</w:t>
      </w:r>
    </w:p>
    <w:p w:rsidR="009F6DFC" w:rsidRDefault="009F6DFC" w:rsidP="009F6DFC">
      <w:pPr>
        <w:jc w:val="both"/>
        <w:rPr>
          <w:rFonts w:cs="Gisha"/>
          <w:sz w:val="22"/>
          <w:szCs w:val="22"/>
        </w:rPr>
      </w:pPr>
    </w:p>
    <w:p w:rsidR="009F6DFC" w:rsidRDefault="009F6DFC" w:rsidP="009F6DFC">
      <w:pPr>
        <w:jc w:val="both"/>
        <w:rPr>
          <w:rFonts w:ascii="Arial Narrow" w:hAnsi="Arial Narrow" w:cs="Gisha"/>
          <w:sz w:val="22"/>
          <w:szCs w:val="22"/>
        </w:rPr>
      </w:pPr>
      <w:r w:rsidRPr="003D3E64">
        <w:rPr>
          <w:rFonts w:ascii="Arial Narrow" w:hAnsi="Arial Narrow" w:cs="Gisha"/>
          <w:sz w:val="22"/>
          <w:szCs w:val="22"/>
        </w:rPr>
        <w:t xml:space="preserve">La concesión </w:t>
      </w:r>
      <w:r w:rsidR="00C67EDB">
        <w:rPr>
          <w:rFonts w:ascii="Arial Narrow" w:hAnsi="Arial Narrow" w:cs="Gisha"/>
          <w:sz w:val="22"/>
          <w:szCs w:val="22"/>
        </w:rPr>
        <w:t>Transversal d</w:t>
      </w:r>
      <w:r w:rsidRPr="001A2AC2">
        <w:rPr>
          <w:rFonts w:ascii="Arial Narrow" w:hAnsi="Arial Narrow" w:cs="Gisha"/>
          <w:sz w:val="22"/>
          <w:szCs w:val="22"/>
        </w:rPr>
        <w:t>e Las Américas</w:t>
      </w:r>
      <w:r>
        <w:rPr>
          <w:rFonts w:ascii="Arial Narrow" w:hAnsi="Arial Narrow" w:cs="Gisha"/>
          <w:sz w:val="22"/>
          <w:szCs w:val="22"/>
        </w:rPr>
        <w:t>, contrato de concesión No. 008 de 2010,</w:t>
      </w:r>
      <w:r w:rsidR="00C67EDB">
        <w:rPr>
          <w:rFonts w:ascii="Arial Narrow" w:hAnsi="Arial Narrow" w:cs="Gisha"/>
          <w:sz w:val="22"/>
          <w:szCs w:val="22"/>
        </w:rPr>
        <w:t xml:space="preserve"> suscrito por la Entidad </w:t>
      </w:r>
      <w:r w:rsidR="00C67EDB" w:rsidRPr="005D7AFC">
        <w:rPr>
          <w:rFonts w:ascii="Arial Narrow" w:hAnsi="Arial Narrow" w:cs="Gisha"/>
          <w:sz w:val="22"/>
          <w:szCs w:val="22"/>
        </w:rPr>
        <w:t>a 31 de diciembre de 2015  presenta</w:t>
      </w:r>
      <w:r>
        <w:rPr>
          <w:rFonts w:ascii="Arial Narrow" w:hAnsi="Arial Narrow" w:cs="Gisha"/>
          <w:sz w:val="22"/>
          <w:szCs w:val="22"/>
        </w:rPr>
        <w:t xml:space="preserve"> un valor de $1.064.317.867 miles en infraestructura en construcción y $726.199.566 miles.</w:t>
      </w:r>
    </w:p>
    <w:p w:rsidR="009F6DFC" w:rsidRDefault="009F6DFC" w:rsidP="009F6DFC">
      <w:pPr>
        <w:jc w:val="both"/>
        <w:rPr>
          <w:rFonts w:ascii="Arial Narrow" w:hAnsi="Arial Narrow" w:cs="Gisha"/>
          <w:sz w:val="22"/>
          <w:szCs w:val="22"/>
        </w:rPr>
      </w:pPr>
    </w:p>
    <w:p w:rsidR="009F6DFC" w:rsidRDefault="009F6DFC" w:rsidP="009F6DFC">
      <w:pPr>
        <w:jc w:val="both"/>
        <w:rPr>
          <w:rFonts w:ascii="Arial Narrow" w:hAnsi="Arial Narrow" w:cs="Gisha"/>
          <w:sz w:val="22"/>
          <w:szCs w:val="22"/>
        </w:rPr>
      </w:pPr>
      <w:r>
        <w:rPr>
          <w:rFonts w:ascii="Arial Narrow" w:hAnsi="Arial Narrow" w:cs="Gisha"/>
          <w:sz w:val="22"/>
          <w:szCs w:val="22"/>
        </w:rPr>
        <w:t>Las operaciones realizadas en la vigencia 2015 por este proyecto fueron las siguientes:</w:t>
      </w:r>
    </w:p>
    <w:p w:rsidR="009F6DFC" w:rsidRDefault="009F6DFC" w:rsidP="009F6DFC">
      <w:pPr>
        <w:jc w:val="both"/>
        <w:rPr>
          <w:rFonts w:ascii="Arial Narrow" w:hAnsi="Arial Narrow" w:cs="Gisha"/>
          <w:sz w:val="22"/>
          <w:szCs w:val="22"/>
        </w:rPr>
      </w:pPr>
    </w:p>
    <w:p w:rsidR="009F6DFC" w:rsidRPr="005D7AFC" w:rsidRDefault="009F6DFC" w:rsidP="00853B3A">
      <w:pPr>
        <w:pStyle w:val="Prrafodelista"/>
        <w:numPr>
          <w:ilvl w:val="0"/>
          <w:numId w:val="20"/>
        </w:numPr>
        <w:jc w:val="both"/>
        <w:rPr>
          <w:rFonts w:cs="Gisha"/>
          <w:sz w:val="22"/>
          <w:szCs w:val="22"/>
        </w:rPr>
      </w:pPr>
      <w:r w:rsidRPr="005D7AFC">
        <w:rPr>
          <w:rFonts w:cs="Gisha"/>
          <w:sz w:val="22"/>
          <w:szCs w:val="22"/>
        </w:rPr>
        <w:t>El valor de $ 57.830.650 miles correspondiente a recursos públicos aportados</w:t>
      </w:r>
      <w:r w:rsidR="00C109D9" w:rsidRPr="005D7AFC">
        <w:rPr>
          <w:rFonts w:cs="Gisha"/>
          <w:sz w:val="22"/>
          <w:szCs w:val="22"/>
        </w:rPr>
        <w:t xml:space="preserve"> para el Otrosí Montería el 15</w:t>
      </w:r>
      <w:r w:rsidRPr="005D7AFC">
        <w:rPr>
          <w:rFonts w:cs="Gisha"/>
          <w:sz w:val="22"/>
          <w:szCs w:val="22"/>
        </w:rPr>
        <w:t>.</w:t>
      </w:r>
    </w:p>
    <w:p w:rsidR="009F6DFC" w:rsidRDefault="009F6DFC" w:rsidP="00853B3A">
      <w:pPr>
        <w:pStyle w:val="Prrafodelista"/>
        <w:numPr>
          <w:ilvl w:val="0"/>
          <w:numId w:val="20"/>
        </w:numPr>
        <w:jc w:val="both"/>
        <w:rPr>
          <w:rFonts w:cs="Gisha"/>
          <w:sz w:val="22"/>
          <w:szCs w:val="22"/>
        </w:rPr>
      </w:pPr>
      <w:r>
        <w:rPr>
          <w:rFonts w:cs="Gisha"/>
          <w:sz w:val="22"/>
          <w:szCs w:val="22"/>
        </w:rPr>
        <w:t>El valor de $ 482.217.015 miles correspondiente a la ejecución de recursos públicos</w:t>
      </w:r>
    </w:p>
    <w:p w:rsidR="009F6DFC" w:rsidRDefault="009F6DFC" w:rsidP="00853B3A">
      <w:pPr>
        <w:pStyle w:val="Prrafodelista"/>
        <w:numPr>
          <w:ilvl w:val="0"/>
          <w:numId w:val="20"/>
        </w:numPr>
        <w:jc w:val="both"/>
        <w:rPr>
          <w:rFonts w:cs="Gisha"/>
          <w:sz w:val="22"/>
          <w:szCs w:val="22"/>
        </w:rPr>
      </w:pPr>
      <w:r>
        <w:rPr>
          <w:rFonts w:cs="Gisha"/>
          <w:sz w:val="22"/>
          <w:szCs w:val="22"/>
        </w:rPr>
        <w:t>El valor de $</w:t>
      </w:r>
      <w:r w:rsidRPr="00E20B34">
        <w:t xml:space="preserve"> </w:t>
      </w:r>
      <w:r>
        <w:rPr>
          <w:rFonts w:cs="Gisha"/>
          <w:sz w:val="22"/>
          <w:szCs w:val="22"/>
        </w:rPr>
        <w:t>12.164.610 miles de inversión privada.</w:t>
      </w:r>
    </w:p>
    <w:p w:rsidR="009F6DFC" w:rsidRDefault="009F6DFC" w:rsidP="00853B3A">
      <w:pPr>
        <w:pStyle w:val="Prrafodelista"/>
        <w:numPr>
          <w:ilvl w:val="0"/>
          <w:numId w:val="20"/>
        </w:numPr>
        <w:jc w:val="both"/>
        <w:rPr>
          <w:rFonts w:cs="Gisha"/>
          <w:sz w:val="22"/>
          <w:szCs w:val="22"/>
        </w:rPr>
      </w:pPr>
      <w:r>
        <w:rPr>
          <w:rFonts w:cs="Gisha"/>
          <w:sz w:val="22"/>
          <w:szCs w:val="22"/>
        </w:rPr>
        <w:t xml:space="preserve">El valor de $ </w:t>
      </w:r>
      <w:r w:rsidR="0024736A">
        <w:rPr>
          <w:rFonts w:cs="Gisha"/>
          <w:sz w:val="22"/>
          <w:szCs w:val="22"/>
        </w:rPr>
        <w:t>37</w:t>
      </w:r>
      <w:r>
        <w:rPr>
          <w:rFonts w:cs="Gisha"/>
          <w:sz w:val="22"/>
          <w:szCs w:val="22"/>
        </w:rPr>
        <w:t>.</w:t>
      </w:r>
      <w:r w:rsidR="0024736A">
        <w:rPr>
          <w:rFonts w:cs="Gisha"/>
          <w:sz w:val="22"/>
          <w:szCs w:val="22"/>
        </w:rPr>
        <w:t>138</w:t>
      </w:r>
      <w:r>
        <w:rPr>
          <w:rFonts w:cs="Gisha"/>
          <w:sz w:val="22"/>
          <w:szCs w:val="22"/>
        </w:rPr>
        <w:t>.4</w:t>
      </w:r>
      <w:r w:rsidR="0024736A">
        <w:rPr>
          <w:rFonts w:cs="Gisha"/>
          <w:sz w:val="22"/>
          <w:szCs w:val="22"/>
        </w:rPr>
        <w:t>41</w:t>
      </w:r>
      <w:r>
        <w:rPr>
          <w:rFonts w:cs="Gisha"/>
          <w:sz w:val="22"/>
          <w:szCs w:val="22"/>
        </w:rPr>
        <w:t xml:space="preserve"> miles correspondiente a pago por el Fondo de Contingencias de entidades Estatales efectuados por la FIDUPREVISORA.</w:t>
      </w:r>
    </w:p>
    <w:p w:rsidR="009F6DFC" w:rsidRDefault="009F6DFC" w:rsidP="00853B3A">
      <w:pPr>
        <w:pStyle w:val="Prrafodelista"/>
        <w:numPr>
          <w:ilvl w:val="0"/>
          <w:numId w:val="20"/>
        </w:numPr>
        <w:jc w:val="both"/>
        <w:rPr>
          <w:rFonts w:cs="Gisha"/>
          <w:sz w:val="22"/>
          <w:szCs w:val="22"/>
        </w:rPr>
      </w:pPr>
      <w:r>
        <w:rPr>
          <w:rFonts w:cs="Gisha"/>
          <w:sz w:val="22"/>
          <w:szCs w:val="22"/>
        </w:rPr>
        <w:lastRenderedPageBreak/>
        <w:t xml:space="preserve">El valor presente de los ingresos totales VPIT se cumplió en el mes de noviembre de 2014 </w:t>
      </w:r>
      <w:r w:rsidRPr="001A2AC2">
        <w:rPr>
          <w:sz w:val="22"/>
          <w:szCs w:val="22"/>
        </w:rPr>
        <w:t>y se estableció que el recaudo de peaj</w:t>
      </w:r>
      <w:r w:rsidR="00B24A6E">
        <w:rPr>
          <w:sz w:val="22"/>
          <w:szCs w:val="22"/>
        </w:rPr>
        <w:t>es después de esta fecha quedaría</w:t>
      </w:r>
      <w:r w:rsidRPr="001A2AC2">
        <w:rPr>
          <w:sz w:val="22"/>
          <w:szCs w:val="22"/>
        </w:rPr>
        <w:t xml:space="preserve"> a disposición de la Agencia.</w:t>
      </w:r>
      <w:r w:rsidR="00C109D9">
        <w:rPr>
          <w:sz w:val="22"/>
          <w:szCs w:val="22"/>
        </w:rPr>
        <w:t xml:space="preserve"> </w:t>
      </w:r>
    </w:p>
    <w:p w:rsidR="009F6DFC" w:rsidRDefault="009F6DFC" w:rsidP="009F6DFC">
      <w:pPr>
        <w:pStyle w:val="Prrafodelista"/>
        <w:ind w:left="720"/>
        <w:jc w:val="both"/>
        <w:rPr>
          <w:rFonts w:cs="Gisha"/>
          <w:sz w:val="22"/>
          <w:szCs w:val="22"/>
        </w:rPr>
      </w:pPr>
    </w:p>
    <w:p w:rsidR="009F6DFC" w:rsidRPr="00B24A6E" w:rsidRDefault="009F6DFC" w:rsidP="00853B3A">
      <w:pPr>
        <w:pStyle w:val="Prrafodelista"/>
        <w:numPr>
          <w:ilvl w:val="0"/>
          <w:numId w:val="16"/>
        </w:numPr>
        <w:jc w:val="both"/>
        <w:rPr>
          <w:rFonts w:cs="Gisha"/>
          <w:sz w:val="22"/>
          <w:szCs w:val="22"/>
          <w:u w:val="single"/>
          <w:lang w:val="es-ES"/>
        </w:rPr>
      </w:pPr>
      <w:r w:rsidRPr="00B24A6E">
        <w:rPr>
          <w:rFonts w:cs="Gisha"/>
          <w:sz w:val="22"/>
          <w:szCs w:val="22"/>
          <w:u w:val="single"/>
          <w:lang w:val="es-ES"/>
        </w:rPr>
        <w:t>Zipaquirá – Bucaramanga – Palenque</w:t>
      </w:r>
    </w:p>
    <w:p w:rsidR="009F6DFC" w:rsidRDefault="009F6DFC" w:rsidP="009F6DFC">
      <w:pPr>
        <w:jc w:val="both"/>
        <w:rPr>
          <w:rFonts w:cs="Gisha"/>
          <w:sz w:val="22"/>
          <w:szCs w:val="22"/>
        </w:rPr>
      </w:pPr>
    </w:p>
    <w:p w:rsidR="009F6DFC" w:rsidRDefault="009F6DFC" w:rsidP="009F6DFC">
      <w:pPr>
        <w:jc w:val="both"/>
        <w:rPr>
          <w:rFonts w:ascii="Arial Narrow" w:hAnsi="Arial Narrow" w:cs="Gisha"/>
          <w:sz w:val="22"/>
          <w:szCs w:val="22"/>
        </w:rPr>
      </w:pPr>
      <w:r w:rsidRPr="007101E6">
        <w:rPr>
          <w:rFonts w:ascii="Arial Narrow" w:hAnsi="Arial Narrow" w:cs="Gisha"/>
          <w:sz w:val="22"/>
          <w:szCs w:val="22"/>
        </w:rPr>
        <w:t>La concesión Zipaquirá – Bucaramanga – Palenque</w:t>
      </w:r>
      <w:r>
        <w:rPr>
          <w:rFonts w:ascii="Arial Narrow" w:hAnsi="Arial Narrow" w:cs="Gisha"/>
          <w:sz w:val="22"/>
          <w:szCs w:val="22"/>
        </w:rPr>
        <w:t xml:space="preserve">, contrato No. 517 de 2013, </w:t>
      </w:r>
      <w:r w:rsidR="00B24A6E">
        <w:rPr>
          <w:rFonts w:ascii="Arial Narrow" w:hAnsi="Arial Narrow" w:cs="Gisha"/>
          <w:sz w:val="22"/>
          <w:szCs w:val="22"/>
        </w:rPr>
        <w:t>suscrito por la Entidad. Contrato de Tercera G</w:t>
      </w:r>
      <w:r>
        <w:rPr>
          <w:rFonts w:ascii="Arial Narrow" w:hAnsi="Arial Narrow" w:cs="Gisha"/>
          <w:sz w:val="22"/>
          <w:szCs w:val="22"/>
        </w:rPr>
        <w:t xml:space="preserve">eneración </w:t>
      </w:r>
      <w:r w:rsidR="00B24A6E">
        <w:rPr>
          <w:rFonts w:ascii="Arial Narrow" w:hAnsi="Arial Narrow" w:cs="Gisha"/>
          <w:sz w:val="22"/>
          <w:szCs w:val="22"/>
        </w:rPr>
        <w:t xml:space="preserve">en el que la </w:t>
      </w:r>
      <w:r>
        <w:rPr>
          <w:rFonts w:ascii="Arial Narrow" w:hAnsi="Arial Narrow" w:cs="Gisha"/>
          <w:sz w:val="22"/>
          <w:szCs w:val="22"/>
        </w:rPr>
        <w:t xml:space="preserve">remuneración </w:t>
      </w:r>
      <w:r w:rsidR="00B24A6E">
        <w:rPr>
          <w:rFonts w:ascii="Arial Narrow" w:hAnsi="Arial Narrow" w:cs="Gisha"/>
          <w:sz w:val="22"/>
          <w:szCs w:val="22"/>
        </w:rPr>
        <w:t>quedó</w:t>
      </w:r>
      <w:r>
        <w:rPr>
          <w:rFonts w:ascii="Arial Narrow" w:hAnsi="Arial Narrow" w:cs="Gisha"/>
          <w:sz w:val="22"/>
          <w:szCs w:val="22"/>
        </w:rPr>
        <w:t xml:space="preserve"> pactada vía ingreso esperado IE, </w:t>
      </w:r>
      <w:r w:rsidR="00B24A6E">
        <w:rPr>
          <w:rFonts w:ascii="Arial Narrow" w:hAnsi="Arial Narrow" w:cs="Gisha"/>
          <w:sz w:val="22"/>
          <w:szCs w:val="22"/>
        </w:rPr>
        <w:t xml:space="preserve">a </w:t>
      </w:r>
      <w:r>
        <w:rPr>
          <w:rFonts w:ascii="Arial Narrow" w:hAnsi="Arial Narrow" w:cs="Gisha"/>
          <w:sz w:val="22"/>
          <w:szCs w:val="22"/>
        </w:rPr>
        <w:t xml:space="preserve">31 de diciembre de 2015 </w:t>
      </w:r>
      <w:r w:rsidR="00B24A6E">
        <w:rPr>
          <w:rFonts w:ascii="Arial Narrow" w:hAnsi="Arial Narrow" w:cs="Gisha"/>
          <w:sz w:val="22"/>
          <w:szCs w:val="22"/>
        </w:rPr>
        <w:t xml:space="preserve">presenta </w:t>
      </w:r>
      <w:r>
        <w:rPr>
          <w:rFonts w:ascii="Arial Narrow" w:hAnsi="Arial Narrow" w:cs="Gisha"/>
          <w:sz w:val="22"/>
          <w:szCs w:val="22"/>
        </w:rPr>
        <w:t>el valor de $177.572.925 miles en infraestructura en construcción y $100.029.036 miles en infraestructura en servicio.</w:t>
      </w:r>
    </w:p>
    <w:p w:rsidR="009F6DFC" w:rsidRDefault="009F6DFC" w:rsidP="009F6DFC">
      <w:pPr>
        <w:jc w:val="both"/>
        <w:rPr>
          <w:rFonts w:ascii="Arial Narrow" w:hAnsi="Arial Narrow" w:cs="Gisha"/>
          <w:sz w:val="22"/>
          <w:szCs w:val="22"/>
        </w:rPr>
      </w:pPr>
    </w:p>
    <w:p w:rsidR="009F6DFC" w:rsidRDefault="009F6DFC" w:rsidP="009F6DFC">
      <w:pPr>
        <w:jc w:val="both"/>
        <w:rPr>
          <w:rFonts w:ascii="Arial Narrow" w:hAnsi="Arial Narrow" w:cs="Gisha"/>
          <w:sz w:val="22"/>
          <w:szCs w:val="22"/>
        </w:rPr>
      </w:pPr>
      <w:r>
        <w:rPr>
          <w:rFonts w:ascii="Arial Narrow" w:hAnsi="Arial Narrow" w:cs="Gisha"/>
          <w:sz w:val="22"/>
          <w:szCs w:val="22"/>
        </w:rPr>
        <w:t>Las operaciones realizadas en la vigencia 2015 por este proyecto fueron las siguientes:</w:t>
      </w:r>
    </w:p>
    <w:p w:rsidR="009F6DFC" w:rsidRDefault="009F6DFC" w:rsidP="009F6DFC">
      <w:pPr>
        <w:jc w:val="both"/>
        <w:rPr>
          <w:rFonts w:ascii="Arial Narrow" w:hAnsi="Arial Narrow" w:cs="Gisha"/>
          <w:sz w:val="22"/>
          <w:szCs w:val="22"/>
        </w:rPr>
      </w:pPr>
    </w:p>
    <w:p w:rsidR="009F6DFC" w:rsidRDefault="009F6DFC" w:rsidP="00853B3A">
      <w:pPr>
        <w:pStyle w:val="Prrafodelista"/>
        <w:numPr>
          <w:ilvl w:val="0"/>
          <w:numId w:val="21"/>
        </w:numPr>
        <w:jc w:val="both"/>
        <w:rPr>
          <w:rFonts w:cs="Gisha"/>
          <w:sz w:val="22"/>
          <w:szCs w:val="22"/>
        </w:rPr>
      </w:pPr>
      <w:r>
        <w:rPr>
          <w:rFonts w:cs="Gisha"/>
          <w:sz w:val="22"/>
          <w:szCs w:val="22"/>
        </w:rPr>
        <w:t>Como inversión de capital privado la suma de $ 127.713.480 miles</w:t>
      </w:r>
    </w:p>
    <w:p w:rsidR="009F6DFC" w:rsidRPr="00763CAC" w:rsidRDefault="009F6DFC" w:rsidP="00853B3A">
      <w:pPr>
        <w:pStyle w:val="Prrafodelista"/>
        <w:numPr>
          <w:ilvl w:val="0"/>
          <w:numId w:val="21"/>
        </w:numPr>
        <w:jc w:val="both"/>
        <w:rPr>
          <w:rFonts w:cs="Gisha"/>
          <w:sz w:val="22"/>
          <w:szCs w:val="22"/>
          <w:lang w:val="es-ES"/>
        </w:rPr>
      </w:pPr>
      <w:r w:rsidRPr="00763CAC">
        <w:rPr>
          <w:sz w:val="22"/>
          <w:szCs w:val="22"/>
        </w:rPr>
        <w:t>El primer pago de la retribución a la Concesionaria Vial de Colombia SAS, Concesión Zipaquirá - Bucaramanga - Palenque por valor de $100.029.036 miles de acuerdo a</w:t>
      </w:r>
      <w:r w:rsidR="00B24A6E">
        <w:rPr>
          <w:sz w:val="22"/>
          <w:szCs w:val="22"/>
        </w:rPr>
        <w:t>l</w:t>
      </w:r>
      <w:r w:rsidRPr="00763CAC">
        <w:rPr>
          <w:sz w:val="22"/>
          <w:szCs w:val="22"/>
        </w:rPr>
        <w:t xml:space="preserve"> acta de terminación de obra rehabilitación de la vía suscrita por el concesionario, la interventoría y la Agencia el 20 de noviembre de 2015.  </w:t>
      </w:r>
    </w:p>
    <w:p w:rsidR="009F6DFC" w:rsidRPr="00763CAC" w:rsidRDefault="009F6DFC" w:rsidP="009F6DFC">
      <w:pPr>
        <w:jc w:val="both"/>
        <w:rPr>
          <w:rFonts w:cs="Gisha"/>
          <w:sz w:val="22"/>
          <w:szCs w:val="22"/>
        </w:rPr>
      </w:pPr>
    </w:p>
    <w:p w:rsidR="009F6DFC" w:rsidRPr="00B24A6E" w:rsidRDefault="009F6DFC" w:rsidP="00853B3A">
      <w:pPr>
        <w:pStyle w:val="Prrafodelista"/>
        <w:numPr>
          <w:ilvl w:val="0"/>
          <w:numId w:val="16"/>
        </w:numPr>
        <w:jc w:val="both"/>
        <w:rPr>
          <w:rFonts w:cs="Gisha"/>
          <w:sz w:val="22"/>
          <w:szCs w:val="22"/>
          <w:u w:val="single"/>
          <w:lang w:val="es-ES"/>
        </w:rPr>
      </w:pPr>
      <w:r w:rsidRPr="00B24A6E">
        <w:rPr>
          <w:rFonts w:cs="Gisha"/>
          <w:sz w:val="22"/>
          <w:szCs w:val="22"/>
          <w:u w:val="single"/>
          <w:lang w:val="es-ES"/>
        </w:rPr>
        <w:t>Loboguerrero – Buga</w:t>
      </w:r>
    </w:p>
    <w:p w:rsidR="009F6DFC" w:rsidRPr="00D6035C" w:rsidRDefault="009F6DFC" w:rsidP="009F6DFC">
      <w:pPr>
        <w:jc w:val="both"/>
        <w:rPr>
          <w:rFonts w:ascii="Arial Narrow" w:hAnsi="Arial Narrow" w:cs="Gisha"/>
          <w:sz w:val="22"/>
          <w:szCs w:val="22"/>
        </w:rPr>
      </w:pPr>
    </w:p>
    <w:p w:rsidR="009F6DFC" w:rsidRDefault="009F6DFC" w:rsidP="009F6DFC">
      <w:pPr>
        <w:jc w:val="both"/>
        <w:rPr>
          <w:rFonts w:ascii="Arial Narrow" w:hAnsi="Arial Narrow" w:cs="Gisha"/>
          <w:sz w:val="22"/>
          <w:szCs w:val="22"/>
        </w:rPr>
      </w:pPr>
      <w:r>
        <w:rPr>
          <w:rFonts w:ascii="Arial Narrow" w:hAnsi="Arial Narrow" w:cs="Gisha"/>
          <w:sz w:val="22"/>
          <w:szCs w:val="22"/>
        </w:rPr>
        <w:t>La concesión Loboguerrero – Buga, contrato de concesión No. 211 de 2013,</w:t>
      </w:r>
      <w:r w:rsidR="00B24A6E">
        <w:rPr>
          <w:rFonts w:ascii="Arial Narrow" w:hAnsi="Arial Narrow" w:cs="Gisha"/>
          <w:sz w:val="22"/>
          <w:szCs w:val="22"/>
        </w:rPr>
        <w:t xml:space="preserve"> suscrito por la Entidad, </w:t>
      </w:r>
      <w:r w:rsidR="00B24A6E" w:rsidRPr="005D7AFC">
        <w:rPr>
          <w:rFonts w:ascii="Arial Narrow" w:hAnsi="Arial Narrow" w:cs="Gisha"/>
          <w:sz w:val="22"/>
          <w:szCs w:val="22"/>
        </w:rPr>
        <w:t>a 31 de diciembre de 2015</w:t>
      </w:r>
      <w:r w:rsidR="00B24A6E">
        <w:rPr>
          <w:rFonts w:ascii="Arial Narrow" w:hAnsi="Arial Narrow" w:cs="Gisha"/>
          <w:sz w:val="22"/>
          <w:szCs w:val="22"/>
        </w:rPr>
        <w:t xml:space="preserve"> </w:t>
      </w:r>
      <w:r>
        <w:rPr>
          <w:rFonts w:ascii="Arial Narrow" w:hAnsi="Arial Narrow" w:cs="Gisha"/>
          <w:sz w:val="22"/>
          <w:szCs w:val="22"/>
        </w:rPr>
        <w:t xml:space="preserve"> presenta un valor de $3.610.332 miles infraestructura en construcción y $65.424.679 miles en construcción en servicio.</w:t>
      </w:r>
    </w:p>
    <w:p w:rsidR="009F6DFC" w:rsidRDefault="009F6DFC" w:rsidP="009F6DFC">
      <w:pPr>
        <w:jc w:val="both"/>
        <w:rPr>
          <w:rFonts w:ascii="Arial Narrow" w:hAnsi="Arial Narrow" w:cs="Gisha"/>
          <w:sz w:val="22"/>
          <w:szCs w:val="22"/>
        </w:rPr>
      </w:pPr>
    </w:p>
    <w:p w:rsidR="009F6DFC" w:rsidRDefault="009F6DFC" w:rsidP="009F6DFC">
      <w:pPr>
        <w:jc w:val="both"/>
        <w:rPr>
          <w:rFonts w:ascii="Arial Narrow" w:hAnsi="Arial Narrow" w:cs="Gisha"/>
          <w:sz w:val="22"/>
          <w:szCs w:val="22"/>
        </w:rPr>
      </w:pPr>
      <w:r>
        <w:rPr>
          <w:rFonts w:ascii="Arial Narrow" w:hAnsi="Arial Narrow" w:cs="Gisha"/>
          <w:sz w:val="22"/>
          <w:szCs w:val="22"/>
        </w:rPr>
        <w:t>Las operaciones realizadas en la vigencia 2015 por este proyecto fueron las siguientes:</w:t>
      </w:r>
    </w:p>
    <w:p w:rsidR="009F6DFC" w:rsidRDefault="009F6DFC" w:rsidP="009F6DFC">
      <w:pPr>
        <w:jc w:val="both"/>
        <w:rPr>
          <w:rFonts w:ascii="Arial Narrow" w:hAnsi="Arial Narrow" w:cs="Gisha"/>
          <w:sz w:val="22"/>
          <w:szCs w:val="22"/>
        </w:rPr>
      </w:pPr>
    </w:p>
    <w:p w:rsidR="009F6DFC" w:rsidRDefault="009F6DFC" w:rsidP="00853B3A">
      <w:pPr>
        <w:pStyle w:val="Prrafodelista"/>
        <w:numPr>
          <w:ilvl w:val="0"/>
          <w:numId w:val="22"/>
        </w:numPr>
        <w:jc w:val="both"/>
        <w:rPr>
          <w:rFonts w:cs="Gisha"/>
          <w:sz w:val="22"/>
          <w:szCs w:val="22"/>
        </w:rPr>
      </w:pPr>
      <w:r>
        <w:rPr>
          <w:rFonts w:cs="Gisha"/>
          <w:sz w:val="22"/>
          <w:szCs w:val="22"/>
        </w:rPr>
        <w:t>El valor de $ 9.241.000 miles correspondiente  los aportes estatales girados en la vigencia 2015.</w:t>
      </w:r>
    </w:p>
    <w:p w:rsidR="009F6DFC" w:rsidRDefault="009F6DFC" w:rsidP="00853B3A">
      <w:pPr>
        <w:pStyle w:val="Prrafodelista"/>
        <w:numPr>
          <w:ilvl w:val="0"/>
          <w:numId w:val="22"/>
        </w:numPr>
        <w:jc w:val="both"/>
        <w:rPr>
          <w:rFonts w:cs="Gisha"/>
          <w:sz w:val="22"/>
          <w:szCs w:val="22"/>
        </w:rPr>
      </w:pPr>
      <w:r>
        <w:rPr>
          <w:rFonts w:cs="Gisha"/>
          <w:sz w:val="22"/>
          <w:szCs w:val="22"/>
        </w:rPr>
        <w:t>El valor de $ 15.889.305 miles correspondiente a la ejecución de los recursos públicos entregados.</w:t>
      </w:r>
    </w:p>
    <w:p w:rsidR="009F6DFC" w:rsidRPr="003F06D5" w:rsidRDefault="009F6DFC" w:rsidP="00853B3A">
      <w:pPr>
        <w:pStyle w:val="Prrafodelista"/>
        <w:numPr>
          <w:ilvl w:val="0"/>
          <w:numId w:val="22"/>
        </w:numPr>
        <w:jc w:val="both"/>
        <w:rPr>
          <w:sz w:val="22"/>
          <w:szCs w:val="22"/>
        </w:rPr>
      </w:pPr>
      <w:r>
        <w:rPr>
          <w:sz w:val="22"/>
          <w:szCs w:val="22"/>
        </w:rPr>
        <w:t>R</w:t>
      </w:r>
      <w:r w:rsidRPr="003F06D5">
        <w:rPr>
          <w:sz w:val="22"/>
          <w:szCs w:val="22"/>
        </w:rPr>
        <w:t xml:space="preserve">econocimiento de las retribuciones certificadas por la Interventoría Consorcio </w:t>
      </w:r>
      <w:r w:rsidR="00B24A6E" w:rsidRPr="003F06D5">
        <w:rPr>
          <w:sz w:val="22"/>
          <w:szCs w:val="22"/>
        </w:rPr>
        <w:t>INTERCON</w:t>
      </w:r>
      <w:r w:rsidRPr="003F06D5">
        <w:rPr>
          <w:sz w:val="22"/>
          <w:szCs w:val="22"/>
        </w:rPr>
        <w:t xml:space="preserve"> al término de la etapa de construcción por valores de 51.962.064 miles y $8.309.185 miles.</w:t>
      </w:r>
    </w:p>
    <w:p w:rsidR="009F6DFC" w:rsidRPr="00D6035C" w:rsidRDefault="009F6DFC" w:rsidP="009F6DFC">
      <w:pPr>
        <w:jc w:val="both"/>
        <w:rPr>
          <w:rFonts w:ascii="Arial Narrow" w:hAnsi="Arial Narrow" w:cs="Gisha"/>
          <w:sz w:val="22"/>
          <w:szCs w:val="22"/>
        </w:rPr>
      </w:pPr>
    </w:p>
    <w:p w:rsidR="009F6DFC" w:rsidRPr="00B24A6E" w:rsidRDefault="009F6DFC" w:rsidP="00853B3A">
      <w:pPr>
        <w:pStyle w:val="Prrafodelista"/>
        <w:numPr>
          <w:ilvl w:val="0"/>
          <w:numId w:val="16"/>
        </w:numPr>
        <w:jc w:val="both"/>
        <w:rPr>
          <w:rFonts w:cs="Gisha"/>
          <w:sz w:val="22"/>
          <w:szCs w:val="22"/>
          <w:u w:val="single"/>
          <w:lang w:val="es-ES"/>
        </w:rPr>
      </w:pPr>
      <w:r w:rsidRPr="00B24A6E">
        <w:rPr>
          <w:rFonts w:cs="Gisha"/>
          <w:sz w:val="22"/>
          <w:szCs w:val="22"/>
          <w:u w:val="single"/>
          <w:lang w:val="es-ES"/>
        </w:rPr>
        <w:t>Autopista Conexión Pacifico 2</w:t>
      </w:r>
    </w:p>
    <w:p w:rsidR="009F6DFC" w:rsidRDefault="009F6DFC" w:rsidP="009F6DFC">
      <w:pPr>
        <w:jc w:val="both"/>
        <w:rPr>
          <w:rFonts w:cs="Gisha"/>
          <w:sz w:val="22"/>
          <w:szCs w:val="22"/>
        </w:rPr>
      </w:pPr>
    </w:p>
    <w:p w:rsidR="009F6DFC" w:rsidRDefault="009F6DFC" w:rsidP="009F6DFC">
      <w:pPr>
        <w:jc w:val="both"/>
        <w:rPr>
          <w:rFonts w:ascii="Arial Narrow" w:hAnsi="Arial Narrow" w:cs="Gisha"/>
          <w:sz w:val="22"/>
          <w:szCs w:val="22"/>
        </w:rPr>
      </w:pPr>
      <w:r w:rsidRPr="0049277D">
        <w:rPr>
          <w:rFonts w:ascii="Arial Narrow" w:hAnsi="Arial Narrow" w:cs="Gisha"/>
          <w:sz w:val="22"/>
          <w:szCs w:val="22"/>
        </w:rPr>
        <w:t>La concesión  Autopista Conexión Pacifico 2</w:t>
      </w:r>
      <w:r>
        <w:rPr>
          <w:rFonts w:ascii="Arial Narrow" w:hAnsi="Arial Narrow" w:cs="Gisha"/>
          <w:sz w:val="22"/>
          <w:szCs w:val="22"/>
        </w:rPr>
        <w:t xml:space="preserve">, contrato No. 006 de 2014 bajo el esquema de Asociación Publico Privada APP, a 31 de diciembre de 2015 </w:t>
      </w:r>
      <w:r w:rsidR="00B24A6E">
        <w:rPr>
          <w:rFonts w:ascii="Arial Narrow" w:hAnsi="Arial Narrow" w:cs="Gisha"/>
          <w:sz w:val="22"/>
          <w:szCs w:val="22"/>
        </w:rPr>
        <w:t xml:space="preserve">presenta </w:t>
      </w:r>
      <w:r>
        <w:rPr>
          <w:rFonts w:ascii="Arial Narrow" w:hAnsi="Arial Narrow" w:cs="Gisha"/>
          <w:sz w:val="22"/>
          <w:szCs w:val="22"/>
        </w:rPr>
        <w:t>el valor de $82.019.763 miles en infraestructura en construcción.</w:t>
      </w:r>
    </w:p>
    <w:p w:rsidR="009F6DFC" w:rsidRDefault="009F6DFC" w:rsidP="009F6DFC">
      <w:pPr>
        <w:jc w:val="both"/>
        <w:rPr>
          <w:rFonts w:ascii="Arial Narrow" w:hAnsi="Arial Narrow" w:cs="Gisha"/>
          <w:sz w:val="22"/>
          <w:szCs w:val="22"/>
        </w:rPr>
      </w:pPr>
    </w:p>
    <w:p w:rsidR="009F6DFC" w:rsidRDefault="009F6DFC" w:rsidP="009F6DFC">
      <w:pPr>
        <w:jc w:val="both"/>
        <w:rPr>
          <w:rFonts w:ascii="Arial Narrow" w:hAnsi="Arial Narrow" w:cs="Gisha"/>
          <w:sz w:val="22"/>
          <w:szCs w:val="22"/>
        </w:rPr>
      </w:pPr>
      <w:r>
        <w:rPr>
          <w:rFonts w:ascii="Arial Narrow" w:hAnsi="Arial Narrow" w:cs="Gisha"/>
          <w:sz w:val="22"/>
          <w:szCs w:val="22"/>
        </w:rPr>
        <w:t>Las operaciones realizadas en la vigencia 2015 por este proyecto fueron las siguientes:</w:t>
      </w:r>
    </w:p>
    <w:p w:rsidR="009F6DFC" w:rsidRDefault="009F6DFC" w:rsidP="009F6DFC">
      <w:pPr>
        <w:jc w:val="both"/>
        <w:rPr>
          <w:rFonts w:ascii="Arial Narrow" w:hAnsi="Arial Narrow" w:cs="Gisha"/>
          <w:sz w:val="22"/>
          <w:szCs w:val="22"/>
        </w:rPr>
      </w:pPr>
    </w:p>
    <w:p w:rsidR="009F6DFC" w:rsidRPr="007B45BA" w:rsidRDefault="009F6DFC" w:rsidP="00853B3A">
      <w:pPr>
        <w:pStyle w:val="Prrafodelista"/>
        <w:numPr>
          <w:ilvl w:val="0"/>
          <w:numId w:val="23"/>
        </w:numPr>
        <w:jc w:val="both"/>
        <w:rPr>
          <w:rFonts w:cs="Gisha"/>
          <w:sz w:val="22"/>
          <w:szCs w:val="22"/>
        </w:rPr>
      </w:pPr>
      <w:r>
        <w:rPr>
          <w:rFonts w:cs="Gisha"/>
          <w:sz w:val="22"/>
          <w:szCs w:val="22"/>
        </w:rPr>
        <w:t>Inversión de capital privado por valor de $ 68.778.929 miles.</w:t>
      </w:r>
    </w:p>
    <w:p w:rsidR="009F6DFC" w:rsidRPr="0049277D" w:rsidRDefault="009F6DFC" w:rsidP="009F6DFC">
      <w:pPr>
        <w:jc w:val="both"/>
        <w:rPr>
          <w:rFonts w:ascii="Arial Narrow" w:hAnsi="Arial Narrow" w:cs="Gisha"/>
          <w:sz w:val="22"/>
          <w:szCs w:val="22"/>
        </w:rPr>
      </w:pPr>
      <w:r w:rsidRPr="0049277D">
        <w:rPr>
          <w:rFonts w:ascii="Arial Narrow" w:hAnsi="Arial Narrow" w:cs="Gisha"/>
          <w:sz w:val="22"/>
          <w:szCs w:val="22"/>
        </w:rPr>
        <w:t xml:space="preserve"> </w:t>
      </w:r>
    </w:p>
    <w:p w:rsidR="009F6DFC" w:rsidRPr="00B24A6E" w:rsidRDefault="009F6DFC" w:rsidP="00853B3A">
      <w:pPr>
        <w:pStyle w:val="Prrafodelista"/>
        <w:numPr>
          <w:ilvl w:val="0"/>
          <w:numId w:val="16"/>
        </w:numPr>
        <w:jc w:val="both"/>
        <w:rPr>
          <w:rFonts w:cs="Gisha"/>
          <w:sz w:val="22"/>
          <w:szCs w:val="22"/>
          <w:u w:val="single"/>
          <w:lang w:val="es-ES"/>
        </w:rPr>
      </w:pPr>
      <w:r w:rsidRPr="00B24A6E">
        <w:rPr>
          <w:rFonts w:cs="Gisha"/>
          <w:sz w:val="22"/>
          <w:szCs w:val="22"/>
          <w:u w:val="single"/>
          <w:lang w:val="es-ES"/>
        </w:rPr>
        <w:t xml:space="preserve">Circunvalar Barranquilla – Cartagena </w:t>
      </w:r>
    </w:p>
    <w:p w:rsidR="009F6DFC" w:rsidRDefault="009F6DFC" w:rsidP="009F6DFC">
      <w:pPr>
        <w:jc w:val="both"/>
        <w:rPr>
          <w:rFonts w:cs="Gisha"/>
          <w:sz w:val="22"/>
          <w:szCs w:val="22"/>
        </w:rPr>
      </w:pPr>
    </w:p>
    <w:p w:rsidR="009F6DFC" w:rsidRDefault="009F6DFC" w:rsidP="009F6DFC">
      <w:pPr>
        <w:jc w:val="both"/>
        <w:rPr>
          <w:rFonts w:ascii="Arial Narrow" w:hAnsi="Arial Narrow" w:cs="Gisha"/>
          <w:sz w:val="22"/>
          <w:szCs w:val="22"/>
        </w:rPr>
      </w:pPr>
      <w:r w:rsidRPr="00DD6667">
        <w:rPr>
          <w:rFonts w:ascii="Arial Narrow" w:hAnsi="Arial Narrow" w:cs="Gisha"/>
          <w:sz w:val="22"/>
          <w:szCs w:val="22"/>
        </w:rPr>
        <w:t>La concesión  Circunvalar Barranquilla – Cartagena</w:t>
      </w:r>
      <w:r>
        <w:rPr>
          <w:rFonts w:ascii="Arial Narrow" w:hAnsi="Arial Narrow" w:cs="Gisha"/>
          <w:sz w:val="22"/>
          <w:szCs w:val="22"/>
        </w:rPr>
        <w:t xml:space="preserve">, contrato No. 004 de 2014 bajo el esquema de Asociación Publico Privada APP, a 31 de diciembre de 2015 </w:t>
      </w:r>
      <w:r w:rsidR="00B24A6E">
        <w:rPr>
          <w:rFonts w:ascii="Arial Narrow" w:hAnsi="Arial Narrow" w:cs="Gisha"/>
          <w:sz w:val="22"/>
          <w:szCs w:val="22"/>
        </w:rPr>
        <w:t xml:space="preserve">presenta </w:t>
      </w:r>
      <w:r>
        <w:rPr>
          <w:rFonts w:ascii="Arial Narrow" w:hAnsi="Arial Narrow" w:cs="Gisha"/>
          <w:sz w:val="22"/>
          <w:szCs w:val="22"/>
        </w:rPr>
        <w:t>el valor de $203.658.805 miles en infraestructura en construcción.</w:t>
      </w:r>
    </w:p>
    <w:p w:rsidR="009F6DFC" w:rsidRDefault="009F6DFC" w:rsidP="009F6DFC">
      <w:pPr>
        <w:jc w:val="both"/>
        <w:rPr>
          <w:rFonts w:ascii="Arial Narrow" w:hAnsi="Arial Narrow" w:cs="Gisha"/>
          <w:sz w:val="22"/>
          <w:szCs w:val="22"/>
        </w:rPr>
      </w:pPr>
      <w:r>
        <w:rPr>
          <w:rFonts w:ascii="Arial Narrow" w:hAnsi="Arial Narrow" w:cs="Gisha"/>
          <w:sz w:val="22"/>
          <w:szCs w:val="22"/>
        </w:rPr>
        <w:t>Las operaciones realizadas en la vigencia 2015 por este proyecto fueron las siguientes:</w:t>
      </w:r>
    </w:p>
    <w:p w:rsidR="009F6DFC" w:rsidRDefault="009F6DFC" w:rsidP="009F6DFC">
      <w:pPr>
        <w:jc w:val="both"/>
        <w:rPr>
          <w:rFonts w:ascii="Arial Narrow" w:hAnsi="Arial Narrow" w:cs="Gisha"/>
          <w:sz w:val="22"/>
          <w:szCs w:val="22"/>
        </w:rPr>
      </w:pPr>
    </w:p>
    <w:p w:rsidR="009F6DFC" w:rsidRDefault="009F6DFC" w:rsidP="00853B3A">
      <w:pPr>
        <w:pStyle w:val="Prrafodelista"/>
        <w:numPr>
          <w:ilvl w:val="0"/>
          <w:numId w:val="23"/>
        </w:numPr>
        <w:jc w:val="both"/>
        <w:rPr>
          <w:rFonts w:cs="Gisha"/>
          <w:sz w:val="22"/>
          <w:szCs w:val="22"/>
        </w:rPr>
      </w:pPr>
      <w:r>
        <w:rPr>
          <w:rFonts w:cs="Gisha"/>
          <w:sz w:val="22"/>
          <w:szCs w:val="22"/>
        </w:rPr>
        <w:t>Inversión de capital privado por valor de $ 132.296.535 miles.</w:t>
      </w:r>
    </w:p>
    <w:p w:rsidR="009F6DFC" w:rsidRDefault="009F6DFC" w:rsidP="009F6DFC">
      <w:pPr>
        <w:jc w:val="both"/>
        <w:rPr>
          <w:rFonts w:cs="Gisha"/>
          <w:sz w:val="22"/>
          <w:szCs w:val="22"/>
        </w:rPr>
      </w:pPr>
    </w:p>
    <w:p w:rsidR="009F6DFC" w:rsidRPr="00B24A6E" w:rsidRDefault="009F6DFC" w:rsidP="00853B3A">
      <w:pPr>
        <w:pStyle w:val="Prrafodelista"/>
        <w:numPr>
          <w:ilvl w:val="0"/>
          <w:numId w:val="16"/>
        </w:numPr>
        <w:jc w:val="both"/>
        <w:rPr>
          <w:rFonts w:cs="Gisha"/>
          <w:sz w:val="22"/>
          <w:szCs w:val="22"/>
          <w:u w:val="single"/>
          <w:lang w:val="es-ES"/>
        </w:rPr>
      </w:pPr>
      <w:r w:rsidRPr="00B24A6E">
        <w:rPr>
          <w:rFonts w:cs="Gisha"/>
          <w:sz w:val="22"/>
          <w:szCs w:val="22"/>
          <w:u w:val="single"/>
          <w:lang w:val="es-ES"/>
        </w:rPr>
        <w:t>Girardot –Honda - Puerto Salgar</w:t>
      </w:r>
    </w:p>
    <w:p w:rsidR="009F6DFC" w:rsidRDefault="009F6DFC" w:rsidP="009F6DFC">
      <w:pPr>
        <w:jc w:val="both"/>
        <w:rPr>
          <w:rFonts w:cs="Gisha"/>
          <w:sz w:val="22"/>
          <w:szCs w:val="22"/>
        </w:rPr>
      </w:pPr>
    </w:p>
    <w:p w:rsidR="009F6DFC" w:rsidRDefault="009F6DFC" w:rsidP="009F6DFC">
      <w:pPr>
        <w:jc w:val="both"/>
        <w:rPr>
          <w:rFonts w:ascii="Arial Narrow" w:hAnsi="Arial Narrow" w:cs="Gisha"/>
          <w:sz w:val="22"/>
          <w:szCs w:val="22"/>
        </w:rPr>
      </w:pPr>
      <w:r w:rsidRPr="00342B2C">
        <w:rPr>
          <w:rFonts w:ascii="Arial Narrow" w:hAnsi="Arial Narrow" w:cs="Gisha"/>
          <w:sz w:val="22"/>
          <w:szCs w:val="22"/>
        </w:rPr>
        <w:lastRenderedPageBreak/>
        <w:t>La concesión Girardot – Honda – Puerto Salgar (APP)</w:t>
      </w:r>
      <w:r>
        <w:rPr>
          <w:rFonts w:ascii="Arial Narrow" w:hAnsi="Arial Narrow" w:cs="Gisha"/>
          <w:sz w:val="22"/>
          <w:szCs w:val="22"/>
        </w:rPr>
        <w:t xml:space="preserve"> contrato No. 003 de 2014, </w:t>
      </w:r>
      <w:r w:rsidR="00B55EE3" w:rsidRPr="005D7AFC">
        <w:rPr>
          <w:rFonts w:ascii="Arial Narrow" w:hAnsi="Arial Narrow" w:cs="Gisha"/>
          <w:sz w:val="22"/>
          <w:szCs w:val="22"/>
        </w:rPr>
        <w:t>a 31 de diciembre de 2015</w:t>
      </w:r>
      <w:r w:rsidR="00B55EE3">
        <w:rPr>
          <w:rFonts w:ascii="Arial Narrow" w:hAnsi="Arial Narrow" w:cs="Gisha"/>
          <w:sz w:val="22"/>
          <w:szCs w:val="22"/>
        </w:rPr>
        <w:t xml:space="preserve"> </w:t>
      </w:r>
      <w:r>
        <w:rPr>
          <w:rFonts w:ascii="Arial Narrow" w:hAnsi="Arial Narrow" w:cs="Gisha"/>
          <w:sz w:val="22"/>
          <w:szCs w:val="22"/>
        </w:rPr>
        <w:t xml:space="preserve">presenta un valor de $136.345.687 miles correspondiente a la infraestructura en construcción. </w:t>
      </w:r>
    </w:p>
    <w:p w:rsidR="009F6DFC" w:rsidRDefault="009F6DFC" w:rsidP="009F6DFC">
      <w:pPr>
        <w:jc w:val="both"/>
        <w:rPr>
          <w:rFonts w:ascii="Arial Narrow" w:hAnsi="Arial Narrow" w:cs="Gisha"/>
          <w:sz w:val="22"/>
          <w:szCs w:val="22"/>
        </w:rPr>
      </w:pPr>
    </w:p>
    <w:p w:rsidR="009F6DFC" w:rsidRDefault="009F6DFC" w:rsidP="009F6DFC">
      <w:pPr>
        <w:jc w:val="both"/>
        <w:rPr>
          <w:rFonts w:ascii="Arial Narrow" w:hAnsi="Arial Narrow" w:cs="Gisha"/>
          <w:sz w:val="22"/>
          <w:szCs w:val="22"/>
        </w:rPr>
      </w:pPr>
      <w:r>
        <w:rPr>
          <w:rFonts w:ascii="Arial Narrow" w:hAnsi="Arial Narrow" w:cs="Gisha"/>
          <w:sz w:val="22"/>
          <w:szCs w:val="22"/>
        </w:rPr>
        <w:t>Las operaciones realizadas en la vigencia 2015 por este proyecto fueron las siguientes:</w:t>
      </w:r>
    </w:p>
    <w:p w:rsidR="009F6DFC" w:rsidRDefault="009F6DFC" w:rsidP="009F6DFC">
      <w:pPr>
        <w:jc w:val="both"/>
        <w:rPr>
          <w:rFonts w:ascii="Arial Narrow" w:hAnsi="Arial Narrow" w:cs="Gisha"/>
          <w:sz w:val="22"/>
          <w:szCs w:val="22"/>
        </w:rPr>
      </w:pPr>
    </w:p>
    <w:p w:rsidR="009F6DFC" w:rsidRDefault="009F6DFC" w:rsidP="00853B3A">
      <w:pPr>
        <w:pStyle w:val="Prrafodelista"/>
        <w:numPr>
          <w:ilvl w:val="0"/>
          <w:numId w:val="23"/>
        </w:numPr>
        <w:jc w:val="both"/>
        <w:rPr>
          <w:rFonts w:cs="Gisha"/>
          <w:sz w:val="22"/>
          <w:szCs w:val="22"/>
        </w:rPr>
      </w:pPr>
      <w:r>
        <w:rPr>
          <w:rFonts w:cs="Gisha"/>
          <w:sz w:val="22"/>
          <w:szCs w:val="22"/>
        </w:rPr>
        <w:t>Inversión de capital privado por valor de $ 93.249.680 miles.</w:t>
      </w:r>
    </w:p>
    <w:p w:rsidR="009F6DFC" w:rsidRDefault="009F6DFC" w:rsidP="009F6DFC">
      <w:pPr>
        <w:jc w:val="both"/>
        <w:rPr>
          <w:rFonts w:ascii="Arial Narrow" w:hAnsi="Arial Narrow" w:cs="Gisha"/>
          <w:sz w:val="22"/>
          <w:szCs w:val="22"/>
        </w:rPr>
      </w:pPr>
    </w:p>
    <w:p w:rsidR="009F6DFC" w:rsidRPr="00B24A6E" w:rsidRDefault="009F6DFC" w:rsidP="00853B3A">
      <w:pPr>
        <w:pStyle w:val="Prrafodelista"/>
        <w:numPr>
          <w:ilvl w:val="0"/>
          <w:numId w:val="16"/>
        </w:numPr>
        <w:jc w:val="both"/>
        <w:rPr>
          <w:rFonts w:cs="Gisha"/>
          <w:sz w:val="22"/>
          <w:szCs w:val="22"/>
          <w:u w:val="single"/>
          <w:lang w:val="es-ES"/>
        </w:rPr>
      </w:pPr>
      <w:r w:rsidRPr="00B24A6E">
        <w:rPr>
          <w:rFonts w:cs="Gisha"/>
          <w:sz w:val="22"/>
          <w:szCs w:val="22"/>
          <w:u w:val="single"/>
          <w:lang w:val="es-ES"/>
        </w:rPr>
        <w:t>Autopista Conexión Pacifico 1</w:t>
      </w:r>
    </w:p>
    <w:p w:rsidR="009F6DFC" w:rsidRDefault="009F6DFC" w:rsidP="009F6DFC">
      <w:pPr>
        <w:jc w:val="both"/>
        <w:rPr>
          <w:rFonts w:cs="Gisha"/>
          <w:sz w:val="22"/>
          <w:szCs w:val="22"/>
        </w:rPr>
      </w:pPr>
    </w:p>
    <w:p w:rsidR="009F6DFC" w:rsidRDefault="009F6DFC" w:rsidP="009F6DFC">
      <w:pPr>
        <w:jc w:val="both"/>
        <w:rPr>
          <w:rFonts w:ascii="Arial Narrow" w:hAnsi="Arial Narrow" w:cs="Gisha"/>
          <w:sz w:val="22"/>
          <w:szCs w:val="22"/>
        </w:rPr>
      </w:pPr>
      <w:r w:rsidRPr="00CB4694">
        <w:rPr>
          <w:rFonts w:ascii="Arial Narrow" w:hAnsi="Arial Narrow" w:cs="Gisha"/>
          <w:sz w:val="22"/>
          <w:szCs w:val="22"/>
        </w:rPr>
        <w:t>La concesión Autopista Conexión Pacifico 2</w:t>
      </w:r>
      <w:r>
        <w:rPr>
          <w:rFonts w:ascii="Arial Narrow" w:hAnsi="Arial Narrow" w:cs="Gisha"/>
          <w:sz w:val="22"/>
          <w:szCs w:val="22"/>
        </w:rPr>
        <w:t xml:space="preserve">, APP contrato No. 007 de 2014, </w:t>
      </w:r>
      <w:r w:rsidR="00B24A6E" w:rsidRPr="005D7AFC">
        <w:rPr>
          <w:rFonts w:ascii="Arial Narrow" w:hAnsi="Arial Narrow" w:cs="Gisha"/>
          <w:sz w:val="22"/>
          <w:szCs w:val="22"/>
        </w:rPr>
        <w:t>a 31 de diciembre de 2015</w:t>
      </w:r>
      <w:r w:rsidR="00B24A6E">
        <w:rPr>
          <w:rFonts w:ascii="Arial Narrow" w:hAnsi="Arial Narrow" w:cs="Gisha"/>
          <w:sz w:val="22"/>
          <w:szCs w:val="22"/>
        </w:rPr>
        <w:t xml:space="preserve"> </w:t>
      </w:r>
      <w:r>
        <w:rPr>
          <w:rFonts w:ascii="Arial Narrow" w:hAnsi="Arial Narrow" w:cs="Gisha"/>
          <w:sz w:val="22"/>
          <w:szCs w:val="22"/>
        </w:rPr>
        <w:t>presenta un valor de $101.335.411 miles en infraestructura en construcción.</w:t>
      </w:r>
    </w:p>
    <w:p w:rsidR="009F6DFC" w:rsidRDefault="009F6DFC" w:rsidP="009F6DFC">
      <w:pPr>
        <w:jc w:val="both"/>
        <w:rPr>
          <w:rFonts w:ascii="Arial Narrow" w:hAnsi="Arial Narrow" w:cs="Gisha"/>
          <w:sz w:val="22"/>
          <w:szCs w:val="22"/>
        </w:rPr>
      </w:pPr>
    </w:p>
    <w:p w:rsidR="009F6DFC" w:rsidRDefault="009F6DFC" w:rsidP="009F6DFC">
      <w:pPr>
        <w:jc w:val="both"/>
        <w:rPr>
          <w:rFonts w:ascii="Arial Narrow" w:hAnsi="Arial Narrow" w:cs="Gisha"/>
          <w:sz w:val="22"/>
          <w:szCs w:val="22"/>
        </w:rPr>
      </w:pPr>
      <w:r>
        <w:rPr>
          <w:rFonts w:ascii="Arial Narrow" w:hAnsi="Arial Narrow" w:cs="Gisha"/>
          <w:sz w:val="22"/>
          <w:szCs w:val="22"/>
        </w:rPr>
        <w:t>Las operaciones realizadas en la vigencia 2015 por este proyecto fueron las siguientes:</w:t>
      </w:r>
    </w:p>
    <w:p w:rsidR="009F6DFC" w:rsidRDefault="009F6DFC" w:rsidP="009F6DFC">
      <w:pPr>
        <w:jc w:val="both"/>
        <w:rPr>
          <w:rFonts w:ascii="Arial Narrow" w:hAnsi="Arial Narrow" w:cs="Gisha"/>
          <w:sz w:val="22"/>
          <w:szCs w:val="22"/>
        </w:rPr>
      </w:pPr>
    </w:p>
    <w:p w:rsidR="009F6DFC" w:rsidRDefault="009F6DFC" w:rsidP="00853B3A">
      <w:pPr>
        <w:pStyle w:val="Prrafodelista"/>
        <w:numPr>
          <w:ilvl w:val="0"/>
          <w:numId w:val="23"/>
        </w:numPr>
        <w:jc w:val="both"/>
        <w:rPr>
          <w:rFonts w:cs="Gisha"/>
          <w:sz w:val="22"/>
          <w:szCs w:val="22"/>
        </w:rPr>
      </w:pPr>
      <w:r>
        <w:rPr>
          <w:rFonts w:cs="Gisha"/>
          <w:sz w:val="22"/>
          <w:szCs w:val="22"/>
        </w:rPr>
        <w:t>Inversión de capital privado por valor de $ 84.434.539 miles.</w:t>
      </w:r>
    </w:p>
    <w:p w:rsidR="009F6DFC" w:rsidRPr="00CB4694" w:rsidRDefault="009F6DFC" w:rsidP="009F6DFC">
      <w:pPr>
        <w:jc w:val="both"/>
        <w:rPr>
          <w:rFonts w:ascii="Arial Narrow" w:hAnsi="Arial Narrow" w:cs="Gisha"/>
          <w:sz w:val="22"/>
          <w:szCs w:val="22"/>
        </w:rPr>
      </w:pPr>
    </w:p>
    <w:p w:rsidR="009F6DFC" w:rsidRPr="00B24A6E" w:rsidRDefault="009F6DFC" w:rsidP="00853B3A">
      <w:pPr>
        <w:pStyle w:val="Prrafodelista"/>
        <w:numPr>
          <w:ilvl w:val="0"/>
          <w:numId w:val="16"/>
        </w:numPr>
        <w:jc w:val="both"/>
        <w:rPr>
          <w:rFonts w:cs="Gisha"/>
          <w:sz w:val="22"/>
          <w:szCs w:val="22"/>
          <w:u w:val="single"/>
          <w:lang w:val="es-ES"/>
        </w:rPr>
      </w:pPr>
      <w:r w:rsidRPr="00B24A6E">
        <w:rPr>
          <w:rFonts w:cs="Gisha"/>
          <w:sz w:val="22"/>
          <w:szCs w:val="22"/>
          <w:u w:val="single"/>
          <w:lang w:val="es-ES"/>
        </w:rPr>
        <w:t>Autopista Conexión Pacifico 3</w:t>
      </w:r>
    </w:p>
    <w:p w:rsidR="009F6DFC" w:rsidRDefault="009F6DFC" w:rsidP="009F6DFC">
      <w:pPr>
        <w:jc w:val="both"/>
        <w:rPr>
          <w:rFonts w:cs="Gisha"/>
          <w:sz w:val="22"/>
          <w:szCs w:val="22"/>
        </w:rPr>
      </w:pPr>
    </w:p>
    <w:p w:rsidR="009F6DFC" w:rsidRPr="00B55EE3" w:rsidRDefault="009F6DFC" w:rsidP="009F6DFC">
      <w:pPr>
        <w:jc w:val="both"/>
        <w:rPr>
          <w:rFonts w:ascii="Arial Narrow" w:hAnsi="Arial Narrow" w:cs="Gisha"/>
          <w:sz w:val="22"/>
          <w:szCs w:val="22"/>
        </w:rPr>
      </w:pPr>
      <w:r w:rsidRPr="00CB4694">
        <w:rPr>
          <w:rFonts w:ascii="Arial Narrow" w:hAnsi="Arial Narrow" w:cs="Gisha"/>
          <w:sz w:val="22"/>
          <w:szCs w:val="22"/>
        </w:rPr>
        <w:t xml:space="preserve">La concesión Autopista Conexión Pacifico </w:t>
      </w:r>
      <w:r>
        <w:rPr>
          <w:rFonts w:ascii="Arial Narrow" w:hAnsi="Arial Narrow" w:cs="Gisha"/>
          <w:sz w:val="22"/>
          <w:szCs w:val="22"/>
        </w:rPr>
        <w:t xml:space="preserve">3, APP contrato No. 005 de 2014, </w:t>
      </w:r>
      <w:r w:rsidR="00B24A6E" w:rsidRPr="00B55EE3">
        <w:rPr>
          <w:rFonts w:ascii="Arial Narrow" w:hAnsi="Arial Narrow" w:cs="Gisha"/>
          <w:sz w:val="22"/>
          <w:szCs w:val="22"/>
        </w:rPr>
        <w:t xml:space="preserve">a 31 de diciembre de 2015 </w:t>
      </w:r>
      <w:r w:rsidRPr="00B55EE3">
        <w:rPr>
          <w:rFonts w:ascii="Arial Narrow" w:hAnsi="Arial Narrow" w:cs="Gisha"/>
          <w:sz w:val="22"/>
          <w:szCs w:val="22"/>
        </w:rPr>
        <w:t>presenta un valor de $187.847.691 miles en infraestructura en construcción.</w:t>
      </w:r>
    </w:p>
    <w:p w:rsidR="009F6DFC" w:rsidRDefault="009F6DFC" w:rsidP="009F6DFC">
      <w:pPr>
        <w:jc w:val="both"/>
        <w:rPr>
          <w:rFonts w:cs="Gisha"/>
          <w:sz w:val="22"/>
          <w:szCs w:val="22"/>
        </w:rPr>
      </w:pPr>
    </w:p>
    <w:p w:rsidR="009F6DFC" w:rsidRDefault="009F6DFC" w:rsidP="009F6DFC">
      <w:pPr>
        <w:jc w:val="both"/>
        <w:rPr>
          <w:rFonts w:ascii="Arial Narrow" w:hAnsi="Arial Narrow" w:cs="Gisha"/>
          <w:sz w:val="22"/>
          <w:szCs w:val="22"/>
        </w:rPr>
      </w:pPr>
      <w:r>
        <w:rPr>
          <w:rFonts w:ascii="Arial Narrow" w:hAnsi="Arial Narrow" w:cs="Gisha"/>
          <w:sz w:val="22"/>
          <w:szCs w:val="22"/>
        </w:rPr>
        <w:t>Las operaciones realizadas en la vigencia 2015 por este proyecto fueron las siguientes:</w:t>
      </w:r>
    </w:p>
    <w:p w:rsidR="009F6DFC" w:rsidRDefault="009F6DFC" w:rsidP="009F6DFC">
      <w:pPr>
        <w:jc w:val="both"/>
        <w:rPr>
          <w:rFonts w:ascii="Arial Narrow" w:hAnsi="Arial Narrow" w:cs="Gisha"/>
          <w:sz w:val="22"/>
          <w:szCs w:val="22"/>
        </w:rPr>
      </w:pPr>
    </w:p>
    <w:p w:rsidR="009F6DFC" w:rsidRDefault="009F6DFC" w:rsidP="00853B3A">
      <w:pPr>
        <w:pStyle w:val="Prrafodelista"/>
        <w:numPr>
          <w:ilvl w:val="0"/>
          <w:numId w:val="23"/>
        </w:numPr>
        <w:jc w:val="both"/>
        <w:rPr>
          <w:rFonts w:cs="Gisha"/>
          <w:sz w:val="22"/>
          <w:szCs w:val="22"/>
        </w:rPr>
      </w:pPr>
      <w:r>
        <w:rPr>
          <w:rFonts w:cs="Gisha"/>
          <w:sz w:val="22"/>
          <w:szCs w:val="22"/>
        </w:rPr>
        <w:t>Inversión de capital privado por valor de $ 154.524.485 miles.</w:t>
      </w:r>
    </w:p>
    <w:p w:rsidR="001C4AFE" w:rsidRPr="001C4AFE" w:rsidRDefault="001C4AFE" w:rsidP="001C4AFE">
      <w:pPr>
        <w:ind w:left="360"/>
        <w:jc w:val="both"/>
        <w:rPr>
          <w:rFonts w:cs="Gisha"/>
          <w:sz w:val="22"/>
          <w:szCs w:val="22"/>
        </w:rPr>
      </w:pPr>
    </w:p>
    <w:p w:rsidR="009F6DFC" w:rsidRPr="00B24A6E" w:rsidRDefault="009F6DFC" w:rsidP="00853B3A">
      <w:pPr>
        <w:pStyle w:val="Prrafodelista"/>
        <w:numPr>
          <w:ilvl w:val="0"/>
          <w:numId w:val="16"/>
        </w:numPr>
        <w:jc w:val="both"/>
        <w:rPr>
          <w:rFonts w:cs="Gisha"/>
          <w:sz w:val="22"/>
          <w:szCs w:val="22"/>
          <w:u w:val="single"/>
          <w:lang w:val="es-ES"/>
        </w:rPr>
      </w:pPr>
      <w:r w:rsidRPr="00B24A6E">
        <w:rPr>
          <w:rFonts w:cs="Gisha"/>
          <w:sz w:val="22"/>
          <w:szCs w:val="22"/>
          <w:u w:val="single"/>
          <w:lang w:val="es-ES"/>
        </w:rPr>
        <w:t>Corredor Perimetral del Oriente de Cundinamarca</w:t>
      </w:r>
    </w:p>
    <w:p w:rsidR="009F6DFC" w:rsidRPr="00B24A6E" w:rsidRDefault="009F6DFC" w:rsidP="009F6DFC">
      <w:pPr>
        <w:jc w:val="both"/>
        <w:rPr>
          <w:rFonts w:cs="Gisha"/>
          <w:sz w:val="22"/>
          <w:szCs w:val="22"/>
          <w:u w:val="single"/>
        </w:rPr>
      </w:pPr>
    </w:p>
    <w:p w:rsidR="009F6DFC" w:rsidRDefault="009F6DFC" w:rsidP="009F6DFC">
      <w:pPr>
        <w:jc w:val="both"/>
        <w:rPr>
          <w:rFonts w:ascii="Arial Narrow" w:hAnsi="Arial Narrow" w:cs="Gisha"/>
          <w:sz w:val="22"/>
          <w:szCs w:val="22"/>
        </w:rPr>
      </w:pPr>
      <w:r w:rsidRPr="004D14B2">
        <w:rPr>
          <w:rFonts w:ascii="Arial Narrow" w:hAnsi="Arial Narrow" w:cs="Gisha"/>
          <w:sz w:val="22"/>
          <w:szCs w:val="22"/>
        </w:rPr>
        <w:t>La concesión Corredor Perimetral de</w:t>
      </w:r>
      <w:r>
        <w:rPr>
          <w:rFonts w:ascii="Arial Narrow" w:hAnsi="Arial Narrow" w:cs="Gisha"/>
          <w:sz w:val="22"/>
          <w:szCs w:val="22"/>
        </w:rPr>
        <w:t>l Oriente de Cundinamarca (APP), contrato No. 002 de 2014</w:t>
      </w:r>
      <w:r w:rsidR="00B24A6E">
        <w:rPr>
          <w:rFonts w:ascii="Arial Narrow" w:hAnsi="Arial Narrow" w:cs="Gisha"/>
          <w:sz w:val="22"/>
          <w:szCs w:val="22"/>
        </w:rPr>
        <w:t xml:space="preserve">, </w:t>
      </w:r>
      <w:r w:rsidR="00B24A6E" w:rsidRPr="00B55EE3">
        <w:rPr>
          <w:rFonts w:ascii="Arial Narrow" w:hAnsi="Arial Narrow" w:cs="Gisha"/>
          <w:sz w:val="22"/>
          <w:szCs w:val="22"/>
        </w:rPr>
        <w:t xml:space="preserve">a 31 de diciembre de 2015 </w:t>
      </w:r>
      <w:r w:rsidRPr="00B55EE3">
        <w:rPr>
          <w:rFonts w:ascii="Arial Narrow" w:hAnsi="Arial Narrow" w:cs="Gisha"/>
          <w:sz w:val="22"/>
          <w:szCs w:val="22"/>
        </w:rPr>
        <w:t xml:space="preserve"> </w:t>
      </w:r>
      <w:r>
        <w:rPr>
          <w:rFonts w:ascii="Arial Narrow" w:hAnsi="Arial Narrow" w:cs="Gisha"/>
          <w:sz w:val="22"/>
          <w:szCs w:val="22"/>
        </w:rPr>
        <w:t>presenta un valor de $ 153.697.990 miles correspondiente a infraestructura en construcción.</w:t>
      </w:r>
    </w:p>
    <w:p w:rsidR="009F6DFC" w:rsidRDefault="009F6DFC" w:rsidP="009F6DFC">
      <w:pPr>
        <w:jc w:val="both"/>
        <w:rPr>
          <w:rFonts w:ascii="Arial Narrow" w:hAnsi="Arial Narrow" w:cs="Gisha"/>
          <w:sz w:val="22"/>
          <w:szCs w:val="22"/>
        </w:rPr>
      </w:pPr>
    </w:p>
    <w:p w:rsidR="009F6DFC" w:rsidRDefault="009F6DFC" w:rsidP="009F6DFC">
      <w:pPr>
        <w:jc w:val="both"/>
        <w:rPr>
          <w:rFonts w:ascii="Arial Narrow" w:hAnsi="Arial Narrow" w:cs="Gisha"/>
          <w:sz w:val="22"/>
          <w:szCs w:val="22"/>
        </w:rPr>
      </w:pPr>
      <w:r>
        <w:rPr>
          <w:rFonts w:ascii="Arial Narrow" w:hAnsi="Arial Narrow" w:cs="Gisha"/>
          <w:sz w:val="22"/>
          <w:szCs w:val="22"/>
        </w:rPr>
        <w:t>Las operaciones realizadas en la vigencia 2015 por este proyecto fueron las siguientes:</w:t>
      </w:r>
    </w:p>
    <w:p w:rsidR="009F6DFC" w:rsidRDefault="009F6DFC" w:rsidP="009F6DFC">
      <w:pPr>
        <w:jc w:val="both"/>
        <w:rPr>
          <w:rFonts w:ascii="Arial Narrow" w:hAnsi="Arial Narrow" w:cs="Gisha"/>
          <w:sz w:val="22"/>
          <w:szCs w:val="22"/>
        </w:rPr>
      </w:pPr>
    </w:p>
    <w:p w:rsidR="009F6DFC" w:rsidRDefault="009F6DFC" w:rsidP="00853B3A">
      <w:pPr>
        <w:pStyle w:val="Prrafodelista"/>
        <w:numPr>
          <w:ilvl w:val="0"/>
          <w:numId w:val="23"/>
        </w:numPr>
        <w:jc w:val="both"/>
        <w:rPr>
          <w:rFonts w:cs="Gisha"/>
          <w:sz w:val="22"/>
          <w:szCs w:val="22"/>
        </w:rPr>
      </w:pPr>
      <w:r>
        <w:rPr>
          <w:rFonts w:cs="Gisha"/>
          <w:sz w:val="22"/>
          <w:szCs w:val="22"/>
        </w:rPr>
        <w:t>Inversión de capital privado por valor de $ 128.673.690 miles.</w:t>
      </w:r>
    </w:p>
    <w:p w:rsidR="009F6DFC" w:rsidRPr="004D14B2" w:rsidRDefault="009F6DFC" w:rsidP="009F6DFC">
      <w:pPr>
        <w:jc w:val="both"/>
        <w:rPr>
          <w:rFonts w:ascii="Arial Narrow" w:hAnsi="Arial Narrow" w:cs="Gisha"/>
          <w:sz w:val="22"/>
          <w:szCs w:val="22"/>
        </w:rPr>
      </w:pPr>
    </w:p>
    <w:p w:rsidR="009F6DFC" w:rsidRPr="005F79C4" w:rsidRDefault="009F6DFC" w:rsidP="00853B3A">
      <w:pPr>
        <w:pStyle w:val="Prrafodelista"/>
        <w:numPr>
          <w:ilvl w:val="0"/>
          <w:numId w:val="16"/>
        </w:numPr>
        <w:jc w:val="both"/>
        <w:rPr>
          <w:rFonts w:cs="Gisha"/>
          <w:sz w:val="22"/>
          <w:szCs w:val="22"/>
          <w:u w:val="single"/>
          <w:lang w:val="es-ES"/>
        </w:rPr>
      </w:pPr>
      <w:r w:rsidRPr="005F79C4">
        <w:rPr>
          <w:rFonts w:cs="Gisha"/>
          <w:sz w:val="22"/>
          <w:szCs w:val="22"/>
          <w:u w:val="single"/>
          <w:lang w:val="es-ES"/>
        </w:rPr>
        <w:t>Autopista Conexión Norte</w:t>
      </w:r>
    </w:p>
    <w:p w:rsidR="009F6DFC" w:rsidRPr="005F79C4" w:rsidRDefault="009F6DFC" w:rsidP="009F6DFC">
      <w:pPr>
        <w:jc w:val="both"/>
        <w:rPr>
          <w:rFonts w:cs="Gisha"/>
          <w:sz w:val="22"/>
          <w:szCs w:val="22"/>
          <w:u w:val="single"/>
        </w:rPr>
      </w:pPr>
    </w:p>
    <w:p w:rsidR="009F6DFC" w:rsidRDefault="009F6DFC" w:rsidP="009F6DFC">
      <w:pPr>
        <w:jc w:val="both"/>
        <w:rPr>
          <w:rFonts w:ascii="Arial Narrow" w:hAnsi="Arial Narrow" w:cs="Gisha"/>
          <w:sz w:val="22"/>
          <w:szCs w:val="22"/>
        </w:rPr>
      </w:pPr>
      <w:r w:rsidRPr="00BF3A9A">
        <w:rPr>
          <w:rFonts w:ascii="Arial Narrow" w:hAnsi="Arial Narrow" w:cs="Gisha"/>
          <w:sz w:val="22"/>
          <w:szCs w:val="22"/>
        </w:rPr>
        <w:t>La concesión Autopista Conexión</w:t>
      </w:r>
      <w:r>
        <w:rPr>
          <w:rFonts w:ascii="Arial Narrow" w:hAnsi="Arial Narrow" w:cs="Gisha"/>
          <w:sz w:val="22"/>
          <w:szCs w:val="22"/>
        </w:rPr>
        <w:t xml:space="preserve"> Norte, contrato APP No. 009 de 2014</w:t>
      </w:r>
      <w:r w:rsidR="005F79C4">
        <w:rPr>
          <w:rFonts w:ascii="Arial Narrow" w:hAnsi="Arial Narrow" w:cs="Gisha"/>
          <w:sz w:val="22"/>
          <w:szCs w:val="22"/>
        </w:rPr>
        <w:t xml:space="preserve">, </w:t>
      </w:r>
      <w:r w:rsidR="005F79C4" w:rsidRPr="00B55EE3">
        <w:rPr>
          <w:rFonts w:ascii="Arial Narrow" w:hAnsi="Arial Narrow" w:cs="Gisha"/>
          <w:sz w:val="22"/>
          <w:szCs w:val="22"/>
        </w:rPr>
        <w:t xml:space="preserve">a 31 de diciembre de 2015  </w:t>
      </w:r>
      <w:r>
        <w:rPr>
          <w:rFonts w:ascii="Arial Narrow" w:hAnsi="Arial Narrow" w:cs="Gisha"/>
          <w:sz w:val="22"/>
          <w:szCs w:val="22"/>
        </w:rPr>
        <w:t>presenta un valor de $ 71.326.029 miles correspondiente a infraestructura en servicio.</w:t>
      </w:r>
    </w:p>
    <w:p w:rsidR="009F6DFC" w:rsidRDefault="009F6DFC" w:rsidP="009F6DFC">
      <w:pPr>
        <w:jc w:val="both"/>
        <w:rPr>
          <w:rFonts w:ascii="Arial Narrow" w:hAnsi="Arial Narrow" w:cs="Gisha"/>
          <w:sz w:val="22"/>
          <w:szCs w:val="22"/>
        </w:rPr>
      </w:pPr>
    </w:p>
    <w:p w:rsidR="009F6DFC" w:rsidRDefault="009F6DFC" w:rsidP="009F6DFC">
      <w:pPr>
        <w:jc w:val="both"/>
        <w:rPr>
          <w:rFonts w:ascii="Arial Narrow" w:hAnsi="Arial Narrow" w:cs="Gisha"/>
          <w:sz w:val="22"/>
          <w:szCs w:val="22"/>
        </w:rPr>
      </w:pPr>
      <w:r>
        <w:rPr>
          <w:rFonts w:ascii="Arial Narrow" w:hAnsi="Arial Narrow" w:cs="Gisha"/>
          <w:sz w:val="22"/>
          <w:szCs w:val="22"/>
        </w:rPr>
        <w:t>Las operaciones realizadas en la vigencia 2015 por este proyecto fueron las siguientes:</w:t>
      </w:r>
    </w:p>
    <w:p w:rsidR="009F6DFC" w:rsidRDefault="009F6DFC" w:rsidP="009F6DFC">
      <w:pPr>
        <w:jc w:val="both"/>
        <w:rPr>
          <w:rFonts w:ascii="Arial Narrow" w:hAnsi="Arial Narrow" w:cs="Gisha"/>
          <w:sz w:val="22"/>
          <w:szCs w:val="22"/>
        </w:rPr>
      </w:pPr>
    </w:p>
    <w:p w:rsidR="009F6DFC" w:rsidRDefault="009F6DFC" w:rsidP="00853B3A">
      <w:pPr>
        <w:pStyle w:val="Prrafodelista"/>
        <w:numPr>
          <w:ilvl w:val="0"/>
          <w:numId w:val="23"/>
        </w:numPr>
        <w:jc w:val="both"/>
        <w:rPr>
          <w:rFonts w:cs="Gisha"/>
          <w:sz w:val="22"/>
          <w:szCs w:val="22"/>
        </w:rPr>
      </w:pPr>
      <w:r>
        <w:rPr>
          <w:rFonts w:cs="Gisha"/>
          <w:sz w:val="22"/>
          <w:szCs w:val="22"/>
        </w:rPr>
        <w:t>Inversión de capital privado por valor de $ 71.326.029 miles.</w:t>
      </w:r>
    </w:p>
    <w:p w:rsidR="009F6DFC" w:rsidRDefault="009F6DFC" w:rsidP="009F6DFC">
      <w:pPr>
        <w:jc w:val="both"/>
        <w:rPr>
          <w:rFonts w:ascii="Arial Narrow" w:hAnsi="Arial Narrow" w:cs="Gisha"/>
          <w:sz w:val="22"/>
          <w:szCs w:val="22"/>
        </w:rPr>
      </w:pPr>
    </w:p>
    <w:p w:rsidR="009F6DFC" w:rsidRPr="005F79C4" w:rsidRDefault="00BC114A" w:rsidP="00853B3A">
      <w:pPr>
        <w:pStyle w:val="Prrafodelista"/>
        <w:numPr>
          <w:ilvl w:val="0"/>
          <w:numId w:val="16"/>
        </w:numPr>
        <w:jc w:val="both"/>
        <w:rPr>
          <w:rFonts w:cs="Gisha"/>
          <w:sz w:val="22"/>
          <w:szCs w:val="22"/>
          <w:u w:val="single"/>
          <w:lang w:val="es-ES"/>
        </w:rPr>
      </w:pPr>
      <w:r w:rsidRPr="005F79C4">
        <w:rPr>
          <w:rFonts w:cs="Gisha"/>
          <w:sz w:val="22"/>
          <w:szCs w:val="22"/>
          <w:u w:val="single"/>
          <w:lang w:val="es-ES"/>
        </w:rPr>
        <w:t>Mulaló</w:t>
      </w:r>
      <w:r w:rsidR="009F6DFC" w:rsidRPr="005F79C4">
        <w:rPr>
          <w:rFonts w:cs="Gisha"/>
          <w:sz w:val="22"/>
          <w:szCs w:val="22"/>
          <w:u w:val="single"/>
          <w:lang w:val="es-ES"/>
        </w:rPr>
        <w:t xml:space="preserve"> – Loboguerrero</w:t>
      </w:r>
    </w:p>
    <w:p w:rsidR="009F6DFC" w:rsidRDefault="009F6DFC" w:rsidP="009F6DFC">
      <w:pPr>
        <w:jc w:val="both"/>
        <w:rPr>
          <w:rFonts w:cs="Gisha"/>
          <w:sz w:val="22"/>
          <w:szCs w:val="22"/>
        </w:rPr>
      </w:pPr>
    </w:p>
    <w:p w:rsidR="009F6DFC" w:rsidRDefault="009F6DFC" w:rsidP="009F6DFC">
      <w:pPr>
        <w:jc w:val="both"/>
        <w:rPr>
          <w:rFonts w:ascii="Arial Narrow" w:hAnsi="Arial Narrow" w:cs="Gisha"/>
          <w:sz w:val="22"/>
          <w:szCs w:val="22"/>
        </w:rPr>
      </w:pPr>
      <w:r w:rsidRPr="00BF3A9A">
        <w:rPr>
          <w:rFonts w:ascii="Arial Narrow" w:hAnsi="Arial Narrow" w:cs="Gisha"/>
          <w:sz w:val="22"/>
          <w:szCs w:val="22"/>
        </w:rPr>
        <w:t xml:space="preserve">La concesión </w:t>
      </w:r>
      <w:r w:rsidR="00BC114A">
        <w:rPr>
          <w:rFonts w:ascii="Arial Narrow" w:hAnsi="Arial Narrow" w:cs="Gisha"/>
          <w:sz w:val="22"/>
          <w:szCs w:val="22"/>
        </w:rPr>
        <w:t>Mulaló</w:t>
      </w:r>
      <w:r>
        <w:rPr>
          <w:rFonts w:ascii="Arial Narrow" w:hAnsi="Arial Narrow" w:cs="Gisha"/>
          <w:sz w:val="22"/>
          <w:szCs w:val="22"/>
        </w:rPr>
        <w:t>- Loboguerrero, contrato APP No. 001 de 2015</w:t>
      </w:r>
      <w:r w:rsidRPr="00BF3A9A">
        <w:rPr>
          <w:rFonts w:ascii="Arial Narrow" w:hAnsi="Arial Narrow" w:cs="Gisha"/>
          <w:sz w:val="22"/>
          <w:szCs w:val="22"/>
        </w:rPr>
        <w:t xml:space="preserve"> </w:t>
      </w:r>
      <w:r>
        <w:rPr>
          <w:rFonts w:ascii="Arial Narrow" w:hAnsi="Arial Narrow" w:cs="Gisha"/>
          <w:sz w:val="22"/>
          <w:szCs w:val="22"/>
        </w:rPr>
        <w:t>a 31 de diciembre de 2015 presenta un valor de $ 54.681.260 miles correspondiente a infraestructura en construcción.</w:t>
      </w:r>
    </w:p>
    <w:p w:rsidR="009F6DFC" w:rsidRDefault="009F6DFC" w:rsidP="009F6DFC">
      <w:pPr>
        <w:jc w:val="both"/>
        <w:rPr>
          <w:rFonts w:cs="Gisha"/>
          <w:sz w:val="22"/>
          <w:szCs w:val="22"/>
        </w:rPr>
      </w:pPr>
    </w:p>
    <w:p w:rsidR="009F6DFC" w:rsidRDefault="009F6DFC" w:rsidP="009F6DFC">
      <w:pPr>
        <w:jc w:val="both"/>
        <w:rPr>
          <w:rFonts w:ascii="Arial Narrow" w:hAnsi="Arial Narrow" w:cs="Gisha"/>
          <w:sz w:val="22"/>
          <w:szCs w:val="22"/>
        </w:rPr>
      </w:pPr>
      <w:r>
        <w:rPr>
          <w:rFonts w:ascii="Arial Narrow" w:hAnsi="Arial Narrow" w:cs="Gisha"/>
          <w:sz w:val="22"/>
          <w:szCs w:val="22"/>
        </w:rPr>
        <w:lastRenderedPageBreak/>
        <w:t>Las operaciones realizadas en la vigencia 2015 por este proyecto fueron las siguientes:</w:t>
      </w:r>
    </w:p>
    <w:p w:rsidR="009F6DFC" w:rsidRDefault="009F6DFC" w:rsidP="009F6DFC">
      <w:pPr>
        <w:jc w:val="both"/>
        <w:rPr>
          <w:rFonts w:ascii="Arial Narrow" w:hAnsi="Arial Narrow" w:cs="Gisha"/>
          <w:sz w:val="22"/>
          <w:szCs w:val="22"/>
        </w:rPr>
      </w:pPr>
    </w:p>
    <w:p w:rsidR="009F6DFC" w:rsidRDefault="009F6DFC" w:rsidP="00853B3A">
      <w:pPr>
        <w:pStyle w:val="Prrafodelista"/>
        <w:numPr>
          <w:ilvl w:val="0"/>
          <w:numId w:val="23"/>
        </w:numPr>
        <w:jc w:val="both"/>
        <w:rPr>
          <w:rFonts w:cs="Gisha"/>
          <w:sz w:val="22"/>
          <w:szCs w:val="22"/>
        </w:rPr>
      </w:pPr>
      <w:r>
        <w:rPr>
          <w:rFonts w:cs="Gisha"/>
          <w:sz w:val="22"/>
          <w:szCs w:val="22"/>
        </w:rPr>
        <w:t>Inversión de capital privado por valor de $ 54.681.260 miles.</w:t>
      </w:r>
    </w:p>
    <w:p w:rsidR="009F6DFC" w:rsidRPr="003963CF" w:rsidRDefault="009F6DFC" w:rsidP="009F6DFC">
      <w:pPr>
        <w:jc w:val="both"/>
        <w:rPr>
          <w:rFonts w:cs="Gisha"/>
          <w:sz w:val="22"/>
          <w:szCs w:val="22"/>
        </w:rPr>
      </w:pPr>
    </w:p>
    <w:p w:rsidR="009F6DFC" w:rsidRPr="005F79C4" w:rsidRDefault="009F6DFC" w:rsidP="00853B3A">
      <w:pPr>
        <w:pStyle w:val="Prrafodelista"/>
        <w:numPr>
          <w:ilvl w:val="0"/>
          <w:numId w:val="16"/>
        </w:numPr>
        <w:jc w:val="both"/>
        <w:rPr>
          <w:rFonts w:cs="Gisha"/>
          <w:sz w:val="22"/>
          <w:szCs w:val="22"/>
          <w:u w:val="single"/>
          <w:lang w:val="es-ES"/>
        </w:rPr>
      </w:pPr>
      <w:r w:rsidRPr="005F79C4">
        <w:rPr>
          <w:rFonts w:cs="Gisha"/>
          <w:sz w:val="22"/>
          <w:szCs w:val="22"/>
          <w:u w:val="single"/>
          <w:lang w:val="es-ES"/>
        </w:rPr>
        <w:t xml:space="preserve">Segunda Calzada Ibagué – Cajamarca </w:t>
      </w:r>
    </w:p>
    <w:p w:rsidR="009F6DFC" w:rsidRDefault="009F6DFC" w:rsidP="009F6DFC">
      <w:pPr>
        <w:jc w:val="both"/>
        <w:rPr>
          <w:rFonts w:cs="Gisha"/>
          <w:sz w:val="22"/>
          <w:szCs w:val="22"/>
        </w:rPr>
      </w:pPr>
    </w:p>
    <w:p w:rsidR="009F6DFC" w:rsidRDefault="009F6DFC" w:rsidP="009F6DFC">
      <w:pPr>
        <w:jc w:val="both"/>
        <w:rPr>
          <w:rFonts w:ascii="Arial Narrow" w:hAnsi="Arial Narrow" w:cs="Gisha"/>
          <w:sz w:val="22"/>
          <w:szCs w:val="22"/>
        </w:rPr>
      </w:pPr>
      <w:r w:rsidRPr="00E83486">
        <w:rPr>
          <w:rFonts w:ascii="Arial Narrow" w:hAnsi="Arial Narrow" w:cs="Gisha"/>
          <w:sz w:val="22"/>
          <w:szCs w:val="22"/>
        </w:rPr>
        <w:t>La concesión Segunda Calzada Ibagué – Cajamarca</w:t>
      </w:r>
      <w:r>
        <w:rPr>
          <w:rFonts w:ascii="Arial Narrow" w:hAnsi="Arial Narrow" w:cs="Gisha"/>
          <w:sz w:val="22"/>
          <w:szCs w:val="22"/>
        </w:rPr>
        <w:t>, contrato APP No. 002 de 2015</w:t>
      </w:r>
      <w:r w:rsidRPr="00BF3A9A">
        <w:rPr>
          <w:rFonts w:ascii="Arial Narrow" w:hAnsi="Arial Narrow" w:cs="Gisha"/>
          <w:sz w:val="22"/>
          <w:szCs w:val="22"/>
        </w:rPr>
        <w:t xml:space="preserve"> </w:t>
      </w:r>
      <w:r>
        <w:rPr>
          <w:rFonts w:ascii="Arial Narrow" w:hAnsi="Arial Narrow" w:cs="Gisha"/>
          <w:sz w:val="22"/>
          <w:szCs w:val="22"/>
        </w:rPr>
        <w:t>a 31 de diciembre de 2015 presenta un valor de $ 54.300.000 miles correspondiente a infraestructura en construcción.</w:t>
      </w:r>
    </w:p>
    <w:p w:rsidR="009F6DFC" w:rsidRDefault="009F6DFC" w:rsidP="009F6DFC">
      <w:pPr>
        <w:jc w:val="both"/>
        <w:rPr>
          <w:rFonts w:cs="Gisha"/>
          <w:sz w:val="22"/>
          <w:szCs w:val="22"/>
        </w:rPr>
      </w:pPr>
    </w:p>
    <w:p w:rsidR="009F6DFC" w:rsidRDefault="009F6DFC" w:rsidP="009F6DFC">
      <w:pPr>
        <w:jc w:val="both"/>
        <w:rPr>
          <w:rFonts w:ascii="Arial Narrow" w:hAnsi="Arial Narrow" w:cs="Gisha"/>
          <w:sz w:val="22"/>
          <w:szCs w:val="22"/>
        </w:rPr>
      </w:pPr>
      <w:r>
        <w:rPr>
          <w:rFonts w:ascii="Arial Narrow" w:hAnsi="Arial Narrow" w:cs="Gisha"/>
          <w:sz w:val="22"/>
          <w:szCs w:val="22"/>
        </w:rPr>
        <w:t>Las operaciones realizadas en la vigencia 2015 por este proyecto fueron las siguientes:</w:t>
      </w:r>
    </w:p>
    <w:p w:rsidR="009F6DFC" w:rsidRDefault="009F6DFC" w:rsidP="009F6DFC">
      <w:pPr>
        <w:jc w:val="both"/>
        <w:rPr>
          <w:rFonts w:ascii="Arial Narrow" w:hAnsi="Arial Narrow" w:cs="Gisha"/>
          <w:sz w:val="22"/>
          <w:szCs w:val="22"/>
        </w:rPr>
      </w:pPr>
    </w:p>
    <w:p w:rsidR="009F6DFC" w:rsidRDefault="009F6DFC" w:rsidP="00853B3A">
      <w:pPr>
        <w:pStyle w:val="Prrafodelista"/>
        <w:numPr>
          <w:ilvl w:val="0"/>
          <w:numId w:val="23"/>
        </w:numPr>
        <w:jc w:val="both"/>
        <w:rPr>
          <w:rFonts w:cs="Gisha"/>
          <w:sz w:val="22"/>
          <w:szCs w:val="22"/>
        </w:rPr>
      </w:pPr>
      <w:r>
        <w:rPr>
          <w:rFonts w:cs="Gisha"/>
          <w:sz w:val="22"/>
          <w:szCs w:val="22"/>
        </w:rPr>
        <w:t>Inversión de capital privado por valor de $ 54.300.000 miles.</w:t>
      </w:r>
    </w:p>
    <w:p w:rsidR="009F6DFC" w:rsidRPr="00E83486" w:rsidRDefault="009F6DFC" w:rsidP="009F6DFC">
      <w:pPr>
        <w:jc w:val="both"/>
        <w:rPr>
          <w:rFonts w:cs="Gisha"/>
          <w:sz w:val="22"/>
          <w:szCs w:val="22"/>
        </w:rPr>
      </w:pPr>
    </w:p>
    <w:p w:rsidR="009F6DFC" w:rsidRPr="005F79C4" w:rsidRDefault="009F6DFC" w:rsidP="00853B3A">
      <w:pPr>
        <w:pStyle w:val="Prrafodelista"/>
        <w:numPr>
          <w:ilvl w:val="0"/>
          <w:numId w:val="16"/>
        </w:numPr>
        <w:jc w:val="both"/>
        <w:rPr>
          <w:rFonts w:cs="Gisha"/>
          <w:sz w:val="22"/>
          <w:szCs w:val="22"/>
          <w:u w:val="single"/>
          <w:lang w:val="es-ES"/>
        </w:rPr>
      </w:pPr>
      <w:r w:rsidRPr="005F79C4">
        <w:rPr>
          <w:rFonts w:cs="Gisha"/>
          <w:sz w:val="22"/>
          <w:szCs w:val="22"/>
          <w:u w:val="single"/>
          <w:lang w:val="es-ES"/>
        </w:rPr>
        <w:t>Meta</w:t>
      </w:r>
    </w:p>
    <w:p w:rsidR="009F6DFC" w:rsidRDefault="009F6DFC" w:rsidP="009F6DFC">
      <w:pPr>
        <w:jc w:val="both"/>
        <w:rPr>
          <w:rFonts w:cs="Gisha"/>
          <w:sz w:val="22"/>
          <w:szCs w:val="22"/>
        </w:rPr>
      </w:pPr>
    </w:p>
    <w:p w:rsidR="009F6DFC" w:rsidRDefault="009F6DFC" w:rsidP="009F6DFC">
      <w:pPr>
        <w:jc w:val="both"/>
        <w:rPr>
          <w:rFonts w:ascii="Arial Narrow" w:hAnsi="Arial Narrow" w:cs="Gisha"/>
          <w:sz w:val="22"/>
          <w:szCs w:val="22"/>
        </w:rPr>
      </w:pPr>
      <w:r w:rsidRPr="00E83486">
        <w:rPr>
          <w:rFonts w:ascii="Arial Narrow" w:hAnsi="Arial Narrow" w:cs="Gisha"/>
          <w:sz w:val="22"/>
          <w:szCs w:val="22"/>
        </w:rPr>
        <w:t xml:space="preserve">La concesión </w:t>
      </w:r>
      <w:r>
        <w:rPr>
          <w:rFonts w:ascii="Arial Narrow" w:hAnsi="Arial Narrow" w:cs="Gisha"/>
          <w:sz w:val="22"/>
          <w:szCs w:val="22"/>
        </w:rPr>
        <w:t>Meta, contrato APP No. 004 de 2015</w:t>
      </w:r>
      <w:r w:rsidRPr="00BF3A9A">
        <w:rPr>
          <w:rFonts w:ascii="Arial Narrow" w:hAnsi="Arial Narrow" w:cs="Gisha"/>
          <w:sz w:val="22"/>
          <w:szCs w:val="22"/>
        </w:rPr>
        <w:t xml:space="preserve"> </w:t>
      </w:r>
      <w:r>
        <w:rPr>
          <w:rFonts w:ascii="Arial Narrow" w:hAnsi="Arial Narrow" w:cs="Gisha"/>
          <w:sz w:val="22"/>
          <w:szCs w:val="22"/>
        </w:rPr>
        <w:t>a 31 de diciembre de 2015 presenta un valor de $115.834.427 miles correspondiente a infraestructura en construcción.</w:t>
      </w:r>
    </w:p>
    <w:p w:rsidR="009F6DFC" w:rsidRDefault="009F6DFC" w:rsidP="009F6DFC">
      <w:pPr>
        <w:jc w:val="both"/>
        <w:rPr>
          <w:rFonts w:cs="Gisha"/>
          <w:sz w:val="22"/>
          <w:szCs w:val="22"/>
        </w:rPr>
      </w:pPr>
    </w:p>
    <w:p w:rsidR="009F6DFC" w:rsidRDefault="009F6DFC" w:rsidP="009F6DFC">
      <w:pPr>
        <w:jc w:val="both"/>
        <w:rPr>
          <w:rFonts w:ascii="Arial Narrow" w:hAnsi="Arial Narrow" w:cs="Gisha"/>
          <w:sz w:val="22"/>
          <w:szCs w:val="22"/>
        </w:rPr>
      </w:pPr>
      <w:r>
        <w:rPr>
          <w:rFonts w:ascii="Arial Narrow" w:hAnsi="Arial Narrow" w:cs="Gisha"/>
          <w:sz w:val="22"/>
          <w:szCs w:val="22"/>
        </w:rPr>
        <w:t>Las operaciones realizadas en la vigencia 2015 por este proyecto fueron las siguientes:</w:t>
      </w:r>
    </w:p>
    <w:p w:rsidR="009F6DFC" w:rsidRDefault="009F6DFC" w:rsidP="009F6DFC">
      <w:pPr>
        <w:jc w:val="both"/>
        <w:rPr>
          <w:rFonts w:ascii="Arial Narrow" w:hAnsi="Arial Narrow" w:cs="Gisha"/>
          <w:sz w:val="22"/>
          <w:szCs w:val="22"/>
        </w:rPr>
      </w:pPr>
    </w:p>
    <w:p w:rsidR="009F6DFC" w:rsidRDefault="009F6DFC" w:rsidP="00853B3A">
      <w:pPr>
        <w:pStyle w:val="Prrafodelista"/>
        <w:numPr>
          <w:ilvl w:val="0"/>
          <w:numId w:val="23"/>
        </w:numPr>
        <w:jc w:val="both"/>
        <w:rPr>
          <w:rFonts w:cs="Gisha"/>
          <w:sz w:val="22"/>
          <w:szCs w:val="22"/>
        </w:rPr>
      </w:pPr>
      <w:r>
        <w:rPr>
          <w:rFonts w:cs="Gisha"/>
          <w:sz w:val="22"/>
          <w:szCs w:val="22"/>
        </w:rPr>
        <w:t>Inversión de capital privado por valor de $ 115.834.427 miles.</w:t>
      </w:r>
    </w:p>
    <w:p w:rsidR="009F6DFC" w:rsidRPr="00A74C7D" w:rsidRDefault="009F6DFC" w:rsidP="009F6DFC">
      <w:pPr>
        <w:jc w:val="both"/>
        <w:rPr>
          <w:rFonts w:cs="Gisha"/>
          <w:sz w:val="22"/>
          <w:szCs w:val="22"/>
        </w:rPr>
      </w:pPr>
    </w:p>
    <w:p w:rsidR="009F6DFC" w:rsidRPr="005F79C4" w:rsidRDefault="009F6DFC" w:rsidP="00853B3A">
      <w:pPr>
        <w:pStyle w:val="Prrafodelista"/>
        <w:numPr>
          <w:ilvl w:val="0"/>
          <w:numId w:val="16"/>
        </w:numPr>
        <w:jc w:val="both"/>
        <w:rPr>
          <w:rFonts w:cs="Gisha"/>
          <w:sz w:val="22"/>
          <w:szCs w:val="22"/>
          <w:u w:val="single"/>
          <w:lang w:val="es-ES"/>
        </w:rPr>
      </w:pPr>
      <w:r w:rsidRPr="005F79C4">
        <w:rPr>
          <w:rFonts w:cs="Gisha"/>
          <w:sz w:val="22"/>
          <w:szCs w:val="22"/>
          <w:u w:val="single"/>
          <w:lang w:val="es-ES"/>
        </w:rPr>
        <w:t>Autopista Rio Magdalena 2</w:t>
      </w:r>
    </w:p>
    <w:p w:rsidR="009F6DFC" w:rsidRDefault="009F6DFC" w:rsidP="009F6DFC">
      <w:pPr>
        <w:jc w:val="both"/>
        <w:rPr>
          <w:rFonts w:cs="Gisha"/>
          <w:sz w:val="22"/>
          <w:szCs w:val="22"/>
        </w:rPr>
      </w:pPr>
    </w:p>
    <w:p w:rsidR="009F6DFC" w:rsidRDefault="009F6DFC" w:rsidP="009F6DFC">
      <w:pPr>
        <w:jc w:val="both"/>
        <w:rPr>
          <w:rFonts w:ascii="Arial Narrow" w:hAnsi="Arial Narrow" w:cs="Gisha"/>
          <w:sz w:val="22"/>
          <w:szCs w:val="22"/>
        </w:rPr>
      </w:pPr>
      <w:r w:rsidRPr="00E83486">
        <w:rPr>
          <w:rFonts w:ascii="Arial Narrow" w:hAnsi="Arial Narrow" w:cs="Gisha"/>
          <w:sz w:val="22"/>
          <w:szCs w:val="22"/>
        </w:rPr>
        <w:t xml:space="preserve">La concesión </w:t>
      </w:r>
      <w:r>
        <w:rPr>
          <w:rFonts w:ascii="Arial Narrow" w:hAnsi="Arial Narrow" w:cs="Gisha"/>
          <w:sz w:val="22"/>
          <w:szCs w:val="22"/>
        </w:rPr>
        <w:t>Autopista Rio Magdalena, contrato APP No. 008 de 2015</w:t>
      </w:r>
      <w:r w:rsidRPr="00BF3A9A">
        <w:rPr>
          <w:rFonts w:ascii="Arial Narrow" w:hAnsi="Arial Narrow" w:cs="Gisha"/>
          <w:sz w:val="22"/>
          <w:szCs w:val="22"/>
        </w:rPr>
        <w:t xml:space="preserve"> </w:t>
      </w:r>
      <w:r>
        <w:rPr>
          <w:rFonts w:ascii="Arial Narrow" w:hAnsi="Arial Narrow" w:cs="Gisha"/>
          <w:sz w:val="22"/>
          <w:szCs w:val="22"/>
        </w:rPr>
        <w:t>a 31 de diciembre de 2015 presenta un valor de $97.399.195 miles correspondiente a infraestructura en construcción.</w:t>
      </w:r>
    </w:p>
    <w:p w:rsidR="009F6DFC" w:rsidRDefault="009F6DFC" w:rsidP="009F6DFC">
      <w:pPr>
        <w:jc w:val="both"/>
        <w:rPr>
          <w:rFonts w:ascii="Arial Narrow" w:hAnsi="Arial Narrow" w:cs="Gisha"/>
          <w:sz w:val="22"/>
          <w:szCs w:val="22"/>
        </w:rPr>
      </w:pPr>
    </w:p>
    <w:p w:rsidR="009F6DFC" w:rsidRDefault="009F6DFC" w:rsidP="009F6DFC">
      <w:pPr>
        <w:jc w:val="both"/>
        <w:rPr>
          <w:rFonts w:ascii="Arial Narrow" w:hAnsi="Arial Narrow" w:cs="Gisha"/>
          <w:sz w:val="22"/>
          <w:szCs w:val="22"/>
        </w:rPr>
      </w:pPr>
      <w:r>
        <w:rPr>
          <w:rFonts w:ascii="Arial Narrow" w:hAnsi="Arial Narrow" w:cs="Gisha"/>
          <w:sz w:val="22"/>
          <w:szCs w:val="22"/>
        </w:rPr>
        <w:t>Las operaciones realizadas en la vigencia 2015 por este proyecto fueron las siguientes:</w:t>
      </w:r>
    </w:p>
    <w:p w:rsidR="009F6DFC" w:rsidRDefault="009F6DFC" w:rsidP="009F6DFC">
      <w:pPr>
        <w:jc w:val="both"/>
        <w:rPr>
          <w:rFonts w:ascii="Arial Narrow" w:hAnsi="Arial Narrow" w:cs="Gisha"/>
          <w:sz w:val="22"/>
          <w:szCs w:val="22"/>
        </w:rPr>
      </w:pPr>
    </w:p>
    <w:p w:rsidR="009F6DFC" w:rsidRDefault="009F6DFC" w:rsidP="00853B3A">
      <w:pPr>
        <w:pStyle w:val="Prrafodelista"/>
        <w:numPr>
          <w:ilvl w:val="0"/>
          <w:numId w:val="23"/>
        </w:numPr>
        <w:jc w:val="both"/>
        <w:rPr>
          <w:rFonts w:cs="Gisha"/>
          <w:sz w:val="22"/>
          <w:szCs w:val="22"/>
        </w:rPr>
      </w:pPr>
      <w:r>
        <w:rPr>
          <w:rFonts w:cs="Gisha"/>
          <w:sz w:val="22"/>
          <w:szCs w:val="22"/>
        </w:rPr>
        <w:t>Inversión de capital privado por valor de $97.399.195 miles.</w:t>
      </w:r>
    </w:p>
    <w:p w:rsidR="009F6DFC" w:rsidRDefault="009F6DFC" w:rsidP="009F6DFC">
      <w:pPr>
        <w:jc w:val="both"/>
        <w:rPr>
          <w:rFonts w:ascii="Arial Narrow" w:hAnsi="Arial Narrow" w:cs="Gisha"/>
          <w:sz w:val="22"/>
          <w:szCs w:val="22"/>
        </w:rPr>
      </w:pPr>
    </w:p>
    <w:p w:rsidR="009F6DFC" w:rsidRPr="005F79C4" w:rsidRDefault="009F6DFC" w:rsidP="00853B3A">
      <w:pPr>
        <w:pStyle w:val="Prrafodelista"/>
        <w:numPr>
          <w:ilvl w:val="0"/>
          <w:numId w:val="16"/>
        </w:numPr>
        <w:jc w:val="both"/>
        <w:rPr>
          <w:rFonts w:cs="Gisha"/>
          <w:sz w:val="22"/>
          <w:szCs w:val="22"/>
          <w:u w:val="single"/>
          <w:lang w:val="es-ES"/>
        </w:rPr>
      </w:pPr>
      <w:r w:rsidRPr="005F79C4">
        <w:rPr>
          <w:rFonts w:cs="Gisha"/>
          <w:sz w:val="22"/>
          <w:szCs w:val="22"/>
          <w:u w:val="single"/>
          <w:lang w:val="es-ES"/>
        </w:rPr>
        <w:t>Puerta de Hierro – Cruz del Viso</w:t>
      </w:r>
    </w:p>
    <w:p w:rsidR="009F6DFC" w:rsidRDefault="009F6DFC" w:rsidP="009F6DFC">
      <w:pPr>
        <w:jc w:val="both"/>
        <w:rPr>
          <w:rFonts w:cs="Gisha"/>
          <w:sz w:val="22"/>
          <w:szCs w:val="22"/>
        </w:rPr>
      </w:pPr>
    </w:p>
    <w:p w:rsidR="009F6DFC" w:rsidRDefault="009F6DFC" w:rsidP="009F6DFC">
      <w:pPr>
        <w:jc w:val="both"/>
        <w:rPr>
          <w:rFonts w:ascii="Arial Narrow" w:hAnsi="Arial Narrow" w:cs="Gisha"/>
          <w:sz w:val="22"/>
          <w:szCs w:val="22"/>
        </w:rPr>
      </w:pPr>
      <w:r w:rsidRPr="00E83486">
        <w:rPr>
          <w:rFonts w:ascii="Arial Narrow" w:hAnsi="Arial Narrow" w:cs="Gisha"/>
          <w:sz w:val="22"/>
          <w:szCs w:val="22"/>
        </w:rPr>
        <w:t xml:space="preserve">La concesión </w:t>
      </w:r>
      <w:r>
        <w:rPr>
          <w:rFonts w:ascii="Arial Narrow" w:hAnsi="Arial Narrow" w:cs="Gisha"/>
          <w:sz w:val="22"/>
          <w:szCs w:val="22"/>
        </w:rPr>
        <w:t>Puerta de Hierro Cruz del Viso, contrato APP No. 007 de 2015</w:t>
      </w:r>
      <w:r w:rsidRPr="00BF3A9A">
        <w:rPr>
          <w:rFonts w:ascii="Arial Narrow" w:hAnsi="Arial Narrow" w:cs="Gisha"/>
          <w:sz w:val="22"/>
          <w:szCs w:val="22"/>
        </w:rPr>
        <w:t xml:space="preserve"> </w:t>
      </w:r>
      <w:r>
        <w:rPr>
          <w:rFonts w:ascii="Arial Narrow" w:hAnsi="Arial Narrow" w:cs="Gisha"/>
          <w:sz w:val="22"/>
          <w:szCs w:val="22"/>
        </w:rPr>
        <w:t>a 31 de diciembre de 2015 presenta un valor de $ 32.539.686 miles correspondiente a infraestructura en servicio.</w:t>
      </w:r>
    </w:p>
    <w:p w:rsidR="009F6DFC" w:rsidRDefault="009F6DFC" w:rsidP="009F6DFC">
      <w:pPr>
        <w:jc w:val="both"/>
        <w:rPr>
          <w:rFonts w:ascii="Arial Narrow" w:hAnsi="Arial Narrow" w:cs="Gisha"/>
          <w:sz w:val="22"/>
          <w:szCs w:val="22"/>
        </w:rPr>
      </w:pPr>
    </w:p>
    <w:p w:rsidR="009F6DFC" w:rsidRDefault="009F6DFC" w:rsidP="009F6DFC">
      <w:pPr>
        <w:jc w:val="both"/>
        <w:rPr>
          <w:rFonts w:ascii="Arial Narrow" w:hAnsi="Arial Narrow" w:cs="Gisha"/>
          <w:sz w:val="22"/>
          <w:szCs w:val="22"/>
        </w:rPr>
      </w:pPr>
      <w:r>
        <w:rPr>
          <w:rFonts w:ascii="Arial Narrow" w:hAnsi="Arial Narrow" w:cs="Gisha"/>
          <w:sz w:val="22"/>
          <w:szCs w:val="22"/>
        </w:rPr>
        <w:t>Las operaciones realizadas en la vigencia 2015 por este proyecto fueron las siguientes:</w:t>
      </w:r>
    </w:p>
    <w:p w:rsidR="009F6DFC" w:rsidRDefault="009F6DFC" w:rsidP="009F6DFC">
      <w:pPr>
        <w:jc w:val="both"/>
        <w:rPr>
          <w:rFonts w:ascii="Arial Narrow" w:hAnsi="Arial Narrow" w:cs="Gisha"/>
          <w:sz w:val="22"/>
          <w:szCs w:val="22"/>
        </w:rPr>
      </w:pPr>
    </w:p>
    <w:p w:rsidR="009F6DFC" w:rsidRDefault="009F6DFC" w:rsidP="00853B3A">
      <w:pPr>
        <w:pStyle w:val="Prrafodelista"/>
        <w:numPr>
          <w:ilvl w:val="0"/>
          <w:numId w:val="23"/>
        </w:numPr>
        <w:jc w:val="both"/>
        <w:rPr>
          <w:rFonts w:cs="Gisha"/>
          <w:sz w:val="22"/>
          <w:szCs w:val="22"/>
        </w:rPr>
      </w:pPr>
      <w:r>
        <w:rPr>
          <w:rFonts w:cs="Gisha"/>
          <w:sz w:val="22"/>
          <w:szCs w:val="22"/>
        </w:rPr>
        <w:t>Inversión de capital privado por valor de $32.539.686 miles.</w:t>
      </w:r>
    </w:p>
    <w:p w:rsidR="009F6DFC" w:rsidRDefault="009F6DFC" w:rsidP="009F6DFC">
      <w:pPr>
        <w:jc w:val="both"/>
        <w:rPr>
          <w:rFonts w:ascii="Arial Narrow" w:hAnsi="Arial Narrow" w:cs="Gisha"/>
          <w:sz w:val="22"/>
          <w:szCs w:val="22"/>
        </w:rPr>
      </w:pPr>
    </w:p>
    <w:p w:rsidR="009F6DFC" w:rsidRPr="005F79C4" w:rsidRDefault="009F6DFC" w:rsidP="00853B3A">
      <w:pPr>
        <w:pStyle w:val="Prrafodelista"/>
        <w:numPr>
          <w:ilvl w:val="0"/>
          <w:numId w:val="16"/>
        </w:numPr>
        <w:jc w:val="both"/>
        <w:rPr>
          <w:rFonts w:cs="Gisha"/>
          <w:sz w:val="22"/>
          <w:szCs w:val="22"/>
          <w:u w:val="single"/>
          <w:lang w:val="es-ES"/>
        </w:rPr>
      </w:pPr>
      <w:r w:rsidRPr="005F79C4">
        <w:rPr>
          <w:rFonts w:cs="Gisha"/>
          <w:sz w:val="22"/>
          <w:szCs w:val="22"/>
          <w:u w:val="single"/>
          <w:lang w:val="es-ES"/>
        </w:rPr>
        <w:t>Rumichaca – Pasto</w:t>
      </w:r>
    </w:p>
    <w:p w:rsidR="009F6DFC" w:rsidRDefault="009F6DFC" w:rsidP="009F6DFC">
      <w:pPr>
        <w:jc w:val="both"/>
        <w:rPr>
          <w:rFonts w:cs="Gisha"/>
          <w:sz w:val="22"/>
          <w:szCs w:val="22"/>
        </w:rPr>
      </w:pPr>
    </w:p>
    <w:p w:rsidR="009F6DFC" w:rsidRDefault="009F6DFC" w:rsidP="009F6DFC">
      <w:pPr>
        <w:jc w:val="both"/>
        <w:rPr>
          <w:rFonts w:ascii="Arial Narrow" w:hAnsi="Arial Narrow" w:cs="Gisha"/>
          <w:sz w:val="22"/>
          <w:szCs w:val="22"/>
        </w:rPr>
      </w:pPr>
      <w:r w:rsidRPr="00E83486">
        <w:rPr>
          <w:rFonts w:ascii="Arial Narrow" w:hAnsi="Arial Narrow" w:cs="Gisha"/>
          <w:sz w:val="22"/>
          <w:szCs w:val="22"/>
        </w:rPr>
        <w:t xml:space="preserve">La concesión </w:t>
      </w:r>
      <w:r>
        <w:rPr>
          <w:rFonts w:ascii="Arial Narrow" w:hAnsi="Arial Narrow" w:cs="Gisha"/>
          <w:sz w:val="22"/>
          <w:szCs w:val="22"/>
        </w:rPr>
        <w:t>Rumichaca - Pasto, contrato APP No. 015 de 2015</w:t>
      </w:r>
      <w:r w:rsidRPr="00BF3A9A">
        <w:rPr>
          <w:rFonts w:ascii="Arial Narrow" w:hAnsi="Arial Narrow" w:cs="Gisha"/>
          <w:sz w:val="22"/>
          <w:szCs w:val="22"/>
        </w:rPr>
        <w:t xml:space="preserve"> </w:t>
      </w:r>
      <w:r>
        <w:rPr>
          <w:rFonts w:ascii="Arial Narrow" w:hAnsi="Arial Narrow" w:cs="Gisha"/>
          <w:sz w:val="22"/>
          <w:szCs w:val="22"/>
        </w:rPr>
        <w:t>a 31 de diciembre de 2015 presenta un valor de $ 78.681.909 miles correspondiente a infraestructura en servicio.</w:t>
      </w:r>
    </w:p>
    <w:p w:rsidR="009F6DFC" w:rsidRDefault="009F6DFC" w:rsidP="009F6DFC">
      <w:pPr>
        <w:jc w:val="both"/>
        <w:rPr>
          <w:rFonts w:ascii="Arial Narrow" w:hAnsi="Arial Narrow" w:cs="Gisha"/>
          <w:sz w:val="22"/>
          <w:szCs w:val="22"/>
        </w:rPr>
      </w:pPr>
    </w:p>
    <w:p w:rsidR="009F6DFC" w:rsidRDefault="009F6DFC" w:rsidP="009F6DFC">
      <w:pPr>
        <w:jc w:val="both"/>
        <w:rPr>
          <w:rFonts w:ascii="Arial Narrow" w:hAnsi="Arial Narrow" w:cs="Gisha"/>
          <w:sz w:val="22"/>
          <w:szCs w:val="22"/>
        </w:rPr>
      </w:pPr>
      <w:r>
        <w:rPr>
          <w:rFonts w:ascii="Arial Narrow" w:hAnsi="Arial Narrow" w:cs="Gisha"/>
          <w:sz w:val="22"/>
          <w:szCs w:val="22"/>
        </w:rPr>
        <w:t>Las operaciones realizadas en la vigencia 2015 por este proyecto fueron las siguientes:</w:t>
      </w:r>
    </w:p>
    <w:p w:rsidR="009F6DFC" w:rsidRDefault="009F6DFC" w:rsidP="009F6DFC">
      <w:pPr>
        <w:jc w:val="both"/>
        <w:rPr>
          <w:rFonts w:ascii="Arial Narrow" w:hAnsi="Arial Narrow" w:cs="Gisha"/>
          <w:sz w:val="22"/>
          <w:szCs w:val="22"/>
        </w:rPr>
      </w:pPr>
    </w:p>
    <w:p w:rsidR="009F6DFC" w:rsidRDefault="009F6DFC" w:rsidP="00853B3A">
      <w:pPr>
        <w:pStyle w:val="Prrafodelista"/>
        <w:numPr>
          <w:ilvl w:val="0"/>
          <w:numId w:val="23"/>
        </w:numPr>
        <w:jc w:val="both"/>
        <w:rPr>
          <w:rFonts w:cs="Gisha"/>
          <w:sz w:val="22"/>
          <w:szCs w:val="22"/>
        </w:rPr>
      </w:pPr>
      <w:r>
        <w:rPr>
          <w:rFonts w:cs="Gisha"/>
          <w:sz w:val="22"/>
          <w:szCs w:val="22"/>
        </w:rPr>
        <w:t>Inversión de capital privado por valor de $78.681.909 miles.</w:t>
      </w:r>
    </w:p>
    <w:p w:rsidR="009F6DFC" w:rsidRPr="005F79C4" w:rsidRDefault="009F6DFC" w:rsidP="00853B3A">
      <w:pPr>
        <w:pStyle w:val="Prrafodelista"/>
        <w:numPr>
          <w:ilvl w:val="0"/>
          <w:numId w:val="16"/>
        </w:numPr>
        <w:jc w:val="both"/>
        <w:rPr>
          <w:rFonts w:cs="Gisha"/>
          <w:sz w:val="22"/>
          <w:szCs w:val="22"/>
          <w:u w:val="single"/>
          <w:lang w:val="es-ES"/>
        </w:rPr>
      </w:pPr>
      <w:r w:rsidRPr="005F79C4">
        <w:rPr>
          <w:rFonts w:cs="Gisha"/>
          <w:sz w:val="22"/>
          <w:szCs w:val="22"/>
          <w:u w:val="single"/>
          <w:lang w:val="es-ES"/>
        </w:rPr>
        <w:lastRenderedPageBreak/>
        <w:t>Bucaramanga – Barrancabermeja – Yondo</w:t>
      </w:r>
    </w:p>
    <w:p w:rsidR="009F6DFC" w:rsidRDefault="009F6DFC" w:rsidP="009F6DFC">
      <w:pPr>
        <w:jc w:val="both"/>
        <w:rPr>
          <w:rFonts w:cs="Gisha"/>
          <w:sz w:val="22"/>
          <w:szCs w:val="22"/>
        </w:rPr>
      </w:pPr>
    </w:p>
    <w:p w:rsidR="009F6DFC" w:rsidRPr="00640F30" w:rsidRDefault="009F6DFC" w:rsidP="009F6DFC">
      <w:pPr>
        <w:jc w:val="both"/>
        <w:rPr>
          <w:rFonts w:ascii="Arial Narrow" w:hAnsi="Arial Narrow" w:cs="Gisha"/>
          <w:sz w:val="22"/>
          <w:szCs w:val="22"/>
        </w:rPr>
      </w:pPr>
      <w:r w:rsidRPr="00640F30">
        <w:rPr>
          <w:rFonts w:ascii="Arial Narrow" w:hAnsi="Arial Narrow" w:cs="Gisha"/>
          <w:sz w:val="22"/>
          <w:szCs w:val="22"/>
        </w:rPr>
        <w:t xml:space="preserve">La concesión Bucaramanga – Barrancabermeja – Yondo, contrato APP No. 013 de 2015 a 31 de diciembre de 2015 presenta un valor de $ </w:t>
      </w:r>
      <w:r>
        <w:rPr>
          <w:rFonts w:ascii="Arial Narrow" w:hAnsi="Arial Narrow" w:cs="Gisha"/>
          <w:sz w:val="22"/>
          <w:szCs w:val="22"/>
        </w:rPr>
        <w:t>103.473.432</w:t>
      </w:r>
      <w:r w:rsidRPr="00640F30">
        <w:rPr>
          <w:rFonts w:ascii="Arial Narrow" w:hAnsi="Arial Narrow" w:cs="Gisha"/>
          <w:sz w:val="22"/>
          <w:szCs w:val="22"/>
        </w:rPr>
        <w:t xml:space="preserve"> miles correspondiente a infraestructura en servicio.</w:t>
      </w:r>
    </w:p>
    <w:p w:rsidR="009F6DFC" w:rsidRDefault="009F6DFC" w:rsidP="009F6DFC">
      <w:pPr>
        <w:jc w:val="both"/>
        <w:rPr>
          <w:rFonts w:ascii="Arial Narrow" w:hAnsi="Arial Narrow" w:cs="Gisha"/>
          <w:sz w:val="22"/>
          <w:szCs w:val="22"/>
        </w:rPr>
      </w:pPr>
    </w:p>
    <w:p w:rsidR="009F6DFC" w:rsidRDefault="009F6DFC" w:rsidP="009F6DFC">
      <w:pPr>
        <w:jc w:val="both"/>
        <w:rPr>
          <w:rFonts w:ascii="Arial Narrow" w:hAnsi="Arial Narrow" w:cs="Gisha"/>
          <w:sz w:val="22"/>
          <w:szCs w:val="22"/>
        </w:rPr>
      </w:pPr>
      <w:r>
        <w:rPr>
          <w:rFonts w:ascii="Arial Narrow" w:hAnsi="Arial Narrow" w:cs="Gisha"/>
          <w:sz w:val="22"/>
          <w:szCs w:val="22"/>
        </w:rPr>
        <w:t>Las operaciones realizadas en la vigencia 2015 por este proyecto fueron las siguientes:</w:t>
      </w:r>
    </w:p>
    <w:p w:rsidR="009F6DFC" w:rsidRDefault="009F6DFC" w:rsidP="009F6DFC">
      <w:pPr>
        <w:jc w:val="both"/>
        <w:rPr>
          <w:rFonts w:ascii="Arial Narrow" w:hAnsi="Arial Narrow" w:cs="Gisha"/>
          <w:sz w:val="22"/>
          <w:szCs w:val="22"/>
        </w:rPr>
      </w:pPr>
    </w:p>
    <w:p w:rsidR="009F6DFC" w:rsidRDefault="009F6DFC" w:rsidP="00853B3A">
      <w:pPr>
        <w:pStyle w:val="Prrafodelista"/>
        <w:numPr>
          <w:ilvl w:val="0"/>
          <w:numId w:val="23"/>
        </w:numPr>
        <w:jc w:val="both"/>
        <w:rPr>
          <w:rFonts w:cs="Gisha"/>
          <w:sz w:val="22"/>
          <w:szCs w:val="22"/>
        </w:rPr>
      </w:pPr>
      <w:r>
        <w:rPr>
          <w:rFonts w:cs="Gisha"/>
          <w:sz w:val="22"/>
          <w:szCs w:val="22"/>
        </w:rPr>
        <w:t>Inversión de capital privado por valor de $103.473.432</w:t>
      </w:r>
      <w:r w:rsidRPr="00640F30">
        <w:rPr>
          <w:rFonts w:cs="Gisha"/>
          <w:sz w:val="22"/>
          <w:szCs w:val="22"/>
        </w:rPr>
        <w:t xml:space="preserve"> </w:t>
      </w:r>
      <w:r>
        <w:rPr>
          <w:rFonts w:cs="Gisha"/>
          <w:sz w:val="22"/>
          <w:szCs w:val="22"/>
        </w:rPr>
        <w:t>miles.</w:t>
      </w:r>
    </w:p>
    <w:p w:rsidR="009F6DFC" w:rsidRDefault="009F6DFC" w:rsidP="009F6DFC">
      <w:pPr>
        <w:jc w:val="both"/>
        <w:rPr>
          <w:rFonts w:cs="Gisha"/>
          <w:sz w:val="22"/>
          <w:szCs w:val="22"/>
        </w:rPr>
      </w:pPr>
    </w:p>
    <w:p w:rsidR="009F6DFC" w:rsidRPr="005F79C4" w:rsidRDefault="009F6DFC" w:rsidP="00853B3A">
      <w:pPr>
        <w:pStyle w:val="Prrafodelista"/>
        <w:numPr>
          <w:ilvl w:val="0"/>
          <w:numId w:val="16"/>
        </w:numPr>
        <w:jc w:val="both"/>
        <w:rPr>
          <w:rFonts w:cs="Gisha"/>
          <w:sz w:val="22"/>
          <w:szCs w:val="22"/>
          <w:u w:val="single"/>
          <w:lang w:val="es-ES"/>
        </w:rPr>
      </w:pPr>
      <w:r w:rsidRPr="005F79C4">
        <w:rPr>
          <w:rFonts w:cs="Gisha"/>
          <w:sz w:val="22"/>
          <w:szCs w:val="22"/>
          <w:u w:val="single"/>
          <w:lang w:val="es-ES"/>
        </w:rPr>
        <w:t>Santana – Mocoa</w:t>
      </w:r>
    </w:p>
    <w:p w:rsidR="009F6DFC" w:rsidRDefault="009F6DFC" w:rsidP="009F6DFC">
      <w:pPr>
        <w:jc w:val="both"/>
        <w:rPr>
          <w:rFonts w:cs="Gisha"/>
          <w:sz w:val="22"/>
          <w:szCs w:val="22"/>
        </w:rPr>
      </w:pPr>
    </w:p>
    <w:p w:rsidR="009F6DFC" w:rsidRPr="00640F30" w:rsidRDefault="009F6DFC" w:rsidP="009F6DFC">
      <w:pPr>
        <w:jc w:val="both"/>
        <w:rPr>
          <w:rFonts w:ascii="Arial Narrow" w:hAnsi="Arial Narrow" w:cs="Gisha"/>
          <w:sz w:val="22"/>
          <w:szCs w:val="22"/>
        </w:rPr>
      </w:pPr>
      <w:r w:rsidRPr="00640F30">
        <w:rPr>
          <w:rFonts w:ascii="Arial Narrow" w:hAnsi="Arial Narrow" w:cs="Gisha"/>
          <w:sz w:val="22"/>
          <w:szCs w:val="22"/>
        </w:rPr>
        <w:t xml:space="preserve">La concesión </w:t>
      </w:r>
      <w:r>
        <w:rPr>
          <w:rFonts w:ascii="Arial Narrow" w:hAnsi="Arial Narrow" w:cs="Gisha"/>
          <w:sz w:val="22"/>
          <w:szCs w:val="22"/>
        </w:rPr>
        <w:t>Santana -Mocoa</w:t>
      </w:r>
      <w:r w:rsidRPr="00640F30">
        <w:rPr>
          <w:rFonts w:ascii="Arial Narrow" w:hAnsi="Arial Narrow" w:cs="Gisha"/>
          <w:sz w:val="22"/>
          <w:szCs w:val="22"/>
        </w:rPr>
        <w:t>, contrato APP No. 01</w:t>
      </w:r>
      <w:r>
        <w:rPr>
          <w:rFonts w:ascii="Arial Narrow" w:hAnsi="Arial Narrow" w:cs="Gisha"/>
          <w:sz w:val="22"/>
          <w:szCs w:val="22"/>
        </w:rPr>
        <w:t>2</w:t>
      </w:r>
      <w:r w:rsidRPr="00640F30">
        <w:rPr>
          <w:rFonts w:ascii="Arial Narrow" w:hAnsi="Arial Narrow" w:cs="Gisha"/>
          <w:sz w:val="22"/>
          <w:szCs w:val="22"/>
        </w:rPr>
        <w:t xml:space="preserve"> de 2015 a 31 de diciembre de 2015 presenta un valor de $ </w:t>
      </w:r>
      <w:r>
        <w:rPr>
          <w:rFonts w:ascii="Arial Narrow" w:hAnsi="Arial Narrow" w:cs="Gisha"/>
          <w:sz w:val="22"/>
          <w:szCs w:val="22"/>
        </w:rPr>
        <w:t xml:space="preserve">40.513.371 </w:t>
      </w:r>
      <w:r w:rsidRPr="00640F30">
        <w:rPr>
          <w:rFonts w:ascii="Arial Narrow" w:hAnsi="Arial Narrow" w:cs="Gisha"/>
          <w:sz w:val="22"/>
          <w:szCs w:val="22"/>
        </w:rPr>
        <w:t>miles correspondiente a infraestructura en servicio.</w:t>
      </w:r>
    </w:p>
    <w:p w:rsidR="009F6DFC" w:rsidRDefault="009F6DFC" w:rsidP="009F6DFC">
      <w:pPr>
        <w:jc w:val="both"/>
        <w:rPr>
          <w:rFonts w:cs="Gisha"/>
          <w:sz w:val="22"/>
          <w:szCs w:val="22"/>
        </w:rPr>
      </w:pPr>
    </w:p>
    <w:p w:rsidR="009F6DFC" w:rsidRDefault="009F6DFC" w:rsidP="009F6DFC">
      <w:pPr>
        <w:jc w:val="both"/>
        <w:rPr>
          <w:rFonts w:ascii="Arial Narrow" w:hAnsi="Arial Narrow" w:cs="Gisha"/>
          <w:sz w:val="22"/>
          <w:szCs w:val="22"/>
        </w:rPr>
      </w:pPr>
      <w:r>
        <w:rPr>
          <w:rFonts w:ascii="Arial Narrow" w:hAnsi="Arial Narrow" w:cs="Gisha"/>
          <w:sz w:val="22"/>
          <w:szCs w:val="22"/>
        </w:rPr>
        <w:t>Las operaciones realizadas en la vigencia 2015 por este proyecto fueron las siguientes:</w:t>
      </w:r>
    </w:p>
    <w:p w:rsidR="009F6DFC" w:rsidRDefault="009F6DFC" w:rsidP="009F6DFC">
      <w:pPr>
        <w:jc w:val="both"/>
        <w:rPr>
          <w:rFonts w:ascii="Arial Narrow" w:hAnsi="Arial Narrow" w:cs="Gisha"/>
          <w:sz w:val="22"/>
          <w:szCs w:val="22"/>
        </w:rPr>
      </w:pPr>
    </w:p>
    <w:p w:rsidR="009F6DFC" w:rsidRDefault="009F6DFC" w:rsidP="00853B3A">
      <w:pPr>
        <w:pStyle w:val="Prrafodelista"/>
        <w:numPr>
          <w:ilvl w:val="0"/>
          <w:numId w:val="23"/>
        </w:numPr>
        <w:jc w:val="both"/>
        <w:rPr>
          <w:rFonts w:cs="Gisha"/>
          <w:sz w:val="22"/>
          <w:szCs w:val="22"/>
          <w:lang w:val="es-ES"/>
        </w:rPr>
      </w:pPr>
      <w:r w:rsidRPr="003524C8">
        <w:rPr>
          <w:rFonts w:cs="Gisha"/>
          <w:sz w:val="22"/>
          <w:szCs w:val="22"/>
        </w:rPr>
        <w:t xml:space="preserve">Inversión de capital privado por valor de </w:t>
      </w:r>
      <w:r w:rsidRPr="00640F30">
        <w:rPr>
          <w:rFonts w:cs="Gisha"/>
          <w:sz w:val="22"/>
          <w:szCs w:val="22"/>
        </w:rPr>
        <w:t xml:space="preserve">$ </w:t>
      </w:r>
      <w:r>
        <w:rPr>
          <w:rFonts w:cs="Gisha"/>
          <w:sz w:val="22"/>
          <w:szCs w:val="22"/>
        </w:rPr>
        <w:t xml:space="preserve">40.513.371 </w:t>
      </w:r>
      <w:r w:rsidRPr="00640F30">
        <w:rPr>
          <w:rFonts w:cs="Gisha"/>
          <w:sz w:val="22"/>
          <w:szCs w:val="22"/>
        </w:rPr>
        <w:t>miles</w:t>
      </w:r>
      <w:r>
        <w:rPr>
          <w:rFonts w:cs="Gisha"/>
          <w:sz w:val="22"/>
          <w:szCs w:val="22"/>
        </w:rPr>
        <w:t>.</w:t>
      </w:r>
    </w:p>
    <w:p w:rsidR="009F6DFC" w:rsidRPr="007F5DC1" w:rsidRDefault="009F6DFC" w:rsidP="009F6DFC">
      <w:pPr>
        <w:jc w:val="both"/>
        <w:rPr>
          <w:rFonts w:cs="Gisha"/>
          <w:sz w:val="22"/>
          <w:szCs w:val="22"/>
        </w:rPr>
      </w:pPr>
    </w:p>
    <w:p w:rsidR="009F6DFC" w:rsidRPr="005F79C4" w:rsidRDefault="009F6DFC" w:rsidP="00853B3A">
      <w:pPr>
        <w:pStyle w:val="Prrafodelista"/>
        <w:numPr>
          <w:ilvl w:val="0"/>
          <w:numId w:val="16"/>
        </w:numPr>
        <w:jc w:val="both"/>
        <w:rPr>
          <w:rFonts w:cs="Gisha"/>
          <w:sz w:val="22"/>
          <w:szCs w:val="22"/>
          <w:u w:val="single"/>
          <w:lang w:val="es-ES"/>
        </w:rPr>
      </w:pPr>
      <w:r w:rsidRPr="005F79C4">
        <w:rPr>
          <w:rFonts w:cs="Gisha"/>
          <w:sz w:val="22"/>
          <w:szCs w:val="22"/>
          <w:u w:val="single"/>
          <w:lang w:val="es-ES"/>
        </w:rPr>
        <w:t>Cesar – Guajira</w:t>
      </w:r>
    </w:p>
    <w:p w:rsidR="009F6DFC" w:rsidRDefault="009F6DFC" w:rsidP="009F6DFC">
      <w:pPr>
        <w:jc w:val="both"/>
        <w:rPr>
          <w:rFonts w:cs="Gisha"/>
          <w:sz w:val="22"/>
          <w:szCs w:val="22"/>
        </w:rPr>
      </w:pPr>
    </w:p>
    <w:p w:rsidR="009F6DFC" w:rsidRPr="00640F30" w:rsidRDefault="009F6DFC" w:rsidP="009F6DFC">
      <w:pPr>
        <w:jc w:val="both"/>
        <w:rPr>
          <w:rFonts w:ascii="Arial Narrow" w:hAnsi="Arial Narrow" w:cs="Gisha"/>
          <w:sz w:val="22"/>
          <w:szCs w:val="22"/>
        </w:rPr>
      </w:pPr>
      <w:r w:rsidRPr="00640F30">
        <w:rPr>
          <w:rFonts w:ascii="Arial Narrow" w:hAnsi="Arial Narrow" w:cs="Gisha"/>
          <w:sz w:val="22"/>
          <w:szCs w:val="22"/>
        </w:rPr>
        <w:t xml:space="preserve">La concesión </w:t>
      </w:r>
      <w:r>
        <w:rPr>
          <w:rFonts w:ascii="Arial Narrow" w:hAnsi="Arial Narrow" w:cs="Gisha"/>
          <w:sz w:val="22"/>
          <w:szCs w:val="22"/>
        </w:rPr>
        <w:t>Cesar - Guajira</w:t>
      </w:r>
      <w:r w:rsidRPr="00640F30">
        <w:rPr>
          <w:rFonts w:ascii="Arial Narrow" w:hAnsi="Arial Narrow" w:cs="Gisha"/>
          <w:sz w:val="22"/>
          <w:szCs w:val="22"/>
        </w:rPr>
        <w:t>,</w:t>
      </w:r>
      <w:r>
        <w:rPr>
          <w:rFonts w:ascii="Arial Narrow" w:hAnsi="Arial Narrow" w:cs="Gisha"/>
          <w:sz w:val="22"/>
          <w:szCs w:val="22"/>
        </w:rPr>
        <w:t xml:space="preserve"> </w:t>
      </w:r>
      <w:r w:rsidRPr="00640F30">
        <w:rPr>
          <w:rFonts w:ascii="Arial Narrow" w:hAnsi="Arial Narrow" w:cs="Gisha"/>
          <w:sz w:val="22"/>
          <w:szCs w:val="22"/>
        </w:rPr>
        <w:t>contrato APP No. 0</w:t>
      </w:r>
      <w:r>
        <w:rPr>
          <w:rFonts w:ascii="Arial Narrow" w:hAnsi="Arial Narrow" w:cs="Gisha"/>
          <w:sz w:val="22"/>
          <w:szCs w:val="22"/>
        </w:rPr>
        <w:t>06</w:t>
      </w:r>
      <w:r w:rsidRPr="00640F30">
        <w:rPr>
          <w:rFonts w:ascii="Arial Narrow" w:hAnsi="Arial Narrow" w:cs="Gisha"/>
          <w:sz w:val="22"/>
          <w:szCs w:val="22"/>
        </w:rPr>
        <w:t xml:space="preserve"> de 2015 a 31 de diciembre de 2015 presenta un valor de $ </w:t>
      </w:r>
      <w:r>
        <w:rPr>
          <w:rFonts w:ascii="Arial Narrow" w:hAnsi="Arial Narrow" w:cs="Gisha"/>
          <w:sz w:val="22"/>
          <w:szCs w:val="22"/>
        </w:rPr>
        <w:t xml:space="preserve">32.393.231 </w:t>
      </w:r>
      <w:r w:rsidRPr="00640F30">
        <w:rPr>
          <w:rFonts w:ascii="Arial Narrow" w:hAnsi="Arial Narrow" w:cs="Gisha"/>
          <w:sz w:val="22"/>
          <w:szCs w:val="22"/>
        </w:rPr>
        <w:t xml:space="preserve">miles correspondiente a infraestructura en </w:t>
      </w:r>
      <w:r>
        <w:rPr>
          <w:rFonts w:ascii="Arial Narrow" w:hAnsi="Arial Narrow" w:cs="Gisha"/>
          <w:sz w:val="22"/>
          <w:szCs w:val="22"/>
        </w:rPr>
        <w:t>construcción</w:t>
      </w:r>
      <w:r w:rsidRPr="00640F30">
        <w:rPr>
          <w:rFonts w:ascii="Arial Narrow" w:hAnsi="Arial Narrow" w:cs="Gisha"/>
          <w:sz w:val="22"/>
          <w:szCs w:val="22"/>
        </w:rPr>
        <w:t>.</w:t>
      </w:r>
    </w:p>
    <w:p w:rsidR="009F6DFC" w:rsidRDefault="009F6DFC" w:rsidP="009F6DFC">
      <w:pPr>
        <w:jc w:val="both"/>
        <w:rPr>
          <w:rFonts w:cs="Gisha"/>
          <w:sz w:val="22"/>
          <w:szCs w:val="22"/>
        </w:rPr>
      </w:pPr>
    </w:p>
    <w:p w:rsidR="009F6DFC" w:rsidRDefault="009F6DFC" w:rsidP="009F6DFC">
      <w:pPr>
        <w:jc w:val="both"/>
        <w:rPr>
          <w:rFonts w:ascii="Arial Narrow" w:hAnsi="Arial Narrow" w:cs="Gisha"/>
          <w:sz w:val="22"/>
          <w:szCs w:val="22"/>
        </w:rPr>
      </w:pPr>
      <w:r>
        <w:rPr>
          <w:rFonts w:ascii="Arial Narrow" w:hAnsi="Arial Narrow" w:cs="Gisha"/>
          <w:sz w:val="22"/>
          <w:szCs w:val="22"/>
        </w:rPr>
        <w:t>Las operaciones realizadas en la vigencia 2015 por este proyecto fueron las siguientes:</w:t>
      </w:r>
    </w:p>
    <w:p w:rsidR="009F6DFC" w:rsidRDefault="009F6DFC" w:rsidP="009F6DFC">
      <w:pPr>
        <w:jc w:val="both"/>
        <w:rPr>
          <w:rFonts w:ascii="Arial Narrow" w:hAnsi="Arial Narrow" w:cs="Gisha"/>
          <w:sz w:val="22"/>
          <w:szCs w:val="22"/>
        </w:rPr>
      </w:pPr>
    </w:p>
    <w:p w:rsidR="009F6DFC" w:rsidRDefault="009F6DFC" w:rsidP="00853B3A">
      <w:pPr>
        <w:pStyle w:val="Prrafodelista"/>
        <w:numPr>
          <w:ilvl w:val="0"/>
          <w:numId w:val="23"/>
        </w:numPr>
        <w:jc w:val="both"/>
        <w:rPr>
          <w:rFonts w:cs="Gisha"/>
          <w:sz w:val="22"/>
          <w:szCs w:val="22"/>
          <w:lang w:val="es-ES"/>
        </w:rPr>
      </w:pPr>
      <w:r w:rsidRPr="003524C8">
        <w:rPr>
          <w:rFonts w:cs="Gisha"/>
          <w:sz w:val="22"/>
          <w:szCs w:val="22"/>
        </w:rPr>
        <w:t xml:space="preserve">Inversión de capital privado por valor de </w:t>
      </w:r>
      <w:r w:rsidRPr="00640F30">
        <w:rPr>
          <w:rFonts w:cs="Gisha"/>
          <w:sz w:val="22"/>
          <w:szCs w:val="22"/>
        </w:rPr>
        <w:t xml:space="preserve">$ </w:t>
      </w:r>
      <w:r>
        <w:rPr>
          <w:rFonts w:cs="Gisha"/>
          <w:sz w:val="22"/>
          <w:szCs w:val="22"/>
        </w:rPr>
        <w:t xml:space="preserve">32.393.231 </w:t>
      </w:r>
      <w:r w:rsidRPr="00640F30">
        <w:rPr>
          <w:rFonts w:cs="Gisha"/>
          <w:sz w:val="22"/>
          <w:szCs w:val="22"/>
        </w:rPr>
        <w:t>miles</w:t>
      </w:r>
      <w:r>
        <w:rPr>
          <w:rFonts w:cs="Gisha"/>
          <w:sz w:val="22"/>
          <w:szCs w:val="22"/>
        </w:rPr>
        <w:t>.</w:t>
      </w:r>
    </w:p>
    <w:p w:rsidR="009F6DFC" w:rsidRDefault="009F6DFC" w:rsidP="009F6DFC">
      <w:pPr>
        <w:jc w:val="both"/>
        <w:rPr>
          <w:rFonts w:cs="Gisha"/>
          <w:sz w:val="22"/>
          <w:szCs w:val="22"/>
        </w:rPr>
      </w:pPr>
    </w:p>
    <w:p w:rsidR="009F6DFC" w:rsidRPr="005F79C4" w:rsidRDefault="009F6DFC" w:rsidP="00853B3A">
      <w:pPr>
        <w:pStyle w:val="Prrafodelista"/>
        <w:numPr>
          <w:ilvl w:val="0"/>
          <w:numId w:val="16"/>
        </w:numPr>
        <w:jc w:val="both"/>
        <w:rPr>
          <w:rFonts w:cs="Gisha"/>
          <w:sz w:val="22"/>
          <w:szCs w:val="22"/>
          <w:u w:val="single"/>
          <w:lang w:val="es-ES"/>
        </w:rPr>
      </w:pPr>
      <w:r w:rsidRPr="005F79C4">
        <w:rPr>
          <w:rFonts w:cs="Gisha"/>
          <w:sz w:val="22"/>
          <w:szCs w:val="22"/>
          <w:u w:val="single"/>
          <w:lang w:val="es-ES"/>
        </w:rPr>
        <w:t>Popayán – Santander de Quilichao</w:t>
      </w:r>
    </w:p>
    <w:p w:rsidR="009F6DFC" w:rsidRDefault="009F6DFC" w:rsidP="009F6DFC">
      <w:pPr>
        <w:jc w:val="both"/>
        <w:rPr>
          <w:rFonts w:cs="Gisha"/>
          <w:sz w:val="22"/>
          <w:szCs w:val="22"/>
        </w:rPr>
      </w:pPr>
    </w:p>
    <w:p w:rsidR="009F6DFC" w:rsidRPr="00640F30" w:rsidRDefault="009F6DFC" w:rsidP="009F6DFC">
      <w:pPr>
        <w:jc w:val="both"/>
        <w:rPr>
          <w:rFonts w:ascii="Arial Narrow" w:hAnsi="Arial Narrow" w:cs="Gisha"/>
          <w:sz w:val="22"/>
          <w:szCs w:val="22"/>
        </w:rPr>
      </w:pPr>
      <w:r w:rsidRPr="00640F30">
        <w:rPr>
          <w:rFonts w:ascii="Arial Narrow" w:hAnsi="Arial Narrow" w:cs="Gisha"/>
          <w:sz w:val="22"/>
          <w:szCs w:val="22"/>
        </w:rPr>
        <w:t xml:space="preserve">La concesión </w:t>
      </w:r>
      <w:r>
        <w:rPr>
          <w:rFonts w:ascii="Arial Narrow" w:hAnsi="Arial Narrow" w:cs="Gisha"/>
          <w:sz w:val="22"/>
          <w:szCs w:val="22"/>
        </w:rPr>
        <w:t>Popayán – Santander de Quilichao</w:t>
      </w:r>
      <w:r w:rsidRPr="00640F30">
        <w:rPr>
          <w:rFonts w:ascii="Arial Narrow" w:hAnsi="Arial Narrow" w:cs="Gisha"/>
          <w:sz w:val="22"/>
          <w:szCs w:val="22"/>
        </w:rPr>
        <w:t>,</w:t>
      </w:r>
      <w:r>
        <w:rPr>
          <w:rFonts w:ascii="Arial Narrow" w:hAnsi="Arial Narrow" w:cs="Gisha"/>
          <w:sz w:val="22"/>
          <w:szCs w:val="22"/>
        </w:rPr>
        <w:t xml:space="preserve"> </w:t>
      </w:r>
      <w:r w:rsidRPr="00640F30">
        <w:rPr>
          <w:rFonts w:ascii="Arial Narrow" w:hAnsi="Arial Narrow" w:cs="Gisha"/>
          <w:sz w:val="22"/>
          <w:szCs w:val="22"/>
        </w:rPr>
        <w:t xml:space="preserve">contrato APP No. </w:t>
      </w:r>
      <w:r>
        <w:rPr>
          <w:rFonts w:ascii="Arial Narrow" w:hAnsi="Arial Narrow" w:cs="Gisha"/>
          <w:sz w:val="22"/>
          <w:szCs w:val="22"/>
        </w:rPr>
        <w:t>011</w:t>
      </w:r>
      <w:r w:rsidRPr="00640F30">
        <w:rPr>
          <w:rFonts w:ascii="Arial Narrow" w:hAnsi="Arial Narrow" w:cs="Gisha"/>
          <w:sz w:val="22"/>
          <w:szCs w:val="22"/>
        </w:rPr>
        <w:t xml:space="preserve"> de 2015 a 31 de diciembre de 2015 presenta un valor de $ </w:t>
      </w:r>
      <w:r>
        <w:rPr>
          <w:rFonts w:ascii="Arial Narrow" w:hAnsi="Arial Narrow" w:cs="Gisha"/>
          <w:sz w:val="22"/>
          <w:szCs w:val="22"/>
        </w:rPr>
        <w:t xml:space="preserve">50.523.966 </w:t>
      </w:r>
      <w:r w:rsidRPr="00640F30">
        <w:rPr>
          <w:rFonts w:ascii="Arial Narrow" w:hAnsi="Arial Narrow" w:cs="Gisha"/>
          <w:sz w:val="22"/>
          <w:szCs w:val="22"/>
        </w:rPr>
        <w:t xml:space="preserve">miles correspondiente a infraestructura en </w:t>
      </w:r>
      <w:r>
        <w:rPr>
          <w:rFonts w:ascii="Arial Narrow" w:hAnsi="Arial Narrow" w:cs="Gisha"/>
          <w:sz w:val="22"/>
          <w:szCs w:val="22"/>
        </w:rPr>
        <w:t>construcción</w:t>
      </w:r>
      <w:r w:rsidRPr="00640F30">
        <w:rPr>
          <w:rFonts w:ascii="Arial Narrow" w:hAnsi="Arial Narrow" w:cs="Gisha"/>
          <w:sz w:val="22"/>
          <w:szCs w:val="22"/>
        </w:rPr>
        <w:t>.</w:t>
      </w:r>
    </w:p>
    <w:p w:rsidR="009F6DFC" w:rsidRDefault="009F6DFC" w:rsidP="009F6DFC">
      <w:pPr>
        <w:jc w:val="both"/>
        <w:rPr>
          <w:rFonts w:cs="Gisha"/>
          <w:sz w:val="22"/>
          <w:szCs w:val="22"/>
        </w:rPr>
      </w:pPr>
    </w:p>
    <w:p w:rsidR="009F6DFC" w:rsidRDefault="009F6DFC" w:rsidP="009F6DFC">
      <w:pPr>
        <w:jc w:val="both"/>
        <w:rPr>
          <w:rFonts w:ascii="Arial Narrow" w:hAnsi="Arial Narrow" w:cs="Gisha"/>
          <w:sz w:val="22"/>
          <w:szCs w:val="22"/>
        </w:rPr>
      </w:pPr>
      <w:r>
        <w:rPr>
          <w:rFonts w:ascii="Arial Narrow" w:hAnsi="Arial Narrow" w:cs="Gisha"/>
          <w:sz w:val="22"/>
          <w:szCs w:val="22"/>
        </w:rPr>
        <w:t>Las operaciones realizadas en la vigencia 2015 por este proyecto fueron las siguientes:</w:t>
      </w:r>
    </w:p>
    <w:p w:rsidR="009F6DFC" w:rsidRDefault="009F6DFC" w:rsidP="009F6DFC">
      <w:pPr>
        <w:jc w:val="both"/>
        <w:rPr>
          <w:rFonts w:ascii="Arial Narrow" w:hAnsi="Arial Narrow" w:cs="Gisha"/>
          <w:sz w:val="22"/>
          <w:szCs w:val="22"/>
        </w:rPr>
      </w:pPr>
    </w:p>
    <w:p w:rsidR="009F6DFC" w:rsidRDefault="009F6DFC" w:rsidP="00853B3A">
      <w:pPr>
        <w:pStyle w:val="Prrafodelista"/>
        <w:numPr>
          <w:ilvl w:val="0"/>
          <w:numId w:val="23"/>
        </w:numPr>
        <w:jc w:val="both"/>
        <w:rPr>
          <w:rFonts w:cs="Gisha"/>
          <w:sz w:val="22"/>
          <w:szCs w:val="22"/>
          <w:lang w:val="es-ES"/>
        </w:rPr>
      </w:pPr>
      <w:r w:rsidRPr="003524C8">
        <w:rPr>
          <w:rFonts w:cs="Gisha"/>
          <w:sz w:val="22"/>
          <w:szCs w:val="22"/>
        </w:rPr>
        <w:t xml:space="preserve">Inversión de capital privado por valor de </w:t>
      </w:r>
      <w:r w:rsidRPr="00640F30">
        <w:rPr>
          <w:rFonts w:cs="Gisha"/>
          <w:sz w:val="22"/>
          <w:szCs w:val="22"/>
        </w:rPr>
        <w:t xml:space="preserve">$ </w:t>
      </w:r>
      <w:r>
        <w:rPr>
          <w:rFonts w:cs="Gisha"/>
          <w:sz w:val="22"/>
          <w:szCs w:val="22"/>
        </w:rPr>
        <w:t xml:space="preserve">50.523.966 </w:t>
      </w:r>
      <w:r w:rsidRPr="00640F30">
        <w:rPr>
          <w:rFonts w:cs="Gisha"/>
          <w:sz w:val="22"/>
          <w:szCs w:val="22"/>
        </w:rPr>
        <w:t>miles</w:t>
      </w:r>
      <w:r>
        <w:rPr>
          <w:rFonts w:cs="Gisha"/>
          <w:sz w:val="22"/>
          <w:szCs w:val="22"/>
        </w:rPr>
        <w:t>.</w:t>
      </w:r>
    </w:p>
    <w:p w:rsidR="009F6DFC" w:rsidRPr="002E083C" w:rsidRDefault="009F6DFC" w:rsidP="009F6DFC">
      <w:pPr>
        <w:jc w:val="both"/>
        <w:rPr>
          <w:rFonts w:cs="Gisha"/>
          <w:sz w:val="22"/>
          <w:szCs w:val="22"/>
        </w:rPr>
      </w:pPr>
    </w:p>
    <w:p w:rsidR="009F6DFC" w:rsidRPr="005F79C4" w:rsidRDefault="009F6DFC" w:rsidP="00853B3A">
      <w:pPr>
        <w:pStyle w:val="Prrafodelista"/>
        <w:numPr>
          <w:ilvl w:val="0"/>
          <w:numId w:val="16"/>
        </w:numPr>
        <w:jc w:val="both"/>
        <w:rPr>
          <w:rFonts w:cs="Gisha"/>
          <w:sz w:val="22"/>
          <w:szCs w:val="22"/>
          <w:u w:val="single"/>
          <w:lang w:val="es-ES"/>
        </w:rPr>
      </w:pPr>
      <w:r w:rsidRPr="005F79C4">
        <w:rPr>
          <w:rFonts w:cs="Gisha"/>
          <w:sz w:val="22"/>
          <w:szCs w:val="22"/>
          <w:u w:val="single"/>
          <w:lang w:val="es-ES"/>
        </w:rPr>
        <w:t>Autopista para la Prosperidad Mar 1</w:t>
      </w:r>
    </w:p>
    <w:p w:rsidR="009F6DFC" w:rsidRDefault="009F6DFC" w:rsidP="009F6DFC">
      <w:pPr>
        <w:jc w:val="both"/>
        <w:rPr>
          <w:rFonts w:cs="Gisha"/>
          <w:sz w:val="22"/>
          <w:szCs w:val="22"/>
        </w:rPr>
      </w:pPr>
    </w:p>
    <w:p w:rsidR="009F6DFC" w:rsidRPr="00640F30" w:rsidRDefault="009F6DFC" w:rsidP="009F6DFC">
      <w:pPr>
        <w:jc w:val="both"/>
        <w:rPr>
          <w:rFonts w:ascii="Arial Narrow" w:hAnsi="Arial Narrow" w:cs="Gisha"/>
          <w:sz w:val="22"/>
          <w:szCs w:val="22"/>
        </w:rPr>
      </w:pPr>
      <w:r w:rsidRPr="00640F30">
        <w:rPr>
          <w:rFonts w:ascii="Arial Narrow" w:hAnsi="Arial Narrow" w:cs="Gisha"/>
          <w:sz w:val="22"/>
          <w:szCs w:val="22"/>
        </w:rPr>
        <w:t xml:space="preserve">La concesión </w:t>
      </w:r>
      <w:r>
        <w:rPr>
          <w:rFonts w:ascii="Arial Narrow" w:hAnsi="Arial Narrow" w:cs="Gisha"/>
          <w:sz w:val="22"/>
          <w:szCs w:val="22"/>
        </w:rPr>
        <w:t>Autopista para la Prosperidad Mar 1</w:t>
      </w:r>
      <w:r w:rsidRPr="00640F30">
        <w:rPr>
          <w:rFonts w:ascii="Arial Narrow" w:hAnsi="Arial Narrow" w:cs="Gisha"/>
          <w:sz w:val="22"/>
          <w:szCs w:val="22"/>
        </w:rPr>
        <w:t>,</w:t>
      </w:r>
      <w:r>
        <w:rPr>
          <w:rFonts w:ascii="Arial Narrow" w:hAnsi="Arial Narrow" w:cs="Gisha"/>
          <w:sz w:val="22"/>
          <w:szCs w:val="22"/>
        </w:rPr>
        <w:t xml:space="preserve"> </w:t>
      </w:r>
      <w:r w:rsidRPr="00640F30">
        <w:rPr>
          <w:rFonts w:ascii="Arial Narrow" w:hAnsi="Arial Narrow" w:cs="Gisha"/>
          <w:sz w:val="22"/>
          <w:szCs w:val="22"/>
        </w:rPr>
        <w:t xml:space="preserve">contrato APP No. </w:t>
      </w:r>
      <w:r>
        <w:rPr>
          <w:rFonts w:ascii="Arial Narrow" w:hAnsi="Arial Narrow" w:cs="Gisha"/>
          <w:sz w:val="22"/>
          <w:szCs w:val="22"/>
        </w:rPr>
        <w:t>014</w:t>
      </w:r>
      <w:r w:rsidRPr="00640F30">
        <w:rPr>
          <w:rFonts w:ascii="Arial Narrow" w:hAnsi="Arial Narrow" w:cs="Gisha"/>
          <w:sz w:val="22"/>
          <w:szCs w:val="22"/>
        </w:rPr>
        <w:t xml:space="preserve"> de 2015 a 31 de diciembre de 2015 presenta un valor de $ </w:t>
      </w:r>
      <w:r>
        <w:rPr>
          <w:rFonts w:ascii="Arial Narrow" w:hAnsi="Arial Narrow" w:cs="Gisha"/>
          <w:sz w:val="22"/>
          <w:szCs w:val="22"/>
        </w:rPr>
        <w:t xml:space="preserve">2.366.337 </w:t>
      </w:r>
      <w:r w:rsidRPr="00640F30">
        <w:rPr>
          <w:rFonts w:ascii="Arial Narrow" w:hAnsi="Arial Narrow" w:cs="Gisha"/>
          <w:sz w:val="22"/>
          <w:szCs w:val="22"/>
        </w:rPr>
        <w:t xml:space="preserve">miles correspondiente a infraestructura en </w:t>
      </w:r>
      <w:r>
        <w:rPr>
          <w:rFonts w:ascii="Arial Narrow" w:hAnsi="Arial Narrow" w:cs="Gisha"/>
          <w:sz w:val="22"/>
          <w:szCs w:val="22"/>
        </w:rPr>
        <w:t>construcción</w:t>
      </w:r>
      <w:r w:rsidRPr="00640F30">
        <w:rPr>
          <w:rFonts w:ascii="Arial Narrow" w:hAnsi="Arial Narrow" w:cs="Gisha"/>
          <w:sz w:val="22"/>
          <w:szCs w:val="22"/>
        </w:rPr>
        <w:t>.</w:t>
      </w:r>
    </w:p>
    <w:p w:rsidR="009F6DFC" w:rsidRDefault="009F6DFC" w:rsidP="009F6DFC">
      <w:pPr>
        <w:jc w:val="both"/>
        <w:rPr>
          <w:rFonts w:cs="Gisha"/>
          <w:sz w:val="22"/>
          <w:szCs w:val="22"/>
        </w:rPr>
      </w:pPr>
    </w:p>
    <w:p w:rsidR="009F6DFC" w:rsidRDefault="009F6DFC" w:rsidP="009F6DFC">
      <w:pPr>
        <w:jc w:val="both"/>
        <w:rPr>
          <w:rFonts w:ascii="Arial Narrow" w:hAnsi="Arial Narrow" w:cs="Gisha"/>
          <w:sz w:val="22"/>
          <w:szCs w:val="22"/>
        </w:rPr>
      </w:pPr>
      <w:r>
        <w:rPr>
          <w:rFonts w:ascii="Arial Narrow" w:hAnsi="Arial Narrow" w:cs="Gisha"/>
          <w:sz w:val="22"/>
          <w:szCs w:val="22"/>
        </w:rPr>
        <w:t>Las operaciones realizadas en la vigencia 2015 por este proyecto fueron las siguientes:</w:t>
      </w:r>
    </w:p>
    <w:p w:rsidR="009F6DFC" w:rsidRDefault="009F6DFC" w:rsidP="009F6DFC">
      <w:pPr>
        <w:jc w:val="both"/>
        <w:rPr>
          <w:rFonts w:ascii="Arial Narrow" w:hAnsi="Arial Narrow" w:cs="Gisha"/>
          <w:sz w:val="22"/>
          <w:szCs w:val="22"/>
        </w:rPr>
      </w:pPr>
    </w:p>
    <w:p w:rsidR="009F6DFC" w:rsidRDefault="009F6DFC" w:rsidP="00853B3A">
      <w:pPr>
        <w:pStyle w:val="Prrafodelista"/>
        <w:numPr>
          <w:ilvl w:val="0"/>
          <w:numId w:val="23"/>
        </w:numPr>
        <w:jc w:val="both"/>
        <w:rPr>
          <w:rFonts w:cs="Gisha"/>
          <w:sz w:val="22"/>
          <w:szCs w:val="22"/>
          <w:lang w:val="es-ES"/>
        </w:rPr>
      </w:pPr>
      <w:r w:rsidRPr="003524C8">
        <w:rPr>
          <w:rFonts w:cs="Gisha"/>
          <w:sz w:val="22"/>
          <w:szCs w:val="22"/>
        </w:rPr>
        <w:t xml:space="preserve">Inversión de capital privado por valor de </w:t>
      </w:r>
      <w:r w:rsidRPr="00640F30">
        <w:rPr>
          <w:rFonts w:cs="Gisha"/>
          <w:sz w:val="22"/>
          <w:szCs w:val="22"/>
        </w:rPr>
        <w:t xml:space="preserve">$ </w:t>
      </w:r>
      <w:r>
        <w:rPr>
          <w:rFonts w:cs="Gisha"/>
          <w:sz w:val="22"/>
          <w:szCs w:val="22"/>
        </w:rPr>
        <w:t xml:space="preserve">2.366.337 </w:t>
      </w:r>
      <w:r w:rsidRPr="00640F30">
        <w:rPr>
          <w:rFonts w:cs="Gisha"/>
          <w:sz w:val="22"/>
          <w:szCs w:val="22"/>
        </w:rPr>
        <w:t>miles</w:t>
      </w:r>
      <w:r>
        <w:rPr>
          <w:rFonts w:cs="Gisha"/>
          <w:sz w:val="22"/>
          <w:szCs w:val="22"/>
        </w:rPr>
        <w:t>.</w:t>
      </w:r>
    </w:p>
    <w:p w:rsidR="009F6DFC" w:rsidRPr="00C138C7" w:rsidRDefault="009F6DFC" w:rsidP="009F6DFC">
      <w:pPr>
        <w:jc w:val="both"/>
        <w:rPr>
          <w:rFonts w:cs="Gisha"/>
          <w:sz w:val="22"/>
          <w:szCs w:val="22"/>
        </w:rPr>
      </w:pPr>
    </w:p>
    <w:p w:rsidR="009F6DFC" w:rsidRPr="005F79C4" w:rsidRDefault="009F6DFC" w:rsidP="00853B3A">
      <w:pPr>
        <w:pStyle w:val="Prrafodelista"/>
        <w:numPr>
          <w:ilvl w:val="0"/>
          <w:numId w:val="16"/>
        </w:numPr>
        <w:jc w:val="both"/>
        <w:rPr>
          <w:rFonts w:cs="Gisha"/>
          <w:sz w:val="22"/>
          <w:szCs w:val="22"/>
          <w:u w:val="single"/>
          <w:lang w:val="es-ES"/>
        </w:rPr>
      </w:pPr>
      <w:r w:rsidRPr="005F79C4">
        <w:rPr>
          <w:rFonts w:cs="Gisha"/>
          <w:sz w:val="22"/>
          <w:szCs w:val="22"/>
          <w:u w:val="single"/>
          <w:lang w:val="es-ES"/>
        </w:rPr>
        <w:t>Antioquia – Bolívar</w:t>
      </w:r>
    </w:p>
    <w:p w:rsidR="009F6DFC" w:rsidRDefault="009F6DFC" w:rsidP="009F6DFC">
      <w:pPr>
        <w:jc w:val="both"/>
        <w:rPr>
          <w:rFonts w:cs="Gisha"/>
          <w:sz w:val="22"/>
          <w:szCs w:val="22"/>
        </w:rPr>
      </w:pPr>
    </w:p>
    <w:p w:rsidR="009F6DFC" w:rsidRPr="00640F30" w:rsidRDefault="009F6DFC" w:rsidP="009F6DFC">
      <w:pPr>
        <w:jc w:val="both"/>
        <w:rPr>
          <w:rFonts w:ascii="Arial Narrow" w:hAnsi="Arial Narrow" w:cs="Gisha"/>
          <w:sz w:val="22"/>
          <w:szCs w:val="22"/>
        </w:rPr>
      </w:pPr>
      <w:r w:rsidRPr="00640F30">
        <w:rPr>
          <w:rFonts w:ascii="Arial Narrow" w:hAnsi="Arial Narrow" w:cs="Gisha"/>
          <w:sz w:val="22"/>
          <w:szCs w:val="22"/>
        </w:rPr>
        <w:lastRenderedPageBreak/>
        <w:t xml:space="preserve">La concesión </w:t>
      </w:r>
      <w:r>
        <w:rPr>
          <w:rFonts w:ascii="Arial Narrow" w:hAnsi="Arial Narrow" w:cs="Gisha"/>
          <w:sz w:val="22"/>
          <w:szCs w:val="22"/>
        </w:rPr>
        <w:t xml:space="preserve">Antioquia - </w:t>
      </w:r>
      <w:r w:rsidRPr="008B4D99">
        <w:rPr>
          <w:rFonts w:ascii="Arial Narrow" w:hAnsi="Arial Narrow" w:cs="Gisha"/>
          <w:sz w:val="22"/>
          <w:szCs w:val="22"/>
        </w:rPr>
        <w:t>Bolívar</w:t>
      </w:r>
      <w:r w:rsidRPr="00640F30">
        <w:rPr>
          <w:rFonts w:ascii="Arial Narrow" w:hAnsi="Arial Narrow" w:cs="Gisha"/>
          <w:sz w:val="22"/>
          <w:szCs w:val="22"/>
        </w:rPr>
        <w:t>,</w:t>
      </w:r>
      <w:r>
        <w:rPr>
          <w:rFonts w:ascii="Arial Narrow" w:hAnsi="Arial Narrow" w:cs="Gisha"/>
          <w:sz w:val="22"/>
          <w:szCs w:val="22"/>
        </w:rPr>
        <w:t xml:space="preserve"> </w:t>
      </w:r>
      <w:r w:rsidRPr="00640F30">
        <w:rPr>
          <w:rFonts w:ascii="Arial Narrow" w:hAnsi="Arial Narrow" w:cs="Gisha"/>
          <w:sz w:val="22"/>
          <w:szCs w:val="22"/>
        </w:rPr>
        <w:t xml:space="preserve">contrato APP No. </w:t>
      </w:r>
      <w:r>
        <w:rPr>
          <w:rFonts w:ascii="Arial Narrow" w:hAnsi="Arial Narrow" w:cs="Gisha"/>
          <w:sz w:val="22"/>
          <w:szCs w:val="22"/>
        </w:rPr>
        <w:t>016</w:t>
      </w:r>
      <w:r w:rsidRPr="00640F30">
        <w:rPr>
          <w:rFonts w:ascii="Arial Narrow" w:hAnsi="Arial Narrow" w:cs="Gisha"/>
          <w:sz w:val="22"/>
          <w:szCs w:val="22"/>
        </w:rPr>
        <w:t xml:space="preserve"> de 2015 a 31 de diciembre de 2015 presenta un valor de $ </w:t>
      </w:r>
      <w:r>
        <w:rPr>
          <w:rFonts w:ascii="Arial Narrow" w:hAnsi="Arial Narrow" w:cs="Gisha"/>
          <w:sz w:val="22"/>
          <w:szCs w:val="22"/>
        </w:rPr>
        <w:t xml:space="preserve">42.826.070 </w:t>
      </w:r>
      <w:r w:rsidRPr="00640F30">
        <w:rPr>
          <w:rFonts w:ascii="Arial Narrow" w:hAnsi="Arial Narrow" w:cs="Gisha"/>
          <w:sz w:val="22"/>
          <w:szCs w:val="22"/>
        </w:rPr>
        <w:t xml:space="preserve">miles correspondiente a infraestructura en </w:t>
      </w:r>
      <w:r>
        <w:rPr>
          <w:rFonts w:ascii="Arial Narrow" w:hAnsi="Arial Narrow" w:cs="Gisha"/>
          <w:sz w:val="22"/>
          <w:szCs w:val="22"/>
        </w:rPr>
        <w:t>servicio</w:t>
      </w:r>
      <w:r w:rsidRPr="00640F30">
        <w:rPr>
          <w:rFonts w:ascii="Arial Narrow" w:hAnsi="Arial Narrow" w:cs="Gisha"/>
          <w:sz w:val="22"/>
          <w:szCs w:val="22"/>
        </w:rPr>
        <w:t>.</w:t>
      </w:r>
    </w:p>
    <w:p w:rsidR="009F6DFC" w:rsidRDefault="009F6DFC" w:rsidP="009F6DFC">
      <w:pPr>
        <w:jc w:val="both"/>
        <w:rPr>
          <w:rFonts w:cs="Gisha"/>
          <w:sz w:val="22"/>
          <w:szCs w:val="22"/>
        </w:rPr>
      </w:pPr>
    </w:p>
    <w:p w:rsidR="009F6DFC" w:rsidRDefault="009F6DFC" w:rsidP="009F6DFC">
      <w:pPr>
        <w:jc w:val="both"/>
        <w:rPr>
          <w:rFonts w:ascii="Arial Narrow" w:hAnsi="Arial Narrow" w:cs="Gisha"/>
          <w:sz w:val="22"/>
          <w:szCs w:val="22"/>
        </w:rPr>
      </w:pPr>
      <w:r>
        <w:rPr>
          <w:rFonts w:ascii="Arial Narrow" w:hAnsi="Arial Narrow" w:cs="Gisha"/>
          <w:sz w:val="22"/>
          <w:szCs w:val="22"/>
        </w:rPr>
        <w:t>Las operaciones realizadas en la vigencia 2015 por este proyecto fueron las siguientes:</w:t>
      </w:r>
    </w:p>
    <w:p w:rsidR="009F6DFC" w:rsidRDefault="009F6DFC" w:rsidP="009F6DFC">
      <w:pPr>
        <w:jc w:val="both"/>
        <w:rPr>
          <w:rFonts w:ascii="Arial Narrow" w:hAnsi="Arial Narrow" w:cs="Gisha"/>
          <w:sz w:val="22"/>
          <w:szCs w:val="22"/>
        </w:rPr>
      </w:pPr>
    </w:p>
    <w:p w:rsidR="009F6DFC" w:rsidRDefault="009F6DFC" w:rsidP="00853B3A">
      <w:pPr>
        <w:pStyle w:val="Prrafodelista"/>
        <w:numPr>
          <w:ilvl w:val="0"/>
          <w:numId w:val="23"/>
        </w:numPr>
        <w:jc w:val="both"/>
        <w:rPr>
          <w:rFonts w:cs="Gisha"/>
          <w:sz w:val="22"/>
          <w:szCs w:val="22"/>
          <w:lang w:val="es-ES"/>
        </w:rPr>
      </w:pPr>
      <w:r w:rsidRPr="003524C8">
        <w:rPr>
          <w:rFonts w:cs="Gisha"/>
          <w:sz w:val="22"/>
          <w:szCs w:val="22"/>
        </w:rPr>
        <w:t xml:space="preserve">Inversión de capital privado por valor de </w:t>
      </w:r>
      <w:r w:rsidRPr="00640F30">
        <w:rPr>
          <w:rFonts w:cs="Gisha"/>
          <w:sz w:val="22"/>
          <w:szCs w:val="22"/>
        </w:rPr>
        <w:t xml:space="preserve">$ </w:t>
      </w:r>
      <w:r>
        <w:rPr>
          <w:rFonts w:cs="Gisha"/>
          <w:sz w:val="22"/>
          <w:szCs w:val="22"/>
        </w:rPr>
        <w:t xml:space="preserve">42.826.070 </w:t>
      </w:r>
      <w:r w:rsidRPr="00640F30">
        <w:rPr>
          <w:rFonts w:cs="Gisha"/>
          <w:sz w:val="22"/>
          <w:szCs w:val="22"/>
        </w:rPr>
        <w:t>miles</w:t>
      </w:r>
      <w:r>
        <w:rPr>
          <w:rFonts w:cs="Gisha"/>
          <w:sz w:val="22"/>
          <w:szCs w:val="22"/>
        </w:rPr>
        <w:t>.</w:t>
      </w:r>
    </w:p>
    <w:p w:rsidR="009F6DFC" w:rsidRPr="00EB76F6" w:rsidRDefault="009F6DFC" w:rsidP="009F6DFC">
      <w:pPr>
        <w:jc w:val="both"/>
        <w:rPr>
          <w:rFonts w:cs="Gisha"/>
          <w:sz w:val="22"/>
          <w:szCs w:val="22"/>
        </w:rPr>
      </w:pPr>
    </w:p>
    <w:p w:rsidR="009F6DFC" w:rsidRPr="005F79C4" w:rsidRDefault="009F6DFC" w:rsidP="00853B3A">
      <w:pPr>
        <w:pStyle w:val="Prrafodelista"/>
        <w:numPr>
          <w:ilvl w:val="0"/>
          <w:numId w:val="16"/>
        </w:numPr>
        <w:jc w:val="both"/>
        <w:rPr>
          <w:rFonts w:cs="Gisha"/>
          <w:sz w:val="22"/>
          <w:szCs w:val="22"/>
          <w:u w:val="single"/>
          <w:lang w:val="es-ES"/>
        </w:rPr>
      </w:pPr>
      <w:r w:rsidRPr="005F79C4">
        <w:rPr>
          <w:rFonts w:cs="Gisha"/>
          <w:sz w:val="22"/>
          <w:szCs w:val="22"/>
          <w:u w:val="single"/>
          <w:lang w:val="es-ES"/>
        </w:rPr>
        <w:t>Transversal del Sisga</w:t>
      </w:r>
    </w:p>
    <w:p w:rsidR="009F6DFC" w:rsidRDefault="009F6DFC" w:rsidP="009F6DFC">
      <w:pPr>
        <w:jc w:val="both"/>
        <w:rPr>
          <w:rFonts w:cs="Gisha"/>
          <w:sz w:val="22"/>
          <w:szCs w:val="22"/>
        </w:rPr>
      </w:pPr>
    </w:p>
    <w:p w:rsidR="009F6DFC" w:rsidRPr="00640F30" w:rsidRDefault="009F6DFC" w:rsidP="009F6DFC">
      <w:pPr>
        <w:jc w:val="both"/>
        <w:rPr>
          <w:rFonts w:ascii="Arial Narrow" w:hAnsi="Arial Narrow" w:cs="Gisha"/>
          <w:sz w:val="22"/>
          <w:szCs w:val="22"/>
        </w:rPr>
      </w:pPr>
      <w:r w:rsidRPr="00640F30">
        <w:rPr>
          <w:rFonts w:ascii="Arial Narrow" w:hAnsi="Arial Narrow" w:cs="Gisha"/>
          <w:sz w:val="22"/>
          <w:szCs w:val="22"/>
        </w:rPr>
        <w:t xml:space="preserve">La concesión </w:t>
      </w:r>
      <w:r>
        <w:rPr>
          <w:rFonts w:ascii="Arial Narrow" w:hAnsi="Arial Narrow" w:cs="Gisha"/>
          <w:sz w:val="22"/>
          <w:szCs w:val="22"/>
        </w:rPr>
        <w:t>Transversal del Sisga</w:t>
      </w:r>
      <w:r w:rsidRPr="00640F30">
        <w:rPr>
          <w:rFonts w:ascii="Arial Narrow" w:hAnsi="Arial Narrow" w:cs="Gisha"/>
          <w:sz w:val="22"/>
          <w:szCs w:val="22"/>
        </w:rPr>
        <w:t>,</w:t>
      </w:r>
      <w:r>
        <w:rPr>
          <w:rFonts w:ascii="Arial Narrow" w:hAnsi="Arial Narrow" w:cs="Gisha"/>
          <w:sz w:val="22"/>
          <w:szCs w:val="22"/>
        </w:rPr>
        <w:t xml:space="preserve"> </w:t>
      </w:r>
      <w:r w:rsidRPr="00640F30">
        <w:rPr>
          <w:rFonts w:ascii="Arial Narrow" w:hAnsi="Arial Narrow" w:cs="Gisha"/>
          <w:sz w:val="22"/>
          <w:szCs w:val="22"/>
        </w:rPr>
        <w:t xml:space="preserve">contrato APP No. </w:t>
      </w:r>
      <w:r>
        <w:rPr>
          <w:rFonts w:ascii="Arial Narrow" w:hAnsi="Arial Narrow" w:cs="Gisha"/>
          <w:sz w:val="22"/>
          <w:szCs w:val="22"/>
        </w:rPr>
        <w:t>009</w:t>
      </w:r>
      <w:r w:rsidRPr="00640F30">
        <w:rPr>
          <w:rFonts w:ascii="Arial Narrow" w:hAnsi="Arial Narrow" w:cs="Gisha"/>
          <w:sz w:val="22"/>
          <w:szCs w:val="22"/>
        </w:rPr>
        <w:t xml:space="preserve"> de 2015 a 31 de diciembre de 2015 presenta un valor de $ </w:t>
      </w:r>
      <w:r>
        <w:rPr>
          <w:rFonts w:ascii="Arial Narrow" w:hAnsi="Arial Narrow" w:cs="Gisha"/>
          <w:sz w:val="22"/>
          <w:szCs w:val="22"/>
        </w:rPr>
        <w:t xml:space="preserve">10.584.502 </w:t>
      </w:r>
      <w:r w:rsidRPr="00640F30">
        <w:rPr>
          <w:rFonts w:ascii="Arial Narrow" w:hAnsi="Arial Narrow" w:cs="Gisha"/>
          <w:sz w:val="22"/>
          <w:szCs w:val="22"/>
        </w:rPr>
        <w:t xml:space="preserve">miles correspondiente a infraestructura en </w:t>
      </w:r>
      <w:r>
        <w:rPr>
          <w:rFonts w:ascii="Arial Narrow" w:hAnsi="Arial Narrow" w:cs="Gisha"/>
          <w:sz w:val="22"/>
          <w:szCs w:val="22"/>
        </w:rPr>
        <w:t>construcción</w:t>
      </w:r>
      <w:r w:rsidRPr="00640F30">
        <w:rPr>
          <w:rFonts w:ascii="Arial Narrow" w:hAnsi="Arial Narrow" w:cs="Gisha"/>
          <w:sz w:val="22"/>
          <w:szCs w:val="22"/>
        </w:rPr>
        <w:t>.</w:t>
      </w:r>
    </w:p>
    <w:p w:rsidR="009F6DFC" w:rsidRDefault="009F6DFC" w:rsidP="009F6DFC">
      <w:pPr>
        <w:jc w:val="both"/>
        <w:rPr>
          <w:rFonts w:cs="Gisha"/>
          <w:sz w:val="22"/>
          <w:szCs w:val="22"/>
        </w:rPr>
      </w:pPr>
    </w:p>
    <w:p w:rsidR="009F6DFC" w:rsidRDefault="009F6DFC" w:rsidP="009F6DFC">
      <w:pPr>
        <w:jc w:val="both"/>
        <w:rPr>
          <w:rFonts w:ascii="Arial Narrow" w:hAnsi="Arial Narrow" w:cs="Gisha"/>
          <w:sz w:val="22"/>
          <w:szCs w:val="22"/>
        </w:rPr>
      </w:pPr>
      <w:r>
        <w:rPr>
          <w:rFonts w:ascii="Arial Narrow" w:hAnsi="Arial Narrow" w:cs="Gisha"/>
          <w:sz w:val="22"/>
          <w:szCs w:val="22"/>
        </w:rPr>
        <w:t>Las operaciones realizadas en la vigencia 2015 por este proyecto fueron las siguientes:</w:t>
      </w:r>
    </w:p>
    <w:p w:rsidR="009F6DFC" w:rsidRDefault="009F6DFC" w:rsidP="009F6DFC">
      <w:pPr>
        <w:jc w:val="both"/>
        <w:rPr>
          <w:rFonts w:ascii="Arial Narrow" w:hAnsi="Arial Narrow" w:cs="Gisha"/>
          <w:sz w:val="22"/>
          <w:szCs w:val="22"/>
        </w:rPr>
      </w:pPr>
    </w:p>
    <w:p w:rsidR="009F6DFC" w:rsidRDefault="009F6DFC" w:rsidP="00853B3A">
      <w:pPr>
        <w:pStyle w:val="Prrafodelista"/>
        <w:numPr>
          <w:ilvl w:val="0"/>
          <w:numId w:val="23"/>
        </w:numPr>
        <w:jc w:val="both"/>
        <w:rPr>
          <w:rFonts w:cs="Gisha"/>
          <w:sz w:val="22"/>
          <w:szCs w:val="22"/>
          <w:lang w:val="es-ES"/>
        </w:rPr>
      </w:pPr>
      <w:r w:rsidRPr="003524C8">
        <w:rPr>
          <w:rFonts w:cs="Gisha"/>
          <w:sz w:val="22"/>
          <w:szCs w:val="22"/>
        </w:rPr>
        <w:t xml:space="preserve">Inversión de capital privado por valor de </w:t>
      </w:r>
      <w:r w:rsidRPr="00640F30">
        <w:rPr>
          <w:rFonts w:cs="Gisha"/>
          <w:sz w:val="22"/>
          <w:szCs w:val="22"/>
        </w:rPr>
        <w:t xml:space="preserve">$ </w:t>
      </w:r>
      <w:r>
        <w:rPr>
          <w:rFonts w:cs="Gisha"/>
          <w:sz w:val="22"/>
          <w:szCs w:val="22"/>
        </w:rPr>
        <w:t xml:space="preserve">10.584.502 </w:t>
      </w:r>
      <w:r w:rsidRPr="00640F30">
        <w:rPr>
          <w:rFonts w:cs="Gisha"/>
          <w:sz w:val="22"/>
          <w:szCs w:val="22"/>
        </w:rPr>
        <w:t>miles</w:t>
      </w:r>
      <w:r>
        <w:rPr>
          <w:rFonts w:cs="Gisha"/>
          <w:sz w:val="22"/>
          <w:szCs w:val="22"/>
        </w:rPr>
        <w:t>.</w:t>
      </w:r>
    </w:p>
    <w:p w:rsidR="009F6DFC" w:rsidRPr="00EB76F6" w:rsidRDefault="009F6DFC" w:rsidP="009F6DFC">
      <w:pPr>
        <w:jc w:val="both"/>
        <w:rPr>
          <w:rFonts w:cs="Gisha"/>
          <w:sz w:val="22"/>
          <w:szCs w:val="22"/>
        </w:rPr>
      </w:pPr>
    </w:p>
    <w:p w:rsidR="009F6DFC" w:rsidRPr="00E0237F" w:rsidRDefault="009F6DFC" w:rsidP="00853B3A">
      <w:pPr>
        <w:pStyle w:val="Prrafodelista"/>
        <w:numPr>
          <w:ilvl w:val="0"/>
          <w:numId w:val="16"/>
        </w:numPr>
        <w:jc w:val="both"/>
        <w:rPr>
          <w:rFonts w:cs="Gisha"/>
          <w:sz w:val="22"/>
          <w:szCs w:val="22"/>
          <w:u w:val="single"/>
          <w:lang w:val="es-ES"/>
        </w:rPr>
      </w:pPr>
      <w:r w:rsidRPr="00E0237F">
        <w:rPr>
          <w:rFonts w:cs="Gisha"/>
          <w:sz w:val="22"/>
          <w:szCs w:val="22"/>
          <w:u w:val="single"/>
          <w:lang w:val="es-ES"/>
        </w:rPr>
        <w:t>Chirajara – Intersección Fundadores</w:t>
      </w:r>
    </w:p>
    <w:p w:rsidR="009F6DFC" w:rsidRDefault="009F6DFC" w:rsidP="009F6DFC">
      <w:pPr>
        <w:jc w:val="both"/>
        <w:rPr>
          <w:rFonts w:cs="Gisha"/>
          <w:sz w:val="22"/>
          <w:szCs w:val="22"/>
        </w:rPr>
      </w:pPr>
    </w:p>
    <w:p w:rsidR="009F6DFC" w:rsidRPr="00640F30" w:rsidRDefault="009F6DFC" w:rsidP="009F6DFC">
      <w:pPr>
        <w:jc w:val="both"/>
        <w:rPr>
          <w:rFonts w:ascii="Arial Narrow" w:hAnsi="Arial Narrow" w:cs="Gisha"/>
          <w:sz w:val="22"/>
          <w:szCs w:val="22"/>
        </w:rPr>
      </w:pPr>
      <w:r w:rsidRPr="00640F30">
        <w:rPr>
          <w:rFonts w:ascii="Arial Narrow" w:hAnsi="Arial Narrow" w:cs="Gisha"/>
          <w:sz w:val="22"/>
          <w:szCs w:val="22"/>
        </w:rPr>
        <w:t xml:space="preserve">La concesión </w:t>
      </w:r>
      <w:r>
        <w:rPr>
          <w:rFonts w:ascii="Arial Narrow" w:hAnsi="Arial Narrow" w:cs="Gisha"/>
          <w:sz w:val="22"/>
          <w:szCs w:val="22"/>
        </w:rPr>
        <w:t>Chirajara – Intersección Fundadores</w:t>
      </w:r>
      <w:r w:rsidRPr="00640F30">
        <w:rPr>
          <w:rFonts w:ascii="Arial Narrow" w:hAnsi="Arial Narrow" w:cs="Gisha"/>
          <w:sz w:val="22"/>
          <w:szCs w:val="22"/>
        </w:rPr>
        <w:t>,</w:t>
      </w:r>
      <w:r>
        <w:rPr>
          <w:rFonts w:ascii="Arial Narrow" w:hAnsi="Arial Narrow" w:cs="Gisha"/>
          <w:sz w:val="22"/>
          <w:szCs w:val="22"/>
        </w:rPr>
        <w:t xml:space="preserve"> </w:t>
      </w:r>
      <w:r w:rsidRPr="00640F30">
        <w:rPr>
          <w:rFonts w:ascii="Arial Narrow" w:hAnsi="Arial Narrow" w:cs="Gisha"/>
          <w:sz w:val="22"/>
          <w:szCs w:val="22"/>
        </w:rPr>
        <w:t xml:space="preserve">contrato APP No. </w:t>
      </w:r>
      <w:r>
        <w:rPr>
          <w:rFonts w:ascii="Arial Narrow" w:hAnsi="Arial Narrow" w:cs="Gisha"/>
          <w:sz w:val="22"/>
          <w:szCs w:val="22"/>
        </w:rPr>
        <w:t>005</w:t>
      </w:r>
      <w:r w:rsidRPr="00640F30">
        <w:rPr>
          <w:rFonts w:ascii="Arial Narrow" w:hAnsi="Arial Narrow" w:cs="Gisha"/>
          <w:sz w:val="22"/>
          <w:szCs w:val="22"/>
        </w:rPr>
        <w:t xml:space="preserve"> de 2015 a 31 de diciembre de 2015 presenta un valor de $ </w:t>
      </w:r>
      <w:r>
        <w:rPr>
          <w:rFonts w:ascii="Arial Narrow" w:hAnsi="Arial Narrow" w:cs="Gisha"/>
          <w:sz w:val="22"/>
          <w:szCs w:val="22"/>
        </w:rPr>
        <w:t xml:space="preserve">67.950.797 </w:t>
      </w:r>
      <w:r w:rsidRPr="00640F30">
        <w:rPr>
          <w:rFonts w:ascii="Arial Narrow" w:hAnsi="Arial Narrow" w:cs="Gisha"/>
          <w:sz w:val="22"/>
          <w:szCs w:val="22"/>
        </w:rPr>
        <w:t xml:space="preserve">miles correspondiente a infraestructura en </w:t>
      </w:r>
      <w:r>
        <w:rPr>
          <w:rFonts w:ascii="Arial Narrow" w:hAnsi="Arial Narrow" w:cs="Gisha"/>
          <w:sz w:val="22"/>
          <w:szCs w:val="22"/>
        </w:rPr>
        <w:t>construcción</w:t>
      </w:r>
      <w:r w:rsidRPr="00640F30">
        <w:rPr>
          <w:rFonts w:ascii="Arial Narrow" w:hAnsi="Arial Narrow" w:cs="Gisha"/>
          <w:sz w:val="22"/>
          <w:szCs w:val="22"/>
        </w:rPr>
        <w:t>.</w:t>
      </w:r>
    </w:p>
    <w:p w:rsidR="009F6DFC" w:rsidRDefault="009F6DFC" w:rsidP="009F6DFC">
      <w:pPr>
        <w:jc w:val="both"/>
        <w:rPr>
          <w:rFonts w:cs="Gisha"/>
          <w:sz w:val="22"/>
          <w:szCs w:val="22"/>
        </w:rPr>
      </w:pPr>
    </w:p>
    <w:p w:rsidR="009F6DFC" w:rsidRDefault="009F6DFC" w:rsidP="009F6DFC">
      <w:pPr>
        <w:jc w:val="both"/>
        <w:rPr>
          <w:rFonts w:ascii="Arial Narrow" w:hAnsi="Arial Narrow" w:cs="Gisha"/>
          <w:sz w:val="22"/>
          <w:szCs w:val="22"/>
        </w:rPr>
      </w:pPr>
      <w:r>
        <w:rPr>
          <w:rFonts w:ascii="Arial Narrow" w:hAnsi="Arial Narrow" w:cs="Gisha"/>
          <w:sz w:val="22"/>
          <w:szCs w:val="22"/>
        </w:rPr>
        <w:t>Las operaciones realizadas en la vigencia 2015 por este proyecto fueron las siguientes:</w:t>
      </w:r>
    </w:p>
    <w:p w:rsidR="009F6DFC" w:rsidRPr="00A35374" w:rsidRDefault="009F6DFC" w:rsidP="009F6DFC">
      <w:pPr>
        <w:jc w:val="both"/>
        <w:rPr>
          <w:rFonts w:cs="Gisha"/>
          <w:sz w:val="22"/>
          <w:szCs w:val="22"/>
        </w:rPr>
      </w:pPr>
    </w:p>
    <w:p w:rsidR="009F6DFC" w:rsidRPr="00347B24" w:rsidRDefault="00347B24" w:rsidP="00853B3A">
      <w:pPr>
        <w:pStyle w:val="Prrafodelista"/>
        <w:numPr>
          <w:ilvl w:val="0"/>
          <w:numId w:val="16"/>
        </w:numPr>
        <w:jc w:val="both"/>
        <w:rPr>
          <w:rFonts w:cs="Gisha"/>
          <w:sz w:val="22"/>
          <w:szCs w:val="22"/>
          <w:u w:val="single"/>
          <w:lang w:val="es-ES"/>
        </w:rPr>
      </w:pPr>
      <w:r w:rsidRPr="00347B24">
        <w:rPr>
          <w:rFonts w:cs="Gisha"/>
          <w:sz w:val="22"/>
          <w:szCs w:val="22"/>
          <w:u w:val="single"/>
          <w:lang w:val="es-ES"/>
        </w:rPr>
        <w:t>Cambao – L</w:t>
      </w:r>
      <w:r w:rsidR="009F6DFC" w:rsidRPr="00347B24">
        <w:rPr>
          <w:rFonts w:cs="Gisha"/>
          <w:sz w:val="22"/>
          <w:szCs w:val="22"/>
          <w:u w:val="single"/>
          <w:lang w:val="es-ES"/>
        </w:rPr>
        <w:t xml:space="preserve">a Esperanza – Ibagué – Honda </w:t>
      </w:r>
    </w:p>
    <w:p w:rsidR="009F6DFC" w:rsidRDefault="009F6DFC" w:rsidP="009F6DFC">
      <w:pPr>
        <w:jc w:val="both"/>
        <w:rPr>
          <w:rFonts w:cs="Gisha"/>
          <w:sz w:val="22"/>
          <w:szCs w:val="22"/>
        </w:rPr>
      </w:pPr>
    </w:p>
    <w:p w:rsidR="009F6DFC" w:rsidRPr="00640F30" w:rsidRDefault="009F6DFC" w:rsidP="009F6DFC">
      <w:pPr>
        <w:jc w:val="both"/>
        <w:rPr>
          <w:rFonts w:ascii="Arial Narrow" w:hAnsi="Arial Narrow" w:cs="Gisha"/>
          <w:sz w:val="22"/>
          <w:szCs w:val="22"/>
        </w:rPr>
      </w:pPr>
      <w:r w:rsidRPr="00C560F5">
        <w:rPr>
          <w:rFonts w:ascii="Arial Narrow" w:hAnsi="Arial Narrow" w:cs="Gisha"/>
          <w:sz w:val="22"/>
          <w:szCs w:val="22"/>
        </w:rPr>
        <w:t>La concesió</w:t>
      </w:r>
      <w:r w:rsidR="00347B24">
        <w:rPr>
          <w:rFonts w:ascii="Arial Narrow" w:hAnsi="Arial Narrow" w:cs="Gisha"/>
          <w:sz w:val="22"/>
          <w:szCs w:val="22"/>
        </w:rPr>
        <w:t>n Cambao – L</w:t>
      </w:r>
      <w:r w:rsidRPr="00C560F5">
        <w:rPr>
          <w:rFonts w:ascii="Arial Narrow" w:hAnsi="Arial Narrow" w:cs="Gisha"/>
          <w:sz w:val="22"/>
          <w:szCs w:val="22"/>
        </w:rPr>
        <w:t>a Esperanza – Ibagué – Honda</w:t>
      </w:r>
      <w:r w:rsidRPr="00640F30">
        <w:rPr>
          <w:rFonts w:ascii="Arial Narrow" w:hAnsi="Arial Narrow" w:cs="Gisha"/>
          <w:sz w:val="22"/>
          <w:szCs w:val="22"/>
        </w:rPr>
        <w:t>,</w:t>
      </w:r>
      <w:r>
        <w:rPr>
          <w:rFonts w:ascii="Arial Narrow" w:hAnsi="Arial Narrow" w:cs="Gisha"/>
          <w:sz w:val="22"/>
          <w:szCs w:val="22"/>
        </w:rPr>
        <w:t xml:space="preserve"> </w:t>
      </w:r>
      <w:r w:rsidRPr="00640F30">
        <w:rPr>
          <w:rFonts w:ascii="Arial Narrow" w:hAnsi="Arial Narrow" w:cs="Gisha"/>
          <w:sz w:val="22"/>
          <w:szCs w:val="22"/>
        </w:rPr>
        <w:t xml:space="preserve">contrato APP No. </w:t>
      </w:r>
      <w:r>
        <w:rPr>
          <w:rFonts w:ascii="Arial Narrow" w:hAnsi="Arial Narrow" w:cs="Gisha"/>
          <w:sz w:val="22"/>
          <w:szCs w:val="22"/>
        </w:rPr>
        <w:t>008</w:t>
      </w:r>
      <w:r w:rsidRPr="00640F30">
        <w:rPr>
          <w:rFonts w:ascii="Arial Narrow" w:hAnsi="Arial Narrow" w:cs="Gisha"/>
          <w:sz w:val="22"/>
          <w:szCs w:val="22"/>
        </w:rPr>
        <w:t xml:space="preserve"> de 2015 a 31 de diciembre de 2015 presenta un valor de $ </w:t>
      </w:r>
      <w:r>
        <w:rPr>
          <w:rFonts w:ascii="Arial Narrow" w:hAnsi="Arial Narrow" w:cs="Gisha"/>
          <w:sz w:val="22"/>
          <w:szCs w:val="22"/>
        </w:rPr>
        <w:t xml:space="preserve">32.463.180 </w:t>
      </w:r>
      <w:r w:rsidRPr="00640F30">
        <w:rPr>
          <w:rFonts w:ascii="Arial Narrow" w:hAnsi="Arial Narrow" w:cs="Gisha"/>
          <w:sz w:val="22"/>
          <w:szCs w:val="22"/>
        </w:rPr>
        <w:t xml:space="preserve">miles correspondiente a infraestructura en </w:t>
      </w:r>
      <w:r>
        <w:rPr>
          <w:rFonts w:ascii="Arial Narrow" w:hAnsi="Arial Narrow" w:cs="Gisha"/>
          <w:sz w:val="22"/>
          <w:szCs w:val="22"/>
        </w:rPr>
        <w:t>servicio</w:t>
      </w:r>
      <w:r w:rsidRPr="00640F30">
        <w:rPr>
          <w:rFonts w:ascii="Arial Narrow" w:hAnsi="Arial Narrow" w:cs="Gisha"/>
          <w:sz w:val="22"/>
          <w:szCs w:val="22"/>
        </w:rPr>
        <w:t>.</w:t>
      </w:r>
    </w:p>
    <w:p w:rsidR="009F6DFC" w:rsidRDefault="009F6DFC" w:rsidP="009F6DFC">
      <w:pPr>
        <w:jc w:val="both"/>
        <w:rPr>
          <w:rFonts w:cs="Gisha"/>
          <w:sz w:val="22"/>
          <w:szCs w:val="22"/>
        </w:rPr>
      </w:pPr>
    </w:p>
    <w:p w:rsidR="009F6DFC" w:rsidRDefault="009F6DFC" w:rsidP="009F6DFC">
      <w:pPr>
        <w:jc w:val="both"/>
        <w:rPr>
          <w:rFonts w:ascii="Arial Narrow" w:hAnsi="Arial Narrow" w:cs="Gisha"/>
          <w:sz w:val="22"/>
          <w:szCs w:val="22"/>
        </w:rPr>
      </w:pPr>
      <w:r>
        <w:rPr>
          <w:rFonts w:ascii="Arial Narrow" w:hAnsi="Arial Narrow" w:cs="Gisha"/>
          <w:sz w:val="22"/>
          <w:szCs w:val="22"/>
        </w:rPr>
        <w:t>Las operaciones realizadas en la vigencia 2015 por este proyecto fueron las siguientes:</w:t>
      </w:r>
    </w:p>
    <w:p w:rsidR="009F6DFC" w:rsidRDefault="009F6DFC" w:rsidP="009F6DFC">
      <w:pPr>
        <w:jc w:val="both"/>
        <w:rPr>
          <w:rFonts w:ascii="Arial Narrow" w:hAnsi="Arial Narrow" w:cs="Gisha"/>
          <w:sz w:val="22"/>
          <w:szCs w:val="22"/>
        </w:rPr>
      </w:pPr>
    </w:p>
    <w:p w:rsidR="009F6DFC" w:rsidRDefault="009F6DFC" w:rsidP="00853B3A">
      <w:pPr>
        <w:pStyle w:val="Prrafodelista"/>
        <w:numPr>
          <w:ilvl w:val="0"/>
          <w:numId w:val="23"/>
        </w:numPr>
        <w:jc w:val="both"/>
        <w:rPr>
          <w:rFonts w:cs="Gisha"/>
          <w:sz w:val="22"/>
          <w:szCs w:val="22"/>
        </w:rPr>
      </w:pPr>
      <w:r>
        <w:rPr>
          <w:rFonts w:cs="Gisha"/>
          <w:sz w:val="22"/>
          <w:szCs w:val="22"/>
        </w:rPr>
        <w:t xml:space="preserve">El valor de </w:t>
      </w:r>
      <w:r w:rsidRPr="00640F30">
        <w:rPr>
          <w:rFonts w:cs="Gisha"/>
          <w:sz w:val="22"/>
          <w:szCs w:val="22"/>
        </w:rPr>
        <w:t xml:space="preserve">$ </w:t>
      </w:r>
      <w:r>
        <w:rPr>
          <w:rFonts w:cs="Gisha"/>
          <w:sz w:val="22"/>
          <w:szCs w:val="22"/>
        </w:rPr>
        <w:t xml:space="preserve">32.463.180 </w:t>
      </w:r>
      <w:r w:rsidRPr="00640F30">
        <w:rPr>
          <w:rFonts w:cs="Gisha"/>
          <w:sz w:val="22"/>
          <w:szCs w:val="22"/>
        </w:rPr>
        <w:t>miles</w:t>
      </w:r>
      <w:r>
        <w:rPr>
          <w:rFonts w:cs="Gisha"/>
          <w:sz w:val="22"/>
          <w:szCs w:val="22"/>
        </w:rPr>
        <w:t xml:space="preserve"> inversión del privado.</w:t>
      </w:r>
    </w:p>
    <w:p w:rsidR="00524BB4" w:rsidRPr="00524BB4" w:rsidRDefault="00524BB4" w:rsidP="00524BB4">
      <w:pPr>
        <w:ind w:left="360"/>
        <w:jc w:val="both"/>
        <w:rPr>
          <w:rFonts w:cs="Gisha"/>
          <w:sz w:val="22"/>
          <w:szCs w:val="22"/>
        </w:rPr>
      </w:pPr>
    </w:p>
    <w:p w:rsidR="009F6DFC" w:rsidRPr="009731C5" w:rsidRDefault="009F6DFC" w:rsidP="00853B3A">
      <w:pPr>
        <w:pStyle w:val="Prrafodelista"/>
        <w:numPr>
          <w:ilvl w:val="0"/>
          <w:numId w:val="16"/>
        </w:numPr>
        <w:jc w:val="both"/>
        <w:rPr>
          <w:rFonts w:cs="Gisha"/>
          <w:sz w:val="22"/>
          <w:szCs w:val="22"/>
          <w:u w:val="single"/>
          <w:lang w:val="es-ES"/>
        </w:rPr>
      </w:pPr>
      <w:r w:rsidRPr="009731C5">
        <w:rPr>
          <w:rFonts w:cs="Gisha"/>
          <w:sz w:val="22"/>
          <w:szCs w:val="22"/>
          <w:u w:val="single"/>
          <w:lang w:val="es-ES"/>
        </w:rPr>
        <w:t>Neiva – Girardot</w:t>
      </w:r>
      <w:r w:rsidR="009731C5">
        <w:rPr>
          <w:rFonts w:cs="Gisha"/>
          <w:sz w:val="22"/>
          <w:szCs w:val="22"/>
          <w:u w:val="single"/>
          <w:lang w:val="es-ES"/>
        </w:rPr>
        <w:t xml:space="preserve"> -APP</w:t>
      </w:r>
    </w:p>
    <w:p w:rsidR="009F6DFC" w:rsidRDefault="009F6DFC" w:rsidP="009F6DFC">
      <w:pPr>
        <w:jc w:val="both"/>
        <w:rPr>
          <w:rFonts w:cs="Gisha"/>
          <w:sz w:val="22"/>
          <w:szCs w:val="22"/>
        </w:rPr>
      </w:pPr>
    </w:p>
    <w:p w:rsidR="009F6DFC" w:rsidRPr="00640F30" w:rsidRDefault="009F6DFC" w:rsidP="009F6DFC">
      <w:pPr>
        <w:jc w:val="both"/>
        <w:rPr>
          <w:rFonts w:ascii="Arial Narrow" w:hAnsi="Arial Narrow" w:cs="Gisha"/>
          <w:sz w:val="22"/>
          <w:szCs w:val="22"/>
        </w:rPr>
      </w:pPr>
      <w:r w:rsidRPr="00C560F5">
        <w:rPr>
          <w:rFonts w:ascii="Arial Narrow" w:hAnsi="Arial Narrow" w:cs="Gisha"/>
          <w:sz w:val="22"/>
          <w:szCs w:val="22"/>
        </w:rPr>
        <w:t xml:space="preserve">La concesión </w:t>
      </w:r>
      <w:r w:rsidRPr="009731C5">
        <w:rPr>
          <w:rFonts w:ascii="Arial Narrow" w:hAnsi="Arial Narrow" w:cs="Gisha"/>
          <w:sz w:val="22"/>
          <w:szCs w:val="22"/>
        </w:rPr>
        <w:t xml:space="preserve">Autovía </w:t>
      </w:r>
      <w:r>
        <w:rPr>
          <w:rFonts w:ascii="Arial Narrow" w:hAnsi="Arial Narrow" w:cs="Gisha"/>
          <w:sz w:val="22"/>
          <w:szCs w:val="22"/>
        </w:rPr>
        <w:t>Neiva - Girardot</w:t>
      </w:r>
      <w:r w:rsidRPr="00640F30">
        <w:rPr>
          <w:rFonts w:ascii="Arial Narrow" w:hAnsi="Arial Narrow" w:cs="Gisha"/>
          <w:sz w:val="22"/>
          <w:szCs w:val="22"/>
        </w:rPr>
        <w:t>,</w:t>
      </w:r>
      <w:r>
        <w:rPr>
          <w:rFonts w:ascii="Arial Narrow" w:hAnsi="Arial Narrow" w:cs="Gisha"/>
          <w:sz w:val="22"/>
          <w:szCs w:val="22"/>
        </w:rPr>
        <w:t xml:space="preserve"> </w:t>
      </w:r>
      <w:r w:rsidRPr="00640F30">
        <w:rPr>
          <w:rFonts w:ascii="Arial Narrow" w:hAnsi="Arial Narrow" w:cs="Gisha"/>
          <w:sz w:val="22"/>
          <w:szCs w:val="22"/>
        </w:rPr>
        <w:t xml:space="preserve">contrato APP No. </w:t>
      </w:r>
      <w:r>
        <w:rPr>
          <w:rFonts w:ascii="Arial Narrow" w:hAnsi="Arial Narrow" w:cs="Gisha"/>
          <w:sz w:val="22"/>
          <w:szCs w:val="22"/>
        </w:rPr>
        <w:t>017</w:t>
      </w:r>
      <w:r w:rsidRPr="00640F30">
        <w:rPr>
          <w:rFonts w:ascii="Arial Narrow" w:hAnsi="Arial Narrow" w:cs="Gisha"/>
          <w:sz w:val="22"/>
          <w:szCs w:val="22"/>
        </w:rPr>
        <w:t xml:space="preserve"> de 2015 a 31 de diciembre de 2015 presenta un valor de $ </w:t>
      </w:r>
      <w:r>
        <w:rPr>
          <w:rFonts w:ascii="Arial Narrow" w:hAnsi="Arial Narrow" w:cs="Gisha"/>
          <w:sz w:val="22"/>
          <w:szCs w:val="22"/>
        </w:rPr>
        <w:t xml:space="preserve">12.419.524 </w:t>
      </w:r>
      <w:r w:rsidRPr="00640F30">
        <w:rPr>
          <w:rFonts w:ascii="Arial Narrow" w:hAnsi="Arial Narrow" w:cs="Gisha"/>
          <w:sz w:val="22"/>
          <w:szCs w:val="22"/>
        </w:rPr>
        <w:t xml:space="preserve">miles correspondiente a infraestructura en </w:t>
      </w:r>
      <w:r>
        <w:rPr>
          <w:rFonts w:ascii="Arial Narrow" w:hAnsi="Arial Narrow" w:cs="Gisha"/>
          <w:sz w:val="22"/>
          <w:szCs w:val="22"/>
        </w:rPr>
        <w:t>construcción</w:t>
      </w:r>
      <w:r w:rsidRPr="00640F30">
        <w:rPr>
          <w:rFonts w:ascii="Arial Narrow" w:hAnsi="Arial Narrow" w:cs="Gisha"/>
          <w:sz w:val="22"/>
          <w:szCs w:val="22"/>
        </w:rPr>
        <w:t>.</w:t>
      </w:r>
    </w:p>
    <w:p w:rsidR="009F6DFC" w:rsidRDefault="009F6DFC" w:rsidP="009F6DFC">
      <w:pPr>
        <w:jc w:val="both"/>
        <w:rPr>
          <w:rFonts w:cs="Gisha"/>
          <w:sz w:val="22"/>
          <w:szCs w:val="22"/>
        </w:rPr>
      </w:pPr>
    </w:p>
    <w:p w:rsidR="009F6DFC" w:rsidRDefault="009F6DFC" w:rsidP="009F6DFC">
      <w:pPr>
        <w:jc w:val="both"/>
        <w:rPr>
          <w:rFonts w:ascii="Arial Narrow" w:hAnsi="Arial Narrow" w:cs="Gisha"/>
          <w:sz w:val="22"/>
          <w:szCs w:val="22"/>
        </w:rPr>
      </w:pPr>
      <w:r>
        <w:rPr>
          <w:rFonts w:ascii="Arial Narrow" w:hAnsi="Arial Narrow" w:cs="Gisha"/>
          <w:sz w:val="22"/>
          <w:szCs w:val="22"/>
        </w:rPr>
        <w:t>Las operaciones realizadas en la vigencia 2015 por este proyecto fueron las siguientes:</w:t>
      </w:r>
    </w:p>
    <w:p w:rsidR="009F6DFC" w:rsidRDefault="009F6DFC" w:rsidP="009F6DFC">
      <w:pPr>
        <w:jc w:val="both"/>
        <w:rPr>
          <w:rFonts w:ascii="Arial Narrow" w:hAnsi="Arial Narrow" w:cs="Gisha"/>
          <w:sz w:val="22"/>
          <w:szCs w:val="22"/>
        </w:rPr>
      </w:pPr>
    </w:p>
    <w:p w:rsidR="009F6DFC" w:rsidRPr="00C560F5" w:rsidRDefault="009F6DFC" w:rsidP="00853B3A">
      <w:pPr>
        <w:pStyle w:val="Prrafodelista"/>
        <w:numPr>
          <w:ilvl w:val="0"/>
          <w:numId w:val="23"/>
        </w:numPr>
        <w:jc w:val="both"/>
        <w:rPr>
          <w:rFonts w:cs="Gisha"/>
          <w:sz w:val="22"/>
          <w:szCs w:val="22"/>
        </w:rPr>
      </w:pPr>
      <w:r>
        <w:rPr>
          <w:rFonts w:cs="Gisha"/>
          <w:sz w:val="22"/>
          <w:szCs w:val="22"/>
        </w:rPr>
        <w:t xml:space="preserve">El valor de </w:t>
      </w:r>
      <w:r w:rsidRPr="00640F30">
        <w:rPr>
          <w:rFonts w:cs="Gisha"/>
          <w:sz w:val="22"/>
          <w:szCs w:val="22"/>
        </w:rPr>
        <w:t xml:space="preserve">$ </w:t>
      </w:r>
      <w:r>
        <w:rPr>
          <w:rFonts w:cs="Gisha"/>
          <w:sz w:val="22"/>
          <w:szCs w:val="22"/>
        </w:rPr>
        <w:t xml:space="preserve">12.419.524 </w:t>
      </w:r>
      <w:r w:rsidRPr="00640F30">
        <w:rPr>
          <w:rFonts w:cs="Gisha"/>
          <w:sz w:val="22"/>
          <w:szCs w:val="22"/>
        </w:rPr>
        <w:t>miles</w:t>
      </w:r>
      <w:r>
        <w:rPr>
          <w:rFonts w:cs="Gisha"/>
          <w:sz w:val="22"/>
          <w:szCs w:val="22"/>
        </w:rPr>
        <w:t xml:space="preserve"> inversión del privado.</w:t>
      </w:r>
    </w:p>
    <w:p w:rsidR="009F6DFC" w:rsidRDefault="009F6DFC" w:rsidP="009F6DF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Gisha"/>
          <w:b w:val="0"/>
          <w:bCs w:val="0"/>
          <w:color w:val="auto"/>
          <w:sz w:val="22"/>
          <w:szCs w:val="22"/>
          <w:lang w:val="es-ES"/>
        </w:rPr>
      </w:pPr>
    </w:p>
    <w:p w:rsidR="009F6DFC" w:rsidRPr="001A2AC2" w:rsidRDefault="009F6DFC" w:rsidP="009F6DFC">
      <w:pPr>
        <w:pStyle w:val="Textoindependiente2"/>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Pr>
          <w:rFonts w:ascii="Arial Narrow" w:hAnsi="Arial Narrow" w:cs="Gisha"/>
          <w:b w:val="0"/>
          <w:bCs w:val="0"/>
          <w:color w:val="auto"/>
          <w:sz w:val="22"/>
          <w:szCs w:val="22"/>
        </w:rPr>
        <w:t xml:space="preserve">El reconocimiento detallado en las todas las concesiones </w:t>
      </w:r>
      <w:r w:rsidR="00347B24">
        <w:rPr>
          <w:rFonts w:ascii="Arial Narrow" w:hAnsi="Arial Narrow" w:cs="Gisha"/>
          <w:b w:val="0"/>
          <w:bCs w:val="0"/>
          <w:color w:val="auto"/>
          <w:sz w:val="22"/>
          <w:szCs w:val="22"/>
        </w:rPr>
        <w:t xml:space="preserve">del modo carretero </w:t>
      </w:r>
      <w:r>
        <w:rPr>
          <w:rFonts w:ascii="Arial Narrow" w:hAnsi="Arial Narrow" w:cs="Gisha"/>
          <w:b w:val="0"/>
          <w:bCs w:val="0"/>
          <w:color w:val="auto"/>
          <w:sz w:val="22"/>
          <w:szCs w:val="22"/>
        </w:rPr>
        <w:t>se efectuó de acuerdo a los</w:t>
      </w:r>
      <w:r w:rsidRPr="001A2AC2">
        <w:rPr>
          <w:rFonts w:ascii="Arial Narrow" w:hAnsi="Arial Narrow" w:cs="Gisha"/>
          <w:b w:val="0"/>
          <w:bCs w:val="0"/>
          <w:color w:val="auto"/>
          <w:sz w:val="22"/>
          <w:szCs w:val="22"/>
          <w:lang w:val="es-ES"/>
        </w:rPr>
        <w:t xml:space="preserve"> informes de e</w:t>
      </w:r>
      <w:r w:rsidR="009731C5">
        <w:rPr>
          <w:rFonts w:ascii="Arial Narrow" w:hAnsi="Arial Narrow" w:cs="Gisha"/>
          <w:b w:val="0"/>
          <w:bCs w:val="0"/>
          <w:color w:val="auto"/>
          <w:sz w:val="22"/>
          <w:szCs w:val="22"/>
          <w:lang w:val="es-ES"/>
        </w:rPr>
        <w:t>jecución de recursos</w:t>
      </w:r>
      <w:r w:rsidRPr="001A2AC2">
        <w:rPr>
          <w:rFonts w:ascii="Arial Narrow" w:hAnsi="Arial Narrow" w:cs="Gisha"/>
          <w:b w:val="0"/>
          <w:bCs w:val="0"/>
          <w:color w:val="auto"/>
          <w:sz w:val="22"/>
          <w:szCs w:val="22"/>
          <w:lang w:val="es-ES"/>
        </w:rPr>
        <w:t xml:space="preserve"> </w:t>
      </w:r>
      <w:r w:rsidR="009731C5" w:rsidRPr="009731C5">
        <w:rPr>
          <w:rFonts w:ascii="Arial Narrow" w:hAnsi="Arial Narrow" w:cs="Gisha"/>
          <w:b w:val="0"/>
          <w:bCs w:val="0"/>
          <w:color w:val="auto"/>
          <w:sz w:val="22"/>
          <w:szCs w:val="22"/>
          <w:lang w:val="es-ES"/>
        </w:rPr>
        <w:t>y</w:t>
      </w:r>
      <w:r w:rsidR="009731C5">
        <w:rPr>
          <w:rFonts w:ascii="Arial Narrow" w:hAnsi="Arial Narrow" w:cs="Gisha"/>
          <w:b w:val="0"/>
          <w:bCs w:val="0"/>
          <w:color w:val="FFC000"/>
          <w:sz w:val="22"/>
          <w:szCs w:val="22"/>
          <w:lang w:val="es-ES"/>
        </w:rPr>
        <w:t xml:space="preserve"> </w:t>
      </w:r>
      <w:r w:rsidR="009731C5">
        <w:rPr>
          <w:rFonts w:ascii="Arial Narrow" w:hAnsi="Arial Narrow" w:cs="Gisha"/>
          <w:b w:val="0"/>
          <w:bCs w:val="0"/>
          <w:color w:val="auto"/>
          <w:sz w:val="22"/>
          <w:szCs w:val="22"/>
          <w:lang w:val="es-ES"/>
        </w:rPr>
        <w:t xml:space="preserve">al </w:t>
      </w:r>
      <w:r w:rsidRPr="001A2AC2">
        <w:rPr>
          <w:rFonts w:ascii="Arial Narrow" w:hAnsi="Arial Narrow" w:cs="Gisha"/>
          <w:b w:val="0"/>
          <w:bCs w:val="0"/>
          <w:color w:val="auto"/>
          <w:sz w:val="22"/>
          <w:szCs w:val="22"/>
          <w:lang w:val="es-ES"/>
        </w:rPr>
        <w:t>procedimiento y formato</w:t>
      </w:r>
      <w:r w:rsidR="009731C5">
        <w:rPr>
          <w:rFonts w:ascii="Arial Narrow" w:hAnsi="Arial Narrow" w:cs="Gisha"/>
          <w:b w:val="0"/>
          <w:bCs w:val="0"/>
          <w:color w:val="auto"/>
          <w:sz w:val="22"/>
          <w:szCs w:val="22"/>
          <w:lang w:val="es-ES"/>
        </w:rPr>
        <w:t xml:space="preserve">s diseñados </w:t>
      </w:r>
      <w:r w:rsidRPr="001A2AC2">
        <w:rPr>
          <w:rFonts w:ascii="Arial Narrow" w:hAnsi="Arial Narrow" w:cs="Gisha"/>
          <w:b w:val="0"/>
          <w:bCs w:val="0"/>
          <w:color w:val="auto"/>
          <w:sz w:val="22"/>
          <w:szCs w:val="22"/>
          <w:lang w:val="es-ES"/>
        </w:rPr>
        <w:t>para el seguimiento y control de los recursos estatales entregados y su</w:t>
      </w:r>
      <w:r>
        <w:rPr>
          <w:rFonts w:ascii="Arial Narrow" w:hAnsi="Arial Narrow" w:cs="Gisha"/>
          <w:b w:val="0"/>
          <w:bCs w:val="0"/>
          <w:color w:val="auto"/>
          <w:sz w:val="22"/>
          <w:szCs w:val="22"/>
          <w:lang w:val="es-ES"/>
        </w:rPr>
        <w:t xml:space="preserve">s </w:t>
      </w:r>
      <w:r w:rsidRPr="001A2AC2">
        <w:rPr>
          <w:rFonts w:ascii="Arial Narrow" w:hAnsi="Arial Narrow" w:cs="Gisha"/>
          <w:b w:val="0"/>
          <w:bCs w:val="0"/>
          <w:color w:val="auto"/>
          <w:sz w:val="22"/>
          <w:szCs w:val="22"/>
          <w:lang w:val="es-ES"/>
        </w:rPr>
        <w:t>correspondientes ejecuciones</w:t>
      </w:r>
      <w:r w:rsidR="00347B24">
        <w:rPr>
          <w:rFonts w:ascii="Arial Narrow" w:hAnsi="Arial Narrow" w:cs="Gisha"/>
          <w:b w:val="0"/>
          <w:bCs w:val="0"/>
          <w:color w:val="auto"/>
          <w:sz w:val="22"/>
          <w:szCs w:val="22"/>
          <w:lang w:val="es-ES"/>
        </w:rPr>
        <w:t>, respectivamente</w:t>
      </w:r>
      <w:r w:rsidRPr="001A2AC2">
        <w:rPr>
          <w:rFonts w:ascii="Arial Narrow" w:hAnsi="Arial Narrow" w:cs="Gisha"/>
          <w:b w:val="0"/>
          <w:bCs w:val="0"/>
          <w:color w:val="auto"/>
          <w:sz w:val="22"/>
          <w:szCs w:val="22"/>
          <w:lang w:val="es-ES"/>
        </w:rPr>
        <w:t xml:space="preserve">. Esta información viene debidamente avalada por la Interventoría de cada proyecto de concesión y con el visto bueno del supervisor. </w:t>
      </w:r>
      <w:r>
        <w:rPr>
          <w:rFonts w:ascii="Arial Narrow" w:hAnsi="Arial Narrow" w:cs="Gisha"/>
          <w:b w:val="0"/>
          <w:bCs w:val="0"/>
          <w:color w:val="auto"/>
          <w:sz w:val="22"/>
          <w:szCs w:val="22"/>
          <w:lang w:val="es-ES"/>
        </w:rPr>
        <w:t xml:space="preserve">Igualmente al formato GCSP-F-008 Informe semestral Inversión de Capital Privado modo carretero </w:t>
      </w:r>
      <w:r w:rsidRPr="001A2AC2">
        <w:rPr>
          <w:rFonts w:ascii="Arial Narrow" w:hAnsi="Arial Narrow" w:cs="Gisha"/>
          <w:b w:val="0"/>
          <w:bCs w:val="0"/>
          <w:color w:val="auto"/>
          <w:sz w:val="22"/>
          <w:szCs w:val="22"/>
          <w:lang w:val="es-ES"/>
        </w:rPr>
        <w:t>certificada por los concesionarios en los proyectos de concesiones gestionados por INVIAS (antes de la creación de</w:t>
      </w:r>
      <w:r w:rsidR="00347B24">
        <w:rPr>
          <w:rFonts w:ascii="Arial Narrow" w:hAnsi="Arial Narrow" w:cs="Gisha"/>
          <w:b w:val="0"/>
          <w:bCs w:val="0"/>
          <w:color w:val="auto"/>
          <w:sz w:val="22"/>
          <w:szCs w:val="22"/>
          <w:lang w:val="es-ES"/>
        </w:rPr>
        <w:t xml:space="preserve">l Instituto Nacional de Concesiones hoy </w:t>
      </w:r>
      <w:r w:rsidRPr="001A2AC2">
        <w:rPr>
          <w:rFonts w:ascii="Arial Narrow" w:hAnsi="Arial Narrow" w:cs="Gisha"/>
          <w:b w:val="0"/>
          <w:bCs w:val="0"/>
          <w:color w:val="auto"/>
          <w:sz w:val="22"/>
          <w:szCs w:val="22"/>
          <w:lang w:val="es-ES"/>
        </w:rPr>
        <w:t xml:space="preserve">Agencia Nacional de Infraestructura); según los lineamientos </w:t>
      </w:r>
      <w:r w:rsidRPr="001A2AC2">
        <w:rPr>
          <w:rFonts w:ascii="Arial Narrow" w:hAnsi="Arial Narrow" w:cs="Gisha"/>
          <w:b w:val="0"/>
          <w:bCs w:val="0"/>
          <w:color w:val="auto"/>
          <w:sz w:val="22"/>
          <w:szCs w:val="22"/>
          <w:lang w:val="es-ES"/>
        </w:rPr>
        <w:lastRenderedPageBreak/>
        <w:t>establecidos por la Contaduría General de la Nación se registró la infraestructura en la cuenta 1711 y la Propiedad planta y equipo en la subcuenta 192011 Bienes muebles entregados en Concesión.</w:t>
      </w:r>
    </w:p>
    <w:p w:rsidR="009F6DFC" w:rsidRDefault="009F6DFC" w:rsidP="009F6DFC">
      <w:pPr>
        <w:jc w:val="both"/>
        <w:rPr>
          <w:rFonts w:cs="Gisha"/>
          <w:sz w:val="22"/>
          <w:szCs w:val="22"/>
        </w:rPr>
      </w:pPr>
    </w:p>
    <w:p w:rsidR="00A9706E" w:rsidRPr="00347B24" w:rsidRDefault="00003BD1" w:rsidP="00347B24">
      <w:pPr>
        <w:ind w:firstLine="708"/>
        <w:jc w:val="both"/>
        <w:rPr>
          <w:rFonts w:ascii="Arial Narrow" w:hAnsi="Arial Narrow" w:cs="Gisha"/>
          <w:b/>
          <w:sz w:val="22"/>
          <w:szCs w:val="22"/>
        </w:rPr>
      </w:pPr>
      <w:r>
        <w:rPr>
          <w:rFonts w:ascii="Arial Narrow" w:hAnsi="Arial Narrow" w:cs="Gisha"/>
          <w:b/>
          <w:sz w:val="22"/>
          <w:szCs w:val="22"/>
        </w:rPr>
        <w:t>RED FÉ</w:t>
      </w:r>
      <w:r w:rsidR="00A9706E" w:rsidRPr="00347B24">
        <w:rPr>
          <w:rFonts w:ascii="Arial Narrow" w:hAnsi="Arial Narrow" w:cs="Gisha"/>
          <w:b/>
          <w:sz w:val="22"/>
          <w:szCs w:val="22"/>
        </w:rPr>
        <w:t>RREA</w:t>
      </w:r>
    </w:p>
    <w:p w:rsidR="00A9706E" w:rsidRDefault="00A9706E" w:rsidP="009F6DFC">
      <w:pPr>
        <w:jc w:val="both"/>
        <w:rPr>
          <w:rFonts w:cs="Gisha"/>
          <w:sz w:val="22"/>
          <w:szCs w:val="22"/>
        </w:rPr>
      </w:pP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sidRPr="00E0775D">
        <w:rPr>
          <w:rFonts w:ascii="Arial Narrow" w:hAnsi="Arial Narrow" w:cs="Gisha"/>
          <w:b w:val="0"/>
          <w:bCs w:val="0"/>
          <w:color w:val="auto"/>
          <w:sz w:val="22"/>
          <w:szCs w:val="22"/>
        </w:rPr>
        <w:t>En la cuenta Red Férrea tanto en construcción como en servicio se registra el valor de la inversión privada en infraestructura de los proyectos de concesiones, ésta información es recibida en los formatos internos establecidos y se encuentra avalada por la interventoría</w:t>
      </w:r>
      <w:r w:rsidR="00347B24">
        <w:rPr>
          <w:rFonts w:ascii="Arial Narrow" w:hAnsi="Arial Narrow" w:cs="Gisha"/>
          <w:b w:val="0"/>
          <w:bCs w:val="0"/>
          <w:color w:val="auto"/>
          <w:sz w:val="22"/>
          <w:szCs w:val="22"/>
        </w:rPr>
        <w:t xml:space="preserve"> y supervisión de los </w:t>
      </w:r>
      <w:r w:rsidRPr="00E0775D">
        <w:rPr>
          <w:rFonts w:ascii="Arial Narrow" w:hAnsi="Arial Narrow" w:cs="Gisha"/>
          <w:b w:val="0"/>
          <w:bCs w:val="0"/>
          <w:color w:val="auto"/>
          <w:sz w:val="22"/>
          <w:szCs w:val="22"/>
        </w:rPr>
        <w:t>proyectos de concesión</w:t>
      </w:r>
      <w:r w:rsidR="00347B24">
        <w:rPr>
          <w:rFonts w:ascii="Arial Narrow" w:hAnsi="Arial Narrow" w:cs="Gisha"/>
          <w:b w:val="0"/>
          <w:bCs w:val="0"/>
          <w:color w:val="auto"/>
          <w:sz w:val="22"/>
          <w:szCs w:val="22"/>
        </w:rPr>
        <w:t xml:space="preserve"> que se relacionarán más adelante.</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Pr="001A2AC2"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t xml:space="preserve">Así mismo </w:t>
      </w:r>
      <w:r w:rsidRPr="00E0775D">
        <w:rPr>
          <w:rFonts w:ascii="Arial Narrow" w:hAnsi="Arial Narrow" w:cs="Gisha"/>
          <w:b w:val="0"/>
          <w:bCs w:val="0"/>
          <w:color w:val="auto"/>
          <w:sz w:val="22"/>
          <w:szCs w:val="22"/>
        </w:rPr>
        <w:t xml:space="preserve">los pagos realizados en virtud de los contratos </w:t>
      </w:r>
      <w:r w:rsidRPr="001A2AC2">
        <w:rPr>
          <w:rFonts w:ascii="Arial Narrow" w:hAnsi="Arial Narrow" w:cs="Gisha"/>
          <w:b w:val="0"/>
          <w:bCs w:val="0"/>
          <w:color w:val="auto"/>
          <w:sz w:val="22"/>
          <w:szCs w:val="22"/>
        </w:rPr>
        <w:t>de obra Nos 356 y 418, con el Consorcio Dracol y Unión temporal Ferroviaria Central, respectivamente, cuyos objetos consisten</w:t>
      </w:r>
      <w:r w:rsidR="00347B24">
        <w:rPr>
          <w:rFonts w:ascii="Arial Narrow" w:hAnsi="Arial Narrow" w:cs="Gisha"/>
          <w:b w:val="0"/>
          <w:bCs w:val="0"/>
          <w:color w:val="auto"/>
          <w:sz w:val="22"/>
          <w:szCs w:val="22"/>
        </w:rPr>
        <w:t>,</w:t>
      </w:r>
      <w:r w:rsidRPr="001A2AC2">
        <w:rPr>
          <w:rFonts w:ascii="Arial Narrow" w:hAnsi="Arial Narrow" w:cs="Gisha"/>
          <w:b w:val="0"/>
          <w:bCs w:val="0"/>
          <w:color w:val="auto"/>
          <w:sz w:val="22"/>
          <w:szCs w:val="22"/>
        </w:rPr>
        <w:t xml:space="preserve"> en su orden,  en la reparación y atención de puntos críticos así como la administración, mejoramiento, mantenimiento, vigilancia y control de tráfico de l</w:t>
      </w:r>
      <w:r w:rsidR="00347B24">
        <w:rPr>
          <w:rFonts w:ascii="Arial Narrow" w:hAnsi="Arial Narrow" w:cs="Gisha"/>
          <w:b w:val="0"/>
          <w:bCs w:val="0"/>
          <w:color w:val="auto"/>
          <w:sz w:val="22"/>
          <w:szCs w:val="22"/>
        </w:rPr>
        <w:t>os  tramos férreos (i</w:t>
      </w:r>
      <w:r w:rsidRPr="001A2AC2">
        <w:rPr>
          <w:rFonts w:ascii="Arial Narrow" w:hAnsi="Arial Narrow" w:cs="Gisha"/>
          <w:b w:val="0"/>
          <w:bCs w:val="0"/>
          <w:color w:val="auto"/>
          <w:sz w:val="22"/>
          <w:szCs w:val="22"/>
        </w:rPr>
        <w:t xml:space="preserve">) Bogotá (PK 5) – Belencito (PK 262); La Caro(PK 32+628) – Zipaquirá (PK53); y Bogotá </w:t>
      </w:r>
      <w:r w:rsidR="00347B24">
        <w:rPr>
          <w:rFonts w:ascii="Arial Narrow" w:hAnsi="Arial Narrow" w:cs="Gisha"/>
          <w:b w:val="0"/>
          <w:bCs w:val="0"/>
          <w:color w:val="auto"/>
          <w:sz w:val="22"/>
          <w:szCs w:val="22"/>
        </w:rPr>
        <w:t>(PK 5) – Facatativá (PK 35+871) y</w:t>
      </w:r>
      <w:r w:rsidRPr="00E0775D">
        <w:rPr>
          <w:rFonts w:ascii="Arial Narrow" w:hAnsi="Arial Narrow" w:cs="Gisha"/>
          <w:b w:val="0"/>
          <w:bCs w:val="0"/>
          <w:color w:val="auto"/>
          <w:sz w:val="22"/>
          <w:szCs w:val="22"/>
        </w:rPr>
        <w:t xml:space="preserve"> </w:t>
      </w:r>
      <w:r w:rsidRPr="001A2AC2">
        <w:rPr>
          <w:rFonts w:ascii="Arial Narrow" w:hAnsi="Arial Narrow" w:cs="Gisha"/>
          <w:b w:val="0"/>
          <w:bCs w:val="0"/>
          <w:color w:val="auto"/>
          <w:sz w:val="22"/>
          <w:szCs w:val="22"/>
        </w:rPr>
        <w:t>(ii) La Dorada (PK 201+502) – Chiriguaná (PK 722+683); Puerto Berrío (PK 328+100) – Cabañas (PK 361+199) y en el ramal de Puerto Capulco, que se ubica entre las abscisas PK 597+394,08 (Cambiavías sur) y PK 598+253,54 (cambiavías norte) que finaliza en la abscisa PK 601+976,20.</w:t>
      </w:r>
    </w:p>
    <w:p w:rsidR="0024736A" w:rsidRDefault="0024736A" w:rsidP="0024736A">
      <w:pPr>
        <w:jc w:val="both"/>
        <w:rPr>
          <w:rFonts w:ascii="Arial Narrow" w:hAnsi="Arial Narrow" w:cs="Gisha"/>
          <w:sz w:val="22"/>
          <w:szCs w:val="22"/>
        </w:rPr>
      </w:pPr>
    </w:p>
    <w:p w:rsidR="0024736A" w:rsidRPr="00347B24" w:rsidRDefault="0024736A" w:rsidP="00853B3A">
      <w:pPr>
        <w:pStyle w:val="Prrafodelista"/>
        <w:numPr>
          <w:ilvl w:val="0"/>
          <w:numId w:val="24"/>
        </w:numPr>
        <w:jc w:val="both"/>
        <w:rPr>
          <w:rFonts w:cs="Gisha"/>
          <w:sz w:val="22"/>
          <w:szCs w:val="22"/>
          <w:u w:val="single"/>
        </w:rPr>
      </w:pPr>
      <w:r w:rsidRPr="00347B24">
        <w:rPr>
          <w:rFonts w:cs="Gisha"/>
          <w:sz w:val="22"/>
          <w:szCs w:val="22"/>
          <w:u w:val="single"/>
        </w:rPr>
        <w:t>Red Férrea del Atlántico - FENOCO</w:t>
      </w:r>
    </w:p>
    <w:p w:rsidR="0024736A" w:rsidRDefault="0024736A" w:rsidP="0024736A">
      <w:pPr>
        <w:jc w:val="both"/>
        <w:rPr>
          <w:rFonts w:cs="Gisha"/>
          <w:sz w:val="22"/>
          <w:szCs w:val="22"/>
        </w:rPr>
      </w:pPr>
    </w:p>
    <w:p w:rsidR="0024736A" w:rsidRDefault="0024736A" w:rsidP="0024736A">
      <w:pPr>
        <w:jc w:val="both"/>
        <w:rPr>
          <w:rFonts w:ascii="Arial Narrow" w:hAnsi="Arial Narrow" w:cs="Gisha"/>
          <w:sz w:val="22"/>
          <w:szCs w:val="22"/>
        </w:rPr>
      </w:pPr>
      <w:r w:rsidRPr="00C2134B">
        <w:rPr>
          <w:rFonts w:ascii="Arial Narrow" w:hAnsi="Arial Narrow" w:cs="Gisha"/>
          <w:sz w:val="22"/>
          <w:szCs w:val="22"/>
        </w:rPr>
        <w:t xml:space="preserve">La </w:t>
      </w:r>
      <w:r>
        <w:rPr>
          <w:rFonts w:ascii="Arial Narrow" w:hAnsi="Arial Narrow" w:cs="Gisha"/>
          <w:sz w:val="22"/>
          <w:szCs w:val="22"/>
        </w:rPr>
        <w:t>Red Férrea del Atlántico a 31 de diciembre de 2015, presenta un valor de $12.575.139 miles correspondiente a infraestructura en construcción y $ 541.098.474 miles en infraestructura en servicio.</w:t>
      </w:r>
    </w:p>
    <w:p w:rsidR="0024736A" w:rsidRDefault="0024736A" w:rsidP="0024736A">
      <w:pPr>
        <w:jc w:val="both"/>
        <w:rPr>
          <w:rFonts w:ascii="Arial Narrow" w:hAnsi="Arial Narrow" w:cs="Gisha"/>
          <w:sz w:val="22"/>
          <w:szCs w:val="22"/>
        </w:rPr>
      </w:pPr>
    </w:p>
    <w:p w:rsidR="0024736A" w:rsidRDefault="0024736A" w:rsidP="0024736A">
      <w:pPr>
        <w:jc w:val="both"/>
        <w:rPr>
          <w:rFonts w:ascii="Arial Narrow" w:hAnsi="Arial Narrow" w:cs="Gisha"/>
          <w:sz w:val="22"/>
          <w:szCs w:val="22"/>
        </w:rPr>
      </w:pPr>
      <w:r>
        <w:rPr>
          <w:rFonts w:ascii="Arial Narrow" w:hAnsi="Arial Narrow" w:cs="Gisha"/>
          <w:sz w:val="22"/>
          <w:szCs w:val="22"/>
        </w:rPr>
        <w:t>Las operaciones realizadas en la vigencia 2015 por este proyecto fueron las siguientes:</w:t>
      </w:r>
    </w:p>
    <w:p w:rsidR="0024736A" w:rsidRDefault="0024736A" w:rsidP="0024736A">
      <w:pPr>
        <w:jc w:val="both"/>
        <w:rPr>
          <w:rFonts w:ascii="Arial Narrow" w:hAnsi="Arial Narrow" w:cs="Gisha"/>
          <w:sz w:val="22"/>
          <w:szCs w:val="22"/>
        </w:rPr>
      </w:pPr>
    </w:p>
    <w:p w:rsidR="0024736A" w:rsidRDefault="0024736A" w:rsidP="00853B3A">
      <w:pPr>
        <w:pStyle w:val="Prrafodelista"/>
        <w:numPr>
          <w:ilvl w:val="0"/>
          <w:numId w:val="23"/>
        </w:numPr>
        <w:jc w:val="both"/>
        <w:rPr>
          <w:rFonts w:cs="Gisha"/>
          <w:sz w:val="22"/>
          <w:szCs w:val="22"/>
        </w:rPr>
      </w:pPr>
      <w:r>
        <w:rPr>
          <w:rFonts w:cs="Gisha"/>
          <w:sz w:val="22"/>
          <w:szCs w:val="22"/>
        </w:rPr>
        <w:t>El valor de $ 21.482.435 miles de inversión de capital privado</w:t>
      </w:r>
    </w:p>
    <w:p w:rsidR="0024736A" w:rsidRDefault="0024736A" w:rsidP="0024736A">
      <w:pPr>
        <w:jc w:val="both"/>
        <w:rPr>
          <w:rFonts w:cs="Gisha"/>
          <w:sz w:val="22"/>
          <w:szCs w:val="22"/>
        </w:rPr>
      </w:pPr>
    </w:p>
    <w:p w:rsidR="0024736A" w:rsidRPr="00347B24" w:rsidRDefault="0024736A" w:rsidP="00853B3A">
      <w:pPr>
        <w:pStyle w:val="Prrafodelista"/>
        <w:numPr>
          <w:ilvl w:val="0"/>
          <w:numId w:val="24"/>
        </w:numPr>
        <w:jc w:val="both"/>
        <w:rPr>
          <w:rFonts w:cs="Gisha"/>
          <w:sz w:val="22"/>
          <w:szCs w:val="22"/>
          <w:u w:val="single"/>
        </w:rPr>
      </w:pPr>
      <w:r w:rsidRPr="00347B24">
        <w:rPr>
          <w:rFonts w:cs="Gisha"/>
          <w:sz w:val="22"/>
          <w:szCs w:val="22"/>
          <w:u w:val="single"/>
        </w:rPr>
        <w:t>Red Férrea del Pacifico</w:t>
      </w:r>
    </w:p>
    <w:p w:rsidR="0024736A" w:rsidRDefault="0024736A" w:rsidP="0024736A">
      <w:pPr>
        <w:jc w:val="both"/>
        <w:rPr>
          <w:rFonts w:cs="Gisha"/>
          <w:sz w:val="22"/>
          <w:szCs w:val="22"/>
        </w:rPr>
      </w:pPr>
    </w:p>
    <w:p w:rsidR="0024736A" w:rsidRDefault="00347B24" w:rsidP="0024736A">
      <w:pPr>
        <w:jc w:val="both"/>
        <w:rPr>
          <w:rFonts w:ascii="Arial Narrow" w:hAnsi="Arial Narrow" w:cs="Gisha"/>
          <w:sz w:val="22"/>
          <w:szCs w:val="22"/>
        </w:rPr>
      </w:pPr>
      <w:r>
        <w:rPr>
          <w:rFonts w:ascii="Arial Narrow" w:hAnsi="Arial Narrow" w:cs="Gisha"/>
          <w:sz w:val="22"/>
          <w:szCs w:val="22"/>
        </w:rPr>
        <w:t>L</w:t>
      </w:r>
      <w:r w:rsidR="0024736A">
        <w:rPr>
          <w:rFonts w:ascii="Arial Narrow" w:hAnsi="Arial Narrow" w:cs="Gisha"/>
          <w:sz w:val="22"/>
          <w:szCs w:val="22"/>
        </w:rPr>
        <w:t>a Red férrea del Pacifico</w:t>
      </w:r>
      <w:r>
        <w:rPr>
          <w:rFonts w:ascii="Arial Narrow" w:hAnsi="Arial Narrow" w:cs="Gisha"/>
          <w:sz w:val="22"/>
          <w:szCs w:val="22"/>
        </w:rPr>
        <w:t xml:space="preserve"> </w:t>
      </w:r>
      <w:r w:rsidRPr="00347B24">
        <w:rPr>
          <w:rFonts w:ascii="Arial Narrow" w:hAnsi="Arial Narrow" w:cs="Gisha"/>
          <w:sz w:val="22"/>
          <w:szCs w:val="22"/>
        </w:rPr>
        <w:t xml:space="preserve">a 31 de diciembre de 2015  </w:t>
      </w:r>
      <w:r w:rsidR="0024736A">
        <w:rPr>
          <w:rFonts w:ascii="Arial Narrow" w:hAnsi="Arial Narrow" w:cs="Gisha"/>
          <w:sz w:val="22"/>
          <w:szCs w:val="22"/>
        </w:rPr>
        <w:t>presenta en infraestructura en construcción el valor de $11.167.353 miles y en servicio el valor de $ 162.094.050 miles.</w:t>
      </w:r>
    </w:p>
    <w:p w:rsidR="0024736A" w:rsidRDefault="0024736A" w:rsidP="0024736A">
      <w:pPr>
        <w:jc w:val="both"/>
        <w:rPr>
          <w:rFonts w:ascii="Arial Narrow" w:hAnsi="Arial Narrow" w:cs="Gisha"/>
          <w:sz w:val="22"/>
          <w:szCs w:val="22"/>
        </w:rPr>
      </w:pPr>
    </w:p>
    <w:p w:rsidR="0024736A" w:rsidRDefault="0024736A" w:rsidP="0024736A">
      <w:pPr>
        <w:jc w:val="both"/>
        <w:rPr>
          <w:rFonts w:ascii="Arial Narrow" w:hAnsi="Arial Narrow" w:cs="Gisha"/>
          <w:sz w:val="22"/>
          <w:szCs w:val="22"/>
        </w:rPr>
      </w:pPr>
      <w:r>
        <w:rPr>
          <w:rFonts w:ascii="Arial Narrow" w:hAnsi="Arial Narrow" w:cs="Gisha"/>
          <w:sz w:val="22"/>
          <w:szCs w:val="22"/>
        </w:rPr>
        <w:t>Las operaciones realizadas en la vigencia 2015 por este proyecto fueron las siguientes:</w:t>
      </w:r>
    </w:p>
    <w:p w:rsidR="0024736A" w:rsidRDefault="0024736A" w:rsidP="0024736A">
      <w:pPr>
        <w:jc w:val="both"/>
        <w:rPr>
          <w:rFonts w:ascii="Arial Narrow" w:hAnsi="Arial Narrow" w:cs="Gisha"/>
          <w:sz w:val="22"/>
          <w:szCs w:val="22"/>
        </w:rPr>
      </w:pPr>
    </w:p>
    <w:p w:rsidR="0024736A" w:rsidRPr="00A46F69" w:rsidRDefault="0024736A" w:rsidP="00853B3A">
      <w:pPr>
        <w:pStyle w:val="Prrafodelista"/>
        <w:numPr>
          <w:ilvl w:val="0"/>
          <w:numId w:val="23"/>
        </w:numPr>
        <w:jc w:val="both"/>
        <w:rPr>
          <w:rFonts w:cs="Gisha"/>
          <w:sz w:val="22"/>
          <w:szCs w:val="22"/>
        </w:rPr>
      </w:pPr>
      <w:r w:rsidRPr="00A46F69">
        <w:rPr>
          <w:rFonts w:cs="Gisha"/>
          <w:sz w:val="22"/>
          <w:szCs w:val="22"/>
        </w:rPr>
        <w:t>El valor de $ 38.147.361 miles de inversión de capital privado</w:t>
      </w:r>
    </w:p>
    <w:p w:rsidR="0024736A" w:rsidRDefault="0024736A" w:rsidP="0024736A">
      <w:pPr>
        <w:pStyle w:val="Prrafodelista"/>
        <w:ind w:left="720"/>
        <w:jc w:val="both"/>
        <w:rPr>
          <w:rFonts w:cs="Gisha"/>
          <w:sz w:val="22"/>
          <w:szCs w:val="22"/>
        </w:rPr>
      </w:pPr>
    </w:p>
    <w:p w:rsidR="0024736A" w:rsidRPr="00347B24" w:rsidRDefault="0024736A" w:rsidP="00853B3A">
      <w:pPr>
        <w:pStyle w:val="Prrafodelista"/>
        <w:numPr>
          <w:ilvl w:val="0"/>
          <w:numId w:val="24"/>
        </w:numPr>
        <w:jc w:val="both"/>
        <w:rPr>
          <w:rFonts w:cs="Gisha"/>
          <w:sz w:val="22"/>
          <w:szCs w:val="22"/>
          <w:u w:val="single"/>
        </w:rPr>
      </w:pPr>
      <w:r w:rsidRPr="00347B24">
        <w:rPr>
          <w:rFonts w:cs="Gisha"/>
          <w:sz w:val="22"/>
          <w:szCs w:val="22"/>
          <w:u w:val="single"/>
        </w:rPr>
        <w:t>Tramo Bogotá – Belencito – la Caro - Zipaquirá, Facatativá</w:t>
      </w:r>
    </w:p>
    <w:p w:rsidR="0024736A" w:rsidRPr="00347B24" w:rsidRDefault="0024736A" w:rsidP="0024736A">
      <w:pPr>
        <w:jc w:val="both"/>
        <w:rPr>
          <w:rFonts w:cs="Gisha"/>
          <w:sz w:val="22"/>
          <w:szCs w:val="22"/>
          <w:u w:val="single"/>
        </w:rPr>
      </w:pPr>
    </w:p>
    <w:p w:rsidR="0024736A" w:rsidRDefault="0024736A" w:rsidP="0024736A">
      <w:pPr>
        <w:jc w:val="both"/>
        <w:rPr>
          <w:rFonts w:ascii="Arial Narrow" w:hAnsi="Arial Narrow" w:cs="Gisha"/>
          <w:sz w:val="22"/>
          <w:szCs w:val="22"/>
        </w:rPr>
      </w:pPr>
      <w:r w:rsidRPr="00072AAF">
        <w:rPr>
          <w:rFonts w:ascii="Arial Narrow" w:hAnsi="Arial Narrow" w:cs="Gisha"/>
          <w:sz w:val="22"/>
          <w:szCs w:val="22"/>
        </w:rPr>
        <w:t xml:space="preserve">A 31 de diciembre de 2015 presenta </w:t>
      </w:r>
      <w:r>
        <w:rPr>
          <w:rFonts w:ascii="Arial Narrow" w:hAnsi="Arial Narrow" w:cs="Gisha"/>
          <w:sz w:val="22"/>
          <w:szCs w:val="22"/>
        </w:rPr>
        <w:t xml:space="preserve">en infraestructura en servicio el </w:t>
      </w:r>
      <w:r w:rsidRPr="00072AAF">
        <w:rPr>
          <w:rFonts w:ascii="Arial Narrow" w:hAnsi="Arial Narrow" w:cs="Gisha"/>
          <w:sz w:val="22"/>
          <w:szCs w:val="22"/>
        </w:rPr>
        <w:t>valor de $</w:t>
      </w:r>
      <w:r>
        <w:rPr>
          <w:rFonts w:ascii="Arial Narrow" w:hAnsi="Arial Narrow" w:cs="Gisha"/>
          <w:sz w:val="22"/>
          <w:szCs w:val="22"/>
        </w:rPr>
        <w:t xml:space="preserve"> 95.323.366 miles.</w:t>
      </w:r>
    </w:p>
    <w:p w:rsidR="0024736A" w:rsidRDefault="0024736A" w:rsidP="0024736A">
      <w:pPr>
        <w:jc w:val="both"/>
        <w:rPr>
          <w:rFonts w:ascii="Arial Narrow" w:hAnsi="Arial Narrow" w:cs="Gisha"/>
          <w:sz w:val="22"/>
          <w:szCs w:val="22"/>
        </w:rPr>
      </w:pPr>
    </w:p>
    <w:p w:rsidR="0024736A" w:rsidRDefault="0024736A" w:rsidP="0024736A">
      <w:pPr>
        <w:jc w:val="both"/>
        <w:rPr>
          <w:rFonts w:ascii="Arial Narrow" w:hAnsi="Arial Narrow" w:cs="Gisha"/>
          <w:sz w:val="22"/>
          <w:szCs w:val="22"/>
        </w:rPr>
      </w:pPr>
      <w:r>
        <w:rPr>
          <w:rFonts w:ascii="Arial Narrow" w:hAnsi="Arial Narrow" w:cs="Gisha"/>
          <w:sz w:val="22"/>
          <w:szCs w:val="22"/>
        </w:rPr>
        <w:t>Las operaciones realizadas en la vigencia 2015 por este proyecto fueron las siguientes:</w:t>
      </w:r>
    </w:p>
    <w:p w:rsidR="0024736A" w:rsidRDefault="0024736A" w:rsidP="0024736A">
      <w:pPr>
        <w:jc w:val="both"/>
        <w:rPr>
          <w:rFonts w:ascii="Arial Narrow" w:hAnsi="Arial Narrow" w:cs="Gisha"/>
          <w:sz w:val="22"/>
          <w:szCs w:val="22"/>
        </w:rPr>
      </w:pPr>
    </w:p>
    <w:p w:rsidR="0024736A" w:rsidRPr="00BD31E1" w:rsidRDefault="0024736A" w:rsidP="00853B3A">
      <w:pPr>
        <w:pStyle w:val="Prrafodelista"/>
        <w:numPr>
          <w:ilvl w:val="0"/>
          <w:numId w:val="23"/>
        </w:numPr>
        <w:jc w:val="both"/>
        <w:rPr>
          <w:rFonts w:cs="Gisha"/>
          <w:sz w:val="22"/>
          <w:szCs w:val="22"/>
        </w:rPr>
      </w:pPr>
      <w:r>
        <w:rPr>
          <w:rFonts w:cs="Gisha"/>
          <w:sz w:val="22"/>
          <w:szCs w:val="22"/>
        </w:rPr>
        <w:t xml:space="preserve">El valor de $61.349.265 miles correspondiente a la ejecución correspondiente al avance del contrato No. 356 de 2013 cuyo objeto es la  </w:t>
      </w:r>
      <w:r w:rsidRPr="00BD31E1">
        <w:rPr>
          <w:rFonts w:cs="Gisha"/>
          <w:sz w:val="22"/>
          <w:szCs w:val="22"/>
        </w:rPr>
        <w:t>reparación y atención de puntos críticos así como la administración, mejoramiento, mantenimiento, vigilancia y control de tráfico</w:t>
      </w:r>
      <w:r>
        <w:rPr>
          <w:rFonts w:cs="Gisha"/>
          <w:sz w:val="22"/>
          <w:szCs w:val="22"/>
        </w:rPr>
        <w:t xml:space="preserve"> suscrito con Consorcio DRACOL.</w:t>
      </w:r>
      <w:r w:rsidRPr="00BD31E1">
        <w:rPr>
          <w:rFonts w:cs="Gisha"/>
          <w:sz w:val="22"/>
          <w:szCs w:val="22"/>
        </w:rPr>
        <w:t xml:space="preserve"> </w:t>
      </w:r>
    </w:p>
    <w:p w:rsidR="0024736A" w:rsidRDefault="0024736A" w:rsidP="0024736A">
      <w:pPr>
        <w:jc w:val="both"/>
        <w:rPr>
          <w:rFonts w:ascii="Arial Narrow" w:hAnsi="Arial Narrow" w:cs="Gisha"/>
          <w:sz w:val="22"/>
          <w:szCs w:val="22"/>
        </w:rPr>
      </w:pPr>
    </w:p>
    <w:p w:rsidR="0024736A" w:rsidRDefault="00347B24" w:rsidP="00853B3A">
      <w:pPr>
        <w:pStyle w:val="Prrafodelista"/>
        <w:numPr>
          <w:ilvl w:val="0"/>
          <w:numId w:val="24"/>
        </w:numPr>
        <w:jc w:val="both"/>
        <w:rPr>
          <w:rFonts w:cs="Gisha"/>
          <w:sz w:val="22"/>
          <w:szCs w:val="22"/>
        </w:rPr>
      </w:pPr>
      <w:r>
        <w:rPr>
          <w:rFonts w:cs="Gisha"/>
          <w:sz w:val="22"/>
          <w:szCs w:val="22"/>
        </w:rPr>
        <w:t>Tramo L</w:t>
      </w:r>
      <w:r w:rsidR="0024736A">
        <w:rPr>
          <w:rFonts w:cs="Gisha"/>
          <w:sz w:val="22"/>
          <w:szCs w:val="22"/>
        </w:rPr>
        <w:t>a Dorada –Chiriguana –Puerto Berrio –Ramal de Puerto Capulco.</w:t>
      </w:r>
    </w:p>
    <w:p w:rsidR="0024736A" w:rsidRDefault="0024736A" w:rsidP="0024736A">
      <w:pPr>
        <w:jc w:val="both"/>
        <w:rPr>
          <w:rFonts w:cs="Gisha"/>
          <w:sz w:val="22"/>
          <w:szCs w:val="22"/>
        </w:rPr>
      </w:pPr>
    </w:p>
    <w:p w:rsidR="0024736A" w:rsidRDefault="0024736A" w:rsidP="0024736A">
      <w:pPr>
        <w:jc w:val="both"/>
        <w:rPr>
          <w:rFonts w:ascii="Arial Narrow" w:hAnsi="Arial Narrow" w:cs="Gisha"/>
          <w:sz w:val="22"/>
          <w:szCs w:val="22"/>
        </w:rPr>
      </w:pPr>
      <w:r w:rsidRPr="00DB5B3D">
        <w:rPr>
          <w:rFonts w:ascii="Arial Narrow" w:hAnsi="Arial Narrow" w:cs="Gisha"/>
          <w:sz w:val="22"/>
          <w:szCs w:val="22"/>
        </w:rPr>
        <w:t>A 31 de diciembre de 2015</w:t>
      </w:r>
      <w:r>
        <w:rPr>
          <w:rFonts w:ascii="Arial Narrow" w:hAnsi="Arial Narrow" w:cs="Gisha"/>
          <w:sz w:val="22"/>
          <w:szCs w:val="22"/>
        </w:rPr>
        <w:t xml:space="preserve"> el Tramo la Dorada –Chiriguana –Puerto Berrio –Ramal de Puerto Capulco presenta en infraestructura en servicio el valor de $</w:t>
      </w:r>
      <w:r w:rsidRPr="00DB5B3D">
        <w:rPr>
          <w:rFonts w:ascii="Arial Narrow" w:hAnsi="Arial Narrow" w:cs="Gisha"/>
          <w:sz w:val="22"/>
          <w:szCs w:val="22"/>
        </w:rPr>
        <w:t xml:space="preserve"> </w:t>
      </w:r>
      <w:r>
        <w:rPr>
          <w:rFonts w:ascii="Arial Narrow" w:hAnsi="Arial Narrow" w:cs="Gisha"/>
          <w:sz w:val="22"/>
          <w:szCs w:val="22"/>
        </w:rPr>
        <w:t>86.735.342 miles.</w:t>
      </w:r>
    </w:p>
    <w:p w:rsidR="0024736A" w:rsidRDefault="0024736A" w:rsidP="0024736A">
      <w:pPr>
        <w:jc w:val="both"/>
        <w:rPr>
          <w:rFonts w:ascii="Arial Narrow" w:hAnsi="Arial Narrow" w:cs="Gisha"/>
          <w:sz w:val="22"/>
          <w:szCs w:val="22"/>
        </w:rPr>
      </w:pPr>
      <w:r>
        <w:rPr>
          <w:rFonts w:ascii="Arial Narrow" w:hAnsi="Arial Narrow" w:cs="Gisha"/>
          <w:sz w:val="22"/>
          <w:szCs w:val="22"/>
        </w:rPr>
        <w:lastRenderedPageBreak/>
        <w:t>Las operaciones realizadas en la vigencia 2015 por este proyecto fueron las siguientes:</w:t>
      </w:r>
    </w:p>
    <w:p w:rsidR="0024736A" w:rsidRDefault="0024736A" w:rsidP="0024736A">
      <w:pPr>
        <w:jc w:val="both"/>
        <w:rPr>
          <w:rFonts w:ascii="Arial Narrow" w:hAnsi="Arial Narrow" w:cs="Gisha"/>
          <w:sz w:val="22"/>
          <w:szCs w:val="22"/>
        </w:rPr>
      </w:pPr>
    </w:p>
    <w:p w:rsidR="0024736A" w:rsidRPr="00313478" w:rsidRDefault="0024736A" w:rsidP="00853B3A">
      <w:pPr>
        <w:pStyle w:val="Prrafodelista"/>
        <w:numPr>
          <w:ilvl w:val="0"/>
          <w:numId w:val="23"/>
        </w:numPr>
        <w:jc w:val="both"/>
        <w:rPr>
          <w:rFonts w:cs="Gisha"/>
          <w:sz w:val="22"/>
          <w:szCs w:val="22"/>
        </w:rPr>
      </w:pPr>
      <w:r w:rsidRPr="00313478">
        <w:rPr>
          <w:rFonts w:cs="Gisha"/>
          <w:sz w:val="22"/>
          <w:szCs w:val="22"/>
        </w:rPr>
        <w:t xml:space="preserve">El valor de $44.299.793 miles correspondiente a la ejecución correspondiente al avance del contrato No. 418 de 2013 cuyo objeto es la  reparación y atención de puntos críticos así como la administración, mejoramiento, mantenimiento, vigilancia y control de tráfico suscrito con Unión Temporal Ferroviaria Central. </w:t>
      </w:r>
    </w:p>
    <w:p w:rsidR="0024736A" w:rsidRPr="00DB5B3D" w:rsidRDefault="0024736A" w:rsidP="0024736A">
      <w:pPr>
        <w:pStyle w:val="Prrafodelista"/>
        <w:ind w:left="720"/>
        <w:jc w:val="both"/>
        <w:rPr>
          <w:rFonts w:cs="Gisha"/>
          <w:sz w:val="22"/>
          <w:szCs w:val="22"/>
        </w:rPr>
      </w:pPr>
    </w:p>
    <w:p w:rsidR="0024736A" w:rsidRPr="001A2AC2" w:rsidRDefault="0024736A" w:rsidP="0024736A">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Pr>
          <w:rFonts w:ascii="Arial Narrow" w:hAnsi="Arial Narrow" w:cs="Gisha"/>
          <w:b w:val="0"/>
          <w:bCs w:val="0"/>
          <w:color w:val="auto"/>
          <w:sz w:val="22"/>
          <w:szCs w:val="22"/>
          <w:lang w:val="es-ES"/>
        </w:rPr>
        <w:t xml:space="preserve">En Red Férrea a 31 de diciembre de 2015 </w:t>
      </w:r>
      <w:r w:rsidRPr="001A2AC2">
        <w:rPr>
          <w:rFonts w:ascii="Arial Narrow" w:hAnsi="Arial Narrow" w:cs="Gisha"/>
          <w:b w:val="0"/>
          <w:bCs w:val="0"/>
          <w:color w:val="auto"/>
          <w:sz w:val="22"/>
          <w:szCs w:val="22"/>
          <w:lang w:val="es-ES"/>
        </w:rPr>
        <w:t>presenta un incremento por valor de  $</w:t>
      </w:r>
      <w:r w:rsidRPr="00C215B5">
        <w:rPr>
          <w:rFonts w:ascii="Arial Narrow" w:hAnsi="Arial Narrow" w:cs="Gisha"/>
          <w:b w:val="0"/>
          <w:bCs w:val="0"/>
          <w:color w:val="auto"/>
          <w:sz w:val="22"/>
          <w:szCs w:val="22"/>
          <w:lang w:val="es-ES"/>
        </w:rPr>
        <w:t>146.134.675</w:t>
      </w:r>
      <w:r>
        <w:rPr>
          <w:rFonts w:ascii="Arial Narrow" w:hAnsi="Arial Narrow" w:cs="Gisha"/>
          <w:b w:val="0"/>
          <w:bCs w:val="0"/>
          <w:color w:val="auto"/>
          <w:sz w:val="22"/>
          <w:szCs w:val="22"/>
          <w:lang w:val="es-ES"/>
        </w:rPr>
        <w:t xml:space="preserve"> </w:t>
      </w:r>
      <w:r w:rsidRPr="001A2AC2">
        <w:rPr>
          <w:rFonts w:ascii="Arial Narrow" w:hAnsi="Arial Narrow" w:cs="Gisha"/>
          <w:b w:val="0"/>
          <w:bCs w:val="0"/>
          <w:color w:val="auto"/>
          <w:sz w:val="22"/>
          <w:szCs w:val="22"/>
          <w:lang w:val="es-ES"/>
        </w:rPr>
        <w:t xml:space="preserve">miles que corresponde </w:t>
      </w:r>
      <w:r>
        <w:rPr>
          <w:rFonts w:ascii="Arial Narrow" w:hAnsi="Arial Narrow" w:cs="Gisha"/>
          <w:b w:val="0"/>
          <w:bCs w:val="0"/>
          <w:color w:val="auto"/>
          <w:sz w:val="22"/>
          <w:szCs w:val="22"/>
        </w:rPr>
        <w:t>a</w:t>
      </w:r>
      <w:r w:rsidRPr="001A2AC2">
        <w:rPr>
          <w:rFonts w:ascii="Arial Narrow" w:hAnsi="Arial Narrow" w:cs="Gisha"/>
          <w:b w:val="0"/>
          <w:bCs w:val="0"/>
          <w:color w:val="auto"/>
          <w:sz w:val="22"/>
          <w:szCs w:val="22"/>
        </w:rPr>
        <w:t>l registro de los</w:t>
      </w:r>
      <w:r w:rsidRPr="001A2AC2">
        <w:rPr>
          <w:rFonts w:ascii="Arial Narrow" w:hAnsi="Arial Narrow" w:cs="Gisha"/>
          <w:b w:val="0"/>
          <w:bCs w:val="0"/>
          <w:color w:val="auto"/>
          <w:sz w:val="22"/>
          <w:szCs w:val="22"/>
          <w:lang w:val="es-ES"/>
        </w:rPr>
        <w:t xml:space="preserve"> valores de la inversión privada certificada por los concesionarios en los proyectos de concesiones gestionados por FERROVIAS (antes de la creación del INCO hoy Agencia Nacional de Infraestructura) correspondiente a las concesiones, Red Férrea del Pacífico y Red Férrea del Atlántico, según los lineamientos establecidos por la Contaduría General de la Nación</w:t>
      </w:r>
      <w:r>
        <w:rPr>
          <w:rFonts w:ascii="Arial Narrow" w:hAnsi="Arial Narrow" w:cs="Gisha"/>
          <w:b w:val="0"/>
          <w:bCs w:val="0"/>
          <w:color w:val="auto"/>
          <w:sz w:val="22"/>
          <w:szCs w:val="22"/>
          <w:lang w:val="es-ES"/>
        </w:rPr>
        <w:t xml:space="preserve">, cifras que fueron informadas mediante el </w:t>
      </w:r>
      <w:r w:rsidRPr="001A2AC2">
        <w:rPr>
          <w:rFonts w:ascii="Arial Narrow" w:hAnsi="Arial Narrow" w:cs="Gisha"/>
          <w:b w:val="0"/>
          <w:bCs w:val="0"/>
          <w:color w:val="auto"/>
          <w:sz w:val="22"/>
          <w:szCs w:val="22"/>
          <w:lang w:val="es-ES"/>
        </w:rPr>
        <w:t xml:space="preserve">formato </w:t>
      </w:r>
      <w:r>
        <w:rPr>
          <w:rFonts w:ascii="Arial Narrow" w:hAnsi="Arial Narrow" w:cs="Gisha"/>
          <w:b w:val="0"/>
          <w:bCs w:val="0"/>
          <w:color w:val="auto"/>
          <w:sz w:val="22"/>
          <w:szCs w:val="22"/>
          <w:lang w:val="es-ES"/>
        </w:rPr>
        <w:t xml:space="preserve">GCSP-F-010 </w:t>
      </w:r>
      <w:r w:rsidRPr="001A2AC2">
        <w:rPr>
          <w:rFonts w:ascii="Arial Narrow" w:hAnsi="Arial Narrow" w:cs="Gisha"/>
          <w:b w:val="0"/>
          <w:bCs w:val="0"/>
          <w:color w:val="auto"/>
          <w:sz w:val="22"/>
          <w:szCs w:val="22"/>
          <w:lang w:val="es-ES"/>
        </w:rPr>
        <w:t>establecido</w:t>
      </w:r>
      <w:r>
        <w:rPr>
          <w:rFonts w:ascii="Arial Narrow" w:hAnsi="Arial Narrow" w:cs="Gisha"/>
          <w:b w:val="0"/>
          <w:bCs w:val="0"/>
          <w:color w:val="auto"/>
          <w:sz w:val="22"/>
          <w:szCs w:val="22"/>
          <w:lang w:val="es-ES"/>
        </w:rPr>
        <w:t xml:space="preserve"> por la Agencia</w:t>
      </w:r>
      <w:r w:rsidRPr="001A2AC2">
        <w:rPr>
          <w:rFonts w:ascii="Arial Narrow" w:hAnsi="Arial Narrow" w:cs="Gisha"/>
          <w:b w:val="0"/>
          <w:bCs w:val="0"/>
          <w:color w:val="auto"/>
          <w:sz w:val="22"/>
          <w:szCs w:val="22"/>
          <w:lang w:val="es-ES"/>
        </w:rPr>
        <w:t xml:space="preserve">. </w:t>
      </w:r>
    </w:p>
    <w:p w:rsidR="0024736A" w:rsidRPr="001A2AC2" w:rsidRDefault="0024736A" w:rsidP="0024736A">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284"/>
        <w:rPr>
          <w:rFonts w:ascii="Arial Narrow" w:hAnsi="Arial Narrow" w:cs="Gisha"/>
          <w:b w:val="0"/>
          <w:bCs w:val="0"/>
          <w:color w:val="auto"/>
          <w:sz w:val="22"/>
          <w:szCs w:val="22"/>
        </w:rPr>
      </w:pP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283"/>
        <w:rPr>
          <w:rFonts w:ascii="Arial Narrow" w:hAnsi="Arial Narrow" w:cs="Gisha"/>
          <w:b w:val="0"/>
          <w:bCs w:val="0"/>
          <w:color w:val="auto"/>
          <w:sz w:val="22"/>
          <w:szCs w:val="22"/>
        </w:rPr>
      </w:pPr>
      <w:r>
        <w:rPr>
          <w:rFonts w:ascii="Arial Narrow" w:hAnsi="Arial Narrow" w:cs="Gisha"/>
          <w:b w:val="0"/>
          <w:bCs w:val="0"/>
          <w:color w:val="auto"/>
          <w:sz w:val="22"/>
          <w:szCs w:val="22"/>
        </w:rPr>
        <w:t>Igualmente a</w:t>
      </w:r>
      <w:r w:rsidRPr="001A2AC2">
        <w:rPr>
          <w:rFonts w:ascii="Arial Narrow" w:hAnsi="Arial Narrow" w:cs="Gisha"/>
          <w:b w:val="0"/>
          <w:bCs w:val="0"/>
          <w:color w:val="auto"/>
          <w:sz w:val="22"/>
          <w:szCs w:val="22"/>
        </w:rPr>
        <w:t>l registro de los</w:t>
      </w:r>
      <w:r>
        <w:rPr>
          <w:rFonts w:ascii="Arial Narrow" w:hAnsi="Arial Narrow" w:cs="Gisha"/>
          <w:b w:val="0"/>
          <w:bCs w:val="0"/>
          <w:color w:val="auto"/>
          <w:sz w:val="22"/>
          <w:szCs w:val="22"/>
        </w:rPr>
        <w:t xml:space="preserve"> pagos efec</w:t>
      </w:r>
      <w:r w:rsidR="00347B24">
        <w:rPr>
          <w:rFonts w:ascii="Arial Narrow" w:hAnsi="Arial Narrow" w:cs="Gisha"/>
          <w:b w:val="0"/>
          <w:bCs w:val="0"/>
          <w:color w:val="auto"/>
          <w:sz w:val="22"/>
          <w:szCs w:val="22"/>
        </w:rPr>
        <w:t>tuados a Consorcio Dracol y Unió</w:t>
      </w:r>
      <w:r>
        <w:rPr>
          <w:rFonts w:ascii="Arial Narrow" w:hAnsi="Arial Narrow" w:cs="Gisha"/>
          <w:b w:val="0"/>
          <w:bCs w:val="0"/>
          <w:color w:val="auto"/>
          <w:sz w:val="22"/>
          <w:szCs w:val="22"/>
        </w:rPr>
        <w:t>n Temporal Ferroviaria Central en virtud de los contratos de obra suscritos Nos 356 y 418 de 2013, respectivamente.</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283"/>
        <w:rPr>
          <w:rFonts w:ascii="Arial Narrow" w:hAnsi="Arial Narrow" w:cs="Gisha"/>
          <w:b w:val="0"/>
          <w:bCs w:val="0"/>
          <w:color w:val="auto"/>
          <w:sz w:val="22"/>
          <w:szCs w:val="22"/>
        </w:rPr>
      </w:pPr>
    </w:p>
    <w:p w:rsidR="00A9706E" w:rsidRPr="00347B24" w:rsidRDefault="00347B24"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283"/>
        <w:rPr>
          <w:rFonts w:ascii="Arial Narrow" w:hAnsi="Arial Narrow" w:cs="Gisha"/>
          <w:bCs w:val="0"/>
          <w:color w:val="auto"/>
          <w:sz w:val="22"/>
          <w:szCs w:val="22"/>
        </w:rPr>
      </w:pPr>
      <w:r>
        <w:rPr>
          <w:rFonts w:ascii="Arial Narrow" w:hAnsi="Arial Narrow" w:cs="Gisha"/>
          <w:bCs w:val="0"/>
          <w:color w:val="auto"/>
          <w:sz w:val="22"/>
          <w:szCs w:val="22"/>
        </w:rPr>
        <w:tab/>
      </w:r>
      <w:r w:rsidR="00A9706E" w:rsidRPr="00347B24">
        <w:rPr>
          <w:rFonts w:ascii="Arial Narrow" w:hAnsi="Arial Narrow" w:cs="Gisha"/>
          <w:bCs w:val="0"/>
          <w:color w:val="auto"/>
          <w:sz w:val="22"/>
          <w:szCs w:val="22"/>
        </w:rPr>
        <w:t>RED MARITIMA</w:t>
      </w:r>
    </w:p>
    <w:p w:rsidR="00A9706E" w:rsidRDefault="00A9706E"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283"/>
        <w:rPr>
          <w:rFonts w:ascii="Arial Narrow" w:hAnsi="Arial Narrow" w:cs="Gisha"/>
          <w:b w:val="0"/>
          <w:bCs w:val="0"/>
          <w:color w:val="auto"/>
          <w:sz w:val="22"/>
          <w:szCs w:val="22"/>
        </w:rPr>
      </w:pP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lang w:val="es-ES"/>
        </w:rPr>
      </w:pPr>
      <w:r w:rsidRPr="00E0775D">
        <w:rPr>
          <w:rFonts w:ascii="Arial Narrow" w:hAnsi="Arial Narrow" w:cs="Gisha"/>
          <w:b w:val="0"/>
          <w:bCs w:val="0"/>
          <w:color w:val="auto"/>
          <w:sz w:val="22"/>
          <w:szCs w:val="22"/>
        </w:rPr>
        <w:t xml:space="preserve">En la cuenta Red </w:t>
      </w:r>
      <w:r>
        <w:rPr>
          <w:rFonts w:ascii="Arial Narrow" w:hAnsi="Arial Narrow" w:cs="Gisha"/>
          <w:b w:val="0"/>
          <w:bCs w:val="0"/>
          <w:color w:val="auto"/>
          <w:sz w:val="22"/>
          <w:szCs w:val="22"/>
        </w:rPr>
        <w:t xml:space="preserve">Marítima </w:t>
      </w:r>
      <w:r w:rsidRPr="00E0775D">
        <w:rPr>
          <w:rFonts w:ascii="Arial Narrow" w:hAnsi="Arial Narrow" w:cs="Gisha"/>
          <w:b w:val="0"/>
          <w:bCs w:val="0"/>
          <w:color w:val="auto"/>
          <w:sz w:val="22"/>
          <w:szCs w:val="22"/>
        </w:rPr>
        <w:t>en servicio</w:t>
      </w:r>
      <w:r>
        <w:rPr>
          <w:rFonts w:ascii="Arial Narrow" w:hAnsi="Arial Narrow" w:cs="Gisha"/>
          <w:b w:val="0"/>
          <w:bCs w:val="0"/>
          <w:color w:val="auto"/>
          <w:sz w:val="22"/>
          <w:szCs w:val="22"/>
        </w:rPr>
        <w:t xml:space="preserve"> por valor de $</w:t>
      </w:r>
      <w:r w:rsidRPr="000C3F7F">
        <w:t xml:space="preserve"> </w:t>
      </w:r>
      <w:r w:rsidRPr="000C3F7F">
        <w:rPr>
          <w:rFonts w:ascii="Arial Narrow" w:hAnsi="Arial Narrow" w:cs="Gisha"/>
          <w:b w:val="0"/>
          <w:bCs w:val="0"/>
          <w:color w:val="auto"/>
          <w:sz w:val="22"/>
          <w:szCs w:val="22"/>
        </w:rPr>
        <w:t>4.300.407.887</w:t>
      </w:r>
      <w:r>
        <w:rPr>
          <w:rFonts w:ascii="Arial Narrow" w:hAnsi="Arial Narrow" w:cs="Gisha"/>
          <w:b w:val="0"/>
          <w:bCs w:val="0"/>
          <w:color w:val="auto"/>
          <w:sz w:val="22"/>
          <w:szCs w:val="22"/>
        </w:rPr>
        <w:t xml:space="preserve"> miles,</w:t>
      </w:r>
      <w:r w:rsidRPr="00E0775D">
        <w:rPr>
          <w:rFonts w:ascii="Arial Narrow" w:hAnsi="Arial Narrow" w:cs="Gisha"/>
          <w:b w:val="0"/>
          <w:bCs w:val="0"/>
          <w:color w:val="auto"/>
          <w:sz w:val="22"/>
          <w:szCs w:val="22"/>
        </w:rPr>
        <w:t xml:space="preserve"> se registra el valor de la inversión privada en infraestructura de los proyectos concesion</w:t>
      </w:r>
      <w:r>
        <w:rPr>
          <w:rFonts w:ascii="Arial Narrow" w:hAnsi="Arial Narrow" w:cs="Gisha"/>
          <w:b w:val="0"/>
          <w:bCs w:val="0"/>
          <w:color w:val="auto"/>
          <w:sz w:val="22"/>
          <w:szCs w:val="22"/>
        </w:rPr>
        <w:t>ados</w:t>
      </w:r>
      <w:r w:rsidR="007F2DFF">
        <w:rPr>
          <w:rFonts w:ascii="Arial Narrow" w:hAnsi="Arial Narrow" w:cs="Gisha"/>
          <w:b w:val="0"/>
          <w:bCs w:val="0"/>
          <w:color w:val="auto"/>
          <w:sz w:val="22"/>
          <w:szCs w:val="22"/>
        </w:rPr>
        <w:t xml:space="preserve"> del modo Portuario</w:t>
      </w:r>
      <w:r w:rsidR="00347B24">
        <w:rPr>
          <w:rFonts w:ascii="Arial Narrow" w:hAnsi="Arial Narrow" w:cs="Gisha"/>
          <w:b w:val="0"/>
          <w:bCs w:val="0"/>
          <w:color w:val="auto"/>
          <w:sz w:val="22"/>
          <w:szCs w:val="22"/>
        </w:rPr>
        <w:t>. E</w:t>
      </w:r>
      <w:r w:rsidRPr="00E0775D">
        <w:rPr>
          <w:rFonts w:ascii="Arial Narrow" w:hAnsi="Arial Narrow" w:cs="Gisha"/>
          <w:b w:val="0"/>
          <w:bCs w:val="0"/>
          <w:color w:val="auto"/>
          <w:sz w:val="22"/>
          <w:szCs w:val="22"/>
        </w:rPr>
        <w:t>sta información es recibida en los formatos internos establecidos y se encuentra avalada por la interventoría</w:t>
      </w:r>
      <w:r w:rsidR="007F2DFF">
        <w:rPr>
          <w:rFonts w:ascii="Arial Narrow" w:hAnsi="Arial Narrow" w:cs="Gisha"/>
          <w:b w:val="0"/>
          <w:bCs w:val="0"/>
          <w:color w:val="auto"/>
          <w:sz w:val="22"/>
          <w:szCs w:val="22"/>
        </w:rPr>
        <w:t xml:space="preserve"> en los proyectos que la tienes</w:t>
      </w:r>
      <w:r w:rsidRPr="00E0775D">
        <w:rPr>
          <w:rFonts w:ascii="Arial Narrow" w:hAnsi="Arial Narrow" w:cs="Gisha"/>
          <w:b w:val="0"/>
          <w:bCs w:val="0"/>
          <w:color w:val="auto"/>
          <w:sz w:val="22"/>
          <w:szCs w:val="22"/>
        </w:rPr>
        <w:t xml:space="preserve"> y </w:t>
      </w:r>
      <w:r w:rsidRPr="001A2AC2">
        <w:rPr>
          <w:rFonts w:ascii="Arial Narrow" w:hAnsi="Arial Narrow" w:cs="Gisha"/>
          <w:b w:val="0"/>
          <w:bCs w:val="0"/>
          <w:color w:val="auto"/>
          <w:sz w:val="22"/>
          <w:szCs w:val="22"/>
          <w:lang w:val="es-ES"/>
        </w:rPr>
        <w:t>verificada  por la Vicepresidencia de Gestión Contractual – Grupo Interno de Trabajo Financiero</w:t>
      </w:r>
      <w:r w:rsidR="007F2DFF">
        <w:rPr>
          <w:rFonts w:ascii="Arial Narrow" w:hAnsi="Arial Narrow" w:cs="Gisha"/>
          <w:b w:val="0"/>
          <w:bCs w:val="0"/>
          <w:color w:val="auto"/>
          <w:sz w:val="22"/>
          <w:szCs w:val="22"/>
          <w:lang w:val="es-ES"/>
        </w:rPr>
        <w:t>, en los proyectos que</w:t>
      </w:r>
      <w:r w:rsidR="00347B24">
        <w:rPr>
          <w:rFonts w:ascii="Arial Narrow" w:hAnsi="Arial Narrow" w:cs="Gisha"/>
          <w:b w:val="0"/>
          <w:bCs w:val="0"/>
          <w:color w:val="auto"/>
          <w:sz w:val="22"/>
          <w:szCs w:val="22"/>
          <w:lang w:val="es-ES"/>
        </w:rPr>
        <w:t xml:space="preserve"> no tienen interventorí</w:t>
      </w:r>
      <w:r w:rsidR="007F2DFF">
        <w:rPr>
          <w:rFonts w:ascii="Arial Narrow" w:hAnsi="Arial Narrow" w:cs="Gisha"/>
          <w:b w:val="0"/>
          <w:bCs w:val="0"/>
          <w:color w:val="auto"/>
          <w:sz w:val="22"/>
          <w:szCs w:val="22"/>
          <w:lang w:val="es-ES"/>
        </w:rPr>
        <w:t>a</w:t>
      </w:r>
      <w:r w:rsidRPr="001A2AC2">
        <w:rPr>
          <w:rFonts w:ascii="Arial Narrow" w:hAnsi="Arial Narrow" w:cs="Gisha"/>
          <w:b w:val="0"/>
          <w:bCs w:val="0"/>
          <w:color w:val="auto"/>
          <w:sz w:val="22"/>
          <w:szCs w:val="22"/>
          <w:lang w:val="es-ES"/>
        </w:rPr>
        <w:t xml:space="preserve">. </w:t>
      </w:r>
    </w:p>
    <w:p w:rsidR="007F2DFF" w:rsidRDefault="007F2DFF"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t xml:space="preserve">Los </w:t>
      </w:r>
      <w:r w:rsidRPr="00E0775D">
        <w:rPr>
          <w:rFonts w:ascii="Arial Narrow" w:hAnsi="Arial Narrow" w:cs="Gisha"/>
          <w:b w:val="0"/>
          <w:bCs w:val="0"/>
          <w:color w:val="auto"/>
          <w:sz w:val="22"/>
          <w:szCs w:val="22"/>
        </w:rPr>
        <w:t xml:space="preserve"> proyectos de concesión</w:t>
      </w:r>
      <w:r>
        <w:rPr>
          <w:rFonts w:ascii="Arial Narrow" w:hAnsi="Arial Narrow" w:cs="Gisha"/>
          <w:b w:val="0"/>
          <w:bCs w:val="0"/>
          <w:color w:val="auto"/>
          <w:sz w:val="22"/>
          <w:szCs w:val="22"/>
        </w:rPr>
        <w:t xml:space="preserve"> de la Red Marítima son los siguientes:</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Pr="00347B24" w:rsidRDefault="0024736A" w:rsidP="00853B3A">
      <w:pPr>
        <w:pStyle w:val="Textoindependiente2"/>
        <w:numPr>
          <w:ilvl w:val="0"/>
          <w:numId w:val="25"/>
        </w:numPr>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u w:val="single"/>
        </w:rPr>
      </w:pPr>
      <w:r w:rsidRPr="00347B24">
        <w:rPr>
          <w:rFonts w:ascii="Arial Narrow" w:hAnsi="Arial Narrow" w:cs="Gisha"/>
          <w:b w:val="0"/>
          <w:bCs w:val="0"/>
          <w:color w:val="auto"/>
          <w:sz w:val="22"/>
          <w:szCs w:val="22"/>
          <w:u w:val="single"/>
        </w:rPr>
        <w:t>Puerto Bolívar Cerrejón Zona Norte S.A. CZN</w:t>
      </w:r>
    </w:p>
    <w:p w:rsidR="00347B24" w:rsidRDefault="00347B24" w:rsidP="00347B24">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left="1080" w:right="424"/>
        <w:rPr>
          <w:rFonts w:ascii="Arial Narrow" w:hAnsi="Arial Narrow" w:cs="Gisha"/>
          <w:b w:val="0"/>
          <w:bCs w:val="0"/>
          <w:color w:val="auto"/>
          <w:sz w:val="22"/>
          <w:szCs w:val="22"/>
        </w:rPr>
      </w:pP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t>A 31 de diciembre de 2015, presenta una infraestructura en servicio por valor de $466.318.740 miles, las operaciones realizadas en la vigencia 2015 correspondieron a inversión de capital privado por valor de $18.471.572 miles.</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t xml:space="preserve"> </w:t>
      </w:r>
    </w:p>
    <w:p w:rsidR="0024736A" w:rsidRDefault="0024736A" w:rsidP="00853B3A">
      <w:pPr>
        <w:pStyle w:val="Textoindependiente2"/>
        <w:numPr>
          <w:ilvl w:val="0"/>
          <w:numId w:val="25"/>
        </w:numPr>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sidRPr="00347B24">
        <w:rPr>
          <w:rFonts w:ascii="Arial Narrow" w:hAnsi="Arial Narrow" w:cs="Gisha"/>
          <w:b w:val="0"/>
          <w:bCs w:val="0"/>
          <w:color w:val="auto"/>
          <w:sz w:val="22"/>
          <w:szCs w:val="22"/>
          <w:u w:val="single"/>
        </w:rPr>
        <w:t>Compañía de Puertos Asociados S.A</w:t>
      </w:r>
      <w:r w:rsidRPr="00E07EC0">
        <w:rPr>
          <w:rFonts w:ascii="Arial Narrow" w:hAnsi="Arial Narrow" w:cs="Gisha"/>
          <w:b w:val="0"/>
          <w:bCs w:val="0"/>
          <w:color w:val="auto"/>
          <w:sz w:val="22"/>
          <w:szCs w:val="22"/>
        </w:rPr>
        <w:t>.</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t>El valor de $ 52.838.643 miles, registrado a 31 de diciembre de 2015, corresponde a infraestructura en servicio, las operaciones presentadas en el 2015 corresponden a inversión de capital privado por valor de $1.280.117 miles.</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t xml:space="preserve"> </w:t>
      </w:r>
    </w:p>
    <w:p w:rsidR="0024736A" w:rsidRPr="00347B24" w:rsidRDefault="0024736A" w:rsidP="00853B3A">
      <w:pPr>
        <w:pStyle w:val="Textoindependiente2"/>
        <w:numPr>
          <w:ilvl w:val="0"/>
          <w:numId w:val="25"/>
        </w:numPr>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u w:val="single"/>
        </w:rPr>
      </w:pPr>
      <w:r w:rsidRPr="00347B24">
        <w:rPr>
          <w:rFonts w:ascii="Arial Narrow" w:hAnsi="Arial Narrow" w:cs="Gisha"/>
          <w:b w:val="0"/>
          <w:bCs w:val="0"/>
          <w:color w:val="auto"/>
          <w:sz w:val="22"/>
          <w:szCs w:val="22"/>
          <w:u w:val="single"/>
        </w:rPr>
        <w:t>Sociedad Portuaria Regional de Santa Marta</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t>A 31 de diciembre de 2015, la concesión presenta en infraestructura en servicio por valor de $ 133.472.205 miles, las operaciones presentadas por esta concesión en el 2015 correspondieron a la inversión de capital privado informado por valor de $6.624.258 miles.</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24736A" w:rsidP="00853B3A">
      <w:pPr>
        <w:pStyle w:val="Textoindependiente2"/>
        <w:numPr>
          <w:ilvl w:val="0"/>
          <w:numId w:val="25"/>
        </w:numPr>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sidRPr="00347B24">
        <w:rPr>
          <w:rFonts w:ascii="Arial Narrow" w:hAnsi="Arial Narrow" w:cs="Gisha"/>
          <w:b w:val="0"/>
          <w:bCs w:val="0"/>
          <w:color w:val="auto"/>
          <w:sz w:val="22"/>
          <w:szCs w:val="22"/>
          <w:u w:val="single"/>
        </w:rPr>
        <w:t>Sociedad Portuaria Regional de Cartagena S.A</w:t>
      </w:r>
      <w:r w:rsidRPr="00E07EC0">
        <w:rPr>
          <w:rFonts w:ascii="Arial Narrow" w:hAnsi="Arial Narrow" w:cs="Gisha"/>
          <w:b w:val="0"/>
          <w:bCs w:val="0"/>
          <w:color w:val="auto"/>
          <w:sz w:val="22"/>
          <w:szCs w:val="22"/>
        </w:rPr>
        <w:t>.</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t xml:space="preserve">A 31 de diciembre de 2015, presenta infraestructura en servicio por valor de $ 116.105.757 miles, las operaciones realizadas en la vigencia 2015 por valor de $16.644.275 miles corresponde a la inversión de capital privado informada por el concesionario. </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24736A" w:rsidP="00853B3A">
      <w:pPr>
        <w:pStyle w:val="Textoindependiente2"/>
        <w:numPr>
          <w:ilvl w:val="0"/>
          <w:numId w:val="25"/>
        </w:numPr>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sidRPr="00347B24">
        <w:rPr>
          <w:rFonts w:ascii="Arial Narrow" w:hAnsi="Arial Narrow" w:cs="Gisha"/>
          <w:b w:val="0"/>
          <w:bCs w:val="0"/>
          <w:color w:val="auto"/>
          <w:sz w:val="22"/>
          <w:szCs w:val="22"/>
          <w:u w:val="single"/>
        </w:rPr>
        <w:t>American Port Company Inc</w:t>
      </w:r>
      <w:r w:rsidRPr="00E07EC0">
        <w:rPr>
          <w:rFonts w:ascii="Arial Narrow" w:hAnsi="Arial Narrow" w:cs="Gisha"/>
          <w:b w:val="0"/>
          <w:bCs w:val="0"/>
          <w:color w:val="auto"/>
          <w:sz w:val="22"/>
          <w:szCs w:val="22"/>
        </w:rPr>
        <w:t>.</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lastRenderedPageBreak/>
        <w:t xml:space="preserve">El valor de $ 480.193.524 miles, registrado a 31 de diciembre de 2015, corresponde a infraestructura en servicio, las operaciones presentadas en el 2015 corresponden a la inversión de capital privado realizada por el concesionario por valor de $8.384.493 miles. </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Pr="00347B24" w:rsidRDefault="0024736A" w:rsidP="00853B3A">
      <w:pPr>
        <w:pStyle w:val="Textoindependiente2"/>
        <w:numPr>
          <w:ilvl w:val="0"/>
          <w:numId w:val="25"/>
        </w:numPr>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u w:val="single"/>
        </w:rPr>
      </w:pPr>
      <w:r w:rsidRPr="00347B24">
        <w:rPr>
          <w:rFonts w:ascii="Arial Narrow" w:hAnsi="Arial Narrow" w:cs="Gisha"/>
          <w:b w:val="0"/>
          <w:bCs w:val="0"/>
          <w:color w:val="auto"/>
          <w:sz w:val="22"/>
          <w:szCs w:val="22"/>
          <w:u w:val="single"/>
        </w:rPr>
        <w:t>Agencia Logística de las Fuerzas Militares</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t>A 31 de diciembre de 2015, la concesión presenta en infraestructura en servicio el valor de $ 2.243.514 miles, las operaciones realizadas en el 2015 corresponden a inversiones de capital privado realizado por el concesionario por valor de $ 387.476 miles</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Pr="00347B24" w:rsidRDefault="0024736A" w:rsidP="00853B3A">
      <w:pPr>
        <w:pStyle w:val="Textoindependiente2"/>
        <w:numPr>
          <w:ilvl w:val="0"/>
          <w:numId w:val="25"/>
        </w:numPr>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u w:val="single"/>
        </w:rPr>
      </w:pPr>
      <w:r w:rsidRPr="00347B24">
        <w:rPr>
          <w:rFonts w:ascii="Arial Narrow" w:hAnsi="Arial Narrow" w:cs="Gisha"/>
          <w:b w:val="0"/>
          <w:bCs w:val="0"/>
          <w:color w:val="auto"/>
          <w:sz w:val="22"/>
          <w:szCs w:val="22"/>
          <w:u w:val="single"/>
        </w:rPr>
        <w:t>Sociedad Portuaria Regional de Buenaventura</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t>A 31 de diciembre de 2015, presenta infraestructura en servicio por valor de $ 554.128.117 miles, las operaciones realizadas en el 2015, corresponden a inversión de capital privado por valor de $11.857.530 miles.</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Pr="00347B24" w:rsidRDefault="0024736A" w:rsidP="00853B3A">
      <w:pPr>
        <w:pStyle w:val="Textoindependiente2"/>
        <w:numPr>
          <w:ilvl w:val="0"/>
          <w:numId w:val="25"/>
        </w:numPr>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u w:val="single"/>
        </w:rPr>
      </w:pPr>
      <w:r w:rsidRPr="00347B24">
        <w:rPr>
          <w:rFonts w:ascii="Arial Narrow" w:hAnsi="Arial Narrow" w:cs="Gisha"/>
          <w:b w:val="0"/>
          <w:bCs w:val="0"/>
          <w:color w:val="auto"/>
          <w:sz w:val="22"/>
          <w:szCs w:val="22"/>
          <w:u w:val="single"/>
        </w:rPr>
        <w:t>Ecopetrol Terminal Néstor Pineda</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Pr="00003BD1"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sidRPr="00003BD1">
        <w:rPr>
          <w:rFonts w:ascii="Arial Narrow" w:hAnsi="Arial Narrow" w:cs="Gisha"/>
          <w:b w:val="0"/>
          <w:bCs w:val="0"/>
          <w:color w:val="auto"/>
          <w:sz w:val="22"/>
          <w:szCs w:val="22"/>
        </w:rPr>
        <w:t>El valor de $ 1.697.868 miles corresponde a la infraestructura en servicio a 31 de diciembre de 2015.</w:t>
      </w:r>
    </w:p>
    <w:p w:rsidR="0024736A" w:rsidRPr="00347B24"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FFC000"/>
          <w:sz w:val="22"/>
          <w:szCs w:val="22"/>
        </w:rPr>
      </w:pPr>
      <w:r w:rsidRPr="00347B24">
        <w:rPr>
          <w:rFonts w:ascii="Arial Narrow" w:hAnsi="Arial Narrow" w:cs="Gisha"/>
          <w:b w:val="0"/>
          <w:bCs w:val="0"/>
          <w:color w:val="FFC000"/>
          <w:sz w:val="22"/>
          <w:szCs w:val="22"/>
        </w:rPr>
        <w:t xml:space="preserve"> </w:t>
      </w:r>
    </w:p>
    <w:p w:rsidR="0024736A" w:rsidRPr="00347B24" w:rsidRDefault="0024736A" w:rsidP="00853B3A">
      <w:pPr>
        <w:pStyle w:val="Textoindependiente2"/>
        <w:numPr>
          <w:ilvl w:val="0"/>
          <w:numId w:val="25"/>
        </w:numPr>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u w:val="single"/>
        </w:rPr>
      </w:pPr>
      <w:r w:rsidRPr="00347B24">
        <w:rPr>
          <w:rFonts w:ascii="Arial Narrow" w:hAnsi="Arial Narrow" w:cs="Gisha"/>
          <w:b w:val="0"/>
          <w:bCs w:val="0"/>
          <w:color w:val="auto"/>
          <w:sz w:val="22"/>
          <w:szCs w:val="22"/>
          <w:u w:val="single"/>
        </w:rPr>
        <w:t>Exxonmobil de Colombia Planta de Combustibles</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t>A 31 de diciembre de 2015, la concesión presenta un valor de $ 914.249 miles por concepto de infraestructura en servicio.</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Pr="00003BD1" w:rsidRDefault="0024736A" w:rsidP="00853B3A">
      <w:pPr>
        <w:pStyle w:val="Textoindependiente2"/>
        <w:numPr>
          <w:ilvl w:val="0"/>
          <w:numId w:val="25"/>
        </w:numPr>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u w:val="single"/>
        </w:rPr>
      </w:pPr>
      <w:r w:rsidRPr="00003BD1">
        <w:rPr>
          <w:rFonts w:ascii="Arial Narrow" w:hAnsi="Arial Narrow" w:cs="Gisha"/>
          <w:b w:val="0"/>
          <w:bCs w:val="0"/>
          <w:color w:val="auto"/>
          <w:sz w:val="22"/>
          <w:szCs w:val="22"/>
          <w:u w:val="single"/>
        </w:rPr>
        <w:t>Sociedad Portuaria Algranel S.A.</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t xml:space="preserve">A 31 de diciembre de 2015, la concesión presenta </w:t>
      </w:r>
      <w:r w:rsidR="00347B24">
        <w:rPr>
          <w:rFonts w:ascii="Arial Narrow" w:hAnsi="Arial Narrow" w:cs="Gisha"/>
          <w:b w:val="0"/>
          <w:bCs w:val="0"/>
          <w:color w:val="auto"/>
          <w:sz w:val="22"/>
          <w:szCs w:val="22"/>
        </w:rPr>
        <w:t xml:space="preserve">un valor </w:t>
      </w:r>
      <w:r>
        <w:rPr>
          <w:rFonts w:ascii="Arial Narrow" w:hAnsi="Arial Narrow" w:cs="Gisha"/>
          <w:b w:val="0"/>
          <w:bCs w:val="0"/>
          <w:color w:val="auto"/>
          <w:sz w:val="22"/>
          <w:szCs w:val="22"/>
        </w:rPr>
        <w:t>por concepto de infraestructura en servicio de $ 7.174.125 miles, las operaciones realizadas por la concesión en el 2015 po</w:t>
      </w:r>
      <w:r w:rsidR="00347B24">
        <w:rPr>
          <w:rFonts w:ascii="Arial Narrow" w:hAnsi="Arial Narrow" w:cs="Gisha"/>
          <w:b w:val="0"/>
          <w:bCs w:val="0"/>
          <w:color w:val="auto"/>
          <w:sz w:val="22"/>
          <w:szCs w:val="22"/>
        </w:rPr>
        <w:t>r valor de $235.606 miles corresponden a</w:t>
      </w:r>
      <w:r>
        <w:rPr>
          <w:rFonts w:ascii="Arial Narrow" w:hAnsi="Arial Narrow" w:cs="Gisha"/>
          <w:b w:val="0"/>
          <w:bCs w:val="0"/>
          <w:color w:val="auto"/>
          <w:sz w:val="22"/>
          <w:szCs w:val="22"/>
        </w:rPr>
        <w:t xml:space="preserve"> la inversión de capital privada informada. </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24736A" w:rsidP="00853B3A">
      <w:pPr>
        <w:pStyle w:val="Textoindependiente2"/>
        <w:numPr>
          <w:ilvl w:val="0"/>
          <w:numId w:val="25"/>
        </w:numPr>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sidRPr="00347B24">
        <w:rPr>
          <w:rFonts w:ascii="Arial Narrow" w:hAnsi="Arial Narrow" w:cs="Gisha"/>
          <w:b w:val="0"/>
          <w:bCs w:val="0"/>
          <w:color w:val="auto"/>
          <w:sz w:val="22"/>
          <w:szCs w:val="22"/>
          <w:u w:val="single"/>
        </w:rPr>
        <w:t>Sociedad Portuaria Regional de Tumaco S.A</w:t>
      </w:r>
      <w:r w:rsidRPr="00E07EC0">
        <w:rPr>
          <w:rFonts w:ascii="Arial Narrow" w:hAnsi="Arial Narrow" w:cs="Gisha"/>
          <w:b w:val="0"/>
          <w:bCs w:val="0"/>
          <w:color w:val="auto"/>
          <w:sz w:val="22"/>
          <w:szCs w:val="22"/>
        </w:rPr>
        <w:t>.</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t>El valor de $</w:t>
      </w:r>
      <w:r w:rsidRPr="00B23653">
        <w:rPr>
          <w:rFonts w:ascii="Arial Narrow" w:hAnsi="Arial Narrow" w:cs="Gisha"/>
          <w:b w:val="0"/>
          <w:bCs w:val="0"/>
          <w:color w:val="auto"/>
          <w:sz w:val="22"/>
          <w:szCs w:val="22"/>
        </w:rPr>
        <w:t xml:space="preserve"> </w:t>
      </w:r>
      <w:r>
        <w:rPr>
          <w:rFonts w:ascii="Arial Narrow" w:hAnsi="Arial Narrow" w:cs="Gisha"/>
          <w:b w:val="0"/>
          <w:bCs w:val="0"/>
          <w:color w:val="auto"/>
          <w:sz w:val="22"/>
          <w:szCs w:val="22"/>
        </w:rPr>
        <w:t>154.782 miles a 31 de diciembre de 2015, corresponde a la infraestructura en servicio de la concesión.</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Pr="00A80C2D" w:rsidRDefault="0024736A" w:rsidP="00853B3A">
      <w:pPr>
        <w:pStyle w:val="Textoindependiente2"/>
        <w:numPr>
          <w:ilvl w:val="0"/>
          <w:numId w:val="25"/>
        </w:numPr>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u w:val="single"/>
        </w:rPr>
      </w:pPr>
      <w:r w:rsidRPr="00A80C2D">
        <w:rPr>
          <w:rFonts w:ascii="Arial Narrow" w:hAnsi="Arial Narrow" w:cs="Gisha"/>
          <w:b w:val="0"/>
          <w:bCs w:val="0"/>
          <w:color w:val="auto"/>
          <w:sz w:val="22"/>
          <w:szCs w:val="22"/>
          <w:u w:val="single"/>
        </w:rPr>
        <w:t>Exxonmobil de Colombia</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A80C2D"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t>A 31 de diciembre de 2015 l</w:t>
      </w:r>
      <w:r w:rsidR="0024736A">
        <w:rPr>
          <w:rFonts w:ascii="Arial Narrow" w:hAnsi="Arial Narrow" w:cs="Gisha"/>
          <w:b w:val="0"/>
          <w:bCs w:val="0"/>
          <w:color w:val="auto"/>
          <w:sz w:val="22"/>
          <w:szCs w:val="22"/>
        </w:rPr>
        <w:t>a infraestructura en servicio de la concesión Exxonmobil presenta un valor de $ 13.035.557 miles, en la vigencia 2015 se registró la inversión de capital privado por valor de $629.145 miles.</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24736A" w:rsidP="00853B3A">
      <w:pPr>
        <w:pStyle w:val="Textoindependiente2"/>
        <w:numPr>
          <w:ilvl w:val="0"/>
          <w:numId w:val="25"/>
        </w:numPr>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sidRPr="00A80C2D">
        <w:rPr>
          <w:rFonts w:ascii="Arial Narrow" w:hAnsi="Arial Narrow" w:cs="Gisha"/>
          <w:b w:val="0"/>
          <w:bCs w:val="0"/>
          <w:color w:val="auto"/>
          <w:sz w:val="22"/>
          <w:szCs w:val="22"/>
          <w:u w:val="single"/>
        </w:rPr>
        <w:t>Compañía de Puertos Asociados S.A</w:t>
      </w:r>
      <w:r w:rsidRPr="00E07EC0">
        <w:rPr>
          <w:rFonts w:ascii="Arial Narrow" w:hAnsi="Arial Narrow" w:cs="Gisha"/>
          <w:b w:val="0"/>
          <w:bCs w:val="0"/>
          <w:color w:val="auto"/>
          <w:sz w:val="22"/>
          <w:szCs w:val="22"/>
        </w:rPr>
        <w:t>.</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t>El valor de $ 5.359.411 miles a 31 de diciembre de 2015 corresponde a infraestructura en servicio, las operacion</w:t>
      </w:r>
      <w:r w:rsidR="00A80C2D">
        <w:rPr>
          <w:rFonts w:ascii="Arial Narrow" w:hAnsi="Arial Narrow" w:cs="Gisha"/>
          <w:b w:val="0"/>
          <w:bCs w:val="0"/>
          <w:color w:val="auto"/>
          <w:sz w:val="22"/>
          <w:szCs w:val="22"/>
        </w:rPr>
        <w:t xml:space="preserve">es realizadas en el 2015, correspondieron a la </w:t>
      </w:r>
      <w:r>
        <w:rPr>
          <w:rFonts w:ascii="Arial Narrow" w:hAnsi="Arial Narrow" w:cs="Gisha"/>
          <w:b w:val="0"/>
          <w:bCs w:val="0"/>
          <w:color w:val="auto"/>
          <w:sz w:val="22"/>
          <w:szCs w:val="22"/>
        </w:rPr>
        <w:t>inversión de capital privado por valor de $1.994.149 miles.</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Pr="00A80C2D" w:rsidRDefault="0024736A" w:rsidP="00853B3A">
      <w:pPr>
        <w:pStyle w:val="Textoindependiente2"/>
        <w:numPr>
          <w:ilvl w:val="0"/>
          <w:numId w:val="25"/>
        </w:numPr>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u w:val="single"/>
        </w:rPr>
      </w:pPr>
      <w:r w:rsidRPr="00A80C2D">
        <w:rPr>
          <w:rFonts w:ascii="Arial Narrow" w:hAnsi="Arial Narrow" w:cs="Gisha"/>
          <w:b w:val="0"/>
          <w:bCs w:val="0"/>
          <w:color w:val="auto"/>
          <w:sz w:val="22"/>
          <w:szCs w:val="22"/>
          <w:u w:val="single"/>
        </w:rPr>
        <w:t xml:space="preserve">Sociedad Portuaria Oleoducto Central S.A. OCENSA S.A. </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Pr="00A80C2D" w:rsidRDefault="00A80C2D"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FF0000"/>
          <w:sz w:val="22"/>
          <w:szCs w:val="22"/>
        </w:rPr>
      </w:pPr>
      <w:r>
        <w:rPr>
          <w:rFonts w:ascii="Arial Narrow" w:hAnsi="Arial Narrow" w:cs="Gisha"/>
          <w:b w:val="0"/>
          <w:bCs w:val="0"/>
          <w:color w:val="auto"/>
          <w:sz w:val="22"/>
          <w:szCs w:val="22"/>
        </w:rPr>
        <w:t xml:space="preserve">El valor de d $44.173.785 miles a 31 de diciembre de 2015 corresponde a </w:t>
      </w:r>
      <w:r w:rsidR="0024736A">
        <w:rPr>
          <w:rFonts w:ascii="Arial Narrow" w:hAnsi="Arial Narrow" w:cs="Gisha"/>
          <w:b w:val="0"/>
          <w:bCs w:val="0"/>
          <w:color w:val="auto"/>
          <w:sz w:val="22"/>
          <w:szCs w:val="22"/>
        </w:rPr>
        <w:t>infraestructura en servicio</w:t>
      </w:r>
      <w:r w:rsidR="00003BD1">
        <w:rPr>
          <w:rFonts w:ascii="Arial Narrow" w:hAnsi="Arial Narrow" w:cs="Gisha"/>
          <w:b w:val="0"/>
          <w:bCs w:val="0"/>
          <w:color w:val="FF0000"/>
          <w:sz w:val="22"/>
          <w:szCs w:val="22"/>
        </w:rPr>
        <w:t>.</w:t>
      </w:r>
      <w:r w:rsidR="0024736A" w:rsidRPr="00A80C2D">
        <w:rPr>
          <w:rFonts w:ascii="Arial Narrow" w:hAnsi="Arial Narrow" w:cs="Gisha"/>
          <w:b w:val="0"/>
          <w:bCs w:val="0"/>
          <w:color w:val="FF0000"/>
          <w:sz w:val="22"/>
          <w:szCs w:val="22"/>
        </w:rPr>
        <w:t xml:space="preserve"> </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Pr="00A80C2D" w:rsidRDefault="0024736A" w:rsidP="00853B3A">
      <w:pPr>
        <w:pStyle w:val="Textoindependiente2"/>
        <w:numPr>
          <w:ilvl w:val="0"/>
          <w:numId w:val="25"/>
        </w:numPr>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u w:val="single"/>
        </w:rPr>
      </w:pPr>
      <w:r w:rsidRPr="00A80C2D">
        <w:rPr>
          <w:rFonts w:ascii="Arial Narrow" w:hAnsi="Arial Narrow" w:cs="Gisha"/>
          <w:b w:val="0"/>
          <w:bCs w:val="0"/>
          <w:color w:val="auto"/>
          <w:sz w:val="22"/>
          <w:szCs w:val="22"/>
          <w:u w:val="single"/>
        </w:rPr>
        <w:t>Grupo Portuario S.A., El Vacío</w:t>
      </w:r>
    </w:p>
    <w:p w:rsidR="0024736A" w:rsidRPr="00A80C2D"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u w:val="single"/>
        </w:rPr>
      </w:pP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lastRenderedPageBreak/>
        <w:t>A 31 de diciembre de 2015 la concesión presenta un valor de $1.635.244 miles por concepto de infraestructura en servicio.</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Pr="00A80C2D" w:rsidRDefault="0024736A" w:rsidP="00853B3A">
      <w:pPr>
        <w:pStyle w:val="Textoindependiente2"/>
        <w:numPr>
          <w:ilvl w:val="0"/>
          <w:numId w:val="25"/>
        </w:numPr>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u w:val="single"/>
        </w:rPr>
      </w:pPr>
      <w:r w:rsidRPr="00A80C2D">
        <w:rPr>
          <w:rFonts w:ascii="Arial Narrow" w:hAnsi="Arial Narrow" w:cs="Gisha"/>
          <w:b w:val="0"/>
          <w:bCs w:val="0"/>
          <w:color w:val="auto"/>
          <w:sz w:val="22"/>
          <w:szCs w:val="22"/>
          <w:u w:val="single"/>
        </w:rPr>
        <w:t>Dow Química de Colombia S.A. - OILTANKING COLOMBIA S.A.</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left="1080" w:right="424"/>
        <w:rPr>
          <w:rFonts w:ascii="Arial Narrow" w:hAnsi="Arial Narrow" w:cs="Gisha"/>
          <w:b w:val="0"/>
          <w:bCs w:val="0"/>
          <w:color w:val="auto"/>
          <w:sz w:val="22"/>
          <w:szCs w:val="22"/>
        </w:rPr>
      </w:pPr>
    </w:p>
    <w:p w:rsidR="0024736A" w:rsidRDefault="00A80C2D"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t>A 31 de diciembre de 2015 e</w:t>
      </w:r>
      <w:r w:rsidR="0024736A">
        <w:rPr>
          <w:rFonts w:ascii="Arial Narrow" w:hAnsi="Arial Narrow" w:cs="Gisha"/>
          <w:b w:val="0"/>
          <w:bCs w:val="0"/>
          <w:color w:val="auto"/>
          <w:sz w:val="22"/>
          <w:szCs w:val="22"/>
        </w:rPr>
        <w:t>l valor de $ 2.144.474 miles corresponde a infraestructura en servicio, las operaciones presentadas en la vigencia 2015 obedecieron al registro de la inversión de capital privado por valor de $125.636 miles</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Pr="00A80C2D" w:rsidRDefault="0024736A" w:rsidP="00853B3A">
      <w:pPr>
        <w:pStyle w:val="Textoindependiente2"/>
        <w:numPr>
          <w:ilvl w:val="0"/>
          <w:numId w:val="25"/>
        </w:numPr>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u w:val="single"/>
        </w:rPr>
      </w:pPr>
      <w:r w:rsidRPr="00A80C2D">
        <w:rPr>
          <w:rFonts w:ascii="Arial Narrow" w:hAnsi="Arial Narrow" w:cs="Gisha"/>
          <w:b w:val="0"/>
          <w:bCs w:val="0"/>
          <w:color w:val="auto"/>
          <w:sz w:val="22"/>
          <w:szCs w:val="22"/>
          <w:u w:val="single"/>
        </w:rPr>
        <w:t>Sociedad portuaria Río Córdoba S.A.</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A80C2D"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t xml:space="preserve">A 31 de diciembre de 2015 el valor de $ 3.879.301 miles corresponde a </w:t>
      </w:r>
      <w:r w:rsidR="0024736A">
        <w:rPr>
          <w:rFonts w:ascii="Arial Narrow" w:hAnsi="Arial Narrow" w:cs="Gisha"/>
          <w:b w:val="0"/>
          <w:bCs w:val="0"/>
          <w:color w:val="auto"/>
          <w:sz w:val="22"/>
          <w:szCs w:val="22"/>
        </w:rPr>
        <w:t>infraestructura en servicio, las operaciones presentadas en la vigencia 2015, corresponden a inversión de capital privado por valor de $1.367.964 miles.</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Pr="00A80C2D" w:rsidRDefault="0024736A" w:rsidP="00853B3A">
      <w:pPr>
        <w:pStyle w:val="Textoindependiente2"/>
        <w:numPr>
          <w:ilvl w:val="0"/>
          <w:numId w:val="25"/>
        </w:numPr>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u w:val="single"/>
        </w:rPr>
      </w:pPr>
      <w:r w:rsidRPr="00A80C2D">
        <w:rPr>
          <w:rFonts w:ascii="Arial Narrow" w:hAnsi="Arial Narrow" w:cs="Gisha"/>
          <w:b w:val="0"/>
          <w:bCs w:val="0"/>
          <w:color w:val="auto"/>
          <w:sz w:val="22"/>
          <w:szCs w:val="22"/>
          <w:u w:val="single"/>
        </w:rPr>
        <w:t>Compañía de Puertos Asociados S.A. antes Terminal Marítimo Muelles El Bosque S.A</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A80C2D"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t>A 31 de diciembre de 2015 e</w:t>
      </w:r>
      <w:r w:rsidR="0024736A">
        <w:rPr>
          <w:rFonts w:ascii="Arial Narrow" w:hAnsi="Arial Narrow" w:cs="Gisha"/>
          <w:b w:val="0"/>
          <w:bCs w:val="0"/>
          <w:color w:val="auto"/>
          <w:sz w:val="22"/>
          <w:szCs w:val="22"/>
        </w:rPr>
        <w:t>l valor de $ 47.854.228 miles corresponde a la infraestructura en servicio</w:t>
      </w:r>
      <w:r>
        <w:rPr>
          <w:rFonts w:ascii="Arial Narrow" w:hAnsi="Arial Narrow" w:cs="Gisha"/>
          <w:b w:val="0"/>
          <w:bCs w:val="0"/>
          <w:color w:val="auto"/>
          <w:sz w:val="22"/>
          <w:szCs w:val="22"/>
        </w:rPr>
        <w:t xml:space="preserve">, </w:t>
      </w:r>
      <w:r w:rsidR="0024736A">
        <w:rPr>
          <w:rFonts w:ascii="Arial Narrow" w:hAnsi="Arial Narrow" w:cs="Gisha"/>
          <w:b w:val="0"/>
          <w:bCs w:val="0"/>
          <w:color w:val="auto"/>
          <w:sz w:val="22"/>
          <w:szCs w:val="22"/>
        </w:rPr>
        <w:t>las operaciones realizadas en el 2015, corresponden a la inversión de capital privado por valor de $822.280 miles.</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Pr="00A80C2D" w:rsidRDefault="0024736A" w:rsidP="00853B3A">
      <w:pPr>
        <w:pStyle w:val="Textoindependiente2"/>
        <w:numPr>
          <w:ilvl w:val="0"/>
          <w:numId w:val="25"/>
        </w:numPr>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u w:val="single"/>
        </w:rPr>
      </w:pPr>
      <w:r w:rsidRPr="00A80C2D">
        <w:rPr>
          <w:rFonts w:ascii="Arial Narrow" w:hAnsi="Arial Narrow" w:cs="Gisha"/>
          <w:b w:val="0"/>
          <w:bCs w:val="0"/>
          <w:color w:val="auto"/>
          <w:sz w:val="22"/>
          <w:szCs w:val="22"/>
          <w:u w:val="single"/>
        </w:rPr>
        <w:t>Chevron Export S.A.S</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A80C2D"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t>A 31 de diciembre de 2015 el valor de $ 742.670 miles corresponde a la infraestructura en servicio.</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Pr="00A80C2D" w:rsidRDefault="0024736A" w:rsidP="00853B3A">
      <w:pPr>
        <w:pStyle w:val="Textoindependiente2"/>
        <w:numPr>
          <w:ilvl w:val="0"/>
          <w:numId w:val="25"/>
        </w:numPr>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u w:val="single"/>
        </w:rPr>
      </w:pPr>
      <w:r w:rsidRPr="00A80C2D">
        <w:rPr>
          <w:rFonts w:ascii="Arial Narrow" w:hAnsi="Arial Narrow" w:cs="Gisha"/>
          <w:b w:val="0"/>
          <w:bCs w:val="0"/>
          <w:color w:val="auto"/>
          <w:sz w:val="22"/>
          <w:szCs w:val="22"/>
          <w:u w:val="single"/>
        </w:rPr>
        <w:t>Sociedad Portuaria del Dique S.A. Zona franca</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t xml:space="preserve">A 31 de diciembre de 2015, </w:t>
      </w:r>
      <w:r w:rsidR="00A80C2D">
        <w:rPr>
          <w:rFonts w:ascii="Arial Narrow" w:hAnsi="Arial Narrow" w:cs="Gisha"/>
          <w:b w:val="0"/>
          <w:bCs w:val="0"/>
          <w:color w:val="auto"/>
          <w:sz w:val="22"/>
          <w:szCs w:val="22"/>
        </w:rPr>
        <w:t>el valor de $ 396.220 miles corresponde a la infraestructura en servicio.</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Pr="00A80C2D" w:rsidRDefault="0024736A" w:rsidP="00853B3A">
      <w:pPr>
        <w:pStyle w:val="Textoindependiente2"/>
        <w:numPr>
          <w:ilvl w:val="0"/>
          <w:numId w:val="25"/>
        </w:numPr>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u w:val="single"/>
        </w:rPr>
      </w:pPr>
      <w:r w:rsidRPr="00A80C2D">
        <w:rPr>
          <w:rFonts w:ascii="Arial Narrow" w:hAnsi="Arial Narrow" w:cs="Gisha"/>
          <w:b w:val="0"/>
          <w:bCs w:val="0"/>
          <w:color w:val="auto"/>
          <w:sz w:val="22"/>
          <w:szCs w:val="22"/>
          <w:u w:val="single"/>
        </w:rPr>
        <w:t>Sociedad Portuaria Puerto de Mamonal</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A80C2D"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t>A 31 de diciembre de 2015, e</w:t>
      </w:r>
      <w:r w:rsidR="0024736A">
        <w:rPr>
          <w:rFonts w:ascii="Arial Narrow" w:hAnsi="Arial Narrow" w:cs="Gisha"/>
          <w:b w:val="0"/>
          <w:bCs w:val="0"/>
          <w:color w:val="auto"/>
          <w:sz w:val="22"/>
          <w:szCs w:val="22"/>
        </w:rPr>
        <w:t>l valor de $ 50.673.733 miles corresponde a infraestructura en servicio, las operaciones presentadas en el 2015, obedecieron al registro del capital de inversión privada por valor de $2.595.730 miles.</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Pr="00A80C2D" w:rsidRDefault="0024736A" w:rsidP="00853B3A">
      <w:pPr>
        <w:pStyle w:val="Textoindependiente2"/>
        <w:numPr>
          <w:ilvl w:val="0"/>
          <w:numId w:val="25"/>
        </w:numPr>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u w:val="single"/>
        </w:rPr>
      </w:pPr>
      <w:r w:rsidRPr="00A80C2D">
        <w:rPr>
          <w:rFonts w:ascii="Arial Narrow" w:hAnsi="Arial Narrow" w:cs="Gisha"/>
          <w:b w:val="0"/>
          <w:bCs w:val="0"/>
          <w:color w:val="auto"/>
          <w:sz w:val="22"/>
          <w:szCs w:val="22"/>
          <w:u w:val="single"/>
        </w:rPr>
        <w:t>Grupo Portuario S.A.</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A80C2D"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t>A 31 de diciembre de 2015, e</w:t>
      </w:r>
      <w:r w:rsidR="0024736A">
        <w:rPr>
          <w:rFonts w:ascii="Arial Narrow" w:hAnsi="Arial Narrow" w:cs="Gisha"/>
          <w:b w:val="0"/>
          <w:bCs w:val="0"/>
          <w:color w:val="auto"/>
          <w:sz w:val="22"/>
          <w:szCs w:val="22"/>
        </w:rPr>
        <w:t>l valor de $ 4.811.785 miles corresponde a infraestructura en servicio.</w:t>
      </w:r>
    </w:p>
    <w:p w:rsidR="0024736A" w:rsidRDefault="0024736A" w:rsidP="00853B3A">
      <w:pPr>
        <w:pStyle w:val="Textoindependiente2"/>
        <w:numPr>
          <w:ilvl w:val="0"/>
          <w:numId w:val="25"/>
        </w:numPr>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sidRPr="00A80C2D">
        <w:rPr>
          <w:rFonts w:ascii="Arial Narrow" w:hAnsi="Arial Narrow" w:cs="Gisha"/>
          <w:b w:val="0"/>
          <w:bCs w:val="0"/>
          <w:color w:val="auto"/>
          <w:sz w:val="22"/>
          <w:szCs w:val="22"/>
          <w:u w:val="single"/>
        </w:rPr>
        <w:t>Sociedad Portuaria Palermo S.A</w:t>
      </w:r>
      <w:r w:rsidRPr="00E07EC0">
        <w:rPr>
          <w:rFonts w:ascii="Arial Narrow" w:hAnsi="Arial Narrow" w:cs="Gisha"/>
          <w:b w:val="0"/>
          <w:bCs w:val="0"/>
          <w:color w:val="auto"/>
          <w:sz w:val="22"/>
          <w:szCs w:val="22"/>
        </w:rPr>
        <w:t>.</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t>La concesión a 31 de diciembre de 2015 presenta un valor de $ 310.036 miles.</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24736A" w:rsidP="00853B3A">
      <w:pPr>
        <w:pStyle w:val="Textoindependiente2"/>
        <w:numPr>
          <w:ilvl w:val="0"/>
          <w:numId w:val="25"/>
        </w:numPr>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sidRPr="00A80C2D">
        <w:rPr>
          <w:rFonts w:ascii="Arial Narrow" w:hAnsi="Arial Narrow" w:cs="Gisha"/>
          <w:b w:val="0"/>
          <w:bCs w:val="0"/>
          <w:color w:val="auto"/>
          <w:sz w:val="22"/>
          <w:szCs w:val="22"/>
          <w:u w:val="single"/>
        </w:rPr>
        <w:t>VOPAK de Colombia S.A</w:t>
      </w:r>
      <w:r w:rsidRPr="00E07EC0">
        <w:rPr>
          <w:rFonts w:ascii="Arial Narrow" w:hAnsi="Arial Narrow" w:cs="Gisha"/>
          <w:b w:val="0"/>
          <w:bCs w:val="0"/>
          <w:color w:val="auto"/>
          <w:sz w:val="22"/>
          <w:szCs w:val="22"/>
        </w:rPr>
        <w:t>.</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t>A 31 de diciembre de 2015 presenta</w:t>
      </w:r>
      <w:r w:rsidR="00A80C2D">
        <w:rPr>
          <w:rFonts w:ascii="Arial Narrow" w:hAnsi="Arial Narrow" w:cs="Gisha"/>
          <w:b w:val="0"/>
          <w:bCs w:val="0"/>
          <w:color w:val="auto"/>
          <w:sz w:val="22"/>
          <w:szCs w:val="22"/>
        </w:rPr>
        <w:t xml:space="preserve"> el valor de $ 2.538.689 miles que corresponde a la infraestructura en servicio</w:t>
      </w:r>
      <w:r>
        <w:rPr>
          <w:rFonts w:ascii="Arial Narrow" w:hAnsi="Arial Narrow" w:cs="Gisha"/>
          <w:b w:val="0"/>
          <w:bCs w:val="0"/>
          <w:color w:val="auto"/>
          <w:sz w:val="22"/>
          <w:szCs w:val="22"/>
        </w:rPr>
        <w:t>, las operaciones presentadas en la vigencia 2015 por valor de $53.733 miles obedecen al registro de la inversión de capital privado realizado por la concesión.</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Pr="00A80C2D" w:rsidRDefault="0024736A" w:rsidP="00853B3A">
      <w:pPr>
        <w:pStyle w:val="Textoindependiente2"/>
        <w:numPr>
          <w:ilvl w:val="0"/>
          <w:numId w:val="25"/>
        </w:numPr>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u w:val="single"/>
        </w:rPr>
      </w:pPr>
      <w:r w:rsidRPr="00A80C2D">
        <w:rPr>
          <w:rFonts w:ascii="Arial Narrow" w:hAnsi="Arial Narrow" w:cs="Gisha"/>
          <w:b w:val="0"/>
          <w:bCs w:val="0"/>
          <w:color w:val="auto"/>
          <w:sz w:val="22"/>
          <w:szCs w:val="22"/>
          <w:u w:val="single"/>
        </w:rPr>
        <w:t>Sociedad Transportes Marítima San Andrés y Providencia</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A80C2D"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t>A 31 de diciembre de 2015 presenta e</w:t>
      </w:r>
      <w:r w:rsidR="0024736A">
        <w:rPr>
          <w:rFonts w:ascii="Arial Narrow" w:hAnsi="Arial Narrow" w:cs="Gisha"/>
          <w:b w:val="0"/>
          <w:bCs w:val="0"/>
          <w:color w:val="auto"/>
          <w:sz w:val="22"/>
          <w:szCs w:val="22"/>
        </w:rPr>
        <w:t xml:space="preserve">l valor de $1.634.501 miles </w:t>
      </w:r>
      <w:r>
        <w:rPr>
          <w:rFonts w:ascii="Arial Narrow" w:hAnsi="Arial Narrow" w:cs="Gisha"/>
          <w:b w:val="0"/>
          <w:bCs w:val="0"/>
          <w:color w:val="auto"/>
          <w:sz w:val="22"/>
          <w:szCs w:val="22"/>
        </w:rPr>
        <w:t xml:space="preserve">que </w:t>
      </w:r>
      <w:r w:rsidR="0024736A">
        <w:rPr>
          <w:rFonts w:ascii="Arial Narrow" w:hAnsi="Arial Narrow" w:cs="Gisha"/>
          <w:b w:val="0"/>
          <w:bCs w:val="0"/>
          <w:color w:val="auto"/>
          <w:sz w:val="22"/>
          <w:szCs w:val="22"/>
        </w:rPr>
        <w:t>corresponde a infraestructura en servicio.</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24736A" w:rsidP="00853B3A">
      <w:pPr>
        <w:pStyle w:val="Textoindependiente2"/>
        <w:numPr>
          <w:ilvl w:val="0"/>
          <w:numId w:val="25"/>
        </w:numPr>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sidRPr="00C31EC5">
        <w:rPr>
          <w:rFonts w:ascii="Arial Narrow" w:hAnsi="Arial Narrow" w:cs="Gisha"/>
          <w:b w:val="0"/>
          <w:bCs w:val="0"/>
          <w:color w:val="auto"/>
          <w:sz w:val="22"/>
          <w:szCs w:val="22"/>
          <w:u w:val="single"/>
        </w:rPr>
        <w:t>Sociedad Portuaria Bavaria S.A</w:t>
      </w:r>
      <w:r w:rsidRPr="00E07EC0">
        <w:rPr>
          <w:rFonts w:ascii="Arial Narrow" w:hAnsi="Arial Narrow" w:cs="Gisha"/>
          <w:b w:val="0"/>
          <w:bCs w:val="0"/>
          <w:color w:val="auto"/>
          <w:sz w:val="22"/>
          <w:szCs w:val="22"/>
        </w:rPr>
        <w:t>.</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t>A 31 de diciembre de 2015 el valor de $ 2.675.031 miles corresponde a infraestructura en servicio.</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24736A" w:rsidP="00853B3A">
      <w:pPr>
        <w:pStyle w:val="Textoindependiente2"/>
        <w:numPr>
          <w:ilvl w:val="0"/>
          <w:numId w:val="25"/>
        </w:numPr>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sidRPr="00C31EC5">
        <w:rPr>
          <w:rFonts w:ascii="Arial Narrow" w:hAnsi="Arial Narrow" w:cs="Gisha"/>
          <w:b w:val="0"/>
          <w:bCs w:val="0"/>
          <w:color w:val="auto"/>
          <w:sz w:val="22"/>
          <w:szCs w:val="22"/>
          <w:u w:val="single"/>
        </w:rPr>
        <w:t>Sociedad Portuaria Olefinas y Derivados S.A</w:t>
      </w:r>
      <w:r w:rsidRPr="00E07EC0">
        <w:rPr>
          <w:rFonts w:ascii="Arial Narrow" w:hAnsi="Arial Narrow" w:cs="Gisha"/>
          <w:b w:val="0"/>
          <w:bCs w:val="0"/>
          <w:color w:val="auto"/>
          <w:sz w:val="22"/>
          <w:szCs w:val="22"/>
        </w:rPr>
        <w:t>.</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Pr="00003BD1"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sidRPr="00003BD1">
        <w:rPr>
          <w:rFonts w:ascii="Arial Narrow" w:hAnsi="Arial Narrow" w:cs="Gisha"/>
          <w:b w:val="0"/>
          <w:bCs w:val="0"/>
          <w:color w:val="auto"/>
          <w:sz w:val="22"/>
          <w:szCs w:val="22"/>
        </w:rPr>
        <w:t>En infraestructura en servicio a 31 de diciembre de 2015 la concesión Sociedad Portuaria Olefinas y Derivados S.A. presenta un valor de $ 1.567.042 miles, las operaciones realizadas en la vigencia 2015 por valor de $ 45.690 miles corresponden a inversión de capital privado.</w:t>
      </w:r>
    </w:p>
    <w:p w:rsidR="0024736A" w:rsidRPr="00003BD1"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Pr="00C31EC5" w:rsidRDefault="0024736A" w:rsidP="00853B3A">
      <w:pPr>
        <w:pStyle w:val="Textoindependiente2"/>
        <w:numPr>
          <w:ilvl w:val="0"/>
          <w:numId w:val="25"/>
        </w:numPr>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u w:val="single"/>
        </w:rPr>
      </w:pPr>
      <w:r w:rsidRPr="00C31EC5">
        <w:rPr>
          <w:rFonts w:ascii="Arial Narrow" w:hAnsi="Arial Narrow" w:cs="Gisha"/>
          <w:b w:val="0"/>
          <w:bCs w:val="0"/>
          <w:color w:val="auto"/>
          <w:sz w:val="22"/>
          <w:szCs w:val="22"/>
          <w:u w:val="single"/>
        </w:rPr>
        <w:t>Cenit Transporte y Logística de Hidrocarburos SAS</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C31EC5"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t>A 31 de diciembre de 2015 e</w:t>
      </w:r>
      <w:r w:rsidR="0024736A">
        <w:rPr>
          <w:rFonts w:ascii="Arial Narrow" w:hAnsi="Arial Narrow" w:cs="Gisha"/>
          <w:b w:val="0"/>
          <w:bCs w:val="0"/>
          <w:color w:val="auto"/>
          <w:sz w:val="22"/>
          <w:szCs w:val="22"/>
        </w:rPr>
        <w:t>l valor de $ 4.962.901 miles de la concesión corresponde a infraestructura en servicio, las operaciones realizadas en el 2015 por valor de $102.198 miles por concepto de inversión de capital privado.</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t xml:space="preserve"> </w:t>
      </w:r>
    </w:p>
    <w:p w:rsidR="0024736A" w:rsidRPr="00C31EC5" w:rsidRDefault="0024736A" w:rsidP="00853B3A">
      <w:pPr>
        <w:pStyle w:val="Textoindependiente2"/>
        <w:numPr>
          <w:ilvl w:val="0"/>
          <w:numId w:val="25"/>
        </w:numPr>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u w:val="single"/>
        </w:rPr>
      </w:pPr>
      <w:r w:rsidRPr="00C31EC5">
        <w:rPr>
          <w:rFonts w:ascii="Arial Narrow" w:hAnsi="Arial Narrow" w:cs="Gisha"/>
          <w:b w:val="0"/>
          <w:bCs w:val="0"/>
          <w:color w:val="auto"/>
          <w:sz w:val="22"/>
          <w:szCs w:val="22"/>
          <w:u w:val="single"/>
        </w:rPr>
        <w:t>Terminal de Contenedores de Buenaventura</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C31EC5"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t>A 31 de diciembre de 2015 l</w:t>
      </w:r>
      <w:r w:rsidR="0024736A">
        <w:rPr>
          <w:rFonts w:ascii="Arial Narrow" w:hAnsi="Arial Narrow" w:cs="Gisha"/>
          <w:b w:val="0"/>
          <w:bCs w:val="0"/>
          <w:color w:val="auto"/>
          <w:sz w:val="22"/>
          <w:szCs w:val="22"/>
        </w:rPr>
        <w:t xml:space="preserve">a concesión Terminal de Contenedores de Buenaventura </w:t>
      </w:r>
      <w:r>
        <w:rPr>
          <w:rFonts w:ascii="Arial Narrow" w:hAnsi="Arial Narrow" w:cs="Gisha"/>
          <w:b w:val="0"/>
          <w:bCs w:val="0"/>
          <w:color w:val="auto"/>
          <w:sz w:val="22"/>
          <w:szCs w:val="22"/>
        </w:rPr>
        <w:t xml:space="preserve">presenta un valor </w:t>
      </w:r>
      <w:r w:rsidR="0024736A">
        <w:rPr>
          <w:rFonts w:ascii="Arial Narrow" w:hAnsi="Arial Narrow" w:cs="Gisha"/>
          <w:b w:val="0"/>
          <w:bCs w:val="0"/>
          <w:color w:val="auto"/>
          <w:sz w:val="22"/>
          <w:szCs w:val="22"/>
        </w:rPr>
        <w:t>en infrae</w:t>
      </w:r>
      <w:r>
        <w:rPr>
          <w:rFonts w:ascii="Arial Narrow" w:hAnsi="Arial Narrow" w:cs="Gisha"/>
          <w:b w:val="0"/>
          <w:bCs w:val="0"/>
          <w:color w:val="auto"/>
          <w:sz w:val="22"/>
          <w:szCs w:val="22"/>
        </w:rPr>
        <w:t>structura en servicio</w:t>
      </w:r>
      <w:r w:rsidR="0024736A">
        <w:rPr>
          <w:rFonts w:ascii="Arial Narrow" w:hAnsi="Arial Narrow" w:cs="Gisha"/>
          <w:b w:val="0"/>
          <w:bCs w:val="0"/>
          <w:color w:val="auto"/>
          <w:sz w:val="22"/>
          <w:szCs w:val="22"/>
        </w:rPr>
        <w:t xml:space="preserve"> de $ 495.266.418 miles, las operaciones realizadas en el 2015 por valor de $125.599.755 miles corresponden a la inversión de capital privado efectuado por el concesionario. </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Pr="00C31EC5" w:rsidRDefault="0024736A" w:rsidP="00853B3A">
      <w:pPr>
        <w:pStyle w:val="Textoindependiente2"/>
        <w:numPr>
          <w:ilvl w:val="0"/>
          <w:numId w:val="25"/>
        </w:numPr>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u w:val="single"/>
        </w:rPr>
      </w:pPr>
      <w:r w:rsidRPr="00C31EC5">
        <w:rPr>
          <w:rFonts w:ascii="Arial Narrow" w:hAnsi="Arial Narrow" w:cs="Gisha"/>
          <w:b w:val="0"/>
          <w:bCs w:val="0"/>
          <w:color w:val="auto"/>
          <w:sz w:val="22"/>
          <w:szCs w:val="22"/>
          <w:u w:val="single"/>
        </w:rPr>
        <w:t>Chevron Export SAS</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C31EC5"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t>A 31 de diciembre de 2015 e</w:t>
      </w:r>
      <w:r w:rsidR="0024736A">
        <w:rPr>
          <w:rFonts w:ascii="Arial Narrow" w:hAnsi="Arial Narrow" w:cs="Gisha"/>
          <w:b w:val="0"/>
          <w:bCs w:val="0"/>
          <w:color w:val="auto"/>
          <w:sz w:val="22"/>
          <w:szCs w:val="22"/>
        </w:rPr>
        <w:t>l valor de $ 87.113 miles corresponde a infraestructura en servicio, las operaciones efectuadas en la vigencia 2015 por valor de $46.235 miles corresponde a la inversión de capital privado realizado por el concesionario.</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t xml:space="preserve"> </w:t>
      </w:r>
    </w:p>
    <w:p w:rsidR="0024736A" w:rsidRDefault="0024736A" w:rsidP="00853B3A">
      <w:pPr>
        <w:pStyle w:val="Textoindependiente2"/>
        <w:numPr>
          <w:ilvl w:val="0"/>
          <w:numId w:val="25"/>
        </w:numPr>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sidRPr="00C31EC5">
        <w:rPr>
          <w:rFonts w:ascii="Arial Narrow" w:hAnsi="Arial Narrow" w:cs="Gisha"/>
          <w:b w:val="0"/>
          <w:bCs w:val="0"/>
          <w:color w:val="auto"/>
          <w:sz w:val="22"/>
          <w:szCs w:val="22"/>
          <w:u w:val="single"/>
        </w:rPr>
        <w:t>Sociedad Puerto Industrial Aguadulce S.A</w:t>
      </w:r>
      <w:r w:rsidRPr="00E07EC0">
        <w:rPr>
          <w:rFonts w:ascii="Arial Narrow" w:hAnsi="Arial Narrow" w:cs="Gisha"/>
          <w:b w:val="0"/>
          <w:bCs w:val="0"/>
          <w:color w:val="auto"/>
          <w:sz w:val="22"/>
          <w:szCs w:val="22"/>
        </w:rPr>
        <w:t>.</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t>A 31 de diciembre de 2015 la concesión presenta un valor por infraestructura en servicio por valor de $ 610.334.929 miles, en el 2015 se efectuó el registro de la inversión de capital privado por valor de $320.034.685 miles.</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24736A" w:rsidP="00853B3A">
      <w:pPr>
        <w:pStyle w:val="Textoindependiente2"/>
        <w:numPr>
          <w:ilvl w:val="0"/>
          <w:numId w:val="25"/>
        </w:numPr>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sidRPr="00C31EC5">
        <w:rPr>
          <w:rFonts w:ascii="Arial Narrow" w:hAnsi="Arial Narrow" w:cs="Gisha"/>
          <w:b w:val="0"/>
          <w:bCs w:val="0"/>
          <w:color w:val="auto"/>
          <w:sz w:val="22"/>
          <w:szCs w:val="22"/>
          <w:u w:val="single"/>
        </w:rPr>
        <w:t>Sociedad Grupo Portuario S.A</w:t>
      </w:r>
      <w:r w:rsidRPr="00E07EC0">
        <w:rPr>
          <w:rFonts w:ascii="Arial Narrow" w:hAnsi="Arial Narrow" w:cs="Gisha"/>
          <w:b w:val="0"/>
          <w:bCs w:val="0"/>
          <w:color w:val="auto"/>
          <w:sz w:val="22"/>
          <w:szCs w:val="22"/>
        </w:rPr>
        <w:t>.</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C31EC5"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t>A 31 de diciembre de 2015 l</w:t>
      </w:r>
      <w:r w:rsidR="0024736A">
        <w:rPr>
          <w:rFonts w:ascii="Arial Narrow" w:hAnsi="Arial Narrow" w:cs="Gisha"/>
          <w:b w:val="0"/>
          <w:bCs w:val="0"/>
          <w:color w:val="auto"/>
          <w:sz w:val="22"/>
          <w:szCs w:val="22"/>
        </w:rPr>
        <w:t>a concesión Sociedad Grupo Portuario a 31 de diciembre de 2015, presenta un valor de $ 764.747 miles, las operaciones realizadas en el 2015 por valor de $112.948 miles corresponde a inversión de capital privado.</w:t>
      </w:r>
    </w:p>
    <w:p w:rsidR="0024736A" w:rsidRPr="00C31EC5" w:rsidRDefault="0024736A" w:rsidP="00853B3A">
      <w:pPr>
        <w:pStyle w:val="Textoindependiente2"/>
        <w:numPr>
          <w:ilvl w:val="0"/>
          <w:numId w:val="25"/>
        </w:numPr>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u w:val="single"/>
        </w:rPr>
      </w:pPr>
      <w:r w:rsidRPr="00C31EC5">
        <w:rPr>
          <w:rFonts w:ascii="Arial Narrow" w:hAnsi="Arial Narrow" w:cs="Gisha"/>
          <w:b w:val="0"/>
          <w:bCs w:val="0"/>
          <w:color w:val="auto"/>
          <w:sz w:val="22"/>
          <w:szCs w:val="22"/>
          <w:u w:val="single"/>
        </w:rPr>
        <w:t>Sociedad Portuaria Punta de las Vacas S.A.</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t>El valor de $ 23.276 miles corresponde a infraestructura en servicio a 31 de diciembre de 2015.</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Pr="00C31EC5" w:rsidRDefault="0024736A" w:rsidP="00853B3A">
      <w:pPr>
        <w:pStyle w:val="Textoindependiente2"/>
        <w:numPr>
          <w:ilvl w:val="0"/>
          <w:numId w:val="25"/>
        </w:numPr>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u w:val="single"/>
        </w:rPr>
      </w:pPr>
      <w:r w:rsidRPr="00C31EC5">
        <w:rPr>
          <w:rFonts w:ascii="Arial Narrow" w:hAnsi="Arial Narrow" w:cs="Gisha"/>
          <w:b w:val="0"/>
          <w:bCs w:val="0"/>
          <w:color w:val="auto"/>
          <w:sz w:val="22"/>
          <w:szCs w:val="22"/>
          <w:u w:val="single"/>
        </w:rPr>
        <w:t>Sociedad Portuaria Terminal de contenedores de Cartagena</w:t>
      </w:r>
    </w:p>
    <w:p w:rsidR="0024736A" w:rsidRPr="00C31EC5"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u w:val="single"/>
        </w:rPr>
      </w:pP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t>La concesión Portuaria Terminal de contenedores de Cartagena a 31 de diciembre de 2015, presenta un valor de $ 183.999.486 miles, las operaciones re</w:t>
      </w:r>
      <w:r w:rsidR="00C31EC5">
        <w:rPr>
          <w:rFonts w:ascii="Arial Narrow" w:hAnsi="Arial Narrow" w:cs="Gisha"/>
          <w:b w:val="0"/>
          <w:bCs w:val="0"/>
          <w:color w:val="auto"/>
          <w:sz w:val="22"/>
          <w:szCs w:val="22"/>
        </w:rPr>
        <w:t>alizadas en el 2015 correspondieron</w:t>
      </w:r>
      <w:r>
        <w:rPr>
          <w:rFonts w:ascii="Arial Narrow" w:hAnsi="Arial Narrow" w:cs="Gisha"/>
          <w:b w:val="0"/>
          <w:bCs w:val="0"/>
          <w:color w:val="auto"/>
          <w:sz w:val="22"/>
          <w:szCs w:val="22"/>
        </w:rPr>
        <w:t xml:space="preserve"> a reducción informada por el concesionario a la inversión de capital privado por valor de $192.040 miles.</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t xml:space="preserve"> </w:t>
      </w:r>
    </w:p>
    <w:p w:rsidR="0024736A" w:rsidRPr="00C31EC5" w:rsidRDefault="0024736A" w:rsidP="00853B3A">
      <w:pPr>
        <w:pStyle w:val="Textoindependiente2"/>
        <w:numPr>
          <w:ilvl w:val="0"/>
          <w:numId w:val="25"/>
        </w:numPr>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u w:val="single"/>
        </w:rPr>
      </w:pPr>
      <w:r w:rsidRPr="00C31EC5">
        <w:rPr>
          <w:rFonts w:ascii="Arial Narrow" w:hAnsi="Arial Narrow" w:cs="Gisha"/>
          <w:b w:val="0"/>
          <w:bCs w:val="0"/>
          <w:color w:val="auto"/>
          <w:sz w:val="22"/>
          <w:szCs w:val="22"/>
          <w:u w:val="single"/>
        </w:rPr>
        <w:t>Sociedad Portuaria de la Península S.A. Pensoport</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lastRenderedPageBreak/>
        <w:t>El valor de $ 629.308 miles en la concesión Sociedad Portuaria de la Península S.A. a 31 de diciembre de 2015, corresponde a infraestructura en servicio.</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Pr="00C31EC5" w:rsidRDefault="0024736A" w:rsidP="00853B3A">
      <w:pPr>
        <w:pStyle w:val="Textoindependiente2"/>
        <w:numPr>
          <w:ilvl w:val="0"/>
          <w:numId w:val="25"/>
        </w:numPr>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u w:val="single"/>
        </w:rPr>
      </w:pPr>
      <w:r w:rsidRPr="00C31EC5">
        <w:rPr>
          <w:rFonts w:ascii="Arial Narrow" w:hAnsi="Arial Narrow" w:cs="Gisha"/>
          <w:b w:val="0"/>
          <w:bCs w:val="0"/>
          <w:color w:val="auto"/>
          <w:sz w:val="22"/>
          <w:szCs w:val="22"/>
          <w:u w:val="single"/>
        </w:rPr>
        <w:t xml:space="preserve">Sociedad C.I. </w:t>
      </w:r>
      <w:r w:rsidR="00BC114A" w:rsidRPr="00C31EC5">
        <w:rPr>
          <w:rFonts w:ascii="Arial Narrow" w:hAnsi="Arial Narrow" w:cs="Gisha"/>
          <w:b w:val="0"/>
          <w:bCs w:val="0"/>
          <w:color w:val="auto"/>
          <w:sz w:val="22"/>
          <w:szCs w:val="22"/>
          <w:u w:val="single"/>
        </w:rPr>
        <w:t>Océanos</w:t>
      </w:r>
      <w:r w:rsidRPr="00C31EC5">
        <w:rPr>
          <w:rFonts w:ascii="Arial Narrow" w:hAnsi="Arial Narrow" w:cs="Gisha"/>
          <w:b w:val="0"/>
          <w:bCs w:val="0"/>
          <w:color w:val="auto"/>
          <w:sz w:val="22"/>
          <w:szCs w:val="22"/>
          <w:u w:val="single"/>
        </w:rPr>
        <w:t xml:space="preserve"> S.A.</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C31EC5"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t>A 31 de diciembre de 2015 l</w:t>
      </w:r>
      <w:r w:rsidR="0024736A">
        <w:rPr>
          <w:rFonts w:ascii="Arial Narrow" w:hAnsi="Arial Narrow" w:cs="Gisha"/>
          <w:b w:val="0"/>
          <w:bCs w:val="0"/>
          <w:color w:val="auto"/>
          <w:sz w:val="22"/>
          <w:szCs w:val="22"/>
        </w:rPr>
        <w:t xml:space="preserve">a concesión Sociedad CI </w:t>
      </w:r>
      <w:r w:rsidR="00BC114A">
        <w:rPr>
          <w:rFonts w:ascii="Arial Narrow" w:hAnsi="Arial Narrow" w:cs="Gisha"/>
          <w:b w:val="0"/>
          <w:bCs w:val="0"/>
          <w:color w:val="auto"/>
          <w:sz w:val="22"/>
          <w:szCs w:val="22"/>
        </w:rPr>
        <w:t>Océanos</w:t>
      </w:r>
      <w:r w:rsidR="0024736A">
        <w:rPr>
          <w:rFonts w:ascii="Arial Narrow" w:hAnsi="Arial Narrow" w:cs="Gisha"/>
          <w:b w:val="0"/>
          <w:bCs w:val="0"/>
          <w:color w:val="auto"/>
          <w:sz w:val="22"/>
          <w:szCs w:val="22"/>
        </w:rPr>
        <w:t xml:space="preserve"> S.A., pres</w:t>
      </w:r>
      <w:r>
        <w:rPr>
          <w:rFonts w:ascii="Arial Narrow" w:hAnsi="Arial Narrow" w:cs="Gisha"/>
          <w:b w:val="0"/>
          <w:bCs w:val="0"/>
          <w:color w:val="auto"/>
          <w:sz w:val="22"/>
          <w:szCs w:val="22"/>
        </w:rPr>
        <w:t xml:space="preserve">enta un valor de $29.000 miles </w:t>
      </w:r>
      <w:r w:rsidR="0024736A">
        <w:rPr>
          <w:rFonts w:ascii="Arial Narrow" w:hAnsi="Arial Narrow" w:cs="Gisha"/>
          <w:b w:val="0"/>
          <w:bCs w:val="0"/>
          <w:color w:val="auto"/>
          <w:sz w:val="22"/>
          <w:szCs w:val="22"/>
        </w:rPr>
        <w:t>e</w:t>
      </w:r>
      <w:r>
        <w:rPr>
          <w:rFonts w:ascii="Arial Narrow" w:hAnsi="Arial Narrow" w:cs="Gisha"/>
          <w:b w:val="0"/>
          <w:bCs w:val="0"/>
          <w:color w:val="auto"/>
          <w:sz w:val="22"/>
          <w:szCs w:val="22"/>
        </w:rPr>
        <w:t>n</w:t>
      </w:r>
      <w:r w:rsidR="0024736A">
        <w:rPr>
          <w:rFonts w:ascii="Arial Narrow" w:hAnsi="Arial Narrow" w:cs="Gisha"/>
          <w:b w:val="0"/>
          <w:bCs w:val="0"/>
          <w:color w:val="auto"/>
          <w:sz w:val="22"/>
          <w:szCs w:val="22"/>
        </w:rPr>
        <w:t xml:space="preserve"> infraestructura en servicio.</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24736A" w:rsidP="00853B3A">
      <w:pPr>
        <w:pStyle w:val="Textoindependiente2"/>
        <w:numPr>
          <w:ilvl w:val="0"/>
          <w:numId w:val="25"/>
        </w:numPr>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sidRPr="00C31EC5">
        <w:rPr>
          <w:rFonts w:ascii="Arial Narrow" w:hAnsi="Arial Narrow" w:cs="Gisha"/>
          <w:b w:val="0"/>
          <w:bCs w:val="0"/>
          <w:color w:val="auto"/>
          <w:sz w:val="22"/>
          <w:szCs w:val="22"/>
          <w:u w:val="single"/>
        </w:rPr>
        <w:t>Sociedad Portuaria Regional de Cartagena S.A</w:t>
      </w:r>
      <w:r w:rsidRPr="00E07EC0">
        <w:rPr>
          <w:rFonts w:ascii="Arial Narrow" w:hAnsi="Arial Narrow" w:cs="Gisha"/>
          <w:b w:val="0"/>
          <w:bCs w:val="0"/>
          <w:color w:val="auto"/>
          <w:sz w:val="22"/>
          <w:szCs w:val="22"/>
        </w:rPr>
        <w:t>.</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t>A 31 de diciembre de 2015, la Sociedad Portuaria Regional de Cartagena S.A. presenta un valor de $ 44.803.444 miles por concepto de infraestructura en servicio.</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Pr="00C31EC5" w:rsidRDefault="0024736A" w:rsidP="00853B3A">
      <w:pPr>
        <w:pStyle w:val="Textoindependiente2"/>
        <w:numPr>
          <w:ilvl w:val="0"/>
          <w:numId w:val="25"/>
        </w:numPr>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u w:val="single"/>
        </w:rPr>
      </w:pPr>
      <w:r w:rsidRPr="00C31EC5">
        <w:rPr>
          <w:rFonts w:ascii="Arial Narrow" w:hAnsi="Arial Narrow" w:cs="Gisha"/>
          <w:b w:val="0"/>
          <w:bCs w:val="0"/>
          <w:color w:val="auto"/>
          <w:sz w:val="22"/>
          <w:szCs w:val="22"/>
          <w:u w:val="single"/>
        </w:rPr>
        <w:t>Cenit Transporte y Logística de Hidrocarburos S</w:t>
      </w:r>
      <w:r w:rsidR="00C31EC5">
        <w:rPr>
          <w:rFonts w:ascii="Arial Narrow" w:hAnsi="Arial Narrow" w:cs="Gisha"/>
          <w:b w:val="0"/>
          <w:bCs w:val="0"/>
          <w:color w:val="auto"/>
          <w:sz w:val="22"/>
          <w:szCs w:val="22"/>
          <w:u w:val="single"/>
        </w:rPr>
        <w:t>.</w:t>
      </w:r>
      <w:r w:rsidRPr="00C31EC5">
        <w:rPr>
          <w:rFonts w:ascii="Arial Narrow" w:hAnsi="Arial Narrow" w:cs="Gisha"/>
          <w:b w:val="0"/>
          <w:bCs w:val="0"/>
          <w:color w:val="auto"/>
          <w:sz w:val="22"/>
          <w:szCs w:val="22"/>
          <w:u w:val="single"/>
        </w:rPr>
        <w:t>A</w:t>
      </w:r>
      <w:r w:rsidR="00C31EC5">
        <w:rPr>
          <w:rFonts w:ascii="Arial Narrow" w:hAnsi="Arial Narrow" w:cs="Gisha"/>
          <w:b w:val="0"/>
          <w:bCs w:val="0"/>
          <w:color w:val="auto"/>
          <w:sz w:val="22"/>
          <w:szCs w:val="22"/>
          <w:u w:val="single"/>
        </w:rPr>
        <w:t>.</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C31EC5"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t>A 31 de diciembre de 2015 e</w:t>
      </w:r>
      <w:r w:rsidR="0024736A">
        <w:rPr>
          <w:rFonts w:ascii="Arial Narrow" w:hAnsi="Arial Narrow" w:cs="Gisha"/>
          <w:b w:val="0"/>
          <w:bCs w:val="0"/>
          <w:color w:val="auto"/>
          <w:sz w:val="22"/>
          <w:szCs w:val="22"/>
        </w:rPr>
        <w:t>l valor de $ 26.844.001 miles de la concesión corresponde a infraestructura en servicio.</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24736A" w:rsidP="00853B3A">
      <w:pPr>
        <w:pStyle w:val="Textoindependiente2"/>
        <w:numPr>
          <w:ilvl w:val="0"/>
          <w:numId w:val="25"/>
        </w:numPr>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sidRPr="00C31EC5">
        <w:rPr>
          <w:rFonts w:ascii="Arial Narrow" w:hAnsi="Arial Narrow" w:cs="Gisha"/>
          <w:b w:val="0"/>
          <w:bCs w:val="0"/>
          <w:color w:val="auto"/>
          <w:sz w:val="22"/>
          <w:szCs w:val="22"/>
          <w:u w:val="single"/>
        </w:rPr>
        <w:t>Sociedad Portuaria Central Cartagena S.A</w:t>
      </w:r>
      <w:r w:rsidRPr="00E07EC0">
        <w:rPr>
          <w:rFonts w:ascii="Arial Narrow" w:hAnsi="Arial Narrow" w:cs="Gisha"/>
          <w:b w:val="0"/>
          <w:bCs w:val="0"/>
          <w:color w:val="auto"/>
          <w:sz w:val="22"/>
          <w:szCs w:val="22"/>
        </w:rPr>
        <w:t>.</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C31EC5"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t>A 31 de diciembre de 2015 l</w:t>
      </w:r>
      <w:r w:rsidR="0024736A">
        <w:rPr>
          <w:rFonts w:ascii="Arial Narrow" w:hAnsi="Arial Narrow" w:cs="Gisha"/>
          <w:b w:val="0"/>
          <w:bCs w:val="0"/>
          <w:color w:val="auto"/>
          <w:sz w:val="22"/>
          <w:szCs w:val="22"/>
        </w:rPr>
        <w:t>a concesión Sociedad Portuaria Central Cartagena S.A. presenta un valor de $ 173.781 miles de infraestructura en servicio.</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24736A" w:rsidP="00853B3A">
      <w:pPr>
        <w:pStyle w:val="Textoindependiente2"/>
        <w:numPr>
          <w:ilvl w:val="0"/>
          <w:numId w:val="25"/>
        </w:numPr>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sidRPr="00C31EC5">
        <w:rPr>
          <w:rFonts w:ascii="Arial Narrow" w:hAnsi="Arial Narrow" w:cs="Gisha"/>
          <w:b w:val="0"/>
          <w:bCs w:val="0"/>
          <w:color w:val="auto"/>
          <w:sz w:val="22"/>
          <w:szCs w:val="22"/>
          <w:u w:val="single"/>
        </w:rPr>
        <w:t>Sociedad Puerto Brisa S.A</w:t>
      </w:r>
      <w:r w:rsidRPr="00E07EC0">
        <w:rPr>
          <w:rFonts w:ascii="Arial Narrow" w:hAnsi="Arial Narrow" w:cs="Gisha"/>
          <w:b w:val="0"/>
          <w:bCs w:val="0"/>
          <w:color w:val="auto"/>
          <w:sz w:val="22"/>
          <w:szCs w:val="22"/>
        </w:rPr>
        <w:t>.</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t>A 31 de diciembre de 2015, la Sociedad Puerto Brisa S.A. presenta por concepto de infraestructura en servicio un valor de $ 136.799.511 miles.</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Pr="00C31EC5" w:rsidRDefault="0024736A" w:rsidP="00853B3A">
      <w:pPr>
        <w:pStyle w:val="Textoindependiente2"/>
        <w:numPr>
          <w:ilvl w:val="0"/>
          <w:numId w:val="25"/>
        </w:numPr>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u w:val="single"/>
        </w:rPr>
      </w:pPr>
      <w:r w:rsidRPr="00C31EC5">
        <w:rPr>
          <w:rFonts w:ascii="Arial Narrow" w:hAnsi="Arial Narrow" w:cs="Gisha"/>
          <w:b w:val="0"/>
          <w:bCs w:val="0"/>
          <w:color w:val="auto"/>
          <w:sz w:val="22"/>
          <w:szCs w:val="22"/>
          <w:u w:val="single"/>
        </w:rPr>
        <w:t>Refinería de Cartagena S.A. REFICAR</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C31EC5"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t>A 31 de diciembre de 2015 e</w:t>
      </w:r>
      <w:r w:rsidR="0024736A">
        <w:rPr>
          <w:rFonts w:ascii="Arial Narrow" w:hAnsi="Arial Narrow" w:cs="Gisha"/>
          <w:b w:val="0"/>
          <w:bCs w:val="0"/>
          <w:color w:val="auto"/>
          <w:sz w:val="22"/>
          <w:szCs w:val="22"/>
        </w:rPr>
        <w:t>l valor de $96.259.939 miles, corresponde a la infraestructura en servicio, las operaciones presentadas en la vigencia 2015, obedecieron a la actualización de la inversión de capital privado por valor de $81.015.418 miles.</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Pr="00C31EC5" w:rsidRDefault="0024736A" w:rsidP="00853B3A">
      <w:pPr>
        <w:pStyle w:val="Textoindependiente2"/>
        <w:numPr>
          <w:ilvl w:val="0"/>
          <w:numId w:val="25"/>
        </w:numPr>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u w:val="single"/>
        </w:rPr>
      </w:pPr>
      <w:r w:rsidRPr="00C31EC5">
        <w:rPr>
          <w:rFonts w:ascii="Arial Narrow" w:hAnsi="Arial Narrow" w:cs="Gisha"/>
          <w:b w:val="0"/>
          <w:bCs w:val="0"/>
          <w:color w:val="auto"/>
          <w:sz w:val="22"/>
          <w:szCs w:val="22"/>
          <w:u w:val="single"/>
        </w:rPr>
        <w:t>Cenit Transporte y Logística de Hidrocarburos SAS</w:t>
      </w:r>
    </w:p>
    <w:p w:rsidR="00C31EC5" w:rsidRDefault="00C31EC5"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C31EC5"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t>A 31 de diciembre de 2015 l</w:t>
      </w:r>
      <w:r w:rsidR="0024736A">
        <w:rPr>
          <w:rFonts w:ascii="Arial Narrow" w:hAnsi="Arial Narrow" w:cs="Gisha"/>
          <w:b w:val="0"/>
          <w:bCs w:val="0"/>
          <w:color w:val="auto"/>
          <w:sz w:val="22"/>
          <w:szCs w:val="22"/>
        </w:rPr>
        <w:t>a concesión Cenit Transporte y logística de Hidrocarburos SAS, presenta por concepto de infraestructura en servicio el valor de $ 10.844.152 miles, las operaciones realizadas en el 2015, obedecen a la actualización de la inversión de capital privado realizado por el concesionario por valor de $315.293 miles.</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24736A" w:rsidP="00853B3A">
      <w:pPr>
        <w:pStyle w:val="Textoindependiente2"/>
        <w:numPr>
          <w:ilvl w:val="0"/>
          <w:numId w:val="25"/>
        </w:numPr>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sidRPr="00C31EC5">
        <w:rPr>
          <w:rFonts w:ascii="Arial Narrow" w:hAnsi="Arial Narrow" w:cs="Gisha"/>
          <w:b w:val="0"/>
          <w:bCs w:val="0"/>
          <w:color w:val="auto"/>
          <w:sz w:val="22"/>
          <w:szCs w:val="22"/>
          <w:u w:val="single"/>
        </w:rPr>
        <w:t>Transpetrol Ltda</w:t>
      </w:r>
      <w:r w:rsidRPr="00E07EC0">
        <w:rPr>
          <w:rFonts w:ascii="Arial Narrow" w:hAnsi="Arial Narrow" w:cs="Gisha"/>
          <w:b w:val="0"/>
          <w:bCs w:val="0"/>
          <w:color w:val="auto"/>
          <w:sz w:val="22"/>
          <w:szCs w:val="22"/>
        </w:rPr>
        <w:t>.</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C31EC5"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t>A 31 de diciembre de 2015  e</w:t>
      </w:r>
      <w:r w:rsidR="0024736A">
        <w:rPr>
          <w:rFonts w:ascii="Arial Narrow" w:hAnsi="Arial Narrow" w:cs="Gisha"/>
          <w:b w:val="0"/>
          <w:bCs w:val="0"/>
          <w:color w:val="auto"/>
          <w:sz w:val="22"/>
          <w:szCs w:val="22"/>
        </w:rPr>
        <w:t>l valor de $ 122.272 miles de la concesión Tra</w:t>
      </w:r>
      <w:r>
        <w:rPr>
          <w:rFonts w:ascii="Arial Narrow" w:hAnsi="Arial Narrow" w:cs="Gisha"/>
          <w:b w:val="0"/>
          <w:bCs w:val="0"/>
          <w:color w:val="auto"/>
          <w:sz w:val="22"/>
          <w:szCs w:val="22"/>
        </w:rPr>
        <w:t xml:space="preserve">nspetrol Ltda, corresponde a </w:t>
      </w:r>
      <w:r w:rsidR="0024736A">
        <w:rPr>
          <w:rFonts w:ascii="Arial Narrow" w:hAnsi="Arial Narrow" w:cs="Gisha"/>
          <w:b w:val="0"/>
          <w:bCs w:val="0"/>
          <w:color w:val="auto"/>
          <w:sz w:val="22"/>
          <w:szCs w:val="22"/>
        </w:rPr>
        <w:t>infraestructura en servicio</w:t>
      </w:r>
      <w:r>
        <w:rPr>
          <w:rFonts w:ascii="Arial Narrow" w:hAnsi="Arial Narrow" w:cs="Gisha"/>
          <w:b w:val="0"/>
          <w:bCs w:val="0"/>
          <w:color w:val="auto"/>
          <w:sz w:val="22"/>
          <w:szCs w:val="22"/>
        </w:rPr>
        <w:t xml:space="preserve">. </w:t>
      </w:r>
    </w:p>
    <w:p w:rsidR="00C31EC5" w:rsidRDefault="00C31EC5"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24736A" w:rsidP="00853B3A">
      <w:pPr>
        <w:pStyle w:val="Textoindependiente2"/>
        <w:numPr>
          <w:ilvl w:val="0"/>
          <w:numId w:val="25"/>
        </w:numPr>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sidRPr="00C31EC5">
        <w:rPr>
          <w:rFonts w:ascii="Arial Narrow" w:hAnsi="Arial Narrow" w:cs="Gisha"/>
          <w:b w:val="0"/>
          <w:bCs w:val="0"/>
          <w:color w:val="auto"/>
          <w:sz w:val="22"/>
          <w:szCs w:val="22"/>
          <w:u w:val="single"/>
        </w:rPr>
        <w:t>Sociedad Portuaria Puerto Nuevo S.A</w:t>
      </w:r>
      <w:r w:rsidRPr="00E07EC0">
        <w:rPr>
          <w:rFonts w:ascii="Arial Narrow" w:hAnsi="Arial Narrow" w:cs="Gisha"/>
          <w:b w:val="0"/>
          <w:bCs w:val="0"/>
          <w:color w:val="auto"/>
          <w:sz w:val="22"/>
          <w:szCs w:val="22"/>
        </w:rPr>
        <w:t>.</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t>A 31 de diciembre de 2015 la Sociedad Portuaria Puerto Nuevo S.A. presenta un valor de $ 410.965.828 miles por infraestructura en servicio.</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Pr="00C31EC5" w:rsidRDefault="0024736A" w:rsidP="00853B3A">
      <w:pPr>
        <w:pStyle w:val="Textoindependiente2"/>
        <w:numPr>
          <w:ilvl w:val="0"/>
          <w:numId w:val="25"/>
        </w:numPr>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u w:val="single"/>
        </w:rPr>
      </w:pPr>
      <w:r w:rsidRPr="00C31EC5">
        <w:rPr>
          <w:rFonts w:ascii="Arial Narrow" w:hAnsi="Arial Narrow" w:cs="Gisha"/>
          <w:b w:val="0"/>
          <w:bCs w:val="0"/>
          <w:color w:val="auto"/>
          <w:sz w:val="22"/>
          <w:szCs w:val="22"/>
          <w:u w:val="single"/>
        </w:rPr>
        <w:lastRenderedPageBreak/>
        <w:t>Sociedad Portuaria Puerto Bahía S.A.</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C31EC5"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t>A 31 de diciembre de 2015 e</w:t>
      </w:r>
      <w:r w:rsidR="0024736A">
        <w:rPr>
          <w:rFonts w:ascii="Arial Narrow" w:hAnsi="Arial Narrow" w:cs="Gisha"/>
          <w:b w:val="0"/>
          <w:bCs w:val="0"/>
          <w:color w:val="auto"/>
          <w:sz w:val="22"/>
          <w:szCs w:val="22"/>
        </w:rPr>
        <w:t>l valor de $ 244.875.173 miles corresponde a la infraestructura en servicio, las operaciones realizadas en el 2015 corresponden a la inversión de capital privado realizada por el concesionario por valor de $ 104.492.615 miles.</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24736A" w:rsidP="00853B3A">
      <w:pPr>
        <w:pStyle w:val="Textoindependiente2"/>
        <w:numPr>
          <w:ilvl w:val="0"/>
          <w:numId w:val="25"/>
        </w:numPr>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sidRPr="00C31EC5">
        <w:rPr>
          <w:rFonts w:ascii="Arial Narrow" w:hAnsi="Arial Narrow" w:cs="Gisha"/>
          <w:b w:val="0"/>
          <w:bCs w:val="0"/>
          <w:color w:val="auto"/>
          <w:sz w:val="22"/>
          <w:szCs w:val="22"/>
          <w:u w:val="single"/>
        </w:rPr>
        <w:t>Sociedad Portuaria Dexton S.A</w:t>
      </w:r>
      <w:r w:rsidRPr="00E07EC0">
        <w:rPr>
          <w:rFonts w:ascii="Arial Narrow" w:hAnsi="Arial Narrow" w:cs="Gisha"/>
          <w:b w:val="0"/>
          <w:bCs w:val="0"/>
          <w:color w:val="auto"/>
          <w:sz w:val="22"/>
          <w:szCs w:val="22"/>
        </w:rPr>
        <w:t>.</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t>A 31 de</w:t>
      </w:r>
      <w:r w:rsidR="00C31EC5">
        <w:rPr>
          <w:rFonts w:ascii="Arial Narrow" w:hAnsi="Arial Narrow" w:cs="Gisha"/>
          <w:b w:val="0"/>
          <w:bCs w:val="0"/>
          <w:color w:val="auto"/>
          <w:sz w:val="22"/>
          <w:szCs w:val="22"/>
        </w:rPr>
        <w:t xml:space="preserve"> diciembre de 2015, el valor </w:t>
      </w:r>
      <w:r>
        <w:rPr>
          <w:rFonts w:ascii="Arial Narrow" w:hAnsi="Arial Narrow" w:cs="Gisha"/>
          <w:b w:val="0"/>
          <w:bCs w:val="0"/>
          <w:color w:val="auto"/>
          <w:sz w:val="22"/>
          <w:szCs w:val="22"/>
        </w:rPr>
        <w:t xml:space="preserve">de $ 1.143.241 </w:t>
      </w:r>
      <w:r w:rsidR="00C31EC5">
        <w:rPr>
          <w:rFonts w:ascii="Arial Narrow" w:hAnsi="Arial Narrow" w:cs="Gisha"/>
          <w:b w:val="0"/>
          <w:bCs w:val="0"/>
          <w:color w:val="auto"/>
          <w:sz w:val="22"/>
          <w:szCs w:val="22"/>
        </w:rPr>
        <w:t>miles corresponde a la infraestructura en servicio</w:t>
      </w:r>
      <w:r>
        <w:rPr>
          <w:rFonts w:ascii="Arial Narrow" w:hAnsi="Arial Narrow" w:cs="Gisha"/>
          <w:b w:val="0"/>
          <w:bCs w:val="0"/>
          <w:color w:val="auto"/>
          <w:sz w:val="22"/>
          <w:szCs w:val="22"/>
        </w:rPr>
        <w:t>.</w:t>
      </w:r>
      <w:r w:rsidR="00C31EC5">
        <w:rPr>
          <w:rFonts w:ascii="Arial Narrow" w:hAnsi="Arial Narrow" w:cs="Gisha"/>
          <w:b w:val="0"/>
          <w:bCs w:val="0"/>
          <w:color w:val="auto"/>
          <w:sz w:val="22"/>
          <w:szCs w:val="22"/>
        </w:rPr>
        <w:t xml:space="preserve"> </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Pr="00C31EC5" w:rsidRDefault="0024736A" w:rsidP="00853B3A">
      <w:pPr>
        <w:pStyle w:val="Textoindependiente2"/>
        <w:numPr>
          <w:ilvl w:val="0"/>
          <w:numId w:val="25"/>
        </w:numPr>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u w:val="single"/>
        </w:rPr>
      </w:pPr>
      <w:r w:rsidRPr="00C31EC5">
        <w:rPr>
          <w:rFonts w:ascii="Arial Narrow" w:hAnsi="Arial Narrow" w:cs="Gisha"/>
          <w:b w:val="0"/>
          <w:bCs w:val="0"/>
          <w:color w:val="auto"/>
          <w:sz w:val="22"/>
          <w:szCs w:val="22"/>
          <w:u w:val="single"/>
        </w:rPr>
        <w:t>Sociedad Portuaria Puerto Hondo S.A.</w:t>
      </w:r>
    </w:p>
    <w:p w:rsidR="0024736A" w:rsidRPr="00444ADD"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left="1080" w:right="424"/>
        <w:rPr>
          <w:rFonts w:ascii="Arial Narrow" w:hAnsi="Arial Narrow" w:cs="Gisha"/>
          <w:b w:val="0"/>
          <w:bCs w:val="0"/>
          <w:color w:val="auto"/>
          <w:sz w:val="22"/>
          <w:szCs w:val="22"/>
        </w:rPr>
      </w:pPr>
    </w:p>
    <w:p w:rsidR="0024736A" w:rsidRDefault="00C31EC5"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t>A 31 de diciembre de 2015, e</w:t>
      </w:r>
      <w:r w:rsidR="0024736A">
        <w:rPr>
          <w:rFonts w:ascii="Arial Narrow" w:hAnsi="Arial Narrow" w:cs="Gisha"/>
          <w:b w:val="0"/>
          <w:bCs w:val="0"/>
          <w:color w:val="auto"/>
          <w:sz w:val="22"/>
          <w:szCs w:val="22"/>
        </w:rPr>
        <w:t>l valor de $ 1.445.901 miles corresponde a la infraestructura en servicio.</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24736A" w:rsidP="00853B3A">
      <w:pPr>
        <w:pStyle w:val="Textoindependiente2"/>
        <w:numPr>
          <w:ilvl w:val="0"/>
          <w:numId w:val="25"/>
        </w:numPr>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sidRPr="00C31EC5">
        <w:rPr>
          <w:rFonts w:ascii="Arial Narrow" w:hAnsi="Arial Narrow" w:cs="Gisha"/>
          <w:b w:val="0"/>
          <w:bCs w:val="0"/>
          <w:color w:val="auto"/>
          <w:sz w:val="22"/>
          <w:szCs w:val="22"/>
          <w:u w:val="single"/>
        </w:rPr>
        <w:t xml:space="preserve">Sociedad Romero y Burgos &amp; </w:t>
      </w:r>
      <w:r w:rsidR="003E1AF9" w:rsidRPr="00C31EC5">
        <w:rPr>
          <w:rFonts w:ascii="Arial Narrow" w:hAnsi="Arial Narrow" w:cs="Gisha"/>
          <w:b w:val="0"/>
          <w:bCs w:val="0"/>
          <w:color w:val="auto"/>
          <w:sz w:val="22"/>
          <w:szCs w:val="22"/>
          <w:u w:val="single"/>
        </w:rPr>
        <w:t>Cía</w:t>
      </w:r>
      <w:r w:rsidR="003E1AF9">
        <w:rPr>
          <w:rFonts w:ascii="Arial Narrow" w:hAnsi="Arial Narrow" w:cs="Gisha"/>
          <w:b w:val="0"/>
          <w:bCs w:val="0"/>
          <w:color w:val="auto"/>
          <w:sz w:val="22"/>
          <w:szCs w:val="22"/>
        </w:rPr>
        <w:t>.</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C31EC5"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t>A 31 de diciembre de 2015 e</w:t>
      </w:r>
      <w:r w:rsidR="0024736A">
        <w:rPr>
          <w:rFonts w:ascii="Arial Narrow" w:hAnsi="Arial Narrow" w:cs="Gisha"/>
          <w:b w:val="0"/>
          <w:bCs w:val="0"/>
          <w:color w:val="auto"/>
          <w:sz w:val="22"/>
          <w:szCs w:val="22"/>
        </w:rPr>
        <w:t>l valor d</w:t>
      </w:r>
      <w:r w:rsidR="00262663">
        <w:rPr>
          <w:rFonts w:ascii="Arial Narrow" w:hAnsi="Arial Narrow" w:cs="Gisha"/>
          <w:b w:val="0"/>
          <w:bCs w:val="0"/>
          <w:color w:val="auto"/>
          <w:sz w:val="22"/>
          <w:szCs w:val="22"/>
        </w:rPr>
        <w:t>e $ 44.821 miles corresponde</w:t>
      </w:r>
      <w:r w:rsidR="0024736A">
        <w:rPr>
          <w:rFonts w:ascii="Arial Narrow" w:hAnsi="Arial Narrow" w:cs="Gisha"/>
          <w:b w:val="0"/>
          <w:bCs w:val="0"/>
          <w:color w:val="auto"/>
          <w:sz w:val="22"/>
          <w:szCs w:val="22"/>
        </w:rPr>
        <w:t xml:space="preserve"> </w:t>
      </w:r>
      <w:r w:rsidR="00262663">
        <w:rPr>
          <w:rFonts w:ascii="Arial Narrow" w:hAnsi="Arial Narrow" w:cs="Gisha"/>
          <w:b w:val="0"/>
          <w:bCs w:val="0"/>
          <w:color w:val="auto"/>
          <w:sz w:val="22"/>
          <w:szCs w:val="22"/>
        </w:rPr>
        <w:t xml:space="preserve">a la </w:t>
      </w:r>
      <w:r w:rsidR="0024736A">
        <w:rPr>
          <w:rFonts w:ascii="Arial Narrow" w:hAnsi="Arial Narrow" w:cs="Gisha"/>
          <w:b w:val="0"/>
          <w:bCs w:val="0"/>
          <w:color w:val="auto"/>
          <w:sz w:val="22"/>
          <w:szCs w:val="22"/>
        </w:rPr>
        <w:t>infraestructura en servicio.</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24736A" w:rsidP="00853B3A">
      <w:pPr>
        <w:pStyle w:val="Textoindependiente2"/>
        <w:numPr>
          <w:ilvl w:val="0"/>
          <w:numId w:val="25"/>
        </w:numPr>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sidRPr="00262663">
        <w:rPr>
          <w:rFonts w:ascii="Arial Narrow" w:hAnsi="Arial Narrow" w:cs="Gisha"/>
          <w:b w:val="0"/>
          <w:bCs w:val="0"/>
          <w:color w:val="auto"/>
          <w:sz w:val="22"/>
          <w:szCs w:val="22"/>
          <w:u w:val="single"/>
        </w:rPr>
        <w:t>Sociedad Pesquera de Tolú S.A</w:t>
      </w:r>
      <w:r w:rsidRPr="00E07EC0">
        <w:rPr>
          <w:rFonts w:ascii="Arial Narrow" w:hAnsi="Arial Narrow" w:cs="Gisha"/>
          <w:b w:val="0"/>
          <w:bCs w:val="0"/>
          <w:color w:val="auto"/>
          <w:sz w:val="22"/>
          <w:szCs w:val="22"/>
        </w:rPr>
        <w:t>.</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62663" w:rsidRDefault="00262663" w:rsidP="00262663">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t xml:space="preserve">A 31 de diciembre de 2015 el valor de $ 71.340 miles corresponde a la </w:t>
      </w:r>
      <w:r w:rsidR="0024736A">
        <w:rPr>
          <w:rFonts w:ascii="Arial Narrow" w:hAnsi="Arial Narrow" w:cs="Gisha"/>
          <w:b w:val="0"/>
          <w:bCs w:val="0"/>
          <w:color w:val="auto"/>
          <w:sz w:val="22"/>
          <w:szCs w:val="22"/>
        </w:rPr>
        <w:t>infraestructura en servicio.</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Pr="00262663" w:rsidRDefault="0024736A" w:rsidP="00853B3A">
      <w:pPr>
        <w:pStyle w:val="Textoindependiente2"/>
        <w:numPr>
          <w:ilvl w:val="0"/>
          <w:numId w:val="25"/>
        </w:numPr>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u w:val="single"/>
        </w:rPr>
      </w:pPr>
      <w:r w:rsidRPr="00262663">
        <w:rPr>
          <w:rFonts w:ascii="Arial Narrow" w:hAnsi="Arial Narrow" w:cs="Gisha"/>
          <w:b w:val="0"/>
          <w:bCs w:val="0"/>
          <w:color w:val="auto"/>
          <w:sz w:val="22"/>
          <w:szCs w:val="22"/>
          <w:u w:val="single"/>
        </w:rPr>
        <w:t>Cocoliso Alcatraz S.A.</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262663"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t xml:space="preserve">A 31 de diciembre de 2015 el </w:t>
      </w:r>
      <w:r w:rsidR="0024736A">
        <w:rPr>
          <w:rFonts w:ascii="Arial Narrow" w:hAnsi="Arial Narrow" w:cs="Gisha"/>
          <w:b w:val="0"/>
          <w:bCs w:val="0"/>
          <w:color w:val="auto"/>
          <w:sz w:val="22"/>
          <w:szCs w:val="22"/>
        </w:rPr>
        <w:t>valor de $ 673.023 miles</w:t>
      </w:r>
      <w:r>
        <w:rPr>
          <w:rFonts w:ascii="Arial Narrow" w:hAnsi="Arial Narrow" w:cs="Gisha"/>
          <w:b w:val="0"/>
          <w:bCs w:val="0"/>
          <w:color w:val="auto"/>
          <w:sz w:val="22"/>
          <w:szCs w:val="22"/>
        </w:rPr>
        <w:t xml:space="preserve"> corresponde a la infraestructura en servicio</w:t>
      </w:r>
      <w:r w:rsidR="0024736A">
        <w:rPr>
          <w:rFonts w:ascii="Arial Narrow" w:hAnsi="Arial Narrow" w:cs="Gisha"/>
          <w:b w:val="0"/>
          <w:bCs w:val="0"/>
          <w:color w:val="auto"/>
          <w:sz w:val="22"/>
          <w:szCs w:val="22"/>
        </w:rPr>
        <w:t>, las operaciones realizadas en la vigencia 2015 obedeció al registro de $ 66.806 miles por concepto de inversión de capital privado.</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24736A" w:rsidP="00853B3A">
      <w:pPr>
        <w:pStyle w:val="Textoindependiente2"/>
        <w:numPr>
          <w:ilvl w:val="0"/>
          <w:numId w:val="25"/>
        </w:numPr>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sidRPr="00262663">
        <w:rPr>
          <w:rFonts w:ascii="Arial Narrow" w:hAnsi="Arial Narrow" w:cs="Gisha"/>
          <w:b w:val="0"/>
          <w:bCs w:val="0"/>
          <w:color w:val="auto"/>
          <w:sz w:val="22"/>
          <w:szCs w:val="22"/>
          <w:u w:val="single"/>
        </w:rPr>
        <w:t>Sociedad Portuaria Terminal de IFO'S S.A</w:t>
      </w:r>
      <w:r w:rsidRPr="00E07EC0">
        <w:rPr>
          <w:rFonts w:ascii="Arial Narrow" w:hAnsi="Arial Narrow" w:cs="Gisha"/>
          <w:b w:val="0"/>
          <w:bCs w:val="0"/>
          <w:color w:val="auto"/>
          <w:sz w:val="22"/>
          <w:szCs w:val="22"/>
        </w:rPr>
        <w:t>.</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62663" w:rsidRDefault="00262663"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FF0000"/>
          <w:sz w:val="22"/>
          <w:szCs w:val="22"/>
        </w:rPr>
      </w:pPr>
      <w:r>
        <w:rPr>
          <w:rFonts w:ascii="Arial Narrow" w:hAnsi="Arial Narrow" w:cs="Gisha"/>
          <w:b w:val="0"/>
          <w:bCs w:val="0"/>
          <w:color w:val="auto"/>
          <w:sz w:val="22"/>
          <w:szCs w:val="22"/>
        </w:rPr>
        <w:t>A 31 de diciembre de 2015 e</w:t>
      </w:r>
      <w:r w:rsidR="0024736A">
        <w:rPr>
          <w:rFonts w:ascii="Arial Narrow" w:hAnsi="Arial Narrow" w:cs="Gisha"/>
          <w:b w:val="0"/>
          <w:bCs w:val="0"/>
          <w:color w:val="auto"/>
          <w:sz w:val="22"/>
          <w:szCs w:val="22"/>
        </w:rPr>
        <w:t>l valor de $ 1.935.009 miles corresponde a infraestructura en servicio</w:t>
      </w:r>
      <w:r>
        <w:rPr>
          <w:rFonts w:ascii="Arial Narrow" w:hAnsi="Arial Narrow" w:cs="Gisha"/>
          <w:b w:val="0"/>
          <w:bCs w:val="0"/>
          <w:color w:val="auto"/>
          <w:sz w:val="22"/>
          <w:szCs w:val="22"/>
        </w:rPr>
        <w:t xml:space="preserve">. </w:t>
      </w:r>
    </w:p>
    <w:p w:rsidR="00262663" w:rsidRDefault="00262663"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Pr="00262663" w:rsidRDefault="0024736A" w:rsidP="00853B3A">
      <w:pPr>
        <w:pStyle w:val="Textoindependiente2"/>
        <w:numPr>
          <w:ilvl w:val="0"/>
          <w:numId w:val="25"/>
        </w:numPr>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u w:val="single"/>
        </w:rPr>
      </w:pPr>
      <w:r w:rsidRPr="00262663">
        <w:rPr>
          <w:rFonts w:ascii="Arial Narrow" w:hAnsi="Arial Narrow" w:cs="Gisha"/>
          <w:b w:val="0"/>
          <w:bCs w:val="0"/>
          <w:color w:val="auto"/>
          <w:sz w:val="22"/>
          <w:szCs w:val="22"/>
          <w:u w:val="single"/>
        </w:rPr>
        <w:t>Ecopetrol Terminal Refinería</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262663"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t xml:space="preserve">A 31 de diciembre de 2015 el </w:t>
      </w:r>
      <w:r w:rsidR="0024736A">
        <w:rPr>
          <w:rFonts w:ascii="Arial Narrow" w:hAnsi="Arial Narrow" w:cs="Gisha"/>
          <w:b w:val="0"/>
          <w:bCs w:val="0"/>
          <w:color w:val="auto"/>
          <w:sz w:val="22"/>
          <w:szCs w:val="22"/>
        </w:rPr>
        <w:t xml:space="preserve">valor de $ 2.009.611 miles </w:t>
      </w:r>
      <w:r>
        <w:rPr>
          <w:rFonts w:ascii="Arial Narrow" w:hAnsi="Arial Narrow" w:cs="Gisha"/>
          <w:b w:val="0"/>
          <w:bCs w:val="0"/>
          <w:color w:val="auto"/>
          <w:sz w:val="22"/>
          <w:szCs w:val="22"/>
        </w:rPr>
        <w:t>corresponde a</w:t>
      </w:r>
      <w:r w:rsidR="0024736A">
        <w:rPr>
          <w:rFonts w:ascii="Arial Narrow" w:hAnsi="Arial Narrow" w:cs="Gisha"/>
          <w:b w:val="0"/>
          <w:bCs w:val="0"/>
          <w:color w:val="auto"/>
          <w:sz w:val="22"/>
          <w:szCs w:val="22"/>
        </w:rPr>
        <w:t xml:space="preserve"> infraestructura en servicio.</w:t>
      </w:r>
      <w:r>
        <w:rPr>
          <w:rFonts w:ascii="Arial Narrow" w:hAnsi="Arial Narrow" w:cs="Gisha"/>
          <w:b w:val="0"/>
          <w:bCs w:val="0"/>
          <w:color w:val="auto"/>
          <w:sz w:val="22"/>
          <w:szCs w:val="22"/>
        </w:rPr>
        <w:t xml:space="preserve"> </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Pr="00262663" w:rsidRDefault="0024736A" w:rsidP="00853B3A">
      <w:pPr>
        <w:pStyle w:val="Textoindependiente2"/>
        <w:numPr>
          <w:ilvl w:val="0"/>
          <w:numId w:val="25"/>
        </w:numPr>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u w:val="single"/>
        </w:rPr>
      </w:pPr>
      <w:r w:rsidRPr="00262663">
        <w:rPr>
          <w:rFonts w:ascii="Arial Narrow" w:hAnsi="Arial Narrow" w:cs="Gisha"/>
          <w:b w:val="0"/>
          <w:bCs w:val="0"/>
          <w:color w:val="auto"/>
          <w:sz w:val="22"/>
          <w:szCs w:val="22"/>
          <w:u w:val="single"/>
        </w:rPr>
        <w:t>Sociedad Portuaria El Cayao SA ESP</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262663"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t xml:space="preserve">A 31 de diciembre de 2015 </w:t>
      </w:r>
      <w:r w:rsidR="0024736A">
        <w:rPr>
          <w:rFonts w:ascii="Arial Narrow" w:hAnsi="Arial Narrow" w:cs="Gisha"/>
          <w:b w:val="0"/>
          <w:bCs w:val="0"/>
          <w:color w:val="auto"/>
          <w:sz w:val="22"/>
          <w:szCs w:val="22"/>
        </w:rPr>
        <w:t xml:space="preserve"> el valor de $ 26.626.429 miles</w:t>
      </w:r>
      <w:r>
        <w:rPr>
          <w:rFonts w:ascii="Arial Narrow" w:hAnsi="Arial Narrow" w:cs="Gisha"/>
          <w:b w:val="0"/>
          <w:bCs w:val="0"/>
          <w:color w:val="auto"/>
          <w:sz w:val="22"/>
          <w:szCs w:val="22"/>
        </w:rPr>
        <w:t xml:space="preserve"> corresponde a infraestructura en servicio. </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262663"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t>De otra parte, se destaca que los concesionarios</w:t>
      </w:r>
      <w:r w:rsidR="0024736A">
        <w:rPr>
          <w:rFonts w:ascii="Arial Narrow" w:hAnsi="Arial Narrow" w:cs="Gisha"/>
          <w:b w:val="0"/>
          <w:bCs w:val="0"/>
          <w:color w:val="auto"/>
          <w:sz w:val="22"/>
          <w:szCs w:val="22"/>
        </w:rPr>
        <w:t xml:space="preserve"> </w:t>
      </w:r>
      <w:r w:rsidR="0024736A" w:rsidRPr="00193BE7">
        <w:rPr>
          <w:rFonts w:ascii="Arial Narrow" w:hAnsi="Arial Narrow" w:cs="Gisha"/>
          <w:b w:val="0"/>
          <w:bCs w:val="0"/>
          <w:color w:val="auto"/>
          <w:sz w:val="22"/>
          <w:szCs w:val="22"/>
        </w:rPr>
        <w:t>Sociedad Puerto Buenavista S.A.</w:t>
      </w:r>
      <w:r w:rsidR="0024736A">
        <w:rPr>
          <w:rFonts w:ascii="Arial Narrow" w:hAnsi="Arial Narrow" w:cs="Gisha"/>
          <w:b w:val="0"/>
          <w:bCs w:val="0"/>
          <w:color w:val="auto"/>
          <w:sz w:val="22"/>
          <w:szCs w:val="22"/>
        </w:rPr>
        <w:t xml:space="preserve">, </w:t>
      </w:r>
      <w:r w:rsidR="0024736A" w:rsidRPr="00193BE7">
        <w:rPr>
          <w:rFonts w:ascii="Arial Narrow" w:hAnsi="Arial Narrow" w:cs="Gisha"/>
          <w:b w:val="0"/>
          <w:bCs w:val="0"/>
          <w:color w:val="auto"/>
          <w:sz w:val="22"/>
          <w:szCs w:val="22"/>
        </w:rPr>
        <w:t>Sociedad Zona Franca ARGOS  S.A.S.</w:t>
      </w:r>
      <w:r w:rsidR="0024736A">
        <w:rPr>
          <w:rFonts w:ascii="Arial Narrow" w:hAnsi="Arial Narrow" w:cs="Gisha"/>
          <w:b w:val="0"/>
          <w:bCs w:val="0"/>
          <w:color w:val="auto"/>
          <w:sz w:val="22"/>
          <w:szCs w:val="22"/>
        </w:rPr>
        <w:t xml:space="preserve">, </w:t>
      </w:r>
      <w:r w:rsidR="0024736A" w:rsidRPr="00193BE7">
        <w:rPr>
          <w:rFonts w:ascii="Arial Narrow" w:hAnsi="Arial Narrow" w:cs="Gisha"/>
          <w:b w:val="0"/>
          <w:bCs w:val="0"/>
          <w:color w:val="auto"/>
          <w:sz w:val="22"/>
          <w:szCs w:val="22"/>
        </w:rPr>
        <w:t>Sociedad C.I. Prodeco S.A.</w:t>
      </w:r>
      <w:r w:rsidR="0024736A">
        <w:rPr>
          <w:rFonts w:ascii="Arial Narrow" w:hAnsi="Arial Narrow" w:cs="Gisha"/>
          <w:b w:val="0"/>
          <w:bCs w:val="0"/>
          <w:color w:val="auto"/>
          <w:sz w:val="22"/>
          <w:szCs w:val="22"/>
        </w:rPr>
        <w:t xml:space="preserve">, </w:t>
      </w:r>
      <w:r w:rsidR="0024736A" w:rsidRPr="00193BE7">
        <w:rPr>
          <w:rFonts w:ascii="Arial Narrow" w:hAnsi="Arial Narrow" w:cs="Gisha"/>
          <w:b w:val="0"/>
          <w:bCs w:val="0"/>
          <w:color w:val="auto"/>
          <w:sz w:val="22"/>
          <w:szCs w:val="22"/>
        </w:rPr>
        <w:t>Sociedad Salinas Marítimas de Manaure Ltda.- SAMA</w:t>
      </w:r>
      <w:r w:rsidR="0024736A">
        <w:rPr>
          <w:rFonts w:ascii="Arial Narrow" w:hAnsi="Arial Narrow" w:cs="Gisha"/>
          <w:b w:val="0"/>
          <w:bCs w:val="0"/>
          <w:color w:val="auto"/>
          <w:sz w:val="22"/>
          <w:szCs w:val="22"/>
        </w:rPr>
        <w:t xml:space="preserve"> y </w:t>
      </w:r>
      <w:r w:rsidR="0024736A" w:rsidRPr="00193BE7">
        <w:rPr>
          <w:rFonts w:ascii="Arial Narrow" w:hAnsi="Arial Narrow" w:cs="Gisha"/>
          <w:b w:val="0"/>
          <w:bCs w:val="0"/>
          <w:color w:val="auto"/>
          <w:sz w:val="22"/>
          <w:szCs w:val="22"/>
        </w:rPr>
        <w:t xml:space="preserve">Sociedad Portuaria Regional de Cartagena S.A.  </w:t>
      </w:r>
      <w:r w:rsidR="0024736A">
        <w:rPr>
          <w:rFonts w:ascii="Arial Narrow" w:hAnsi="Arial Narrow" w:cs="Gisha"/>
          <w:b w:val="0"/>
          <w:bCs w:val="0"/>
          <w:color w:val="auto"/>
          <w:sz w:val="22"/>
          <w:szCs w:val="22"/>
        </w:rPr>
        <w:t>–</w:t>
      </w:r>
      <w:r w:rsidR="0024736A" w:rsidRPr="00193BE7">
        <w:rPr>
          <w:rFonts w:ascii="Arial Narrow" w:hAnsi="Arial Narrow" w:cs="Gisha"/>
          <w:b w:val="0"/>
          <w:bCs w:val="0"/>
          <w:color w:val="auto"/>
          <w:sz w:val="22"/>
          <w:szCs w:val="22"/>
        </w:rPr>
        <w:t xml:space="preserve"> EDURBE</w:t>
      </w:r>
      <w:r w:rsidR="0024736A">
        <w:rPr>
          <w:rFonts w:ascii="Arial Narrow" w:hAnsi="Arial Narrow" w:cs="Gisha"/>
          <w:b w:val="0"/>
          <w:bCs w:val="0"/>
          <w:color w:val="auto"/>
          <w:sz w:val="22"/>
          <w:szCs w:val="22"/>
        </w:rPr>
        <w:t xml:space="preserve">, </w:t>
      </w:r>
      <w:r>
        <w:rPr>
          <w:rFonts w:ascii="Arial Narrow" w:hAnsi="Arial Narrow" w:cs="Gisha"/>
          <w:b w:val="0"/>
          <w:bCs w:val="0"/>
          <w:color w:val="auto"/>
          <w:sz w:val="22"/>
          <w:szCs w:val="22"/>
        </w:rPr>
        <w:t xml:space="preserve">no </w:t>
      </w:r>
      <w:r w:rsidR="0024736A">
        <w:rPr>
          <w:rFonts w:ascii="Arial Narrow" w:hAnsi="Arial Narrow" w:cs="Gisha"/>
          <w:b w:val="0"/>
          <w:bCs w:val="0"/>
          <w:color w:val="auto"/>
          <w:sz w:val="22"/>
          <w:szCs w:val="22"/>
        </w:rPr>
        <w:t>presenta</w:t>
      </w:r>
      <w:r>
        <w:rPr>
          <w:rFonts w:ascii="Arial Narrow" w:hAnsi="Arial Narrow" w:cs="Gisha"/>
          <w:b w:val="0"/>
          <w:bCs w:val="0"/>
          <w:color w:val="auto"/>
          <w:sz w:val="22"/>
          <w:szCs w:val="22"/>
        </w:rPr>
        <w:t>ron</w:t>
      </w:r>
      <w:r w:rsidR="0024736A">
        <w:rPr>
          <w:rFonts w:ascii="Arial Narrow" w:hAnsi="Arial Narrow" w:cs="Gisha"/>
          <w:b w:val="0"/>
          <w:bCs w:val="0"/>
          <w:color w:val="auto"/>
          <w:sz w:val="22"/>
          <w:szCs w:val="22"/>
        </w:rPr>
        <w:t xml:space="preserve"> inversiones de capital privado a 31 de diciembre de 2015</w:t>
      </w:r>
      <w:r>
        <w:rPr>
          <w:rFonts w:ascii="Arial Narrow" w:hAnsi="Arial Narrow" w:cs="Gisha"/>
          <w:b w:val="0"/>
          <w:bCs w:val="0"/>
          <w:color w:val="auto"/>
          <w:sz w:val="22"/>
          <w:szCs w:val="22"/>
        </w:rPr>
        <w:t>,</w:t>
      </w:r>
      <w:r w:rsidR="0024736A">
        <w:rPr>
          <w:rFonts w:ascii="Arial Narrow" w:hAnsi="Arial Narrow" w:cs="Gisha"/>
          <w:b w:val="0"/>
          <w:bCs w:val="0"/>
          <w:color w:val="auto"/>
          <w:sz w:val="22"/>
          <w:szCs w:val="22"/>
        </w:rPr>
        <w:t xml:space="preserve"> </w:t>
      </w:r>
      <w:r>
        <w:rPr>
          <w:rFonts w:ascii="Arial Narrow" w:hAnsi="Arial Narrow" w:cs="Gisha"/>
          <w:b w:val="0"/>
          <w:bCs w:val="0"/>
          <w:color w:val="auto"/>
          <w:sz w:val="22"/>
          <w:szCs w:val="22"/>
        </w:rPr>
        <w:t xml:space="preserve">aun cuando los contratos de concesión </w:t>
      </w:r>
      <w:r w:rsidR="0024736A">
        <w:rPr>
          <w:rFonts w:ascii="Arial Narrow" w:hAnsi="Arial Narrow" w:cs="Gisha"/>
          <w:b w:val="0"/>
          <w:bCs w:val="0"/>
          <w:color w:val="auto"/>
          <w:sz w:val="22"/>
          <w:szCs w:val="22"/>
        </w:rPr>
        <w:t>se encuentran vigentes</w:t>
      </w:r>
      <w:r>
        <w:rPr>
          <w:rFonts w:ascii="Arial Narrow" w:hAnsi="Arial Narrow" w:cs="Gisha"/>
          <w:b w:val="0"/>
          <w:bCs w:val="0"/>
          <w:color w:val="auto"/>
          <w:sz w:val="22"/>
          <w:szCs w:val="22"/>
        </w:rPr>
        <w:t>.</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sidRPr="003F3B06">
        <w:rPr>
          <w:rFonts w:ascii="Arial Narrow" w:hAnsi="Arial Narrow" w:cs="Gisha"/>
          <w:b w:val="0"/>
          <w:bCs w:val="0"/>
          <w:color w:val="auto"/>
          <w:sz w:val="22"/>
          <w:szCs w:val="22"/>
        </w:rPr>
        <w:t>En</w:t>
      </w:r>
      <w:r>
        <w:rPr>
          <w:rFonts w:ascii="Arial Narrow" w:hAnsi="Arial Narrow" w:cs="Gisha"/>
          <w:b w:val="0"/>
          <w:bCs w:val="0"/>
          <w:color w:val="auto"/>
          <w:sz w:val="22"/>
          <w:szCs w:val="22"/>
        </w:rPr>
        <w:t xml:space="preserve"> la </w:t>
      </w:r>
      <w:r w:rsidRPr="003F3B06">
        <w:rPr>
          <w:rFonts w:ascii="Arial Narrow" w:hAnsi="Arial Narrow" w:cs="Gisha"/>
          <w:b w:val="0"/>
          <w:bCs w:val="0"/>
          <w:color w:val="auto"/>
          <w:sz w:val="22"/>
          <w:szCs w:val="22"/>
        </w:rPr>
        <w:t xml:space="preserve">Red </w:t>
      </w:r>
      <w:r w:rsidR="00A9706E">
        <w:rPr>
          <w:rFonts w:ascii="Arial Narrow" w:hAnsi="Arial Narrow" w:cs="Gisha"/>
          <w:b w:val="0"/>
          <w:bCs w:val="0"/>
          <w:color w:val="auto"/>
          <w:sz w:val="22"/>
          <w:szCs w:val="22"/>
        </w:rPr>
        <w:t>Marítima a 31</w:t>
      </w:r>
      <w:r w:rsidRPr="003F3B06">
        <w:rPr>
          <w:rFonts w:ascii="Arial Narrow" w:hAnsi="Arial Narrow" w:cs="Gisha"/>
          <w:b w:val="0"/>
          <w:bCs w:val="0"/>
          <w:color w:val="auto"/>
          <w:sz w:val="22"/>
          <w:szCs w:val="22"/>
        </w:rPr>
        <w:t xml:space="preserve"> de diciembre de 2015 presenta un incremento por valor de  $</w:t>
      </w:r>
      <w:r w:rsidRPr="003F3B06">
        <w:t xml:space="preserve"> </w:t>
      </w:r>
      <w:r w:rsidRPr="003F3B06">
        <w:rPr>
          <w:rFonts w:ascii="Arial Narrow" w:hAnsi="Arial Narrow" w:cs="Gisha"/>
          <w:b w:val="0"/>
          <w:bCs w:val="0"/>
          <w:color w:val="auto"/>
          <w:sz w:val="22"/>
          <w:szCs w:val="22"/>
        </w:rPr>
        <w:t>724.491.601</w:t>
      </w:r>
      <w:r>
        <w:rPr>
          <w:rFonts w:ascii="Arial Narrow" w:hAnsi="Arial Narrow" w:cs="Gisha"/>
          <w:b w:val="0"/>
          <w:bCs w:val="0"/>
          <w:color w:val="auto"/>
          <w:sz w:val="22"/>
          <w:szCs w:val="22"/>
        </w:rPr>
        <w:t xml:space="preserve"> </w:t>
      </w:r>
      <w:r w:rsidRPr="003F3B06">
        <w:rPr>
          <w:rFonts w:ascii="Arial Narrow" w:hAnsi="Arial Narrow" w:cs="Gisha"/>
          <w:b w:val="0"/>
          <w:bCs w:val="0"/>
          <w:color w:val="auto"/>
          <w:sz w:val="22"/>
          <w:szCs w:val="22"/>
        </w:rPr>
        <w:t xml:space="preserve">miles que corresponde </w:t>
      </w:r>
      <w:r>
        <w:rPr>
          <w:rFonts w:ascii="Arial Narrow" w:hAnsi="Arial Narrow" w:cs="Gisha"/>
          <w:b w:val="0"/>
          <w:bCs w:val="0"/>
          <w:color w:val="auto"/>
          <w:sz w:val="22"/>
          <w:szCs w:val="22"/>
        </w:rPr>
        <w:t>a</w:t>
      </w:r>
      <w:r w:rsidRPr="001A2AC2">
        <w:rPr>
          <w:rFonts w:ascii="Arial Narrow" w:hAnsi="Arial Narrow" w:cs="Gisha"/>
          <w:b w:val="0"/>
          <w:bCs w:val="0"/>
          <w:color w:val="auto"/>
          <w:sz w:val="22"/>
          <w:szCs w:val="22"/>
        </w:rPr>
        <w:t>l registro de los</w:t>
      </w:r>
      <w:r w:rsidRPr="003F3B06">
        <w:rPr>
          <w:rFonts w:ascii="Arial Narrow" w:hAnsi="Arial Narrow" w:cs="Gisha"/>
          <w:b w:val="0"/>
          <w:bCs w:val="0"/>
          <w:color w:val="auto"/>
          <w:sz w:val="22"/>
          <w:szCs w:val="22"/>
        </w:rPr>
        <w:t xml:space="preserve"> valores de la inversión privada certificada por los concesionarios en los proyectos de concesiones según los lineamientos establecidos por la Contaduría General de la Nación, cifras que fueron informadas mediante el formato GCSP-F-01</w:t>
      </w:r>
      <w:r>
        <w:rPr>
          <w:rFonts w:ascii="Arial Narrow" w:hAnsi="Arial Narrow" w:cs="Gisha"/>
          <w:b w:val="0"/>
          <w:bCs w:val="0"/>
          <w:color w:val="auto"/>
          <w:sz w:val="22"/>
          <w:szCs w:val="22"/>
        </w:rPr>
        <w:t>1</w:t>
      </w:r>
      <w:r w:rsidRPr="003F3B06">
        <w:rPr>
          <w:rFonts w:ascii="Arial Narrow" w:hAnsi="Arial Narrow" w:cs="Gisha"/>
          <w:b w:val="0"/>
          <w:bCs w:val="0"/>
          <w:color w:val="auto"/>
          <w:sz w:val="22"/>
          <w:szCs w:val="22"/>
        </w:rPr>
        <w:t xml:space="preserve"> establecido por la Agencia.</w:t>
      </w:r>
    </w:p>
    <w:p w:rsidR="0024736A" w:rsidRDefault="0024736A"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A9706E" w:rsidRPr="00262663" w:rsidRDefault="00262663"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Cs w:val="0"/>
          <w:color w:val="auto"/>
          <w:sz w:val="22"/>
          <w:szCs w:val="22"/>
        </w:rPr>
      </w:pPr>
      <w:r>
        <w:rPr>
          <w:rFonts w:ascii="Arial Narrow" w:hAnsi="Arial Narrow" w:cs="Gisha"/>
          <w:bCs w:val="0"/>
          <w:color w:val="auto"/>
          <w:sz w:val="22"/>
          <w:szCs w:val="22"/>
        </w:rPr>
        <w:lastRenderedPageBreak/>
        <w:tab/>
      </w:r>
      <w:r w:rsidR="00A9706E" w:rsidRPr="00262663">
        <w:rPr>
          <w:rFonts w:ascii="Arial Narrow" w:hAnsi="Arial Narrow" w:cs="Gisha"/>
          <w:bCs w:val="0"/>
          <w:color w:val="auto"/>
          <w:sz w:val="22"/>
          <w:szCs w:val="22"/>
        </w:rPr>
        <w:t>RED AEROPORTUARIA</w:t>
      </w:r>
    </w:p>
    <w:p w:rsidR="00FA11D4" w:rsidRDefault="00FA11D4" w:rsidP="0024736A">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E51A28" w:rsidRPr="004A3F82" w:rsidRDefault="00E51A28" w:rsidP="00E51A28">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sidRPr="004A3F82">
        <w:rPr>
          <w:rFonts w:ascii="Arial Narrow" w:hAnsi="Arial Narrow" w:cs="Gisha"/>
          <w:b w:val="0"/>
          <w:bCs w:val="0"/>
          <w:color w:val="auto"/>
          <w:sz w:val="22"/>
          <w:szCs w:val="22"/>
        </w:rPr>
        <w:t>En la cuenta Red Aeroportuaria en construcción como en servicio por valor de $</w:t>
      </w:r>
      <w:r w:rsidRPr="004A3F82">
        <w:rPr>
          <w:color w:val="auto"/>
        </w:rPr>
        <w:t xml:space="preserve"> </w:t>
      </w:r>
      <w:r w:rsidRPr="004A3F82">
        <w:rPr>
          <w:rFonts w:ascii="Arial Narrow" w:hAnsi="Arial Narrow" w:cs="Gisha"/>
          <w:b w:val="0"/>
          <w:bCs w:val="0"/>
          <w:color w:val="auto"/>
          <w:sz w:val="22"/>
          <w:szCs w:val="22"/>
        </w:rPr>
        <w:t>637.999.895 miles, se registra el valor de la inversión privada en infraestructura de los proyectos concesionados,</w:t>
      </w:r>
      <w:r w:rsidR="00262663" w:rsidRPr="004A3F82">
        <w:rPr>
          <w:rFonts w:ascii="Arial Narrow" w:hAnsi="Arial Narrow" w:cs="Gisha"/>
          <w:b w:val="0"/>
          <w:bCs w:val="0"/>
          <w:color w:val="auto"/>
          <w:sz w:val="22"/>
          <w:szCs w:val="22"/>
        </w:rPr>
        <w:t xml:space="preserve"> </w:t>
      </w:r>
      <w:r w:rsidRPr="004A3F82">
        <w:rPr>
          <w:rFonts w:ascii="Arial Narrow" w:hAnsi="Arial Narrow" w:cs="Gisha"/>
          <w:b w:val="0"/>
          <w:bCs w:val="0"/>
          <w:color w:val="auto"/>
          <w:sz w:val="22"/>
          <w:szCs w:val="22"/>
        </w:rPr>
        <w:t>q</w:t>
      </w:r>
      <w:r w:rsidR="004A3F82">
        <w:rPr>
          <w:rFonts w:ascii="Arial Narrow" w:hAnsi="Arial Narrow" w:cs="Gisha"/>
          <w:b w:val="0"/>
          <w:bCs w:val="0"/>
          <w:color w:val="auto"/>
          <w:sz w:val="22"/>
          <w:szCs w:val="22"/>
          <w:lang w:val="es-ES"/>
        </w:rPr>
        <w:t xml:space="preserve">ue </w:t>
      </w:r>
      <w:r w:rsidR="00262663" w:rsidRPr="004A3F82">
        <w:rPr>
          <w:rFonts w:ascii="Arial Narrow" w:hAnsi="Arial Narrow" w:cs="Gisha"/>
          <w:b w:val="0"/>
          <w:bCs w:val="0"/>
          <w:color w:val="auto"/>
          <w:sz w:val="22"/>
          <w:szCs w:val="22"/>
          <w:lang w:val="es-ES"/>
        </w:rPr>
        <w:t>fueron subrogado</w:t>
      </w:r>
      <w:r w:rsidRPr="004A3F82">
        <w:rPr>
          <w:rFonts w:ascii="Arial Narrow" w:hAnsi="Arial Narrow" w:cs="Gisha"/>
          <w:b w:val="0"/>
          <w:bCs w:val="0"/>
          <w:color w:val="auto"/>
          <w:sz w:val="22"/>
          <w:szCs w:val="22"/>
          <w:lang w:val="es-ES"/>
        </w:rPr>
        <w:t>s a la Agencia por parte de las Aeronáutica Civil en el año 2013</w:t>
      </w:r>
      <w:r w:rsidRPr="004A3F82">
        <w:rPr>
          <w:rFonts w:ascii="Arial Narrow" w:hAnsi="Arial Narrow" w:cs="Gisha"/>
          <w:b w:val="0"/>
          <w:bCs w:val="0"/>
          <w:color w:val="auto"/>
          <w:sz w:val="22"/>
          <w:szCs w:val="22"/>
        </w:rPr>
        <w:t xml:space="preserve">. Esta información es recibida en los formatos internos establecidos y se encuentra avalada por la interventoría y </w:t>
      </w:r>
      <w:r w:rsidRPr="004A3F82">
        <w:rPr>
          <w:rFonts w:ascii="Arial Narrow" w:hAnsi="Arial Narrow" w:cs="Gisha"/>
          <w:b w:val="0"/>
          <w:bCs w:val="0"/>
          <w:color w:val="auto"/>
          <w:sz w:val="22"/>
          <w:szCs w:val="22"/>
          <w:lang w:val="es-ES"/>
        </w:rPr>
        <w:t>verificada  por la Vicepresidencia de Gestión Contractual – Grup</w:t>
      </w:r>
      <w:r w:rsidR="004A3F82" w:rsidRPr="004A3F82">
        <w:rPr>
          <w:rFonts w:ascii="Arial Narrow" w:hAnsi="Arial Narrow" w:cs="Gisha"/>
          <w:b w:val="0"/>
          <w:bCs w:val="0"/>
          <w:color w:val="auto"/>
          <w:sz w:val="22"/>
          <w:szCs w:val="22"/>
          <w:lang w:val="es-ES"/>
        </w:rPr>
        <w:t xml:space="preserve">o Interno de Trabajo Financiero, </w:t>
      </w:r>
      <w:r w:rsidRPr="004A3F82">
        <w:rPr>
          <w:rFonts w:ascii="Arial Narrow" w:hAnsi="Arial Narrow" w:cs="Gisha"/>
          <w:b w:val="0"/>
          <w:bCs w:val="0"/>
          <w:color w:val="auto"/>
          <w:sz w:val="22"/>
          <w:szCs w:val="22"/>
          <w:lang w:val="es-ES"/>
        </w:rPr>
        <w:t xml:space="preserve"> </w:t>
      </w:r>
      <w:r w:rsidR="004A3F82" w:rsidRPr="004A3F82">
        <w:rPr>
          <w:rFonts w:ascii="Arial Narrow" w:hAnsi="Arial Narrow" w:cs="Gisha"/>
          <w:b w:val="0"/>
          <w:bCs w:val="0"/>
          <w:color w:val="auto"/>
          <w:sz w:val="22"/>
          <w:szCs w:val="22"/>
          <w:lang w:val="es-ES"/>
        </w:rPr>
        <w:t>a</w:t>
      </w:r>
      <w:r w:rsidRPr="004A3F82">
        <w:rPr>
          <w:rFonts w:ascii="Arial Narrow" w:hAnsi="Arial Narrow" w:cs="Gisha"/>
          <w:b w:val="0"/>
          <w:bCs w:val="0"/>
          <w:color w:val="auto"/>
          <w:sz w:val="22"/>
          <w:szCs w:val="22"/>
          <w:lang w:val="es-ES"/>
        </w:rPr>
        <w:t>tendiendo los lineamientos establecidos por la Contaduría General de la Nación.</w:t>
      </w:r>
      <w:r w:rsidRPr="004A3F82">
        <w:rPr>
          <w:rFonts w:ascii="Arial Narrow" w:hAnsi="Arial Narrow" w:cs="Gisha"/>
          <w:b w:val="0"/>
          <w:bCs w:val="0"/>
          <w:color w:val="auto"/>
          <w:sz w:val="22"/>
          <w:szCs w:val="22"/>
        </w:rPr>
        <w:t xml:space="preserve"> </w:t>
      </w:r>
    </w:p>
    <w:p w:rsidR="00E51A28" w:rsidRDefault="00E51A28" w:rsidP="00E51A28">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E51A28" w:rsidRPr="00262663" w:rsidRDefault="00E51A28" w:rsidP="00E51A28">
      <w:pPr>
        <w:pStyle w:val="Textoindependiente2"/>
        <w:numPr>
          <w:ilvl w:val="1"/>
          <w:numId w:val="1"/>
        </w:numPr>
        <w:tabs>
          <w:tab w:val="left" w:pos="0"/>
          <w:tab w:val="left" w:pos="993"/>
          <w:tab w:val="left" w:pos="1560"/>
          <w:tab w:val="left" w:pos="2124"/>
          <w:tab w:val="left" w:pos="2832"/>
          <w:tab w:val="left" w:pos="3540"/>
          <w:tab w:val="left" w:pos="4248"/>
          <w:tab w:val="left" w:pos="4956"/>
          <w:tab w:val="left" w:pos="5664"/>
          <w:tab w:val="left" w:pos="6372"/>
          <w:tab w:val="left" w:pos="7080"/>
          <w:tab w:val="left" w:pos="7788"/>
        </w:tabs>
        <w:ind w:left="1134" w:right="424"/>
        <w:rPr>
          <w:rFonts w:ascii="Arial Narrow" w:hAnsi="Arial Narrow" w:cs="Gisha"/>
          <w:b w:val="0"/>
          <w:bCs w:val="0"/>
          <w:color w:val="auto"/>
          <w:sz w:val="22"/>
          <w:szCs w:val="22"/>
          <w:u w:val="single"/>
        </w:rPr>
      </w:pPr>
      <w:r w:rsidRPr="00262663">
        <w:rPr>
          <w:rFonts w:ascii="Arial Narrow" w:hAnsi="Arial Narrow" w:cs="Gisha"/>
          <w:b w:val="0"/>
          <w:bCs w:val="0"/>
          <w:color w:val="auto"/>
          <w:sz w:val="22"/>
          <w:szCs w:val="22"/>
          <w:u w:val="single"/>
          <w:lang w:val="es-ES"/>
        </w:rPr>
        <w:t>Aeropuerto Alfonso Bonilla Aragón</w:t>
      </w:r>
    </w:p>
    <w:p w:rsidR="00E51A28" w:rsidRDefault="00E51A28" w:rsidP="00E51A28">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lang w:val="es-ES"/>
        </w:rPr>
      </w:pPr>
    </w:p>
    <w:p w:rsidR="00E51A28" w:rsidRDefault="00E51A28" w:rsidP="00E51A28">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lang w:val="es-ES"/>
        </w:rPr>
      </w:pPr>
      <w:r>
        <w:rPr>
          <w:rFonts w:ascii="Arial Narrow" w:hAnsi="Arial Narrow" w:cs="Gisha"/>
          <w:b w:val="0"/>
          <w:bCs w:val="0"/>
          <w:color w:val="auto"/>
          <w:sz w:val="22"/>
          <w:szCs w:val="22"/>
          <w:lang w:val="es-ES"/>
        </w:rPr>
        <w:t>El Aeropuerto Alfonso Bonilla Aragón a 31 de diciembre de 2015 presenta un valor de $1.032.561 miles en infraestructura en construcción y $5.793.845 miles</w:t>
      </w:r>
      <w:r w:rsidR="00A9706E">
        <w:rPr>
          <w:rFonts w:ascii="Arial Narrow" w:hAnsi="Arial Narrow" w:cs="Gisha"/>
          <w:b w:val="0"/>
          <w:bCs w:val="0"/>
          <w:color w:val="auto"/>
          <w:sz w:val="22"/>
          <w:szCs w:val="22"/>
          <w:lang w:val="es-ES"/>
        </w:rPr>
        <w:t xml:space="preserve"> en infraestructura en servicio,</w:t>
      </w:r>
      <w:r>
        <w:rPr>
          <w:rFonts w:ascii="Arial Narrow" w:hAnsi="Arial Narrow" w:cs="Gisha"/>
          <w:b w:val="0"/>
          <w:bCs w:val="0"/>
          <w:color w:val="auto"/>
          <w:sz w:val="22"/>
          <w:szCs w:val="22"/>
          <w:lang w:val="es-ES"/>
        </w:rPr>
        <w:t xml:space="preserve"> para un total de $</w:t>
      </w:r>
      <w:r w:rsidRPr="00A73C17">
        <w:rPr>
          <w:rFonts w:ascii="Arial Narrow" w:hAnsi="Arial Narrow" w:cs="Gisha"/>
          <w:b w:val="0"/>
          <w:bCs w:val="0"/>
          <w:color w:val="auto"/>
          <w:sz w:val="22"/>
          <w:szCs w:val="22"/>
          <w:lang w:val="es-ES"/>
        </w:rPr>
        <w:t xml:space="preserve"> 6.826.406</w:t>
      </w:r>
      <w:r>
        <w:rPr>
          <w:rFonts w:ascii="Arial Narrow" w:hAnsi="Arial Narrow" w:cs="Gisha"/>
          <w:b w:val="0"/>
          <w:bCs w:val="0"/>
          <w:color w:val="auto"/>
          <w:sz w:val="22"/>
          <w:szCs w:val="22"/>
          <w:lang w:val="es-ES"/>
        </w:rPr>
        <w:t xml:space="preserve"> miles, las operaciones presentadas en la vigencia 2015 por valor de $ 5.854.433 miles corresponden a la inversión de capital privado informado por el concesionario.</w:t>
      </w:r>
    </w:p>
    <w:p w:rsidR="00E51A28" w:rsidRDefault="00E51A28" w:rsidP="00E51A28">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E51A28" w:rsidRPr="00262663" w:rsidRDefault="00262663" w:rsidP="00E51A28">
      <w:pPr>
        <w:pStyle w:val="Textoindependiente2"/>
        <w:numPr>
          <w:ilvl w:val="1"/>
          <w:numId w:val="1"/>
        </w:numPr>
        <w:tabs>
          <w:tab w:val="left" w:pos="0"/>
          <w:tab w:val="left" w:pos="993"/>
          <w:tab w:val="left" w:pos="2124"/>
          <w:tab w:val="left" w:pos="2832"/>
          <w:tab w:val="left" w:pos="3540"/>
          <w:tab w:val="left" w:pos="4248"/>
          <w:tab w:val="left" w:pos="4956"/>
          <w:tab w:val="left" w:pos="5664"/>
          <w:tab w:val="left" w:pos="6372"/>
          <w:tab w:val="left" w:pos="7080"/>
          <w:tab w:val="left" w:pos="7788"/>
        </w:tabs>
        <w:ind w:left="1134" w:right="424"/>
        <w:rPr>
          <w:rFonts w:ascii="Arial Narrow" w:hAnsi="Arial Narrow" w:cs="Gisha"/>
          <w:b w:val="0"/>
          <w:bCs w:val="0"/>
          <w:color w:val="auto"/>
          <w:sz w:val="22"/>
          <w:szCs w:val="22"/>
          <w:u w:val="single"/>
          <w:lang w:val="es-ES"/>
        </w:rPr>
      </w:pPr>
      <w:r>
        <w:rPr>
          <w:rFonts w:ascii="Arial Narrow" w:hAnsi="Arial Narrow" w:cs="Gisha"/>
          <w:b w:val="0"/>
          <w:bCs w:val="0"/>
          <w:color w:val="auto"/>
          <w:sz w:val="22"/>
          <w:szCs w:val="22"/>
          <w:u w:val="single"/>
          <w:lang w:val="es-ES"/>
        </w:rPr>
        <w:t>Aeropuerto E</w:t>
      </w:r>
      <w:r w:rsidR="00E51A28" w:rsidRPr="00262663">
        <w:rPr>
          <w:rFonts w:ascii="Arial Narrow" w:hAnsi="Arial Narrow" w:cs="Gisha"/>
          <w:b w:val="0"/>
          <w:bCs w:val="0"/>
          <w:color w:val="auto"/>
          <w:sz w:val="22"/>
          <w:szCs w:val="22"/>
          <w:u w:val="single"/>
          <w:lang w:val="es-ES"/>
        </w:rPr>
        <w:t>l Dorado</w:t>
      </w:r>
    </w:p>
    <w:p w:rsidR="00E51A28" w:rsidRDefault="00E51A28" w:rsidP="00E51A28">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lang w:val="es-ES"/>
        </w:rPr>
      </w:pPr>
    </w:p>
    <w:p w:rsidR="00E51A28" w:rsidRDefault="00E51A28" w:rsidP="00E51A28">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lang w:val="es-ES"/>
        </w:rPr>
      </w:pPr>
      <w:r>
        <w:rPr>
          <w:rFonts w:ascii="Arial Narrow" w:hAnsi="Arial Narrow" w:cs="Gisha"/>
          <w:b w:val="0"/>
          <w:bCs w:val="0"/>
          <w:color w:val="auto"/>
          <w:sz w:val="22"/>
          <w:szCs w:val="22"/>
          <w:lang w:val="es-ES"/>
        </w:rPr>
        <w:t>El Aeropuerto el Dorado a 31 de diciembre de 2015, presenta un valor de $ 310.432.031 miles en infraestructura</w:t>
      </w:r>
      <w:r w:rsidR="00262663">
        <w:rPr>
          <w:rFonts w:ascii="Arial Narrow" w:hAnsi="Arial Narrow" w:cs="Gisha"/>
          <w:b w:val="0"/>
          <w:bCs w:val="0"/>
          <w:color w:val="auto"/>
          <w:sz w:val="22"/>
          <w:szCs w:val="22"/>
          <w:lang w:val="es-ES"/>
        </w:rPr>
        <w:t xml:space="preserve"> en servicio, discriminadas en E</w:t>
      </w:r>
      <w:r>
        <w:rPr>
          <w:rFonts w:ascii="Arial Narrow" w:hAnsi="Arial Narrow" w:cs="Gisha"/>
          <w:b w:val="0"/>
          <w:bCs w:val="0"/>
          <w:color w:val="auto"/>
          <w:sz w:val="22"/>
          <w:szCs w:val="22"/>
          <w:lang w:val="es-ES"/>
        </w:rPr>
        <w:t xml:space="preserve">l Dorado por $306.276.450 </w:t>
      </w:r>
      <w:r w:rsidR="00A9706E">
        <w:rPr>
          <w:rFonts w:ascii="Arial Narrow" w:hAnsi="Arial Narrow" w:cs="Gisha"/>
          <w:b w:val="0"/>
          <w:bCs w:val="0"/>
          <w:color w:val="auto"/>
          <w:sz w:val="22"/>
          <w:szCs w:val="22"/>
          <w:lang w:val="es-ES"/>
        </w:rPr>
        <w:t xml:space="preserve">miles </w:t>
      </w:r>
      <w:r>
        <w:rPr>
          <w:rFonts w:ascii="Arial Narrow" w:hAnsi="Arial Narrow" w:cs="Gisha"/>
          <w:b w:val="0"/>
          <w:bCs w:val="0"/>
          <w:color w:val="auto"/>
          <w:sz w:val="22"/>
          <w:szCs w:val="22"/>
          <w:lang w:val="es-ES"/>
        </w:rPr>
        <w:t>y segunda pista por $4.155.581</w:t>
      </w:r>
      <w:r w:rsidR="00A9706E">
        <w:rPr>
          <w:rFonts w:ascii="Arial Narrow" w:hAnsi="Arial Narrow" w:cs="Gisha"/>
          <w:b w:val="0"/>
          <w:bCs w:val="0"/>
          <w:color w:val="auto"/>
          <w:sz w:val="22"/>
          <w:szCs w:val="22"/>
          <w:lang w:val="es-ES"/>
        </w:rPr>
        <w:t xml:space="preserve"> miles</w:t>
      </w:r>
      <w:r>
        <w:rPr>
          <w:rFonts w:ascii="Arial Narrow" w:hAnsi="Arial Narrow" w:cs="Gisha"/>
          <w:b w:val="0"/>
          <w:bCs w:val="0"/>
          <w:color w:val="auto"/>
          <w:sz w:val="22"/>
          <w:szCs w:val="22"/>
          <w:lang w:val="es-ES"/>
        </w:rPr>
        <w:t>, las operaciones presentadas en el 2015, corresponden a la inversión de capital privado realizada por el concesionario por valor de $</w:t>
      </w:r>
      <w:r w:rsidRPr="005D2C89">
        <w:rPr>
          <w:rFonts w:ascii="Arial Narrow" w:hAnsi="Arial Narrow" w:cs="Gisha"/>
          <w:b w:val="0"/>
          <w:bCs w:val="0"/>
          <w:color w:val="auto"/>
          <w:sz w:val="22"/>
          <w:szCs w:val="22"/>
          <w:lang w:val="es-ES"/>
        </w:rPr>
        <w:t xml:space="preserve"> </w:t>
      </w:r>
      <w:r>
        <w:rPr>
          <w:rFonts w:ascii="Arial Narrow" w:hAnsi="Arial Narrow" w:cs="Gisha"/>
          <w:b w:val="0"/>
          <w:bCs w:val="0"/>
          <w:color w:val="auto"/>
          <w:sz w:val="22"/>
          <w:szCs w:val="22"/>
          <w:lang w:val="es-ES"/>
        </w:rPr>
        <w:t>96.492.074 miles y $ 4.155.580 miles respectivamente.</w:t>
      </w:r>
    </w:p>
    <w:p w:rsidR="00E51A28" w:rsidRDefault="00E51A28" w:rsidP="00E51A28">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lang w:val="es-ES"/>
        </w:rPr>
      </w:pPr>
    </w:p>
    <w:p w:rsidR="00E51A28" w:rsidRPr="00262663" w:rsidRDefault="00E51A28" w:rsidP="00E51A28">
      <w:pPr>
        <w:pStyle w:val="Textoindependiente2"/>
        <w:numPr>
          <w:ilvl w:val="1"/>
          <w:numId w:val="1"/>
        </w:numPr>
        <w:tabs>
          <w:tab w:val="left" w:pos="0"/>
          <w:tab w:val="left" w:pos="993"/>
          <w:tab w:val="left" w:pos="2124"/>
          <w:tab w:val="left" w:pos="2832"/>
          <w:tab w:val="left" w:pos="3540"/>
          <w:tab w:val="left" w:pos="4248"/>
          <w:tab w:val="left" w:pos="4956"/>
          <w:tab w:val="left" w:pos="5664"/>
          <w:tab w:val="left" w:pos="6372"/>
          <w:tab w:val="left" w:pos="7080"/>
          <w:tab w:val="left" w:pos="7788"/>
        </w:tabs>
        <w:ind w:left="1134" w:right="424"/>
        <w:rPr>
          <w:rFonts w:ascii="Arial Narrow" w:hAnsi="Arial Narrow" w:cs="Gisha"/>
          <w:b w:val="0"/>
          <w:bCs w:val="0"/>
          <w:color w:val="auto"/>
          <w:sz w:val="22"/>
          <w:szCs w:val="22"/>
          <w:u w:val="single"/>
          <w:lang w:val="es-ES"/>
        </w:rPr>
      </w:pPr>
      <w:r w:rsidRPr="00262663">
        <w:rPr>
          <w:rFonts w:ascii="Arial Narrow" w:hAnsi="Arial Narrow" w:cs="Gisha"/>
          <w:b w:val="0"/>
          <w:bCs w:val="0"/>
          <w:color w:val="auto"/>
          <w:sz w:val="22"/>
          <w:szCs w:val="22"/>
          <w:u w:val="single"/>
          <w:lang w:val="es-ES"/>
        </w:rPr>
        <w:t>Aeropuerto Rafael Núñez</w:t>
      </w:r>
    </w:p>
    <w:p w:rsidR="00E51A28" w:rsidRDefault="00E51A28" w:rsidP="00E51A28">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lang w:val="es-ES"/>
        </w:rPr>
      </w:pPr>
    </w:p>
    <w:p w:rsidR="00E51A28" w:rsidRDefault="00E51A28" w:rsidP="00E51A28">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lang w:val="es-ES"/>
        </w:rPr>
      </w:pPr>
      <w:r>
        <w:rPr>
          <w:rFonts w:ascii="Arial Narrow" w:hAnsi="Arial Narrow" w:cs="Gisha"/>
          <w:b w:val="0"/>
          <w:bCs w:val="0"/>
          <w:color w:val="auto"/>
          <w:sz w:val="22"/>
          <w:szCs w:val="22"/>
          <w:lang w:val="es-ES"/>
        </w:rPr>
        <w:t>El Aeropuerto Rafael Núñez a 31 de diciembre de 2015, presenta un valor de $4.174.913 miles en infraestructura en construcción y $21.420.537 miles</w:t>
      </w:r>
      <w:r w:rsidR="00A9706E">
        <w:rPr>
          <w:rFonts w:ascii="Arial Narrow" w:hAnsi="Arial Narrow" w:cs="Gisha"/>
          <w:b w:val="0"/>
          <w:bCs w:val="0"/>
          <w:color w:val="auto"/>
          <w:sz w:val="22"/>
          <w:szCs w:val="22"/>
          <w:lang w:val="es-ES"/>
        </w:rPr>
        <w:t xml:space="preserve"> en servicio</w:t>
      </w:r>
      <w:r>
        <w:rPr>
          <w:rFonts w:ascii="Arial Narrow" w:hAnsi="Arial Narrow" w:cs="Gisha"/>
          <w:b w:val="0"/>
          <w:bCs w:val="0"/>
          <w:color w:val="auto"/>
          <w:sz w:val="22"/>
          <w:szCs w:val="22"/>
          <w:lang w:val="es-ES"/>
        </w:rPr>
        <w:t>, para un total de infraestructura $ 25.595.450 miles, las operaciones realizadas en la vigencia 2015 corresponden a inversión de capital privado por valor de $ 3.875.377 miles</w:t>
      </w:r>
      <w:r w:rsidR="00A9706E">
        <w:rPr>
          <w:rFonts w:ascii="Arial Narrow" w:hAnsi="Arial Narrow" w:cs="Gisha"/>
          <w:b w:val="0"/>
          <w:bCs w:val="0"/>
          <w:color w:val="auto"/>
          <w:sz w:val="22"/>
          <w:szCs w:val="22"/>
          <w:lang w:val="es-ES"/>
        </w:rPr>
        <w:t>.</w:t>
      </w:r>
    </w:p>
    <w:p w:rsidR="00E51A28" w:rsidRDefault="00E51A28" w:rsidP="00E51A28">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lang w:val="es-ES"/>
        </w:rPr>
      </w:pPr>
    </w:p>
    <w:p w:rsidR="00E51A28" w:rsidRPr="00262663" w:rsidRDefault="00E51A28" w:rsidP="00E51A28">
      <w:pPr>
        <w:pStyle w:val="Textoindependiente2"/>
        <w:numPr>
          <w:ilvl w:val="1"/>
          <w:numId w:val="1"/>
        </w:numPr>
        <w:tabs>
          <w:tab w:val="left" w:pos="0"/>
          <w:tab w:val="left" w:pos="993"/>
          <w:tab w:val="left" w:pos="1276"/>
          <w:tab w:val="left" w:pos="2124"/>
          <w:tab w:val="left" w:pos="2832"/>
          <w:tab w:val="left" w:pos="3540"/>
          <w:tab w:val="left" w:pos="4248"/>
          <w:tab w:val="left" w:pos="4956"/>
          <w:tab w:val="left" w:pos="5664"/>
          <w:tab w:val="left" w:pos="6372"/>
          <w:tab w:val="left" w:pos="7080"/>
          <w:tab w:val="left" w:pos="7788"/>
        </w:tabs>
        <w:ind w:left="1134" w:right="424"/>
        <w:rPr>
          <w:rFonts w:ascii="Arial Narrow" w:hAnsi="Arial Narrow" w:cs="Gisha"/>
          <w:b w:val="0"/>
          <w:bCs w:val="0"/>
          <w:color w:val="auto"/>
          <w:sz w:val="22"/>
          <w:szCs w:val="22"/>
          <w:u w:val="single"/>
          <w:lang w:val="es-ES"/>
        </w:rPr>
      </w:pPr>
      <w:r w:rsidRPr="00262663">
        <w:rPr>
          <w:rFonts w:ascii="Arial Narrow" w:hAnsi="Arial Narrow" w:cs="Gisha"/>
          <w:b w:val="0"/>
          <w:bCs w:val="0"/>
          <w:color w:val="auto"/>
          <w:sz w:val="22"/>
          <w:szCs w:val="22"/>
          <w:u w:val="single"/>
          <w:lang w:val="es-ES"/>
        </w:rPr>
        <w:t>Aeropuerto Nororiente</w:t>
      </w:r>
    </w:p>
    <w:p w:rsidR="00E51A28" w:rsidRDefault="00E51A28" w:rsidP="00E51A28">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lang w:val="es-ES"/>
        </w:rPr>
      </w:pPr>
    </w:p>
    <w:p w:rsidR="00E51A28" w:rsidRDefault="00E51A28" w:rsidP="00E51A28">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lang w:val="es-ES"/>
        </w:rPr>
      </w:pPr>
      <w:r>
        <w:rPr>
          <w:rFonts w:ascii="Arial Narrow" w:hAnsi="Arial Narrow" w:cs="Gisha"/>
          <w:b w:val="0"/>
          <w:bCs w:val="0"/>
          <w:color w:val="auto"/>
          <w:sz w:val="22"/>
          <w:szCs w:val="22"/>
          <w:lang w:val="es-ES"/>
        </w:rPr>
        <w:t>El Aeropuerto Nororiente a 31 de diciembre de 2015, presenta un valor de $ 75.244.884 miles en infraestructura en servicio las operaciones realizadas en la vigencia 2015, por valor de $ 31.365.141 miles corresponden a inversión de capital privado.</w:t>
      </w:r>
    </w:p>
    <w:p w:rsidR="00E51A28" w:rsidRPr="00B357D4" w:rsidRDefault="00E51A28" w:rsidP="00E51A28">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lang w:val="es-ES"/>
        </w:rPr>
      </w:pPr>
      <w:r>
        <w:rPr>
          <w:rFonts w:ascii="Arial Narrow" w:hAnsi="Arial Narrow" w:cs="Gisha"/>
          <w:b w:val="0"/>
          <w:bCs w:val="0"/>
          <w:color w:val="auto"/>
          <w:sz w:val="22"/>
          <w:szCs w:val="22"/>
          <w:lang w:val="es-ES"/>
        </w:rPr>
        <w:t xml:space="preserve"> </w:t>
      </w:r>
    </w:p>
    <w:p w:rsidR="00E51A28" w:rsidRPr="00262663" w:rsidRDefault="00E51A28" w:rsidP="00E51A28">
      <w:pPr>
        <w:pStyle w:val="Textoindependiente2"/>
        <w:numPr>
          <w:ilvl w:val="1"/>
          <w:numId w:val="1"/>
        </w:numPr>
        <w:tabs>
          <w:tab w:val="left" w:pos="0"/>
          <w:tab w:val="left" w:pos="993"/>
          <w:tab w:val="left" w:pos="2124"/>
          <w:tab w:val="left" w:pos="2832"/>
          <w:tab w:val="left" w:pos="3540"/>
          <w:tab w:val="left" w:pos="4248"/>
          <w:tab w:val="left" w:pos="4956"/>
          <w:tab w:val="left" w:pos="5664"/>
          <w:tab w:val="left" w:pos="6372"/>
          <w:tab w:val="left" w:pos="7080"/>
          <w:tab w:val="left" w:pos="7788"/>
        </w:tabs>
        <w:ind w:left="1134" w:right="424"/>
        <w:rPr>
          <w:rFonts w:ascii="Arial Narrow" w:hAnsi="Arial Narrow" w:cs="Gisha"/>
          <w:b w:val="0"/>
          <w:bCs w:val="0"/>
          <w:color w:val="auto"/>
          <w:sz w:val="22"/>
          <w:szCs w:val="22"/>
          <w:u w:val="single"/>
        </w:rPr>
      </w:pPr>
      <w:r w:rsidRPr="00262663">
        <w:rPr>
          <w:rFonts w:ascii="Arial Narrow" w:hAnsi="Arial Narrow" w:cs="Gisha"/>
          <w:b w:val="0"/>
          <w:bCs w:val="0"/>
          <w:color w:val="auto"/>
          <w:sz w:val="22"/>
          <w:szCs w:val="22"/>
          <w:u w:val="single"/>
          <w:lang w:val="es-ES"/>
        </w:rPr>
        <w:t xml:space="preserve">Centro Norte </w:t>
      </w:r>
    </w:p>
    <w:p w:rsidR="00E51A28" w:rsidRPr="00054E07" w:rsidRDefault="00E51A28" w:rsidP="00E51A28">
      <w:pPr>
        <w:pStyle w:val="Textoindependiente2"/>
        <w:tabs>
          <w:tab w:val="left" w:pos="0"/>
          <w:tab w:val="left" w:pos="993"/>
          <w:tab w:val="left" w:pos="2124"/>
          <w:tab w:val="left" w:pos="2832"/>
          <w:tab w:val="left" w:pos="3540"/>
          <w:tab w:val="left" w:pos="4248"/>
          <w:tab w:val="left" w:pos="4956"/>
          <w:tab w:val="left" w:pos="5664"/>
          <w:tab w:val="left" w:pos="6372"/>
          <w:tab w:val="left" w:pos="7080"/>
          <w:tab w:val="left" w:pos="7788"/>
        </w:tabs>
        <w:ind w:left="1134" w:right="424"/>
        <w:rPr>
          <w:rFonts w:ascii="Arial Narrow" w:hAnsi="Arial Narrow" w:cs="Gisha"/>
          <w:b w:val="0"/>
          <w:bCs w:val="0"/>
          <w:color w:val="auto"/>
          <w:sz w:val="22"/>
          <w:szCs w:val="22"/>
        </w:rPr>
      </w:pPr>
    </w:p>
    <w:p w:rsidR="00E51A28" w:rsidRDefault="00E51A28" w:rsidP="00E51A28">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lang w:val="es-ES"/>
        </w:rPr>
      </w:pPr>
      <w:r>
        <w:rPr>
          <w:rFonts w:ascii="Arial Narrow" w:hAnsi="Arial Narrow" w:cs="Gisha"/>
          <w:b w:val="0"/>
          <w:bCs w:val="0"/>
          <w:color w:val="auto"/>
          <w:sz w:val="22"/>
          <w:szCs w:val="22"/>
          <w:lang w:val="es-ES"/>
        </w:rPr>
        <w:t>La concesión Centro Norte a 31 de diciembre de 2015 presenta en infraestructura en construcción un valor de $133.149.294 miles y en servicio el valor de $86.751.831 miles, esta concesión está conformada por 5 aeropuertos los cuales se detallan a continuación:</w:t>
      </w:r>
    </w:p>
    <w:p w:rsidR="00E51A28" w:rsidRDefault="00E51A28" w:rsidP="00E51A28">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lang w:val="es-ES"/>
        </w:rPr>
      </w:pPr>
    </w:p>
    <w:p w:rsidR="00E51A28" w:rsidRDefault="00E51A28" w:rsidP="00853B3A">
      <w:pPr>
        <w:pStyle w:val="Textoindependiente2"/>
        <w:numPr>
          <w:ilvl w:val="1"/>
          <w:numId w:val="23"/>
        </w:numPr>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lang w:val="es-ES"/>
        </w:rPr>
      </w:pPr>
      <w:r>
        <w:rPr>
          <w:rFonts w:ascii="Arial Narrow" w:hAnsi="Arial Narrow" w:cs="Gisha"/>
          <w:b w:val="0"/>
          <w:bCs w:val="0"/>
          <w:color w:val="auto"/>
          <w:sz w:val="22"/>
          <w:szCs w:val="22"/>
          <w:lang w:val="es-ES"/>
        </w:rPr>
        <w:t>Aeropuerto los Garzones</w:t>
      </w:r>
    </w:p>
    <w:p w:rsidR="00E51A28" w:rsidRDefault="00E51A28" w:rsidP="00E51A28">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left="1440" w:right="424"/>
        <w:rPr>
          <w:rFonts w:ascii="Arial Narrow" w:hAnsi="Arial Narrow" w:cs="Gisha"/>
          <w:b w:val="0"/>
          <w:bCs w:val="0"/>
          <w:color w:val="auto"/>
          <w:sz w:val="22"/>
          <w:szCs w:val="22"/>
          <w:lang w:val="es-ES"/>
        </w:rPr>
      </w:pPr>
    </w:p>
    <w:p w:rsidR="00E51A28" w:rsidRDefault="00E51A28" w:rsidP="00E51A28">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left="1440" w:right="424"/>
        <w:rPr>
          <w:rFonts w:ascii="Arial Narrow" w:hAnsi="Arial Narrow" w:cs="Gisha"/>
          <w:b w:val="0"/>
          <w:bCs w:val="0"/>
          <w:color w:val="auto"/>
          <w:sz w:val="22"/>
          <w:szCs w:val="22"/>
          <w:lang w:val="es-ES"/>
        </w:rPr>
      </w:pPr>
      <w:r>
        <w:rPr>
          <w:rFonts w:ascii="Arial Narrow" w:hAnsi="Arial Narrow" w:cs="Gisha"/>
          <w:b w:val="0"/>
          <w:bCs w:val="0"/>
          <w:color w:val="auto"/>
          <w:sz w:val="22"/>
          <w:szCs w:val="22"/>
          <w:lang w:val="es-ES"/>
        </w:rPr>
        <w:t>A 31 de diciembre de 2015, presenta en infraestructura en construcción el valor de $23.672.974 miles y en servicio el valor de $27.860.693 miles, las operaciones realizadas en el 2015, corresponden a inversión de capital privado por valor de $ 31.521.676 miles.</w:t>
      </w:r>
    </w:p>
    <w:p w:rsidR="00E51A28" w:rsidRDefault="00E51A28" w:rsidP="00E51A28">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left="1440" w:right="424"/>
        <w:rPr>
          <w:rFonts w:ascii="Arial Narrow" w:hAnsi="Arial Narrow" w:cs="Gisha"/>
          <w:b w:val="0"/>
          <w:bCs w:val="0"/>
          <w:color w:val="auto"/>
          <w:sz w:val="22"/>
          <w:szCs w:val="22"/>
          <w:lang w:val="es-ES"/>
        </w:rPr>
      </w:pPr>
    </w:p>
    <w:p w:rsidR="00E51A28" w:rsidRDefault="00E51A28" w:rsidP="00853B3A">
      <w:pPr>
        <w:pStyle w:val="Textoindependiente2"/>
        <w:numPr>
          <w:ilvl w:val="1"/>
          <w:numId w:val="23"/>
        </w:numPr>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lang w:val="es-ES"/>
        </w:rPr>
      </w:pPr>
      <w:r>
        <w:rPr>
          <w:rFonts w:ascii="Arial Narrow" w:hAnsi="Arial Narrow" w:cs="Gisha"/>
          <w:b w:val="0"/>
          <w:bCs w:val="0"/>
          <w:color w:val="auto"/>
          <w:sz w:val="22"/>
          <w:szCs w:val="22"/>
          <w:lang w:val="es-ES"/>
        </w:rPr>
        <w:t>Aeropuerto Antonio Roldan Betancourt</w:t>
      </w:r>
    </w:p>
    <w:p w:rsidR="00E51A28" w:rsidRDefault="00E51A28" w:rsidP="00E51A28">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left="1440" w:right="424"/>
        <w:rPr>
          <w:rFonts w:ascii="Arial Narrow" w:hAnsi="Arial Narrow" w:cs="Gisha"/>
          <w:b w:val="0"/>
          <w:bCs w:val="0"/>
          <w:color w:val="auto"/>
          <w:sz w:val="22"/>
          <w:szCs w:val="22"/>
          <w:lang w:val="es-ES"/>
        </w:rPr>
      </w:pPr>
    </w:p>
    <w:p w:rsidR="00E51A28" w:rsidRDefault="00E51A28" w:rsidP="00E51A28">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left="1440" w:right="424"/>
        <w:rPr>
          <w:rFonts w:ascii="Arial Narrow" w:hAnsi="Arial Narrow" w:cs="Gisha"/>
          <w:b w:val="0"/>
          <w:bCs w:val="0"/>
          <w:color w:val="auto"/>
          <w:sz w:val="22"/>
          <w:szCs w:val="22"/>
          <w:lang w:val="es-ES"/>
        </w:rPr>
      </w:pPr>
      <w:r>
        <w:rPr>
          <w:rFonts w:ascii="Arial Narrow" w:hAnsi="Arial Narrow" w:cs="Gisha"/>
          <w:b w:val="0"/>
          <w:bCs w:val="0"/>
          <w:color w:val="auto"/>
          <w:sz w:val="22"/>
          <w:szCs w:val="22"/>
          <w:lang w:val="es-ES"/>
        </w:rPr>
        <w:lastRenderedPageBreak/>
        <w:t>A 31 de diciembre de 2015, presenta en infraestructura en construcción el valor de $17.395.046 miles y en servicio el valor de $11.539.030 miles, las operaciones efectuadas en la vigencia 2015, obedecieron al registro de capital privado por valor de $ 18.374.717 miles.</w:t>
      </w:r>
    </w:p>
    <w:p w:rsidR="00E51A28" w:rsidRDefault="00E51A28" w:rsidP="00E51A28">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left="1440" w:right="424"/>
        <w:rPr>
          <w:rFonts w:ascii="Arial Narrow" w:hAnsi="Arial Narrow" w:cs="Gisha"/>
          <w:b w:val="0"/>
          <w:bCs w:val="0"/>
          <w:color w:val="auto"/>
          <w:sz w:val="22"/>
          <w:szCs w:val="22"/>
          <w:lang w:val="es-ES"/>
        </w:rPr>
      </w:pPr>
    </w:p>
    <w:p w:rsidR="00E51A28" w:rsidRDefault="00E51A28" w:rsidP="00853B3A">
      <w:pPr>
        <w:pStyle w:val="Textoindependiente2"/>
        <w:numPr>
          <w:ilvl w:val="1"/>
          <w:numId w:val="23"/>
        </w:numPr>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lang w:val="es-ES"/>
        </w:rPr>
      </w:pPr>
      <w:r>
        <w:rPr>
          <w:rFonts w:ascii="Arial Narrow" w:hAnsi="Arial Narrow" w:cs="Gisha"/>
          <w:b w:val="0"/>
          <w:bCs w:val="0"/>
          <w:color w:val="auto"/>
          <w:sz w:val="22"/>
          <w:szCs w:val="22"/>
          <w:lang w:val="es-ES"/>
        </w:rPr>
        <w:t>Aeropuerto el Caraño</w:t>
      </w:r>
    </w:p>
    <w:p w:rsidR="00E51A28" w:rsidRDefault="00E51A28" w:rsidP="00E51A28">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left="1440" w:right="424"/>
        <w:rPr>
          <w:rFonts w:ascii="Arial Narrow" w:hAnsi="Arial Narrow" w:cs="Gisha"/>
          <w:b w:val="0"/>
          <w:bCs w:val="0"/>
          <w:color w:val="auto"/>
          <w:sz w:val="22"/>
          <w:szCs w:val="22"/>
          <w:lang w:val="es-ES"/>
        </w:rPr>
      </w:pPr>
    </w:p>
    <w:p w:rsidR="00E51A28" w:rsidRDefault="00E51A28" w:rsidP="00E51A28">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left="1440" w:right="424"/>
        <w:rPr>
          <w:rFonts w:ascii="Arial Narrow" w:hAnsi="Arial Narrow" w:cs="Gisha"/>
          <w:b w:val="0"/>
          <w:bCs w:val="0"/>
          <w:color w:val="auto"/>
          <w:sz w:val="22"/>
          <w:szCs w:val="22"/>
          <w:lang w:val="es-ES"/>
        </w:rPr>
      </w:pPr>
      <w:r>
        <w:rPr>
          <w:rFonts w:ascii="Arial Narrow" w:hAnsi="Arial Narrow" w:cs="Gisha"/>
          <w:b w:val="0"/>
          <w:bCs w:val="0"/>
          <w:color w:val="auto"/>
          <w:sz w:val="22"/>
          <w:szCs w:val="22"/>
          <w:lang w:val="es-ES"/>
        </w:rPr>
        <w:t>A 31 de diciembre de 2015, presenta en infraestructura en construcción el valor de $46.336.568 miles y en servicio el valor de $12.291.005 miles, las operaciones realizadas en el 2015, por valor de $46.248.157 miles corresponden a inversión de capital privado.</w:t>
      </w:r>
    </w:p>
    <w:p w:rsidR="00E51A28" w:rsidRDefault="00E51A28" w:rsidP="00E51A28">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left="1440" w:right="424"/>
        <w:rPr>
          <w:rFonts w:ascii="Arial Narrow" w:hAnsi="Arial Narrow" w:cs="Gisha"/>
          <w:b w:val="0"/>
          <w:bCs w:val="0"/>
          <w:color w:val="auto"/>
          <w:sz w:val="22"/>
          <w:szCs w:val="22"/>
          <w:lang w:val="es-ES"/>
        </w:rPr>
      </w:pPr>
    </w:p>
    <w:p w:rsidR="00E51A28" w:rsidRDefault="00E51A28" w:rsidP="00853B3A">
      <w:pPr>
        <w:pStyle w:val="Textoindependiente2"/>
        <w:numPr>
          <w:ilvl w:val="1"/>
          <w:numId w:val="23"/>
        </w:numPr>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lang w:val="es-ES"/>
        </w:rPr>
      </w:pPr>
      <w:r>
        <w:rPr>
          <w:rFonts w:ascii="Arial Narrow" w:hAnsi="Arial Narrow" w:cs="Gisha"/>
          <w:b w:val="0"/>
          <w:bCs w:val="0"/>
          <w:color w:val="auto"/>
          <w:sz w:val="22"/>
          <w:szCs w:val="22"/>
          <w:lang w:val="es-ES"/>
        </w:rPr>
        <w:t>Aeropuerto las Brujas</w:t>
      </w:r>
    </w:p>
    <w:p w:rsidR="00E51A28" w:rsidRDefault="00E51A28" w:rsidP="00E51A28">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left="1440" w:right="424"/>
        <w:rPr>
          <w:rFonts w:ascii="Arial Narrow" w:hAnsi="Arial Narrow" w:cs="Gisha"/>
          <w:b w:val="0"/>
          <w:bCs w:val="0"/>
          <w:color w:val="auto"/>
          <w:sz w:val="22"/>
          <w:szCs w:val="22"/>
          <w:lang w:val="es-ES"/>
        </w:rPr>
      </w:pPr>
    </w:p>
    <w:p w:rsidR="00E51A28" w:rsidRDefault="00E51A28" w:rsidP="00E51A28">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left="1440" w:right="424"/>
        <w:rPr>
          <w:rFonts w:ascii="Arial Narrow" w:hAnsi="Arial Narrow" w:cs="Gisha"/>
          <w:b w:val="0"/>
          <w:bCs w:val="0"/>
          <w:color w:val="auto"/>
          <w:sz w:val="22"/>
          <w:szCs w:val="22"/>
          <w:lang w:val="es-ES"/>
        </w:rPr>
      </w:pPr>
      <w:r>
        <w:rPr>
          <w:rFonts w:ascii="Arial Narrow" w:hAnsi="Arial Narrow" w:cs="Gisha"/>
          <w:b w:val="0"/>
          <w:bCs w:val="0"/>
          <w:color w:val="auto"/>
          <w:sz w:val="22"/>
          <w:szCs w:val="22"/>
          <w:lang w:val="es-ES"/>
        </w:rPr>
        <w:t xml:space="preserve">A 31 de diciembre de 2015, presenta en infraestructura en construcción el valor de $9.523.366 miles y en servicio el valor de $14.466.336 miles, las operaciones realizadas en el año 2015 por valor de $ 22.292.829 miles corresponde a la inversión de capital privado efectuado por el concesionario. </w:t>
      </w:r>
    </w:p>
    <w:p w:rsidR="00E51A28" w:rsidRDefault="00E51A28" w:rsidP="00E51A28">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left="1440" w:right="424"/>
        <w:rPr>
          <w:rFonts w:ascii="Arial Narrow" w:hAnsi="Arial Narrow" w:cs="Gisha"/>
          <w:b w:val="0"/>
          <w:bCs w:val="0"/>
          <w:color w:val="auto"/>
          <w:sz w:val="22"/>
          <w:szCs w:val="22"/>
          <w:lang w:val="es-ES"/>
        </w:rPr>
      </w:pPr>
    </w:p>
    <w:p w:rsidR="00E51A28" w:rsidRDefault="00E51A28" w:rsidP="00853B3A">
      <w:pPr>
        <w:pStyle w:val="Textoindependiente2"/>
        <w:numPr>
          <w:ilvl w:val="1"/>
          <w:numId w:val="23"/>
        </w:numPr>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lang w:val="es-ES"/>
        </w:rPr>
      </w:pPr>
      <w:r>
        <w:rPr>
          <w:rFonts w:ascii="Arial Narrow" w:hAnsi="Arial Narrow" w:cs="Gisha"/>
          <w:b w:val="0"/>
          <w:bCs w:val="0"/>
          <w:color w:val="auto"/>
          <w:sz w:val="22"/>
          <w:szCs w:val="22"/>
          <w:lang w:val="es-ES"/>
        </w:rPr>
        <w:t>Aeropuerto José Maria Córdova</w:t>
      </w:r>
    </w:p>
    <w:p w:rsidR="00E51A28" w:rsidRDefault="00E51A28" w:rsidP="00E51A28">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left="1440" w:right="424"/>
        <w:rPr>
          <w:rFonts w:ascii="Arial Narrow" w:hAnsi="Arial Narrow" w:cs="Gisha"/>
          <w:b w:val="0"/>
          <w:bCs w:val="0"/>
          <w:color w:val="auto"/>
          <w:sz w:val="22"/>
          <w:szCs w:val="22"/>
          <w:lang w:val="es-ES"/>
        </w:rPr>
      </w:pPr>
    </w:p>
    <w:p w:rsidR="00E51A28" w:rsidRDefault="00E51A28" w:rsidP="00E51A28">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left="1440" w:right="424"/>
        <w:rPr>
          <w:rFonts w:ascii="Arial Narrow" w:hAnsi="Arial Narrow" w:cs="Gisha"/>
          <w:b w:val="0"/>
          <w:bCs w:val="0"/>
          <w:color w:val="auto"/>
          <w:sz w:val="22"/>
          <w:szCs w:val="22"/>
          <w:lang w:val="es-ES"/>
        </w:rPr>
      </w:pPr>
      <w:r>
        <w:rPr>
          <w:rFonts w:ascii="Arial Narrow" w:hAnsi="Arial Narrow" w:cs="Gisha"/>
          <w:b w:val="0"/>
          <w:bCs w:val="0"/>
          <w:color w:val="auto"/>
          <w:sz w:val="22"/>
          <w:szCs w:val="22"/>
          <w:lang w:val="es-ES"/>
        </w:rPr>
        <w:t>A 31 de diciembre de 2015, presenta un valor de $36.221.340 miles en infraestructura en construcción y $20.594.767 miles en infraestructura en servicio, las operaciones realizadas en la vigencia 2015 por valor de $40.338.037 miles corresponden a inversión del capital privado.</w:t>
      </w:r>
    </w:p>
    <w:p w:rsidR="00E51A28" w:rsidRDefault="00E51A28" w:rsidP="00E51A28">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left="1440" w:right="424"/>
        <w:rPr>
          <w:rFonts w:ascii="Arial Narrow" w:hAnsi="Arial Narrow" w:cs="Gisha"/>
          <w:b w:val="0"/>
          <w:bCs w:val="0"/>
          <w:color w:val="auto"/>
          <w:sz w:val="22"/>
          <w:szCs w:val="22"/>
          <w:lang w:val="es-ES"/>
        </w:rPr>
      </w:pPr>
    </w:p>
    <w:p w:rsidR="00E51A28" w:rsidRPr="00262663" w:rsidRDefault="00E51A28" w:rsidP="00E51A28">
      <w:pPr>
        <w:pStyle w:val="Textoindependiente2"/>
        <w:numPr>
          <w:ilvl w:val="1"/>
          <w:numId w:val="1"/>
        </w:numPr>
        <w:tabs>
          <w:tab w:val="left" w:pos="0"/>
          <w:tab w:val="left" w:pos="993"/>
          <w:tab w:val="left" w:pos="2124"/>
          <w:tab w:val="left" w:pos="2832"/>
          <w:tab w:val="left" w:pos="3540"/>
          <w:tab w:val="left" w:pos="4248"/>
          <w:tab w:val="left" w:pos="4956"/>
          <w:tab w:val="left" w:pos="5664"/>
          <w:tab w:val="left" w:pos="6372"/>
          <w:tab w:val="left" w:pos="7080"/>
          <w:tab w:val="left" w:pos="7788"/>
        </w:tabs>
        <w:ind w:left="1134" w:right="424"/>
        <w:rPr>
          <w:rFonts w:ascii="Arial Narrow" w:hAnsi="Arial Narrow" w:cs="Gisha"/>
          <w:b w:val="0"/>
          <w:bCs w:val="0"/>
          <w:color w:val="auto"/>
          <w:sz w:val="22"/>
          <w:szCs w:val="22"/>
          <w:u w:val="single"/>
        </w:rPr>
      </w:pPr>
      <w:r w:rsidRPr="00262663">
        <w:rPr>
          <w:rFonts w:ascii="Arial Narrow" w:hAnsi="Arial Narrow" w:cs="Gisha"/>
          <w:b w:val="0"/>
          <w:bCs w:val="0"/>
          <w:color w:val="auto"/>
          <w:sz w:val="22"/>
          <w:szCs w:val="22"/>
          <w:u w:val="single"/>
        </w:rPr>
        <w:t>Aeropuerto Ernesto Cortissoz</w:t>
      </w:r>
    </w:p>
    <w:p w:rsidR="00E51A28" w:rsidRDefault="00E51A28" w:rsidP="00E51A28">
      <w:pPr>
        <w:pStyle w:val="Textoindependiente2"/>
        <w:tabs>
          <w:tab w:val="left" w:pos="0"/>
          <w:tab w:val="left" w:pos="993"/>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E51A28" w:rsidRDefault="00E51A28" w:rsidP="00FA11D4">
      <w:pPr>
        <w:pStyle w:val="Textoindependiente2"/>
        <w:tabs>
          <w:tab w:val="left" w:pos="709"/>
          <w:tab w:val="left" w:pos="993"/>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t>En la vigencia 2015 la concesión Aeropuerto Ernesto Cortissoz a 31 de diciembre de 2015 está vigente y no presenta inversión de capital privado en infraestructura</w:t>
      </w:r>
      <w:r w:rsidR="00262663">
        <w:rPr>
          <w:rFonts w:ascii="Arial Narrow" w:hAnsi="Arial Narrow" w:cs="Gisha"/>
          <w:b w:val="0"/>
          <w:bCs w:val="0"/>
          <w:color w:val="auto"/>
          <w:sz w:val="22"/>
          <w:szCs w:val="22"/>
        </w:rPr>
        <w:t>. Ú</w:t>
      </w:r>
      <w:r>
        <w:rPr>
          <w:rFonts w:ascii="Arial Narrow" w:hAnsi="Arial Narrow" w:cs="Gisha"/>
          <w:b w:val="0"/>
          <w:bCs w:val="0"/>
          <w:color w:val="auto"/>
          <w:sz w:val="22"/>
          <w:szCs w:val="22"/>
        </w:rPr>
        <w:t>nicamente presenta en propiedad, planta y equipo.</w:t>
      </w:r>
    </w:p>
    <w:p w:rsidR="00E51A28" w:rsidRDefault="00E51A28" w:rsidP="00E51A28">
      <w:pPr>
        <w:pStyle w:val="Textoindependiente2"/>
        <w:tabs>
          <w:tab w:val="left" w:pos="0"/>
          <w:tab w:val="left" w:pos="993"/>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E51A28" w:rsidRPr="00DE58C1" w:rsidRDefault="00262663" w:rsidP="00E51A28">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t>De otra parte, a</w:t>
      </w:r>
      <w:r w:rsidR="00E51A28">
        <w:rPr>
          <w:rFonts w:ascii="Arial Narrow" w:hAnsi="Arial Narrow" w:cs="Gisha"/>
          <w:b w:val="0"/>
          <w:bCs w:val="0"/>
          <w:color w:val="auto"/>
          <w:sz w:val="22"/>
          <w:szCs w:val="22"/>
        </w:rPr>
        <w:t xml:space="preserve">tendiendo </w:t>
      </w:r>
      <w:r w:rsidR="00E51A28" w:rsidRPr="00DE58C1">
        <w:rPr>
          <w:rFonts w:ascii="Arial Narrow" w:hAnsi="Arial Narrow" w:cs="Gisha"/>
          <w:b w:val="0"/>
          <w:bCs w:val="0"/>
          <w:color w:val="auto"/>
          <w:sz w:val="22"/>
          <w:szCs w:val="22"/>
        </w:rPr>
        <w:t xml:space="preserve">lo señalado en los conceptos de la Contaduría General de la Nación Nos. 200712-107014 del 21 de diciembre de 2007 y 20102-140375 del 16 de febrero 2010, </w:t>
      </w:r>
      <w:r w:rsidR="00E51A28">
        <w:rPr>
          <w:rFonts w:ascii="Arial Narrow" w:hAnsi="Arial Narrow" w:cs="Gisha"/>
          <w:b w:val="0"/>
          <w:bCs w:val="0"/>
          <w:color w:val="auto"/>
          <w:sz w:val="22"/>
          <w:szCs w:val="22"/>
        </w:rPr>
        <w:t xml:space="preserve">la Agencia </w:t>
      </w:r>
      <w:r w:rsidR="00E51A28" w:rsidRPr="00DE58C1">
        <w:rPr>
          <w:rFonts w:ascii="Arial Narrow" w:hAnsi="Arial Narrow" w:cs="Gisha"/>
          <w:b w:val="0"/>
          <w:bCs w:val="0"/>
          <w:color w:val="auto"/>
          <w:sz w:val="22"/>
          <w:szCs w:val="22"/>
        </w:rPr>
        <w:t>efectú</w:t>
      </w:r>
      <w:r w:rsidR="00E51A28">
        <w:rPr>
          <w:rFonts w:ascii="Arial Narrow" w:hAnsi="Arial Narrow" w:cs="Gisha"/>
          <w:b w:val="0"/>
          <w:bCs w:val="0"/>
          <w:color w:val="auto"/>
          <w:sz w:val="22"/>
          <w:szCs w:val="22"/>
        </w:rPr>
        <w:t>o</w:t>
      </w:r>
      <w:r w:rsidR="00E51A28" w:rsidRPr="00DE58C1">
        <w:rPr>
          <w:rFonts w:ascii="Arial Narrow" w:hAnsi="Arial Narrow" w:cs="Gisha"/>
          <w:b w:val="0"/>
          <w:bCs w:val="0"/>
          <w:color w:val="auto"/>
          <w:sz w:val="22"/>
          <w:szCs w:val="22"/>
        </w:rPr>
        <w:t xml:space="preserve"> la transferencia de los valores registrados</w:t>
      </w:r>
      <w:r w:rsidR="00E51A28">
        <w:rPr>
          <w:rFonts w:ascii="Arial Narrow" w:hAnsi="Arial Narrow" w:cs="Gisha"/>
          <w:b w:val="0"/>
          <w:bCs w:val="0"/>
          <w:color w:val="auto"/>
          <w:sz w:val="22"/>
          <w:szCs w:val="22"/>
        </w:rPr>
        <w:t xml:space="preserve"> en la contabilidad de </w:t>
      </w:r>
      <w:r w:rsidR="00E51A28" w:rsidRPr="00DE58C1">
        <w:rPr>
          <w:rFonts w:ascii="Arial Narrow" w:hAnsi="Arial Narrow" w:cs="Gisha"/>
          <w:b w:val="0"/>
          <w:bCs w:val="0"/>
          <w:color w:val="auto"/>
          <w:sz w:val="22"/>
          <w:szCs w:val="22"/>
        </w:rPr>
        <w:t xml:space="preserve">los bienes concesionados a la sociedad Concesión Aeropuerto San Andrés y Providencia CASYP S.A.  </w:t>
      </w:r>
    </w:p>
    <w:p w:rsidR="00E51A28" w:rsidRPr="00DE58C1" w:rsidRDefault="00E51A28" w:rsidP="00E51A28">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p>
    <w:p w:rsidR="00E51A28" w:rsidRPr="003F3B06" w:rsidRDefault="00E51A28" w:rsidP="00E51A28">
      <w:pPr>
        <w:pStyle w:val="Textoindependiente2"/>
        <w:tabs>
          <w:tab w:val="left" w:pos="0"/>
          <w:tab w:val="left" w:pos="993"/>
          <w:tab w:val="left" w:pos="1416"/>
          <w:tab w:val="left" w:pos="2124"/>
          <w:tab w:val="left" w:pos="2832"/>
          <w:tab w:val="left" w:pos="3540"/>
          <w:tab w:val="left" w:pos="4248"/>
          <w:tab w:val="left" w:pos="4956"/>
          <w:tab w:val="left" w:pos="5664"/>
          <w:tab w:val="left" w:pos="6372"/>
          <w:tab w:val="left" w:pos="7080"/>
          <w:tab w:val="left" w:pos="7788"/>
        </w:tabs>
        <w:ind w:right="424"/>
        <w:rPr>
          <w:rFonts w:ascii="Arial Narrow" w:hAnsi="Arial Narrow" w:cs="Gisha"/>
          <w:b w:val="0"/>
          <w:bCs w:val="0"/>
          <w:color w:val="auto"/>
          <w:sz w:val="22"/>
          <w:szCs w:val="22"/>
        </w:rPr>
      </w:pPr>
      <w:r>
        <w:rPr>
          <w:rFonts w:ascii="Arial Narrow" w:hAnsi="Arial Narrow" w:cs="Gisha"/>
          <w:b w:val="0"/>
          <w:bCs w:val="0"/>
          <w:color w:val="auto"/>
          <w:sz w:val="22"/>
          <w:szCs w:val="22"/>
        </w:rPr>
        <w:t>La i</w:t>
      </w:r>
      <w:r w:rsidRPr="00DE58C1">
        <w:rPr>
          <w:rFonts w:ascii="Arial Narrow" w:hAnsi="Arial Narrow" w:cs="Gisha"/>
          <w:b w:val="0"/>
          <w:bCs w:val="0"/>
          <w:color w:val="auto"/>
          <w:sz w:val="22"/>
          <w:szCs w:val="22"/>
        </w:rPr>
        <w:t>nfraestructura traslada a la AEROCIVIL $560.837</w:t>
      </w:r>
      <w:r>
        <w:rPr>
          <w:rFonts w:ascii="Arial Narrow" w:hAnsi="Arial Narrow" w:cs="Gisha"/>
          <w:b w:val="0"/>
          <w:bCs w:val="0"/>
          <w:color w:val="auto"/>
          <w:sz w:val="22"/>
          <w:szCs w:val="22"/>
        </w:rPr>
        <w:t xml:space="preserve"> miles</w:t>
      </w:r>
      <w:r w:rsidRPr="00DE58C1">
        <w:rPr>
          <w:rFonts w:ascii="Arial Narrow" w:hAnsi="Arial Narrow" w:cs="Gisha"/>
          <w:b w:val="0"/>
          <w:bCs w:val="0"/>
          <w:color w:val="auto"/>
          <w:sz w:val="22"/>
          <w:szCs w:val="22"/>
        </w:rPr>
        <w:t>; $394.93</w:t>
      </w:r>
      <w:r>
        <w:rPr>
          <w:rFonts w:ascii="Arial Narrow" w:hAnsi="Arial Narrow" w:cs="Gisha"/>
          <w:b w:val="0"/>
          <w:bCs w:val="0"/>
          <w:color w:val="auto"/>
          <w:sz w:val="22"/>
          <w:szCs w:val="22"/>
        </w:rPr>
        <w:t xml:space="preserve">6 miles </w:t>
      </w:r>
      <w:r w:rsidRPr="00DE58C1">
        <w:rPr>
          <w:rFonts w:ascii="Arial Narrow" w:hAnsi="Arial Narrow" w:cs="Gisha"/>
          <w:b w:val="0"/>
          <w:bCs w:val="0"/>
          <w:color w:val="auto"/>
          <w:sz w:val="22"/>
          <w:szCs w:val="22"/>
        </w:rPr>
        <w:t xml:space="preserve"> por infraestructura y $165.901</w:t>
      </w:r>
      <w:r>
        <w:rPr>
          <w:rFonts w:ascii="Arial Narrow" w:hAnsi="Arial Narrow" w:cs="Gisha"/>
          <w:b w:val="0"/>
          <w:bCs w:val="0"/>
          <w:color w:val="auto"/>
          <w:sz w:val="22"/>
          <w:szCs w:val="22"/>
        </w:rPr>
        <w:t xml:space="preserve"> miles </w:t>
      </w:r>
      <w:r w:rsidRPr="00DE58C1">
        <w:rPr>
          <w:rFonts w:ascii="Arial Narrow" w:hAnsi="Arial Narrow" w:cs="Gisha"/>
          <w:b w:val="0"/>
          <w:bCs w:val="0"/>
          <w:color w:val="auto"/>
          <w:sz w:val="22"/>
          <w:szCs w:val="22"/>
        </w:rPr>
        <w:t xml:space="preserve">por propiedad, planta y equipo, cifras que corresponden a la Inversión del Privado registrada en la contabilidad según la información </w:t>
      </w:r>
      <w:r>
        <w:rPr>
          <w:rFonts w:ascii="Arial Narrow" w:hAnsi="Arial Narrow" w:cs="Gisha"/>
          <w:b w:val="0"/>
          <w:bCs w:val="0"/>
          <w:color w:val="auto"/>
          <w:sz w:val="22"/>
          <w:szCs w:val="22"/>
        </w:rPr>
        <w:t>remitida por el concesionario igualmente</w:t>
      </w:r>
      <w:r w:rsidRPr="00DE58C1">
        <w:rPr>
          <w:rFonts w:ascii="Arial Narrow" w:hAnsi="Arial Narrow" w:cs="Gisha"/>
          <w:b w:val="0"/>
          <w:bCs w:val="0"/>
          <w:color w:val="auto"/>
          <w:sz w:val="22"/>
          <w:szCs w:val="22"/>
        </w:rPr>
        <w:t>, se revierten los saldos registrados en cuentas de orden, recibidos de la AEROCIVIL</w:t>
      </w:r>
      <w:r>
        <w:rPr>
          <w:rFonts w:ascii="Arial Narrow" w:hAnsi="Arial Narrow" w:cs="Gisha"/>
          <w:b w:val="0"/>
          <w:bCs w:val="0"/>
          <w:color w:val="auto"/>
          <w:sz w:val="22"/>
          <w:szCs w:val="22"/>
        </w:rPr>
        <w:t>.</w:t>
      </w:r>
    </w:p>
    <w:p w:rsidR="00E51A28" w:rsidRDefault="00E51A28" w:rsidP="00E51A28">
      <w:pPr>
        <w:jc w:val="both"/>
        <w:rPr>
          <w:rFonts w:cs="Gisha"/>
          <w:sz w:val="22"/>
          <w:szCs w:val="22"/>
        </w:rPr>
      </w:pPr>
    </w:p>
    <w:p w:rsidR="00E51A28" w:rsidRPr="003871F4" w:rsidRDefault="00E51A28" w:rsidP="00E51A28">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sz w:val="22"/>
          <w:szCs w:val="22"/>
        </w:rPr>
      </w:pPr>
      <w:r>
        <w:rPr>
          <w:rFonts w:ascii="Arial Narrow" w:hAnsi="Arial Narrow" w:cs="Gisha"/>
          <w:b w:val="0"/>
          <w:bCs w:val="0"/>
          <w:color w:val="auto"/>
          <w:sz w:val="22"/>
          <w:szCs w:val="22"/>
          <w:lang w:val="es-ES"/>
        </w:rPr>
        <w:t>L</w:t>
      </w:r>
      <w:r w:rsidRPr="003871F4">
        <w:rPr>
          <w:rFonts w:ascii="Arial Narrow" w:hAnsi="Arial Narrow" w:cs="Gisha"/>
          <w:b w:val="0"/>
          <w:bCs w:val="0"/>
          <w:color w:val="auto"/>
          <w:sz w:val="22"/>
          <w:szCs w:val="22"/>
          <w:lang w:val="es-ES"/>
        </w:rPr>
        <w:t xml:space="preserve">as concesiones del Modo aeroportuario </w:t>
      </w:r>
      <w:r>
        <w:rPr>
          <w:rFonts w:ascii="Arial Narrow" w:hAnsi="Arial Narrow" w:cs="Gisha"/>
          <w:b w:val="0"/>
          <w:bCs w:val="0"/>
          <w:color w:val="auto"/>
          <w:sz w:val="22"/>
          <w:szCs w:val="22"/>
          <w:lang w:val="es-ES"/>
        </w:rPr>
        <w:t>a 31 de diciembre de 2015, presentaron un incremento de $</w:t>
      </w:r>
      <w:r w:rsidRPr="00F90BE3">
        <w:rPr>
          <w:rFonts w:ascii="Arial Narrow" w:hAnsi="Arial Narrow" w:cs="Gisha"/>
          <w:b w:val="0"/>
          <w:bCs w:val="0"/>
          <w:color w:val="auto"/>
          <w:sz w:val="22"/>
          <w:szCs w:val="22"/>
          <w:lang w:val="es-ES"/>
        </w:rPr>
        <w:t>300.352.770</w:t>
      </w:r>
      <w:r>
        <w:rPr>
          <w:rFonts w:ascii="Arial Narrow" w:hAnsi="Arial Narrow" w:cs="Gisha"/>
          <w:b w:val="0"/>
          <w:bCs w:val="0"/>
          <w:color w:val="auto"/>
          <w:sz w:val="22"/>
          <w:szCs w:val="22"/>
          <w:lang w:val="es-ES"/>
        </w:rPr>
        <w:t xml:space="preserve"> miles producto de la actualización de</w:t>
      </w:r>
      <w:r w:rsidRPr="003871F4">
        <w:rPr>
          <w:rFonts w:ascii="Arial Narrow" w:hAnsi="Arial Narrow" w:cs="Gisha"/>
          <w:b w:val="0"/>
          <w:bCs w:val="0"/>
          <w:color w:val="auto"/>
          <w:sz w:val="22"/>
          <w:szCs w:val="22"/>
          <w:lang w:val="es-ES"/>
        </w:rPr>
        <w:t xml:space="preserve"> la Inversi</w:t>
      </w:r>
      <w:r>
        <w:rPr>
          <w:rFonts w:ascii="Arial Narrow" w:hAnsi="Arial Narrow" w:cs="Gisha"/>
          <w:b w:val="0"/>
          <w:bCs w:val="0"/>
          <w:color w:val="auto"/>
          <w:sz w:val="22"/>
          <w:szCs w:val="22"/>
          <w:lang w:val="es-ES"/>
        </w:rPr>
        <w:t>ón del privado</w:t>
      </w:r>
      <w:r w:rsidRPr="003871F4">
        <w:rPr>
          <w:rFonts w:ascii="Arial Narrow" w:hAnsi="Arial Narrow" w:cs="Gisha"/>
          <w:b w:val="0"/>
          <w:bCs w:val="0"/>
          <w:color w:val="auto"/>
          <w:sz w:val="22"/>
          <w:szCs w:val="22"/>
          <w:lang w:val="es-ES"/>
        </w:rPr>
        <w:t>. Esta información se re</w:t>
      </w:r>
      <w:r>
        <w:rPr>
          <w:rFonts w:ascii="Arial Narrow" w:hAnsi="Arial Narrow" w:cs="Gisha"/>
          <w:b w:val="0"/>
          <w:bCs w:val="0"/>
          <w:color w:val="auto"/>
          <w:sz w:val="22"/>
          <w:szCs w:val="22"/>
          <w:lang w:val="es-ES"/>
        </w:rPr>
        <w:t xml:space="preserve">gistra </w:t>
      </w:r>
      <w:r w:rsidRPr="003871F4">
        <w:rPr>
          <w:rFonts w:ascii="Arial Narrow" w:hAnsi="Arial Narrow" w:cs="Gisha"/>
          <w:b w:val="0"/>
          <w:bCs w:val="0"/>
          <w:color w:val="auto"/>
          <w:sz w:val="22"/>
          <w:szCs w:val="22"/>
          <w:lang w:val="es-ES"/>
        </w:rPr>
        <w:t>debidamente certificada por los Representantes Legales de los Concesionarios y Revisores Fiscales o Contador Público, y verificada  por la Vicepresidencia de Gestión Contractual – Grupo Interno de Trabajo Financiero</w:t>
      </w:r>
      <w:r>
        <w:rPr>
          <w:rFonts w:ascii="Arial Narrow" w:hAnsi="Arial Narrow" w:cs="Gisha"/>
          <w:b w:val="0"/>
          <w:bCs w:val="0"/>
          <w:color w:val="auto"/>
          <w:sz w:val="22"/>
          <w:szCs w:val="22"/>
          <w:lang w:val="es-ES"/>
        </w:rPr>
        <w:t xml:space="preserve"> con el formato GCSP-F-051 de acuerdo con</w:t>
      </w:r>
      <w:r w:rsidRPr="003871F4">
        <w:rPr>
          <w:rFonts w:ascii="Arial Narrow" w:hAnsi="Arial Narrow" w:cs="Gisha"/>
          <w:b w:val="0"/>
          <w:bCs w:val="0"/>
          <w:color w:val="auto"/>
          <w:sz w:val="22"/>
          <w:szCs w:val="22"/>
          <w:lang w:val="es-ES"/>
        </w:rPr>
        <w:t xml:space="preserve"> los lineamientos establecidos por la </w:t>
      </w:r>
      <w:r>
        <w:rPr>
          <w:rFonts w:ascii="Arial Narrow" w:hAnsi="Arial Narrow" w:cs="Gisha"/>
          <w:b w:val="0"/>
          <w:bCs w:val="0"/>
          <w:color w:val="auto"/>
          <w:sz w:val="22"/>
          <w:szCs w:val="22"/>
          <w:lang w:val="es-ES"/>
        </w:rPr>
        <w:t>Contaduría General de la Nación</w:t>
      </w:r>
      <w:r w:rsidRPr="003871F4">
        <w:rPr>
          <w:rFonts w:ascii="Arial Narrow" w:hAnsi="Arial Narrow" w:cs="Gisha"/>
          <w:b w:val="0"/>
          <w:bCs w:val="0"/>
          <w:color w:val="auto"/>
          <w:sz w:val="22"/>
          <w:szCs w:val="22"/>
          <w:lang w:val="es-ES"/>
        </w:rPr>
        <w:t xml:space="preserve">. </w:t>
      </w:r>
    </w:p>
    <w:p w:rsidR="00E51A28" w:rsidRPr="002B05E4" w:rsidRDefault="00E51A28" w:rsidP="00E51A28">
      <w:pPr>
        <w:pStyle w:val="Textoindependiente3"/>
        <w:widowControl w:val="0"/>
        <w:rPr>
          <w:rFonts w:ascii="Arial Narrow" w:hAnsi="Arial Narrow" w:cs="Gisha"/>
          <w:b/>
          <w:bCs/>
          <w:color w:val="auto"/>
          <w:sz w:val="22"/>
          <w:szCs w:val="22"/>
        </w:rPr>
      </w:pPr>
    </w:p>
    <w:p w:rsidR="00E51A28" w:rsidRPr="005B2A57" w:rsidRDefault="00E51A28" w:rsidP="00E51A2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sidRPr="005B2A57">
        <w:rPr>
          <w:rFonts w:ascii="Arial Narrow" w:hAnsi="Arial Narrow" w:cs="Gisha"/>
          <w:color w:val="auto"/>
          <w:sz w:val="22"/>
          <w:szCs w:val="22"/>
          <w:lang w:val="es-ES"/>
        </w:rPr>
        <w:t xml:space="preserve">NOTA </w:t>
      </w:r>
      <w:r w:rsidR="001F5A53">
        <w:rPr>
          <w:rFonts w:ascii="Arial Narrow" w:hAnsi="Arial Narrow" w:cs="Gisha"/>
          <w:color w:val="auto"/>
          <w:sz w:val="22"/>
          <w:szCs w:val="22"/>
          <w:lang w:val="es-ES"/>
        </w:rPr>
        <w:t>5</w:t>
      </w:r>
      <w:r w:rsidRPr="005B2A57">
        <w:rPr>
          <w:rFonts w:ascii="Arial Narrow" w:hAnsi="Arial Narrow" w:cs="Gisha"/>
          <w:color w:val="auto"/>
          <w:sz w:val="22"/>
          <w:szCs w:val="22"/>
          <w:lang w:val="es-ES"/>
        </w:rPr>
        <w:t>.    OTROS ACTIVOS</w:t>
      </w:r>
    </w:p>
    <w:p w:rsidR="00E51A28" w:rsidRDefault="00E51A28" w:rsidP="00E51A28">
      <w:pPr>
        <w:rPr>
          <w:rFonts w:ascii="Arial Narrow" w:hAnsi="Arial Narrow" w:cs="Gisha"/>
          <w:b/>
          <w:bCs/>
          <w:sz w:val="22"/>
          <w:szCs w:val="22"/>
        </w:rPr>
      </w:pPr>
    </w:p>
    <w:p w:rsidR="00E51A28" w:rsidRDefault="00E51A28" w:rsidP="00E51A28">
      <w:pPr>
        <w:jc w:val="both"/>
        <w:rPr>
          <w:rFonts w:ascii="Arial Narrow" w:hAnsi="Arial Narrow" w:cs="Gisha"/>
          <w:sz w:val="22"/>
          <w:szCs w:val="22"/>
        </w:rPr>
      </w:pPr>
      <w:r>
        <w:rPr>
          <w:rFonts w:ascii="Arial Narrow" w:hAnsi="Arial Narrow" w:cs="Gisha"/>
          <w:sz w:val="22"/>
          <w:szCs w:val="22"/>
        </w:rPr>
        <w:t>Los otros activos a 31 de diciembre comprenden:</w:t>
      </w:r>
    </w:p>
    <w:p w:rsidR="00E51A28" w:rsidRDefault="00E51A28" w:rsidP="00E51A28">
      <w:pPr>
        <w:jc w:val="both"/>
        <w:rPr>
          <w:rFonts w:ascii="Arial Narrow" w:hAnsi="Arial Narrow" w:cs="Gisha"/>
          <w:sz w:val="22"/>
          <w:szCs w:val="22"/>
        </w:rPr>
      </w:pPr>
    </w:p>
    <w:p w:rsidR="00E51A28" w:rsidRDefault="00E51A28" w:rsidP="004F4362">
      <w:pPr>
        <w:jc w:val="both"/>
        <w:rPr>
          <w:rFonts w:ascii="Arial Narrow" w:hAnsi="Arial Narrow" w:cs="Gisha"/>
          <w:b/>
          <w:bCs/>
          <w:i/>
          <w:iCs/>
          <w:sz w:val="22"/>
          <w:szCs w:val="22"/>
        </w:rPr>
      </w:pPr>
      <w:r>
        <w:rPr>
          <w:rFonts w:ascii="Arial Narrow" w:hAnsi="Arial Narrow" w:cs="Gisha"/>
          <w:sz w:val="22"/>
          <w:szCs w:val="22"/>
        </w:rPr>
        <w:t>L</w:t>
      </w:r>
      <w:r w:rsidRPr="005B2A57">
        <w:rPr>
          <w:rFonts w:ascii="Arial Narrow" w:hAnsi="Arial Narrow" w:cs="Gisha"/>
          <w:sz w:val="22"/>
          <w:szCs w:val="22"/>
        </w:rPr>
        <w:t xml:space="preserve">os </w:t>
      </w:r>
      <w:r>
        <w:rPr>
          <w:rFonts w:ascii="Arial Narrow" w:hAnsi="Arial Narrow" w:cs="Gisha"/>
          <w:sz w:val="22"/>
          <w:szCs w:val="22"/>
        </w:rPr>
        <w:t xml:space="preserve">bienes y servicios pagados </w:t>
      </w:r>
      <w:r w:rsidRPr="005B2A57">
        <w:rPr>
          <w:rFonts w:ascii="Arial Narrow" w:hAnsi="Arial Narrow" w:cs="Gisha"/>
          <w:sz w:val="22"/>
          <w:szCs w:val="22"/>
        </w:rPr>
        <w:t xml:space="preserve">por anticipado, los cargos diferidos, las obras y mejoras en propiedad ajena, los bienes entregados a terceros, </w:t>
      </w:r>
      <w:r>
        <w:rPr>
          <w:rFonts w:ascii="Arial Narrow" w:hAnsi="Arial Narrow" w:cs="Gisha"/>
          <w:sz w:val="22"/>
          <w:szCs w:val="22"/>
        </w:rPr>
        <w:t xml:space="preserve">valorizaciones, </w:t>
      </w:r>
      <w:r w:rsidRPr="005B2A57">
        <w:rPr>
          <w:rFonts w:ascii="Arial Narrow" w:hAnsi="Arial Narrow" w:cs="Gisha"/>
          <w:sz w:val="22"/>
          <w:szCs w:val="22"/>
        </w:rPr>
        <w:t xml:space="preserve">los intangibles y las amortizaciones.  </w:t>
      </w:r>
      <w:r w:rsidRPr="005B2A57">
        <w:rPr>
          <w:rFonts w:ascii="Arial Narrow" w:hAnsi="Arial Narrow" w:cs="Gisha"/>
          <w:b/>
          <w:bCs/>
          <w:i/>
          <w:iCs/>
          <w:vanish/>
          <w:sz w:val="22"/>
          <w:szCs w:val="22"/>
        </w:rPr>
        <w:t xml:space="preserve">Su saldo </w:t>
      </w:r>
      <w:r>
        <w:rPr>
          <w:rFonts w:ascii="Arial Narrow" w:hAnsi="Arial Narrow" w:cs="Gisha"/>
          <w:b/>
          <w:bCs/>
          <w:i/>
          <w:iCs/>
          <w:vanish/>
          <w:sz w:val="22"/>
          <w:szCs w:val="22"/>
        </w:rPr>
        <w:t>comparativo (2011-</w:t>
      </w:r>
      <w:r w:rsidRPr="005B2A57">
        <w:rPr>
          <w:rFonts w:ascii="Arial Narrow" w:hAnsi="Arial Narrow" w:cs="Gisha"/>
          <w:b/>
          <w:bCs/>
          <w:i/>
          <w:iCs/>
          <w:vanish/>
          <w:sz w:val="22"/>
          <w:szCs w:val="22"/>
        </w:rPr>
        <w:t xml:space="preserve"> 201</w:t>
      </w:r>
      <w:r>
        <w:rPr>
          <w:rFonts w:ascii="Arial Narrow" w:hAnsi="Arial Narrow" w:cs="Gisha"/>
          <w:b/>
          <w:bCs/>
          <w:i/>
          <w:iCs/>
          <w:vanish/>
          <w:sz w:val="22"/>
          <w:szCs w:val="22"/>
        </w:rPr>
        <w:t>2)</w:t>
      </w:r>
      <w:r w:rsidRPr="005B2A57">
        <w:rPr>
          <w:rFonts w:ascii="Arial Narrow" w:hAnsi="Arial Narrow" w:cs="Gisha"/>
          <w:b/>
          <w:bCs/>
          <w:i/>
          <w:iCs/>
          <w:vanish/>
          <w:sz w:val="22"/>
          <w:szCs w:val="22"/>
        </w:rPr>
        <w:t xml:space="preserve"> </w:t>
      </w:r>
      <w:r>
        <w:rPr>
          <w:rFonts w:ascii="Arial Narrow" w:hAnsi="Arial Narrow" w:cs="Gisha"/>
          <w:b/>
          <w:bCs/>
          <w:i/>
          <w:iCs/>
          <w:vanish/>
          <w:sz w:val="22"/>
          <w:szCs w:val="22"/>
        </w:rPr>
        <w:t xml:space="preserve">a 31 de diciembre </w:t>
      </w:r>
      <w:r w:rsidRPr="005B2A57">
        <w:rPr>
          <w:rFonts w:ascii="Arial Narrow" w:hAnsi="Arial Narrow" w:cs="Gisha"/>
          <w:b/>
          <w:bCs/>
          <w:i/>
          <w:iCs/>
          <w:vanish/>
          <w:sz w:val="22"/>
          <w:szCs w:val="22"/>
        </w:rPr>
        <w:t xml:space="preserve">está conformado </w:t>
      </w:r>
      <w:r>
        <w:rPr>
          <w:rFonts w:ascii="Arial Narrow" w:hAnsi="Arial Narrow" w:cs="Gisha"/>
          <w:b/>
          <w:bCs/>
          <w:i/>
          <w:iCs/>
          <w:vanish/>
          <w:sz w:val="22"/>
          <w:szCs w:val="22"/>
        </w:rPr>
        <w:t>así</w:t>
      </w:r>
      <w:r w:rsidRPr="005B2A57">
        <w:rPr>
          <w:rFonts w:ascii="Arial Narrow" w:hAnsi="Arial Narrow" w:cs="Gisha"/>
          <w:b/>
          <w:bCs/>
          <w:i/>
          <w:iCs/>
          <w:vanish/>
          <w:sz w:val="22"/>
          <w:szCs w:val="22"/>
        </w:rPr>
        <w:t>:</w:t>
      </w:r>
    </w:p>
    <w:p w:rsidR="00E51A28" w:rsidRDefault="00E51A28" w:rsidP="00E51A28">
      <w:pPr>
        <w:pStyle w:val="Textoindependiente"/>
        <w:rPr>
          <w:rFonts w:ascii="Arial Narrow" w:hAnsi="Arial Narrow" w:cs="Gisha"/>
          <w:b w:val="0"/>
          <w:bCs w:val="0"/>
          <w:i w:val="0"/>
          <w:iCs w:val="0"/>
          <w:vanish w:val="0"/>
          <w:color w:val="auto"/>
          <w:sz w:val="22"/>
          <w:szCs w:val="22"/>
          <w:u w:val="none"/>
          <w:lang w:val="es-ES"/>
        </w:rPr>
      </w:pPr>
      <w:r w:rsidRPr="002B05E4">
        <w:rPr>
          <w:rFonts w:ascii="Arial Narrow" w:hAnsi="Arial Narrow" w:cs="Gisha"/>
          <w:b w:val="0"/>
          <w:bCs w:val="0"/>
          <w:i w:val="0"/>
          <w:iCs w:val="0"/>
          <w:vanish w:val="0"/>
          <w:color w:val="auto"/>
          <w:sz w:val="22"/>
          <w:szCs w:val="22"/>
          <w:u w:val="none"/>
          <w:lang w:val="es-ES"/>
        </w:rPr>
        <w:lastRenderedPageBreak/>
        <w:t>El saldo comparativo para las vigencias  201</w:t>
      </w:r>
      <w:r>
        <w:rPr>
          <w:rFonts w:ascii="Arial Narrow" w:hAnsi="Arial Narrow" w:cs="Gisha"/>
          <w:b w:val="0"/>
          <w:bCs w:val="0"/>
          <w:i w:val="0"/>
          <w:iCs w:val="0"/>
          <w:vanish w:val="0"/>
          <w:color w:val="auto"/>
          <w:sz w:val="22"/>
          <w:szCs w:val="22"/>
          <w:u w:val="none"/>
          <w:lang w:val="es-ES"/>
        </w:rPr>
        <w:t>5</w:t>
      </w:r>
      <w:r w:rsidRPr="002B05E4">
        <w:rPr>
          <w:rFonts w:ascii="Arial Narrow" w:hAnsi="Arial Narrow" w:cs="Gisha"/>
          <w:b w:val="0"/>
          <w:bCs w:val="0"/>
          <w:i w:val="0"/>
          <w:iCs w:val="0"/>
          <w:vanish w:val="0"/>
          <w:color w:val="auto"/>
          <w:sz w:val="22"/>
          <w:szCs w:val="22"/>
          <w:u w:val="none"/>
          <w:lang w:val="es-ES"/>
        </w:rPr>
        <w:t>- 201</w:t>
      </w:r>
      <w:r>
        <w:rPr>
          <w:rFonts w:ascii="Arial Narrow" w:hAnsi="Arial Narrow" w:cs="Gisha"/>
          <w:b w:val="0"/>
          <w:bCs w:val="0"/>
          <w:i w:val="0"/>
          <w:iCs w:val="0"/>
          <w:vanish w:val="0"/>
          <w:color w:val="auto"/>
          <w:sz w:val="22"/>
          <w:szCs w:val="22"/>
          <w:u w:val="none"/>
          <w:lang w:val="es-ES"/>
        </w:rPr>
        <w:t>4</w:t>
      </w:r>
      <w:r w:rsidRPr="002B05E4">
        <w:rPr>
          <w:rFonts w:ascii="Arial Narrow" w:hAnsi="Arial Narrow" w:cs="Gisha"/>
          <w:b w:val="0"/>
          <w:bCs w:val="0"/>
          <w:i w:val="0"/>
          <w:iCs w:val="0"/>
          <w:vanish w:val="0"/>
          <w:color w:val="auto"/>
          <w:sz w:val="22"/>
          <w:szCs w:val="22"/>
          <w:u w:val="none"/>
          <w:lang w:val="es-ES"/>
        </w:rPr>
        <w:t xml:space="preserve">  es</w:t>
      </w:r>
      <w:r>
        <w:rPr>
          <w:rFonts w:ascii="Arial Narrow" w:hAnsi="Arial Narrow" w:cs="Gisha"/>
          <w:b w:val="0"/>
          <w:bCs w:val="0"/>
          <w:i w:val="0"/>
          <w:iCs w:val="0"/>
          <w:vanish w:val="0"/>
          <w:color w:val="auto"/>
          <w:sz w:val="22"/>
          <w:szCs w:val="22"/>
          <w:u w:val="none"/>
          <w:lang w:val="es-ES"/>
        </w:rPr>
        <w:t xml:space="preserve"> el siguiente</w:t>
      </w:r>
      <w:r w:rsidRPr="002B05E4">
        <w:rPr>
          <w:rFonts w:ascii="Arial Narrow" w:hAnsi="Arial Narrow" w:cs="Gisha"/>
          <w:b w:val="0"/>
          <w:bCs w:val="0"/>
          <w:i w:val="0"/>
          <w:iCs w:val="0"/>
          <w:vanish w:val="0"/>
          <w:color w:val="auto"/>
          <w:sz w:val="22"/>
          <w:szCs w:val="22"/>
          <w:u w:val="none"/>
          <w:lang w:val="es-ES"/>
        </w:rPr>
        <w:t>:</w:t>
      </w:r>
    </w:p>
    <w:p w:rsidR="00E51A28" w:rsidRDefault="00E51A28" w:rsidP="00E51A28">
      <w:pPr>
        <w:jc w:val="center"/>
        <w:rPr>
          <w:noProof/>
          <w:lang w:val="es-CO" w:eastAsia="es-CO"/>
        </w:rPr>
      </w:pPr>
    </w:p>
    <w:p w:rsidR="00E51A28" w:rsidRDefault="00E51A28" w:rsidP="00E51A28">
      <w:pPr>
        <w:jc w:val="center"/>
        <w:rPr>
          <w:rFonts w:ascii="Arial Narrow" w:hAnsi="Arial Narrow" w:cs="Gisha"/>
          <w:sz w:val="22"/>
          <w:szCs w:val="22"/>
        </w:rPr>
      </w:pPr>
      <w:r w:rsidRPr="00136892">
        <w:rPr>
          <w:noProof/>
          <w:lang w:val="es-CO" w:eastAsia="es-CO"/>
        </w:rPr>
        <w:drawing>
          <wp:inline distT="0" distB="0" distL="0" distR="0" wp14:anchorId="12306D50" wp14:editId="66DE5FB7">
            <wp:extent cx="5515757" cy="1683385"/>
            <wp:effectExtent l="0" t="0" r="889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6026" cy="1686519"/>
                    </a:xfrm>
                    <a:prstGeom prst="rect">
                      <a:avLst/>
                    </a:prstGeom>
                    <a:noFill/>
                    <a:ln>
                      <a:noFill/>
                    </a:ln>
                  </pic:spPr>
                </pic:pic>
              </a:graphicData>
            </a:graphic>
          </wp:inline>
        </w:drawing>
      </w:r>
    </w:p>
    <w:p w:rsidR="00E51A28" w:rsidRDefault="00E51A28" w:rsidP="00E51A28">
      <w:pPr>
        <w:jc w:val="center"/>
        <w:rPr>
          <w:rFonts w:ascii="Arial Narrow" w:hAnsi="Arial Narrow" w:cs="Gisha"/>
          <w:sz w:val="22"/>
          <w:szCs w:val="22"/>
        </w:rPr>
      </w:pPr>
    </w:p>
    <w:p w:rsidR="00E51A28" w:rsidRPr="005B2A57" w:rsidRDefault="00E51A28" w:rsidP="00E51A28">
      <w:pPr>
        <w:jc w:val="both"/>
        <w:rPr>
          <w:rFonts w:ascii="Arial Narrow" w:hAnsi="Arial Narrow" w:cs="Gisha"/>
          <w:sz w:val="22"/>
          <w:szCs w:val="22"/>
        </w:rPr>
      </w:pPr>
      <w:r w:rsidRPr="005B2A57">
        <w:rPr>
          <w:rFonts w:ascii="Arial Narrow" w:hAnsi="Arial Narrow" w:cs="Gisha"/>
          <w:sz w:val="22"/>
          <w:szCs w:val="22"/>
        </w:rPr>
        <w:t>La cuenta Bienes y s</w:t>
      </w:r>
      <w:r>
        <w:rPr>
          <w:rFonts w:ascii="Arial Narrow" w:hAnsi="Arial Narrow" w:cs="Gisha"/>
          <w:sz w:val="22"/>
          <w:szCs w:val="22"/>
        </w:rPr>
        <w:t>ervicios pagados por anticipado</w:t>
      </w:r>
      <w:r w:rsidRPr="005B2A57">
        <w:rPr>
          <w:rFonts w:ascii="Arial Narrow" w:hAnsi="Arial Narrow" w:cs="Gisha"/>
          <w:sz w:val="22"/>
          <w:szCs w:val="22"/>
        </w:rPr>
        <w:t xml:space="preserve"> </w:t>
      </w:r>
      <w:r>
        <w:rPr>
          <w:rFonts w:ascii="Arial Narrow" w:hAnsi="Arial Narrow" w:cs="Gisha"/>
          <w:sz w:val="22"/>
          <w:szCs w:val="22"/>
        </w:rPr>
        <w:t xml:space="preserve">refleja un saldo por $36.274 miles que corresponden a pólizas de seguros  pendientes por amortizar adquiridas en el segundo trimestre del año 2015. </w:t>
      </w:r>
    </w:p>
    <w:p w:rsidR="00E51A28" w:rsidRPr="005B2A57" w:rsidRDefault="00E51A28" w:rsidP="00E51A28">
      <w:pPr>
        <w:ind w:left="360"/>
        <w:jc w:val="both"/>
        <w:rPr>
          <w:rFonts w:ascii="Arial Narrow" w:hAnsi="Arial Narrow" w:cs="Gisha"/>
          <w:sz w:val="22"/>
          <w:szCs w:val="22"/>
        </w:rPr>
      </w:pPr>
      <w:r w:rsidRPr="005B2A57">
        <w:rPr>
          <w:rFonts w:ascii="Arial Narrow" w:hAnsi="Arial Narrow" w:cs="Gisha"/>
          <w:sz w:val="22"/>
          <w:szCs w:val="22"/>
        </w:rPr>
        <w:tab/>
      </w:r>
      <w:r w:rsidRPr="005B2A57">
        <w:rPr>
          <w:rFonts w:ascii="Arial Narrow" w:hAnsi="Arial Narrow" w:cs="Gisha"/>
          <w:sz w:val="22"/>
          <w:szCs w:val="22"/>
        </w:rPr>
        <w:tab/>
        <w:t xml:space="preserve">       </w:t>
      </w:r>
      <w:r w:rsidRPr="005B2A57">
        <w:rPr>
          <w:rFonts w:ascii="Arial Narrow" w:hAnsi="Arial Narrow" w:cs="Gisha"/>
          <w:sz w:val="22"/>
          <w:szCs w:val="22"/>
        </w:rPr>
        <w:tab/>
        <w:t xml:space="preserve">                                                            </w:t>
      </w:r>
    </w:p>
    <w:p w:rsidR="00E51A28" w:rsidRPr="005B2A57" w:rsidRDefault="00E51A28" w:rsidP="00E51A28">
      <w:pPr>
        <w:jc w:val="both"/>
        <w:rPr>
          <w:rFonts w:ascii="Arial Narrow" w:hAnsi="Arial Narrow" w:cs="Gisha"/>
          <w:sz w:val="22"/>
          <w:szCs w:val="22"/>
        </w:rPr>
      </w:pPr>
      <w:r w:rsidRPr="005B2A57">
        <w:rPr>
          <w:rFonts w:ascii="Arial Narrow" w:hAnsi="Arial Narrow" w:cs="Gisha"/>
          <w:sz w:val="22"/>
          <w:szCs w:val="22"/>
        </w:rPr>
        <w:t>La cuenta Cargos diferidos, está conformada por elementos de consumo que se encuentran en bodega, saldo que está conciliado frente al último boletín de almacén del mes de Diciembre del 201</w:t>
      </w:r>
      <w:r>
        <w:rPr>
          <w:rFonts w:ascii="Arial Narrow" w:hAnsi="Arial Narrow" w:cs="Gisha"/>
          <w:sz w:val="22"/>
          <w:szCs w:val="22"/>
        </w:rPr>
        <w:t>5 entregado por el Área de Servicios Generales.</w:t>
      </w:r>
      <w:r w:rsidRPr="005B2A57">
        <w:rPr>
          <w:rFonts w:ascii="Arial Narrow" w:hAnsi="Arial Narrow" w:cs="Gisha"/>
          <w:sz w:val="22"/>
          <w:szCs w:val="22"/>
        </w:rPr>
        <w:t xml:space="preserve"> </w:t>
      </w:r>
    </w:p>
    <w:p w:rsidR="00E51A28" w:rsidRPr="003439A2" w:rsidRDefault="00E51A28" w:rsidP="00E51A28">
      <w:pPr>
        <w:jc w:val="both"/>
        <w:rPr>
          <w:rFonts w:ascii="Arial Narrow" w:hAnsi="Arial Narrow" w:cs="Gisha"/>
          <w:color w:val="FF0000"/>
          <w:sz w:val="22"/>
          <w:szCs w:val="22"/>
        </w:rPr>
      </w:pPr>
    </w:p>
    <w:p w:rsidR="00E51A28" w:rsidRPr="00A936E2" w:rsidRDefault="00E51A28" w:rsidP="00E51A28">
      <w:pPr>
        <w:jc w:val="both"/>
        <w:rPr>
          <w:rFonts w:ascii="Arial Narrow" w:hAnsi="Arial Narrow" w:cs="Gisha"/>
          <w:color w:val="000000" w:themeColor="text1"/>
          <w:sz w:val="22"/>
          <w:szCs w:val="22"/>
        </w:rPr>
      </w:pPr>
      <w:r w:rsidRPr="00A936E2">
        <w:rPr>
          <w:rFonts w:ascii="Arial Narrow" w:hAnsi="Arial Narrow" w:cs="Gisha"/>
          <w:color w:val="000000" w:themeColor="text1"/>
          <w:sz w:val="22"/>
          <w:szCs w:val="22"/>
        </w:rPr>
        <w:t>La cuenta Obras y Mejoras en Propiedad Ajena, se registra el valor del cableado estructurado y su amortización.</w:t>
      </w:r>
    </w:p>
    <w:p w:rsidR="00E51A28" w:rsidRDefault="00E51A28" w:rsidP="00E51A28">
      <w:pPr>
        <w:jc w:val="both"/>
        <w:rPr>
          <w:rFonts w:ascii="Arial Narrow" w:hAnsi="Arial Narrow" w:cs="Gisha"/>
          <w:color w:val="000000" w:themeColor="text1"/>
          <w:sz w:val="22"/>
          <w:szCs w:val="22"/>
        </w:rPr>
      </w:pPr>
    </w:p>
    <w:p w:rsidR="00E51A28" w:rsidRDefault="00E51A28" w:rsidP="00E51A28">
      <w:pPr>
        <w:pStyle w:val="Textoindependiente2"/>
        <w:rPr>
          <w:rFonts w:ascii="Arial Narrow" w:hAnsi="Arial Narrow"/>
          <w:b w:val="0"/>
          <w:bCs w:val="0"/>
          <w:color w:val="auto"/>
          <w:sz w:val="22"/>
          <w:szCs w:val="22"/>
          <w:lang w:val="es-ES"/>
        </w:rPr>
      </w:pPr>
      <w:r>
        <w:rPr>
          <w:rFonts w:ascii="Arial Narrow" w:hAnsi="Arial Narrow"/>
          <w:b w:val="0"/>
          <w:bCs w:val="0"/>
          <w:color w:val="auto"/>
          <w:sz w:val="22"/>
          <w:szCs w:val="22"/>
          <w:lang w:val="es-ES"/>
        </w:rPr>
        <w:t xml:space="preserve">En </w:t>
      </w:r>
      <w:r w:rsidRPr="00516558">
        <w:rPr>
          <w:rFonts w:ascii="Arial Narrow" w:hAnsi="Arial Narrow"/>
          <w:b w:val="0"/>
          <w:bCs w:val="0"/>
          <w:color w:val="auto"/>
          <w:sz w:val="22"/>
          <w:szCs w:val="22"/>
          <w:lang w:val="es-ES"/>
        </w:rPr>
        <w:t xml:space="preserve"> Bienes Entregados</w:t>
      </w:r>
      <w:r>
        <w:rPr>
          <w:rFonts w:ascii="Arial Narrow" w:hAnsi="Arial Narrow"/>
          <w:b w:val="0"/>
          <w:bCs w:val="0"/>
          <w:color w:val="auto"/>
          <w:sz w:val="22"/>
          <w:szCs w:val="22"/>
          <w:lang w:val="es-ES"/>
        </w:rPr>
        <w:t xml:space="preserve"> a terceros</w:t>
      </w:r>
      <w:r w:rsidRPr="00516558">
        <w:rPr>
          <w:rFonts w:ascii="Arial Narrow" w:hAnsi="Arial Narrow"/>
          <w:b w:val="0"/>
          <w:bCs w:val="0"/>
          <w:color w:val="auto"/>
          <w:sz w:val="22"/>
          <w:szCs w:val="22"/>
          <w:lang w:val="es-ES"/>
        </w:rPr>
        <w:t xml:space="preserve">, </w:t>
      </w:r>
      <w:r>
        <w:rPr>
          <w:rFonts w:ascii="Arial Narrow" w:hAnsi="Arial Narrow"/>
          <w:b w:val="0"/>
          <w:bCs w:val="0"/>
          <w:color w:val="auto"/>
          <w:sz w:val="22"/>
          <w:szCs w:val="22"/>
          <w:lang w:val="es-ES"/>
        </w:rPr>
        <w:t>por valor de $1.451</w:t>
      </w:r>
      <w:r w:rsidR="001F5A53">
        <w:rPr>
          <w:rFonts w:ascii="Arial Narrow" w:hAnsi="Arial Narrow"/>
          <w:b w:val="0"/>
          <w:bCs w:val="0"/>
          <w:color w:val="auto"/>
          <w:sz w:val="22"/>
          <w:szCs w:val="22"/>
          <w:lang w:val="es-ES"/>
        </w:rPr>
        <w:t>.</w:t>
      </w:r>
      <w:r>
        <w:rPr>
          <w:rFonts w:ascii="Arial Narrow" w:hAnsi="Arial Narrow"/>
          <w:b w:val="0"/>
          <w:bCs w:val="0"/>
          <w:color w:val="auto"/>
          <w:sz w:val="22"/>
          <w:szCs w:val="22"/>
          <w:lang w:val="es-ES"/>
        </w:rPr>
        <w:t xml:space="preserve">901.096 miles </w:t>
      </w:r>
      <w:r w:rsidRPr="00516558">
        <w:rPr>
          <w:rFonts w:ascii="Arial Narrow" w:hAnsi="Arial Narrow"/>
          <w:b w:val="0"/>
          <w:bCs w:val="0"/>
          <w:color w:val="auto"/>
          <w:sz w:val="22"/>
          <w:szCs w:val="22"/>
          <w:lang w:val="es-ES"/>
        </w:rPr>
        <w:t xml:space="preserve">refleja el registro del valor certificado por los concesionarios de los </w:t>
      </w:r>
      <w:r w:rsidRPr="00516558">
        <w:rPr>
          <w:rFonts w:ascii="Arial Narrow" w:hAnsi="Arial Narrow"/>
          <w:b w:val="0"/>
          <w:bCs w:val="0"/>
          <w:sz w:val="22"/>
          <w:szCs w:val="22"/>
        </w:rPr>
        <w:t xml:space="preserve">modos portuario por valor de $ </w:t>
      </w:r>
      <w:r>
        <w:rPr>
          <w:rFonts w:ascii="Arial Narrow" w:hAnsi="Arial Narrow"/>
          <w:b w:val="0"/>
          <w:bCs w:val="0"/>
          <w:sz w:val="22"/>
          <w:szCs w:val="22"/>
        </w:rPr>
        <w:t>1.254.051.810</w:t>
      </w:r>
      <w:r w:rsidRPr="00516558">
        <w:rPr>
          <w:rFonts w:ascii="Arial Narrow" w:hAnsi="Arial Narrow"/>
          <w:b w:val="0"/>
          <w:bCs w:val="0"/>
          <w:sz w:val="22"/>
          <w:szCs w:val="22"/>
        </w:rPr>
        <w:t xml:space="preserve"> mi</w:t>
      </w:r>
      <w:r>
        <w:rPr>
          <w:rFonts w:ascii="Arial Narrow" w:hAnsi="Arial Narrow"/>
          <w:b w:val="0"/>
          <w:bCs w:val="0"/>
          <w:sz w:val="22"/>
          <w:szCs w:val="22"/>
        </w:rPr>
        <w:t>les, modo carretero $ 24.786</w:t>
      </w:r>
      <w:r w:rsidR="001F5A53">
        <w:rPr>
          <w:rFonts w:ascii="Arial Narrow" w:hAnsi="Arial Narrow"/>
          <w:b w:val="0"/>
          <w:bCs w:val="0"/>
          <w:sz w:val="22"/>
          <w:szCs w:val="22"/>
        </w:rPr>
        <w:t>.</w:t>
      </w:r>
      <w:r>
        <w:rPr>
          <w:rFonts w:ascii="Arial Narrow" w:hAnsi="Arial Narrow"/>
          <w:b w:val="0"/>
          <w:bCs w:val="0"/>
          <w:sz w:val="22"/>
          <w:szCs w:val="22"/>
        </w:rPr>
        <w:t xml:space="preserve">463 </w:t>
      </w:r>
      <w:r w:rsidRPr="00516558">
        <w:rPr>
          <w:rFonts w:ascii="Arial Narrow" w:hAnsi="Arial Narrow"/>
          <w:b w:val="0"/>
          <w:bCs w:val="0"/>
          <w:sz w:val="22"/>
          <w:szCs w:val="22"/>
        </w:rPr>
        <w:t xml:space="preserve">miles, modo férreo por valor de $ </w:t>
      </w:r>
      <w:r>
        <w:rPr>
          <w:rFonts w:ascii="Arial Narrow" w:hAnsi="Arial Narrow"/>
          <w:b w:val="0"/>
          <w:bCs w:val="0"/>
          <w:sz w:val="22"/>
          <w:szCs w:val="22"/>
        </w:rPr>
        <w:t xml:space="preserve">148.180.947 </w:t>
      </w:r>
      <w:r w:rsidRPr="00516558">
        <w:rPr>
          <w:rFonts w:ascii="Arial Narrow" w:hAnsi="Arial Narrow"/>
          <w:b w:val="0"/>
          <w:bCs w:val="0"/>
          <w:sz w:val="22"/>
          <w:szCs w:val="22"/>
        </w:rPr>
        <w:t xml:space="preserve">miles y modo aeroportuario por valor de  $ </w:t>
      </w:r>
      <w:r>
        <w:rPr>
          <w:rFonts w:ascii="Arial Narrow" w:hAnsi="Arial Narrow"/>
          <w:b w:val="0"/>
          <w:bCs w:val="0"/>
          <w:sz w:val="22"/>
          <w:szCs w:val="22"/>
        </w:rPr>
        <w:t>24.831.876</w:t>
      </w:r>
      <w:r w:rsidRPr="00516558">
        <w:rPr>
          <w:rFonts w:ascii="Arial Narrow" w:hAnsi="Arial Narrow"/>
          <w:b w:val="0"/>
          <w:bCs w:val="0"/>
          <w:sz w:val="22"/>
          <w:szCs w:val="22"/>
        </w:rPr>
        <w:t xml:space="preserve">  miles, </w:t>
      </w:r>
      <w:r w:rsidRPr="00516558">
        <w:rPr>
          <w:rFonts w:ascii="Arial Narrow" w:hAnsi="Arial Narrow"/>
          <w:b w:val="0"/>
          <w:bCs w:val="0"/>
          <w:color w:val="auto"/>
          <w:sz w:val="22"/>
          <w:szCs w:val="22"/>
          <w:lang w:val="es-ES"/>
        </w:rPr>
        <w:t xml:space="preserve">por concepto de propiedad, planta y equipo adquirido para el proyecto y reflejado como capital privado invertido en cada concesión, presenta un incremento por registro de la inversión privada en los modos citados de acuerdo con los formatos GCSP-F-008 y GCSP-F-051 recibidos durante los dos semestres del año 2014 (Ver anexo </w:t>
      </w:r>
      <w:r>
        <w:rPr>
          <w:rFonts w:ascii="Arial Narrow" w:hAnsi="Arial Narrow"/>
          <w:b w:val="0"/>
          <w:bCs w:val="0"/>
          <w:color w:val="auto"/>
          <w:sz w:val="22"/>
          <w:szCs w:val="22"/>
          <w:lang w:val="es-ES"/>
        </w:rPr>
        <w:t>3</w:t>
      </w:r>
      <w:r w:rsidRPr="00516558">
        <w:rPr>
          <w:rFonts w:ascii="Arial Narrow" w:hAnsi="Arial Narrow"/>
          <w:b w:val="0"/>
          <w:bCs w:val="0"/>
          <w:color w:val="auto"/>
          <w:sz w:val="22"/>
          <w:szCs w:val="22"/>
          <w:lang w:val="es-ES"/>
        </w:rPr>
        <w:t>).</w:t>
      </w:r>
    </w:p>
    <w:p w:rsidR="00E51A28" w:rsidRDefault="00E51A28" w:rsidP="00E51A28">
      <w:pPr>
        <w:jc w:val="both"/>
        <w:rPr>
          <w:rFonts w:ascii="Arial Narrow" w:hAnsi="Arial Narrow" w:cs="Gisha"/>
          <w:color w:val="000000" w:themeColor="text1"/>
          <w:sz w:val="22"/>
          <w:szCs w:val="22"/>
        </w:rPr>
      </w:pPr>
    </w:p>
    <w:p w:rsidR="00E51A28" w:rsidRPr="000376B6" w:rsidRDefault="00E51A28" w:rsidP="00E51A28">
      <w:pPr>
        <w:jc w:val="both"/>
        <w:rPr>
          <w:rFonts w:ascii="Arial Narrow" w:hAnsi="Arial Narrow" w:cs="Gisha"/>
          <w:sz w:val="22"/>
          <w:szCs w:val="22"/>
        </w:rPr>
      </w:pPr>
      <w:r w:rsidRPr="000376B6">
        <w:rPr>
          <w:rFonts w:ascii="Arial Narrow" w:hAnsi="Arial Narrow" w:cs="Gisha"/>
          <w:sz w:val="22"/>
          <w:szCs w:val="22"/>
        </w:rPr>
        <w:t>En la subcuenta bienes entregados a terceros se registró un carro motor que Ferrovías transfirió a título gratuito y que fue entregado a la inte</w:t>
      </w:r>
      <w:r w:rsidR="000376B6" w:rsidRPr="000376B6">
        <w:rPr>
          <w:rFonts w:ascii="Arial Narrow" w:hAnsi="Arial Narrow" w:cs="Gisha"/>
          <w:sz w:val="22"/>
          <w:szCs w:val="22"/>
        </w:rPr>
        <w:t>rventoría a</w:t>
      </w:r>
      <w:r w:rsidR="000376B6">
        <w:rPr>
          <w:rFonts w:ascii="Arial Narrow" w:hAnsi="Arial Narrow" w:cs="Gisha"/>
          <w:sz w:val="22"/>
          <w:szCs w:val="22"/>
        </w:rPr>
        <w:t xml:space="preserve"> la R</w:t>
      </w:r>
      <w:r w:rsidRPr="000376B6">
        <w:rPr>
          <w:rFonts w:ascii="Arial Narrow" w:hAnsi="Arial Narrow" w:cs="Gisha"/>
          <w:sz w:val="22"/>
          <w:szCs w:val="22"/>
        </w:rPr>
        <w:t>ed</w:t>
      </w:r>
      <w:r w:rsidR="000376B6">
        <w:rPr>
          <w:rFonts w:ascii="Arial Narrow" w:hAnsi="Arial Narrow" w:cs="Gisha"/>
          <w:sz w:val="22"/>
          <w:szCs w:val="22"/>
        </w:rPr>
        <w:t xml:space="preserve"> Férrea del A</w:t>
      </w:r>
      <w:r w:rsidRPr="000376B6">
        <w:rPr>
          <w:rFonts w:ascii="Arial Narrow" w:hAnsi="Arial Narrow" w:cs="Gisha"/>
          <w:sz w:val="22"/>
          <w:szCs w:val="22"/>
        </w:rPr>
        <w:t>tlántico por valor de $50.000 miles.</w:t>
      </w:r>
    </w:p>
    <w:p w:rsidR="00E51A28" w:rsidRPr="000376B6" w:rsidRDefault="00E51A28" w:rsidP="00E51A28">
      <w:pPr>
        <w:jc w:val="both"/>
        <w:rPr>
          <w:rFonts w:ascii="Arial Narrow" w:hAnsi="Arial Narrow" w:cs="Gisha"/>
          <w:sz w:val="22"/>
          <w:szCs w:val="22"/>
        </w:rPr>
      </w:pPr>
      <w:r w:rsidRPr="000376B6">
        <w:rPr>
          <w:rFonts w:ascii="Arial Narrow" w:hAnsi="Arial Narrow" w:cs="Gisha"/>
          <w:sz w:val="22"/>
          <w:szCs w:val="22"/>
        </w:rPr>
        <w:t>La cuenta amortización acumulada de bienes entregados a terceros, refleja la amortización del carro motor que Ferrovías transfirió a título gratuito y que fue entregado a la interventorí</w:t>
      </w:r>
      <w:r w:rsidR="000376B6">
        <w:rPr>
          <w:rFonts w:ascii="Arial Narrow" w:hAnsi="Arial Narrow" w:cs="Gisha"/>
          <w:sz w:val="22"/>
          <w:szCs w:val="22"/>
        </w:rPr>
        <w:t>a de la R</w:t>
      </w:r>
      <w:r w:rsidRPr="000376B6">
        <w:rPr>
          <w:rFonts w:ascii="Arial Narrow" w:hAnsi="Arial Narrow" w:cs="Gisha"/>
          <w:sz w:val="22"/>
          <w:szCs w:val="22"/>
        </w:rPr>
        <w:t>ed</w:t>
      </w:r>
      <w:r w:rsidR="000376B6">
        <w:rPr>
          <w:rFonts w:ascii="Arial Narrow" w:hAnsi="Arial Narrow" w:cs="Gisha"/>
          <w:sz w:val="22"/>
          <w:szCs w:val="22"/>
        </w:rPr>
        <w:t xml:space="preserve"> Férrea del A</w:t>
      </w:r>
      <w:r w:rsidRPr="000376B6">
        <w:rPr>
          <w:rFonts w:ascii="Arial Narrow" w:hAnsi="Arial Narrow" w:cs="Gisha"/>
          <w:sz w:val="22"/>
          <w:szCs w:val="22"/>
        </w:rPr>
        <w:t>tlántico.</w:t>
      </w:r>
    </w:p>
    <w:p w:rsidR="00E51A28" w:rsidRPr="000A164E" w:rsidRDefault="00E51A28" w:rsidP="00E51A28">
      <w:pPr>
        <w:jc w:val="both"/>
        <w:rPr>
          <w:rFonts w:ascii="Arial Narrow" w:hAnsi="Arial Narrow" w:cs="Gisha"/>
          <w:color w:val="00B050"/>
          <w:sz w:val="22"/>
          <w:szCs w:val="22"/>
        </w:rPr>
      </w:pPr>
    </w:p>
    <w:p w:rsidR="00E51A28" w:rsidRPr="005B2A57" w:rsidRDefault="00E51A28" w:rsidP="00E51A28">
      <w:pPr>
        <w:jc w:val="both"/>
        <w:rPr>
          <w:rFonts w:ascii="Arial Narrow" w:hAnsi="Arial Narrow" w:cs="Gisha"/>
          <w:sz w:val="22"/>
          <w:szCs w:val="22"/>
        </w:rPr>
      </w:pPr>
      <w:r w:rsidRPr="005B2A57">
        <w:rPr>
          <w:rFonts w:ascii="Arial Narrow" w:hAnsi="Arial Narrow" w:cs="Gisha"/>
          <w:sz w:val="22"/>
          <w:szCs w:val="22"/>
        </w:rPr>
        <w:t>La cuenta Intangibles corresponde a los Software y licencias adquiridos y/o desarrollado</w:t>
      </w:r>
      <w:r>
        <w:rPr>
          <w:rFonts w:ascii="Arial Narrow" w:hAnsi="Arial Narrow" w:cs="Gisha"/>
          <w:sz w:val="22"/>
          <w:szCs w:val="22"/>
        </w:rPr>
        <w:t>s para la gestión i</w:t>
      </w:r>
      <w:r w:rsidRPr="005B2A57">
        <w:rPr>
          <w:rFonts w:ascii="Arial Narrow" w:hAnsi="Arial Narrow" w:cs="Gisha"/>
          <w:sz w:val="22"/>
          <w:szCs w:val="22"/>
        </w:rPr>
        <w:t xml:space="preserve">nstitucional, y los bienes muebles entregados en concesión, </w:t>
      </w:r>
      <w:r w:rsidRPr="005B2A57">
        <w:rPr>
          <w:rFonts w:ascii="Arial Narrow" w:hAnsi="Arial Narrow" w:cs="Gisha"/>
          <w:bCs/>
          <w:sz w:val="22"/>
          <w:szCs w:val="22"/>
        </w:rPr>
        <w:t>según los lineamientos establecidos por la Contaduría General de la Nación se registraron en la subcuenta, los valores reportados como Software en concesión</w:t>
      </w:r>
      <w:r>
        <w:rPr>
          <w:rFonts w:ascii="Arial Narrow" w:hAnsi="Arial Narrow" w:cs="Gisha"/>
          <w:bCs/>
          <w:sz w:val="22"/>
          <w:szCs w:val="22"/>
        </w:rPr>
        <w:t>.</w:t>
      </w:r>
    </w:p>
    <w:p w:rsidR="0024736A" w:rsidRDefault="0024736A" w:rsidP="0024736A">
      <w:pPr>
        <w:jc w:val="both"/>
        <w:rPr>
          <w:rFonts w:cs="Gisha"/>
          <w:sz w:val="22"/>
          <w:szCs w:val="22"/>
        </w:rPr>
      </w:pPr>
    </w:p>
    <w:p w:rsidR="008D7F43" w:rsidRPr="005B2A57" w:rsidRDefault="008D7F43" w:rsidP="008D7F43">
      <w:pPr>
        <w:pStyle w:val="Textoindependiente2"/>
        <w:rPr>
          <w:rFonts w:ascii="Arial Narrow" w:hAnsi="Arial Narrow" w:cs="Gisha"/>
          <w:color w:val="auto"/>
          <w:sz w:val="22"/>
          <w:szCs w:val="22"/>
          <w:lang w:val="es-ES"/>
        </w:rPr>
      </w:pPr>
      <w:r w:rsidRPr="005B2A57">
        <w:rPr>
          <w:rFonts w:ascii="Arial Narrow" w:hAnsi="Arial Narrow" w:cs="Gisha"/>
          <w:color w:val="auto"/>
          <w:sz w:val="22"/>
          <w:szCs w:val="22"/>
          <w:lang w:val="es-ES"/>
        </w:rPr>
        <w:t xml:space="preserve">NOTA </w:t>
      </w:r>
      <w:r w:rsidR="001F5A53">
        <w:rPr>
          <w:rFonts w:ascii="Arial Narrow" w:hAnsi="Arial Narrow" w:cs="Gisha"/>
          <w:color w:val="auto"/>
          <w:sz w:val="22"/>
          <w:szCs w:val="22"/>
          <w:lang w:val="es-ES"/>
        </w:rPr>
        <w:t>6</w:t>
      </w:r>
      <w:r w:rsidRPr="005B2A57">
        <w:rPr>
          <w:rFonts w:ascii="Arial Narrow" w:hAnsi="Arial Narrow" w:cs="Gisha"/>
          <w:color w:val="auto"/>
          <w:sz w:val="22"/>
          <w:szCs w:val="22"/>
          <w:lang w:val="es-ES"/>
        </w:rPr>
        <w:t xml:space="preserve">. OPERACIONES DE CREDITO PÚBLICO   </w:t>
      </w:r>
    </w:p>
    <w:p w:rsidR="008D7F43" w:rsidRPr="005B2A57" w:rsidRDefault="008D7F43" w:rsidP="008D7F43">
      <w:pPr>
        <w:pStyle w:val="Textoindependiente2"/>
        <w:rPr>
          <w:rFonts w:ascii="Arial Narrow" w:hAnsi="Arial Narrow" w:cs="Gisha"/>
          <w:b w:val="0"/>
          <w:bCs w:val="0"/>
          <w:color w:val="auto"/>
          <w:sz w:val="22"/>
          <w:szCs w:val="22"/>
          <w:lang w:val="es-ES"/>
        </w:rPr>
      </w:pPr>
    </w:p>
    <w:p w:rsidR="008D7F43" w:rsidRPr="00BD7531" w:rsidRDefault="008D7F43" w:rsidP="008D7F43">
      <w:pPr>
        <w:jc w:val="both"/>
        <w:rPr>
          <w:rFonts w:ascii="Arial Narrow" w:hAnsi="Arial Narrow"/>
          <w:sz w:val="22"/>
          <w:szCs w:val="22"/>
        </w:rPr>
      </w:pPr>
      <w:r w:rsidRPr="00FB695D">
        <w:rPr>
          <w:rFonts w:ascii="Arial Narrow" w:hAnsi="Arial Narrow"/>
          <w:sz w:val="22"/>
          <w:szCs w:val="22"/>
        </w:rPr>
        <w:t>El saldo representa el valor de las obligaciones a 31 de diciembre de 201</w:t>
      </w:r>
      <w:r>
        <w:rPr>
          <w:rFonts w:ascii="Arial Narrow" w:hAnsi="Arial Narrow"/>
          <w:sz w:val="22"/>
          <w:szCs w:val="22"/>
        </w:rPr>
        <w:t>5</w:t>
      </w:r>
      <w:r w:rsidRPr="00FB695D">
        <w:rPr>
          <w:rFonts w:ascii="Arial Narrow" w:hAnsi="Arial Narrow"/>
          <w:sz w:val="22"/>
          <w:szCs w:val="22"/>
        </w:rPr>
        <w:t>, por los acuerdos de pago suscritos con el Ministerio de Hacienda y Crédito Público, durante las vigencias 2006 a 201</w:t>
      </w:r>
      <w:r>
        <w:rPr>
          <w:rFonts w:ascii="Arial Narrow" w:hAnsi="Arial Narrow"/>
          <w:sz w:val="22"/>
          <w:szCs w:val="22"/>
        </w:rPr>
        <w:t>5</w:t>
      </w:r>
      <w:r w:rsidRPr="00FB695D">
        <w:rPr>
          <w:rFonts w:ascii="Arial Narrow" w:hAnsi="Arial Narrow"/>
          <w:sz w:val="22"/>
          <w:szCs w:val="22"/>
        </w:rPr>
        <w:t xml:space="preserve"> mediante títulos de tesorería TES. Esta cuenta se encuentra concili</w:t>
      </w:r>
      <w:r>
        <w:rPr>
          <w:rFonts w:ascii="Arial Narrow" w:hAnsi="Arial Narrow"/>
          <w:sz w:val="22"/>
          <w:szCs w:val="22"/>
        </w:rPr>
        <w:t xml:space="preserve">ada con el Ministerio de Hacienda </w:t>
      </w:r>
      <w:r w:rsidR="000A164E">
        <w:rPr>
          <w:rFonts w:ascii="Arial Narrow" w:hAnsi="Arial Narrow"/>
          <w:sz w:val="22"/>
          <w:szCs w:val="22"/>
        </w:rPr>
        <w:t xml:space="preserve">y Crédito </w:t>
      </w:r>
      <w:r>
        <w:rPr>
          <w:rFonts w:ascii="Arial Narrow" w:hAnsi="Arial Narrow"/>
          <w:sz w:val="22"/>
          <w:szCs w:val="22"/>
        </w:rPr>
        <w:t xml:space="preserve">Público, el </w:t>
      </w:r>
      <w:r w:rsidRPr="00FB695D">
        <w:rPr>
          <w:rFonts w:ascii="Arial Narrow" w:hAnsi="Arial Narrow"/>
          <w:sz w:val="22"/>
          <w:szCs w:val="22"/>
        </w:rPr>
        <w:t xml:space="preserve">saldo pendiente </w:t>
      </w:r>
      <w:r>
        <w:rPr>
          <w:rFonts w:ascii="Arial Narrow" w:hAnsi="Arial Narrow"/>
          <w:sz w:val="22"/>
          <w:szCs w:val="22"/>
        </w:rPr>
        <w:t>de pago corresponde a la suma de $</w:t>
      </w:r>
      <w:r w:rsidRPr="00A949DD">
        <w:rPr>
          <w:rFonts w:ascii="Calibri" w:hAnsi="Calibri"/>
          <w:color w:val="000000"/>
          <w:lang w:eastAsia="es-CO"/>
        </w:rPr>
        <w:t>$</w:t>
      </w:r>
      <w:r w:rsidRPr="00BD7531">
        <w:rPr>
          <w:rFonts w:ascii="Arial Narrow" w:hAnsi="Arial Narrow"/>
          <w:sz w:val="22"/>
          <w:szCs w:val="22"/>
        </w:rPr>
        <w:t>457.610.189 miles.</w:t>
      </w:r>
    </w:p>
    <w:p w:rsidR="008D7F43" w:rsidRPr="00FB695D" w:rsidRDefault="008D7F43" w:rsidP="008D7F43">
      <w:pPr>
        <w:jc w:val="both"/>
        <w:rPr>
          <w:rFonts w:ascii="Arial Narrow" w:hAnsi="Arial Narrow"/>
          <w:sz w:val="22"/>
          <w:szCs w:val="22"/>
        </w:rPr>
      </w:pPr>
      <w:r w:rsidRPr="00FB695D">
        <w:rPr>
          <w:rFonts w:ascii="Arial Narrow" w:hAnsi="Arial Narrow"/>
          <w:sz w:val="22"/>
          <w:szCs w:val="22"/>
        </w:rPr>
        <w:t xml:space="preserve"> </w:t>
      </w:r>
    </w:p>
    <w:p w:rsidR="008D7F43" w:rsidRDefault="008D7F43" w:rsidP="008D7F43">
      <w:pPr>
        <w:jc w:val="both"/>
        <w:rPr>
          <w:rFonts w:ascii="Arial Narrow" w:hAnsi="Arial Narrow"/>
          <w:sz w:val="22"/>
          <w:szCs w:val="22"/>
        </w:rPr>
      </w:pPr>
      <w:r>
        <w:rPr>
          <w:rFonts w:ascii="Arial Narrow" w:hAnsi="Arial Narrow"/>
          <w:sz w:val="22"/>
          <w:szCs w:val="22"/>
        </w:rPr>
        <w:t>Durante el año 2015 se celebraron Acuerdos de Pago con el Ministerio de Hacienda y Crédito Público para el pago de deudas a concesionarios con TES, así:</w:t>
      </w:r>
    </w:p>
    <w:p w:rsidR="008D7F43" w:rsidRDefault="008D7F43" w:rsidP="008D7F43">
      <w:pPr>
        <w:jc w:val="both"/>
        <w:rPr>
          <w:rFonts w:ascii="Arial Narrow" w:hAnsi="Arial Narrow"/>
          <w:sz w:val="22"/>
          <w:szCs w:val="22"/>
        </w:rPr>
      </w:pPr>
    </w:p>
    <w:p w:rsidR="008D7F43" w:rsidRPr="00E3292C" w:rsidRDefault="008D7F43" w:rsidP="00853B3A">
      <w:pPr>
        <w:pStyle w:val="Prrafodelista"/>
        <w:numPr>
          <w:ilvl w:val="0"/>
          <w:numId w:val="9"/>
        </w:numPr>
        <w:jc w:val="both"/>
        <w:rPr>
          <w:sz w:val="22"/>
          <w:szCs w:val="22"/>
        </w:rPr>
      </w:pPr>
      <w:r w:rsidRPr="00E3292C">
        <w:rPr>
          <w:sz w:val="22"/>
          <w:szCs w:val="22"/>
        </w:rPr>
        <w:lastRenderedPageBreak/>
        <w:t xml:space="preserve">Resolución No 2124 del 17 de junio de 2015 expedida por el Ministerio de Hacienda y Crédito Público </w:t>
      </w:r>
      <w:r w:rsidRPr="000A164E">
        <w:rPr>
          <w:i/>
          <w:sz w:val="22"/>
          <w:szCs w:val="22"/>
        </w:rPr>
        <w:t>“por medio de la cual se reconocen como deuda pública de la Nación unas obligaciones surgidas en los contratos con garantías, por concepto de Ingresos Mínimos Garantizados y se ordena su pago mediante la emisión de Títulos de Tesorería TES clase B”</w:t>
      </w:r>
      <w:r w:rsidRPr="00E3292C">
        <w:rPr>
          <w:sz w:val="22"/>
          <w:szCs w:val="22"/>
        </w:rPr>
        <w:t>, por un total de $3.036.847. miles entregados a la entidad Fiducolombia P.A. Devimed fiduciaria del Concesionario DEVIMED S.A.  La deuda incluye el diferencial tarifario IMG entre el 1 de diciembre de 2014 y el 28 de febrero de 2015, y el saldo de los intereses generados del año 2013  liquidados a diciembre 23 de 2014.   </w:t>
      </w:r>
    </w:p>
    <w:p w:rsidR="008D7F43" w:rsidRDefault="008D7F43" w:rsidP="008D7F43">
      <w:pPr>
        <w:ind w:left="720"/>
        <w:jc w:val="both"/>
        <w:rPr>
          <w:rFonts w:ascii="Arial Narrow" w:hAnsi="Arial Narrow"/>
          <w:i/>
          <w:iCs/>
          <w:sz w:val="22"/>
          <w:szCs w:val="22"/>
        </w:rPr>
      </w:pPr>
    </w:p>
    <w:p w:rsidR="008D7F43" w:rsidRPr="008B75DA" w:rsidRDefault="008D7F43" w:rsidP="00853B3A">
      <w:pPr>
        <w:numPr>
          <w:ilvl w:val="0"/>
          <w:numId w:val="9"/>
        </w:numPr>
        <w:jc w:val="both"/>
        <w:rPr>
          <w:i/>
          <w:iCs/>
          <w:sz w:val="22"/>
          <w:szCs w:val="22"/>
        </w:rPr>
      </w:pPr>
      <w:r w:rsidRPr="008B75DA">
        <w:rPr>
          <w:rFonts w:ascii="Arial Narrow" w:hAnsi="Arial Narrow"/>
          <w:sz w:val="22"/>
          <w:szCs w:val="22"/>
        </w:rPr>
        <w:t xml:space="preserve">Resolución 1365 del 30 de julio de 2015 expedida por el Ministerio de Hacienda y Crédito Público. El pago corresponde al capital e intereses moratorios comprendidos entre el 20 de marzo de 2015 y el 10 de agosto de 2015 o favor de Desarrollo Vial de Nariño DEVINAR S.A, por concepto de obligaciones surgidas en virtud del Acuerdo Conciliatorio </w:t>
      </w:r>
      <w:r>
        <w:rPr>
          <w:rFonts w:ascii="Arial Narrow" w:hAnsi="Arial Narrow"/>
          <w:sz w:val="22"/>
          <w:szCs w:val="22"/>
        </w:rPr>
        <w:t>aprobado por el Tribunal de Arbitramento No. 2, mediante auto No. 45 del 20 de marzo de</w:t>
      </w:r>
      <w:r w:rsidR="000A164E">
        <w:rPr>
          <w:rFonts w:ascii="Arial Narrow" w:hAnsi="Arial Narrow"/>
          <w:sz w:val="22"/>
          <w:szCs w:val="22"/>
        </w:rPr>
        <w:t xml:space="preserve"> 2015, p</w:t>
      </w:r>
      <w:r>
        <w:rPr>
          <w:rFonts w:ascii="Arial Narrow" w:hAnsi="Arial Narrow"/>
          <w:sz w:val="22"/>
          <w:szCs w:val="22"/>
        </w:rPr>
        <w:t xml:space="preserve">or un total de $132.333.095 miles. </w:t>
      </w:r>
    </w:p>
    <w:p w:rsidR="008D7F43" w:rsidRPr="008B75DA" w:rsidRDefault="008D7F43" w:rsidP="008D7F43">
      <w:pPr>
        <w:ind w:left="720"/>
        <w:jc w:val="both"/>
        <w:rPr>
          <w:i/>
          <w:iCs/>
          <w:sz w:val="22"/>
          <w:szCs w:val="22"/>
        </w:rPr>
      </w:pPr>
      <w:r>
        <w:rPr>
          <w:rFonts w:ascii="Arial Narrow" w:hAnsi="Arial Narrow"/>
          <w:sz w:val="22"/>
          <w:szCs w:val="22"/>
        </w:rPr>
        <w:t xml:space="preserve"> </w:t>
      </w:r>
    </w:p>
    <w:p w:rsidR="008D7F43" w:rsidRPr="00BF0DB4" w:rsidRDefault="008D7F43" w:rsidP="00853B3A">
      <w:pPr>
        <w:numPr>
          <w:ilvl w:val="0"/>
          <w:numId w:val="9"/>
        </w:numPr>
        <w:jc w:val="both"/>
        <w:rPr>
          <w:sz w:val="22"/>
          <w:szCs w:val="22"/>
        </w:rPr>
      </w:pPr>
      <w:r w:rsidRPr="00BF0DB4">
        <w:rPr>
          <w:rFonts w:ascii="Arial Narrow" w:hAnsi="Arial Narrow"/>
          <w:sz w:val="22"/>
          <w:szCs w:val="22"/>
        </w:rPr>
        <w:t>Resolución 4795 del  24 de diciembre de 2015 Expedida  por el Ministerio de Hacienda y Crédito Público “</w:t>
      </w:r>
      <w:r w:rsidRPr="00BF0DB4">
        <w:rPr>
          <w:rFonts w:ascii="Arial Narrow" w:hAnsi="Arial Narrow"/>
          <w:i/>
          <w:sz w:val="22"/>
          <w:szCs w:val="22"/>
        </w:rPr>
        <w:t>Por medio de la cual se reconocen como deuda pública de la Nación unas obligaciones surgidas en los contratos de garantías por conceptos de Ingresos mínimos Garantizados, y se ordena su pago mediante la emisión de Títulos de Tesorería TES Clase B”</w:t>
      </w:r>
      <w:r w:rsidR="000A164E">
        <w:rPr>
          <w:rFonts w:ascii="Arial Narrow" w:hAnsi="Arial Narrow"/>
          <w:sz w:val="22"/>
          <w:szCs w:val="22"/>
        </w:rPr>
        <w:t xml:space="preserve"> p</w:t>
      </w:r>
      <w:r w:rsidRPr="00BF0DB4">
        <w:rPr>
          <w:rFonts w:ascii="Arial Narrow" w:hAnsi="Arial Narrow"/>
          <w:sz w:val="22"/>
          <w:szCs w:val="22"/>
        </w:rPr>
        <w:t xml:space="preserve">or un total de $3.187.923 miles. El pago corresponde al déficit generado por concepto de diferencial tarifario IMG entre el 01 de marzo de 2015 y el 30 de junio 2015, con intereses liquidados a 31 de julio de 2015 y ajuste de los intereses generados hasta el 25 de junio de 2015 a favor de DEVIMED SA. </w:t>
      </w:r>
      <w:r>
        <w:rPr>
          <w:rFonts w:ascii="Arial Narrow" w:hAnsi="Arial Narrow"/>
          <w:sz w:val="22"/>
          <w:szCs w:val="22"/>
        </w:rPr>
        <w:t>Contrato de Concesión 275 de 1996.</w:t>
      </w:r>
    </w:p>
    <w:p w:rsidR="008D7F43" w:rsidRPr="00BF0DB4" w:rsidRDefault="008D7F43" w:rsidP="008D7F43">
      <w:pPr>
        <w:jc w:val="both"/>
        <w:rPr>
          <w:sz w:val="22"/>
          <w:szCs w:val="22"/>
        </w:rPr>
      </w:pPr>
    </w:p>
    <w:p w:rsidR="008D7F43" w:rsidRDefault="008D7F43" w:rsidP="008D7F43">
      <w:pPr>
        <w:rPr>
          <w:rFonts w:ascii="Arial Narrow" w:hAnsi="Arial Narrow"/>
          <w:sz w:val="22"/>
          <w:szCs w:val="22"/>
        </w:rPr>
      </w:pPr>
      <w:r>
        <w:rPr>
          <w:rFonts w:ascii="Arial Narrow" w:hAnsi="Arial Narrow"/>
          <w:sz w:val="22"/>
          <w:szCs w:val="22"/>
        </w:rPr>
        <w:t xml:space="preserve">              Al cierre del período contable el saldo comparativo (2015-2014) de la deuda está conformado así:</w:t>
      </w:r>
    </w:p>
    <w:p w:rsidR="008D7F43" w:rsidRDefault="008D7F43" w:rsidP="008D7F43">
      <w:pPr>
        <w:pStyle w:val="Textoindependiente2"/>
        <w:jc w:val="center"/>
        <w:rPr>
          <w:noProof/>
          <w:lang w:val="es-CO" w:eastAsia="es-CO"/>
        </w:rPr>
      </w:pPr>
      <w:r w:rsidRPr="00D52F99">
        <w:rPr>
          <w:noProof/>
          <w:lang w:val="es-CO" w:eastAsia="es-CO"/>
        </w:rPr>
        <w:drawing>
          <wp:inline distT="0" distB="0" distL="0" distR="0">
            <wp:extent cx="5610225" cy="76200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0225" cy="762000"/>
                    </a:xfrm>
                    <a:prstGeom prst="rect">
                      <a:avLst/>
                    </a:prstGeom>
                    <a:noFill/>
                    <a:ln>
                      <a:noFill/>
                    </a:ln>
                  </pic:spPr>
                </pic:pic>
              </a:graphicData>
            </a:graphic>
          </wp:inline>
        </w:drawing>
      </w:r>
    </w:p>
    <w:p w:rsidR="008D7F43" w:rsidRDefault="008D7F43" w:rsidP="008D7F43">
      <w:pPr>
        <w:jc w:val="both"/>
        <w:rPr>
          <w:rFonts w:ascii="Arial Narrow" w:hAnsi="Arial Narrow"/>
          <w:sz w:val="22"/>
          <w:szCs w:val="22"/>
        </w:rPr>
      </w:pPr>
      <w:r>
        <w:rPr>
          <w:rFonts w:ascii="Arial Narrow" w:hAnsi="Arial Narrow"/>
          <w:sz w:val="22"/>
          <w:szCs w:val="22"/>
        </w:rPr>
        <w:t>Su s</w:t>
      </w:r>
      <w:r w:rsidR="000A164E">
        <w:rPr>
          <w:rFonts w:ascii="Arial Narrow" w:hAnsi="Arial Narrow"/>
          <w:sz w:val="22"/>
          <w:szCs w:val="22"/>
        </w:rPr>
        <w:t>aldo comparativo en esta cuenta por el</w:t>
      </w:r>
      <w:r>
        <w:rPr>
          <w:rFonts w:ascii="Arial Narrow" w:hAnsi="Arial Narrow"/>
          <w:sz w:val="22"/>
          <w:szCs w:val="22"/>
        </w:rPr>
        <w:t xml:space="preserve"> año 2015 frente al año 2014 es de $91.172.</w:t>
      </w:r>
      <w:r w:rsidRPr="00A849AE">
        <w:rPr>
          <w:rFonts w:ascii="Arial Narrow" w:hAnsi="Arial Narrow"/>
          <w:sz w:val="22"/>
          <w:szCs w:val="22"/>
        </w:rPr>
        <w:t>1</w:t>
      </w:r>
      <w:r>
        <w:rPr>
          <w:rFonts w:ascii="Arial Narrow" w:hAnsi="Arial Narrow"/>
          <w:sz w:val="22"/>
          <w:szCs w:val="22"/>
        </w:rPr>
        <w:t>28</w:t>
      </w:r>
      <w:r w:rsidRPr="00A849AE">
        <w:rPr>
          <w:rFonts w:ascii="Arial Narrow" w:hAnsi="Arial Narrow"/>
          <w:sz w:val="22"/>
          <w:szCs w:val="22"/>
        </w:rPr>
        <w:t xml:space="preserve"> miles que corresponde a disminución por la amortización de la deud</w:t>
      </w:r>
      <w:r>
        <w:rPr>
          <w:rFonts w:ascii="Arial Narrow" w:hAnsi="Arial Narrow"/>
          <w:sz w:val="22"/>
          <w:szCs w:val="22"/>
        </w:rPr>
        <w:t xml:space="preserve">a en la vigencia 2015 por valor $-48.015.736 miles  y el incremento en los </w:t>
      </w:r>
      <w:r w:rsidRPr="00A849AE">
        <w:rPr>
          <w:rFonts w:ascii="Arial Narrow" w:hAnsi="Arial Narrow"/>
          <w:sz w:val="22"/>
          <w:szCs w:val="22"/>
        </w:rPr>
        <w:t xml:space="preserve"> nuevos acuerdo de pago celebrados con el Ministerio de Hacie</w:t>
      </w:r>
      <w:r>
        <w:rPr>
          <w:rFonts w:ascii="Arial Narrow" w:hAnsi="Arial Narrow"/>
          <w:sz w:val="22"/>
          <w:szCs w:val="22"/>
        </w:rPr>
        <w:t>nda y Crédito Público en el 2015 por valor de $ 138.557.862</w:t>
      </w:r>
      <w:r w:rsidRPr="00A849AE">
        <w:rPr>
          <w:rFonts w:ascii="Arial Narrow" w:hAnsi="Arial Narrow"/>
          <w:sz w:val="22"/>
          <w:szCs w:val="22"/>
        </w:rPr>
        <w:t xml:space="preserve"> miles.</w:t>
      </w:r>
    </w:p>
    <w:p w:rsidR="002A230A" w:rsidRDefault="002A230A" w:rsidP="008D7F43">
      <w:pPr>
        <w:pStyle w:val="Ttulo9"/>
        <w:tabs>
          <w:tab w:val="clear" w:pos="0"/>
        </w:tabs>
        <w:spacing w:line="240" w:lineRule="auto"/>
        <w:rPr>
          <w:rFonts w:ascii="Arial Narrow" w:hAnsi="Arial Narrow" w:cs="Gisha"/>
          <w:sz w:val="22"/>
          <w:szCs w:val="22"/>
        </w:rPr>
      </w:pPr>
    </w:p>
    <w:p w:rsidR="008D7F43" w:rsidRPr="005B2A57" w:rsidRDefault="008D7F43" w:rsidP="008D7F43">
      <w:pPr>
        <w:pStyle w:val="Ttulo9"/>
        <w:tabs>
          <w:tab w:val="clear" w:pos="0"/>
        </w:tabs>
        <w:spacing w:line="240" w:lineRule="auto"/>
        <w:rPr>
          <w:rFonts w:ascii="Arial Narrow" w:hAnsi="Arial Narrow" w:cs="Gisha"/>
          <w:sz w:val="22"/>
          <w:szCs w:val="22"/>
        </w:rPr>
      </w:pPr>
      <w:r w:rsidRPr="005B2A57">
        <w:rPr>
          <w:rFonts w:ascii="Arial Narrow" w:hAnsi="Arial Narrow" w:cs="Gisha"/>
          <w:sz w:val="22"/>
          <w:szCs w:val="22"/>
        </w:rPr>
        <w:t xml:space="preserve">NOTA   </w:t>
      </w:r>
      <w:r w:rsidR="00D75EC8">
        <w:rPr>
          <w:rFonts w:ascii="Arial Narrow" w:hAnsi="Arial Narrow" w:cs="Gisha"/>
          <w:sz w:val="22"/>
          <w:szCs w:val="22"/>
        </w:rPr>
        <w:t>7</w:t>
      </w:r>
      <w:r w:rsidRPr="005B2A57">
        <w:rPr>
          <w:rFonts w:ascii="Arial Narrow" w:hAnsi="Arial Narrow" w:cs="Gisha"/>
          <w:sz w:val="22"/>
          <w:szCs w:val="22"/>
        </w:rPr>
        <w:t>.       CUENTAS POR PAGAR</w:t>
      </w:r>
    </w:p>
    <w:p w:rsidR="008D7F43" w:rsidRDefault="008D7F43" w:rsidP="008D7F43">
      <w:pPr>
        <w:rPr>
          <w:rFonts w:ascii="Arial Narrow" w:hAnsi="Arial Narrow" w:cs="Gisha"/>
          <w:sz w:val="22"/>
          <w:szCs w:val="22"/>
        </w:rPr>
      </w:pPr>
    </w:p>
    <w:p w:rsidR="008D7F43" w:rsidRDefault="008D7F43" w:rsidP="008D7F43">
      <w:pPr>
        <w:pStyle w:val="Textoindependiente2"/>
        <w:rPr>
          <w:rFonts w:ascii="Arial Narrow" w:hAnsi="Arial Narrow" w:cs="Gisha"/>
          <w:b w:val="0"/>
          <w:bCs w:val="0"/>
          <w:color w:val="auto"/>
          <w:sz w:val="22"/>
          <w:szCs w:val="22"/>
        </w:rPr>
      </w:pPr>
      <w:r w:rsidRPr="005646CB">
        <w:rPr>
          <w:rFonts w:ascii="Arial Narrow" w:hAnsi="Arial Narrow" w:cs="Gisha"/>
          <w:b w:val="0"/>
          <w:bCs w:val="0"/>
          <w:color w:val="auto"/>
          <w:sz w:val="22"/>
          <w:szCs w:val="22"/>
        </w:rPr>
        <w:t>El saldo está constituido por las obligaciones adquiridas por la Agencia Nacional de Infraestructura, al cierre del período con</w:t>
      </w:r>
      <w:r>
        <w:rPr>
          <w:rFonts w:ascii="Arial Narrow" w:hAnsi="Arial Narrow" w:cs="Gisha"/>
          <w:b w:val="0"/>
          <w:bCs w:val="0"/>
          <w:color w:val="auto"/>
          <w:sz w:val="22"/>
          <w:szCs w:val="22"/>
        </w:rPr>
        <w:t>table el saldo comparativo (2015-2014</w:t>
      </w:r>
      <w:r w:rsidRPr="005646CB">
        <w:rPr>
          <w:rFonts w:ascii="Arial Narrow" w:hAnsi="Arial Narrow" w:cs="Gisha"/>
          <w:b w:val="0"/>
          <w:bCs w:val="0"/>
          <w:color w:val="auto"/>
          <w:sz w:val="22"/>
          <w:szCs w:val="22"/>
        </w:rPr>
        <w:t>) está conformado así:</w:t>
      </w:r>
    </w:p>
    <w:tbl>
      <w:tblPr>
        <w:tblW w:w="8200" w:type="dxa"/>
        <w:tblInd w:w="567" w:type="dxa"/>
        <w:tblCellMar>
          <w:left w:w="70" w:type="dxa"/>
          <w:right w:w="70" w:type="dxa"/>
        </w:tblCellMar>
        <w:tblLook w:val="04A0" w:firstRow="1" w:lastRow="0" w:firstColumn="1" w:lastColumn="0" w:noHBand="0" w:noVBand="1"/>
      </w:tblPr>
      <w:tblGrid>
        <w:gridCol w:w="220"/>
        <w:gridCol w:w="5180"/>
        <w:gridCol w:w="1260"/>
        <w:gridCol w:w="1320"/>
        <w:gridCol w:w="220"/>
      </w:tblGrid>
      <w:tr w:rsidR="008D7F43" w:rsidRPr="004F2CEF" w:rsidTr="00845C0C">
        <w:trPr>
          <w:trHeight w:val="255"/>
        </w:trPr>
        <w:tc>
          <w:tcPr>
            <w:tcW w:w="220" w:type="dxa"/>
            <w:tcBorders>
              <w:top w:val="nil"/>
              <w:left w:val="nil"/>
              <w:bottom w:val="nil"/>
              <w:right w:val="nil"/>
            </w:tcBorders>
            <w:shd w:val="clear" w:color="000000" w:fill="FFFFFF"/>
            <w:noWrap/>
            <w:vAlign w:val="bottom"/>
            <w:hideMark/>
          </w:tcPr>
          <w:p w:rsidR="008D7F43" w:rsidRPr="004F2CEF" w:rsidRDefault="008D7F43" w:rsidP="0081765C">
            <w:pPr>
              <w:rPr>
                <w:rFonts w:ascii="Arial" w:hAnsi="Arial" w:cs="Arial"/>
                <w:color w:val="000000"/>
                <w:sz w:val="20"/>
                <w:szCs w:val="20"/>
                <w:lang w:val="es-CO" w:eastAsia="es-CO"/>
              </w:rPr>
            </w:pPr>
          </w:p>
        </w:tc>
        <w:tc>
          <w:tcPr>
            <w:tcW w:w="5180" w:type="dxa"/>
            <w:tcBorders>
              <w:top w:val="nil"/>
              <w:left w:val="nil"/>
              <w:bottom w:val="nil"/>
              <w:right w:val="nil"/>
            </w:tcBorders>
            <w:shd w:val="clear" w:color="000000" w:fill="FFFFFF"/>
            <w:noWrap/>
            <w:vAlign w:val="bottom"/>
            <w:hideMark/>
          </w:tcPr>
          <w:p w:rsidR="008D7F43" w:rsidRPr="004F2CEF" w:rsidRDefault="008D7F43" w:rsidP="0081765C">
            <w:pPr>
              <w:rPr>
                <w:rFonts w:ascii="Arial" w:hAnsi="Arial" w:cs="Arial"/>
                <w:color w:val="000000"/>
                <w:sz w:val="20"/>
                <w:szCs w:val="20"/>
                <w:lang w:val="es-CO" w:eastAsia="es-CO"/>
              </w:rPr>
            </w:pPr>
            <w:r w:rsidRPr="004F2CEF">
              <w:rPr>
                <w:rFonts w:ascii="Arial" w:hAnsi="Arial" w:cs="Arial"/>
                <w:color w:val="000000"/>
                <w:sz w:val="20"/>
                <w:szCs w:val="20"/>
                <w:lang w:val="es-CO" w:eastAsia="es-CO"/>
              </w:rPr>
              <w:t> </w:t>
            </w:r>
          </w:p>
        </w:tc>
        <w:tc>
          <w:tcPr>
            <w:tcW w:w="1260" w:type="dxa"/>
            <w:tcBorders>
              <w:top w:val="nil"/>
              <w:left w:val="nil"/>
              <w:bottom w:val="nil"/>
              <w:right w:val="nil"/>
            </w:tcBorders>
            <w:shd w:val="clear" w:color="000000" w:fill="FFFFFF"/>
            <w:noWrap/>
            <w:vAlign w:val="bottom"/>
            <w:hideMark/>
          </w:tcPr>
          <w:p w:rsidR="008D7F43" w:rsidRPr="004F2CEF" w:rsidRDefault="008D7F43" w:rsidP="0081765C">
            <w:pPr>
              <w:rPr>
                <w:rFonts w:ascii="Arial" w:hAnsi="Arial" w:cs="Arial"/>
                <w:color w:val="000000"/>
                <w:sz w:val="20"/>
                <w:szCs w:val="20"/>
                <w:lang w:val="es-CO" w:eastAsia="es-CO"/>
              </w:rPr>
            </w:pPr>
            <w:r w:rsidRPr="004F2CEF">
              <w:rPr>
                <w:rFonts w:ascii="Arial" w:hAnsi="Arial" w:cs="Arial"/>
                <w:color w:val="000000"/>
                <w:sz w:val="20"/>
                <w:szCs w:val="20"/>
                <w:lang w:val="es-CO" w:eastAsia="es-CO"/>
              </w:rPr>
              <w:t> </w:t>
            </w:r>
          </w:p>
        </w:tc>
        <w:tc>
          <w:tcPr>
            <w:tcW w:w="1320" w:type="dxa"/>
            <w:tcBorders>
              <w:top w:val="nil"/>
              <w:left w:val="nil"/>
              <w:bottom w:val="nil"/>
              <w:right w:val="nil"/>
            </w:tcBorders>
            <w:shd w:val="clear" w:color="000000" w:fill="FFFFFF"/>
            <w:noWrap/>
            <w:vAlign w:val="bottom"/>
            <w:hideMark/>
          </w:tcPr>
          <w:p w:rsidR="008D7F43" w:rsidRPr="004F2CEF" w:rsidRDefault="008D7F43" w:rsidP="0081765C">
            <w:pPr>
              <w:rPr>
                <w:rFonts w:ascii="Arial" w:hAnsi="Arial" w:cs="Arial"/>
                <w:color w:val="000000"/>
                <w:sz w:val="20"/>
                <w:szCs w:val="20"/>
                <w:lang w:val="es-CO" w:eastAsia="es-CO"/>
              </w:rPr>
            </w:pPr>
            <w:r w:rsidRPr="004F2CEF">
              <w:rPr>
                <w:rFonts w:ascii="Arial" w:hAnsi="Arial" w:cs="Arial"/>
                <w:color w:val="000000"/>
                <w:sz w:val="20"/>
                <w:szCs w:val="20"/>
                <w:lang w:val="es-CO" w:eastAsia="es-CO"/>
              </w:rPr>
              <w:t> </w:t>
            </w:r>
          </w:p>
        </w:tc>
        <w:tc>
          <w:tcPr>
            <w:tcW w:w="220" w:type="dxa"/>
            <w:tcBorders>
              <w:top w:val="nil"/>
              <w:left w:val="nil"/>
              <w:bottom w:val="nil"/>
              <w:right w:val="nil"/>
            </w:tcBorders>
            <w:shd w:val="clear" w:color="000000" w:fill="FFFFFF"/>
            <w:noWrap/>
            <w:vAlign w:val="bottom"/>
            <w:hideMark/>
          </w:tcPr>
          <w:p w:rsidR="008D7F43" w:rsidRPr="004F2CEF" w:rsidRDefault="008D7F43" w:rsidP="0081765C">
            <w:pPr>
              <w:rPr>
                <w:rFonts w:ascii="Arial" w:hAnsi="Arial" w:cs="Arial"/>
                <w:color w:val="000000"/>
                <w:sz w:val="20"/>
                <w:szCs w:val="20"/>
                <w:lang w:val="es-CO" w:eastAsia="es-CO"/>
              </w:rPr>
            </w:pPr>
            <w:r w:rsidRPr="004F2CEF">
              <w:rPr>
                <w:rFonts w:ascii="Arial" w:hAnsi="Arial" w:cs="Arial"/>
                <w:color w:val="000000"/>
                <w:sz w:val="20"/>
                <w:szCs w:val="20"/>
                <w:lang w:val="es-CO" w:eastAsia="es-CO"/>
              </w:rPr>
              <w:t> </w:t>
            </w:r>
          </w:p>
        </w:tc>
      </w:tr>
      <w:tr w:rsidR="008D7F43" w:rsidRPr="004F2CEF" w:rsidTr="00845C0C">
        <w:trPr>
          <w:trHeight w:val="270"/>
        </w:trPr>
        <w:tc>
          <w:tcPr>
            <w:tcW w:w="220" w:type="dxa"/>
            <w:tcBorders>
              <w:top w:val="nil"/>
              <w:left w:val="nil"/>
              <w:bottom w:val="nil"/>
              <w:right w:val="nil"/>
            </w:tcBorders>
            <w:shd w:val="clear" w:color="000000" w:fill="FFFFFF"/>
            <w:noWrap/>
            <w:vAlign w:val="bottom"/>
            <w:hideMark/>
          </w:tcPr>
          <w:p w:rsidR="008D7F43" w:rsidRPr="004F2CEF" w:rsidRDefault="008D7F43" w:rsidP="0081765C">
            <w:pPr>
              <w:rPr>
                <w:rFonts w:ascii="Arial" w:hAnsi="Arial" w:cs="Arial"/>
                <w:color w:val="000000"/>
                <w:sz w:val="20"/>
                <w:szCs w:val="20"/>
                <w:lang w:val="es-CO" w:eastAsia="es-CO"/>
              </w:rPr>
            </w:pPr>
            <w:r w:rsidRPr="004F2CEF">
              <w:rPr>
                <w:rFonts w:ascii="Arial" w:hAnsi="Arial" w:cs="Arial"/>
                <w:color w:val="000000"/>
                <w:sz w:val="20"/>
                <w:szCs w:val="20"/>
                <w:lang w:val="es-CO" w:eastAsia="es-CO"/>
              </w:rPr>
              <w:t> </w:t>
            </w:r>
          </w:p>
        </w:tc>
        <w:tc>
          <w:tcPr>
            <w:tcW w:w="5180" w:type="dxa"/>
            <w:tcBorders>
              <w:top w:val="double" w:sz="6" w:space="0" w:color="auto"/>
              <w:left w:val="double" w:sz="6" w:space="0" w:color="auto"/>
              <w:bottom w:val="double" w:sz="6" w:space="0" w:color="auto"/>
              <w:right w:val="nil"/>
            </w:tcBorders>
            <w:shd w:val="clear" w:color="000000" w:fill="FFFFFF"/>
            <w:noWrap/>
            <w:vAlign w:val="bottom"/>
            <w:hideMark/>
          </w:tcPr>
          <w:p w:rsidR="008D7F43" w:rsidRPr="004F2CEF" w:rsidRDefault="008D7F43" w:rsidP="0081765C">
            <w:pPr>
              <w:jc w:val="center"/>
              <w:rPr>
                <w:rFonts w:ascii="Arial" w:hAnsi="Arial" w:cs="Arial"/>
                <w:b/>
                <w:bCs/>
                <w:color w:val="000000"/>
                <w:sz w:val="20"/>
                <w:szCs w:val="20"/>
                <w:lang w:val="es-CO" w:eastAsia="es-CO"/>
              </w:rPr>
            </w:pPr>
            <w:r w:rsidRPr="004F2CEF">
              <w:rPr>
                <w:rFonts w:ascii="Arial" w:hAnsi="Arial" w:cs="Arial"/>
                <w:b/>
                <w:bCs/>
                <w:color w:val="000000"/>
                <w:sz w:val="20"/>
                <w:szCs w:val="20"/>
                <w:lang w:val="es-CO" w:eastAsia="es-CO"/>
              </w:rPr>
              <w:t>CUENTA</w:t>
            </w:r>
          </w:p>
        </w:tc>
        <w:tc>
          <w:tcPr>
            <w:tcW w:w="126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rsidR="008D7F43" w:rsidRPr="004F2CEF" w:rsidRDefault="008D7F43" w:rsidP="0081765C">
            <w:pPr>
              <w:jc w:val="center"/>
              <w:rPr>
                <w:rFonts w:ascii="Arial" w:hAnsi="Arial" w:cs="Arial"/>
                <w:b/>
                <w:bCs/>
                <w:color w:val="000000"/>
                <w:sz w:val="20"/>
                <w:szCs w:val="20"/>
                <w:lang w:val="es-CO" w:eastAsia="es-CO"/>
              </w:rPr>
            </w:pPr>
            <w:r w:rsidRPr="004F2CEF">
              <w:rPr>
                <w:rFonts w:ascii="Arial" w:hAnsi="Arial" w:cs="Arial"/>
                <w:b/>
                <w:bCs/>
                <w:color w:val="000000"/>
                <w:sz w:val="20"/>
                <w:szCs w:val="20"/>
                <w:lang w:val="es-CO" w:eastAsia="es-CO"/>
              </w:rPr>
              <w:t>dic-15</w:t>
            </w:r>
          </w:p>
        </w:tc>
        <w:tc>
          <w:tcPr>
            <w:tcW w:w="1320" w:type="dxa"/>
            <w:tcBorders>
              <w:top w:val="double" w:sz="6" w:space="0" w:color="auto"/>
              <w:left w:val="nil"/>
              <w:bottom w:val="double" w:sz="6" w:space="0" w:color="auto"/>
              <w:right w:val="double" w:sz="6" w:space="0" w:color="auto"/>
            </w:tcBorders>
            <w:shd w:val="clear" w:color="000000" w:fill="FFFFFF"/>
            <w:noWrap/>
            <w:vAlign w:val="bottom"/>
            <w:hideMark/>
          </w:tcPr>
          <w:p w:rsidR="008D7F43" w:rsidRPr="004F2CEF" w:rsidRDefault="008D7F43" w:rsidP="0081765C">
            <w:pPr>
              <w:jc w:val="center"/>
              <w:rPr>
                <w:rFonts w:ascii="Arial" w:hAnsi="Arial" w:cs="Arial"/>
                <w:b/>
                <w:bCs/>
                <w:color w:val="000000"/>
                <w:sz w:val="20"/>
                <w:szCs w:val="20"/>
                <w:lang w:val="es-CO" w:eastAsia="es-CO"/>
              </w:rPr>
            </w:pPr>
            <w:r w:rsidRPr="004F2CEF">
              <w:rPr>
                <w:rFonts w:ascii="Arial" w:hAnsi="Arial" w:cs="Arial"/>
                <w:b/>
                <w:bCs/>
                <w:color w:val="000000"/>
                <w:sz w:val="20"/>
                <w:szCs w:val="20"/>
                <w:lang w:val="es-CO" w:eastAsia="es-CO"/>
              </w:rPr>
              <w:t>dic-14</w:t>
            </w:r>
          </w:p>
        </w:tc>
        <w:tc>
          <w:tcPr>
            <w:tcW w:w="220" w:type="dxa"/>
            <w:tcBorders>
              <w:top w:val="nil"/>
              <w:left w:val="nil"/>
              <w:bottom w:val="nil"/>
              <w:right w:val="nil"/>
            </w:tcBorders>
            <w:shd w:val="clear" w:color="000000" w:fill="FFFFFF"/>
            <w:noWrap/>
            <w:vAlign w:val="bottom"/>
            <w:hideMark/>
          </w:tcPr>
          <w:p w:rsidR="008D7F43" w:rsidRPr="004F2CEF" w:rsidRDefault="008D7F43" w:rsidP="0081765C">
            <w:pPr>
              <w:rPr>
                <w:rFonts w:ascii="Arial" w:hAnsi="Arial" w:cs="Arial"/>
                <w:color w:val="000000"/>
                <w:sz w:val="20"/>
                <w:szCs w:val="20"/>
                <w:lang w:val="es-CO" w:eastAsia="es-CO"/>
              </w:rPr>
            </w:pPr>
            <w:r w:rsidRPr="004F2CEF">
              <w:rPr>
                <w:rFonts w:ascii="Arial" w:hAnsi="Arial" w:cs="Arial"/>
                <w:color w:val="000000"/>
                <w:sz w:val="20"/>
                <w:szCs w:val="20"/>
                <w:lang w:val="es-CO" w:eastAsia="es-CO"/>
              </w:rPr>
              <w:t> </w:t>
            </w:r>
          </w:p>
        </w:tc>
      </w:tr>
      <w:tr w:rsidR="008D7F43" w:rsidRPr="004F2CEF" w:rsidTr="00845C0C">
        <w:trPr>
          <w:trHeight w:val="270"/>
        </w:trPr>
        <w:tc>
          <w:tcPr>
            <w:tcW w:w="220" w:type="dxa"/>
            <w:tcBorders>
              <w:top w:val="nil"/>
              <w:left w:val="nil"/>
              <w:bottom w:val="nil"/>
              <w:right w:val="nil"/>
            </w:tcBorders>
            <w:shd w:val="clear" w:color="000000" w:fill="FFFFFF"/>
            <w:noWrap/>
            <w:vAlign w:val="bottom"/>
            <w:hideMark/>
          </w:tcPr>
          <w:p w:rsidR="008D7F43" w:rsidRPr="004F2CEF" w:rsidRDefault="008D7F43" w:rsidP="0081765C">
            <w:pPr>
              <w:rPr>
                <w:rFonts w:ascii="Arial" w:hAnsi="Arial" w:cs="Arial"/>
                <w:color w:val="000000"/>
                <w:sz w:val="20"/>
                <w:szCs w:val="20"/>
                <w:lang w:val="es-CO" w:eastAsia="es-CO"/>
              </w:rPr>
            </w:pPr>
            <w:r w:rsidRPr="004F2CEF">
              <w:rPr>
                <w:rFonts w:ascii="Arial" w:hAnsi="Arial" w:cs="Arial"/>
                <w:color w:val="000000"/>
                <w:sz w:val="20"/>
                <w:szCs w:val="20"/>
                <w:lang w:val="es-CO" w:eastAsia="es-CO"/>
              </w:rPr>
              <w:t> </w:t>
            </w:r>
          </w:p>
        </w:tc>
        <w:tc>
          <w:tcPr>
            <w:tcW w:w="5180" w:type="dxa"/>
            <w:tcBorders>
              <w:top w:val="nil"/>
              <w:left w:val="double" w:sz="6" w:space="0" w:color="auto"/>
              <w:bottom w:val="nil"/>
              <w:right w:val="nil"/>
            </w:tcBorders>
            <w:shd w:val="clear" w:color="000000" w:fill="FFFFFF"/>
            <w:noWrap/>
            <w:vAlign w:val="bottom"/>
            <w:hideMark/>
          </w:tcPr>
          <w:p w:rsidR="008D7F43" w:rsidRPr="004F2CEF" w:rsidRDefault="008D7F43" w:rsidP="0081765C">
            <w:pPr>
              <w:rPr>
                <w:rFonts w:ascii="Arial" w:hAnsi="Arial" w:cs="Arial"/>
                <w:sz w:val="20"/>
                <w:szCs w:val="20"/>
                <w:lang w:val="es-CO" w:eastAsia="es-CO"/>
              </w:rPr>
            </w:pPr>
            <w:r w:rsidRPr="004F2CEF">
              <w:rPr>
                <w:rFonts w:ascii="Arial" w:hAnsi="Arial" w:cs="Arial"/>
                <w:sz w:val="20"/>
                <w:szCs w:val="20"/>
                <w:lang w:val="es-CO" w:eastAsia="es-CO"/>
              </w:rPr>
              <w:t>ADQUISICIÓN DE BIENES Y SERVICIOS NACIONALES</w:t>
            </w:r>
          </w:p>
        </w:tc>
        <w:tc>
          <w:tcPr>
            <w:tcW w:w="1260" w:type="dxa"/>
            <w:tcBorders>
              <w:top w:val="nil"/>
              <w:left w:val="double" w:sz="6" w:space="0" w:color="auto"/>
              <w:bottom w:val="nil"/>
              <w:right w:val="double" w:sz="6" w:space="0" w:color="auto"/>
            </w:tcBorders>
            <w:shd w:val="clear" w:color="000000" w:fill="FFFFFF"/>
            <w:noWrap/>
            <w:vAlign w:val="bottom"/>
            <w:hideMark/>
          </w:tcPr>
          <w:p w:rsidR="008D7F43" w:rsidRPr="004F2CEF" w:rsidRDefault="008D7F43" w:rsidP="0081765C">
            <w:pPr>
              <w:jc w:val="right"/>
              <w:rPr>
                <w:rFonts w:ascii="Arial" w:hAnsi="Arial" w:cs="Arial"/>
                <w:sz w:val="20"/>
                <w:szCs w:val="20"/>
                <w:lang w:val="es-CO" w:eastAsia="es-CO"/>
              </w:rPr>
            </w:pPr>
            <w:r w:rsidRPr="004F2CEF">
              <w:rPr>
                <w:rFonts w:ascii="Arial" w:hAnsi="Arial" w:cs="Arial"/>
                <w:sz w:val="20"/>
                <w:szCs w:val="20"/>
                <w:lang w:val="es-CO" w:eastAsia="es-CO"/>
              </w:rPr>
              <w:t>351.808.317</w:t>
            </w:r>
          </w:p>
        </w:tc>
        <w:tc>
          <w:tcPr>
            <w:tcW w:w="1320" w:type="dxa"/>
            <w:tcBorders>
              <w:top w:val="nil"/>
              <w:left w:val="nil"/>
              <w:bottom w:val="nil"/>
              <w:right w:val="double" w:sz="6" w:space="0" w:color="auto"/>
            </w:tcBorders>
            <w:shd w:val="clear" w:color="000000" w:fill="FFFFFF"/>
            <w:noWrap/>
            <w:vAlign w:val="bottom"/>
            <w:hideMark/>
          </w:tcPr>
          <w:p w:rsidR="008D7F43" w:rsidRPr="004F2CEF" w:rsidRDefault="008D7F43" w:rsidP="0081765C">
            <w:pPr>
              <w:jc w:val="right"/>
              <w:rPr>
                <w:rFonts w:ascii="Arial" w:hAnsi="Arial" w:cs="Arial"/>
                <w:sz w:val="20"/>
                <w:szCs w:val="20"/>
                <w:lang w:val="es-CO" w:eastAsia="es-CO"/>
              </w:rPr>
            </w:pPr>
            <w:r w:rsidRPr="004F2CEF">
              <w:rPr>
                <w:rFonts w:ascii="Arial" w:hAnsi="Arial" w:cs="Arial"/>
                <w:sz w:val="20"/>
                <w:szCs w:val="20"/>
                <w:lang w:val="es-CO" w:eastAsia="es-CO"/>
              </w:rPr>
              <w:t>87.933.697</w:t>
            </w:r>
          </w:p>
        </w:tc>
        <w:tc>
          <w:tcPr>
            <w:tcW w:w="220" w:type="dxa"/>
            <w:tcBorders>
              <w:top w:val="nil"/>
              <w:left w:val="nil"/>
              <w:bottom w:val="nil"/>
              <w:right w:val="nil"/>
            </w:tcBorders>
            <w:shd w:val="clear" w:color="000000" w:fill="FFFFFF"/>
            <w:noWrap/>
            <w:vAlign w:val="bottom"/>
            <w:hideMark/>
          </w:tcPr>
          <w:p w:rsidR="008D7F43" w:rsidRPr="004F2CEF" w:rsidRDefault="008D7F43" w:rsidP="0081765C">
            <w:pPr>
              <w:rPr>
                <w:rFonts w:ascii="Arial" w:hAnsi="Arial" w:cs="Arial"/>
                <w:color w:val="000000"/>
                <w:sz w:val="20"/>
                <w:szCs w:val="20"/>
                <w:lang w:val="es-CO" w:eastAsia="es-CO"/>
              </w:rPr>
            </w:pPr>
            <w:r w:rsidRPr="004F2CEF">
              <w:rPr>
                <w:rFonts w:ascii="Arial" w:hAnsi="Arial" w:cs="Arial"/>
                <w:color w:val="000000"/>
                <w:sz w:val="20"/>
                <w:szCs w:val="20"/>
                <w:lang w:val="es-CO" w:eastAsia="es-CO"/>
              </w:rPr>
              <w:t> </w:t>
            </w:r>
          </w:p>
        </w:tc>
      </w:tr>
      <w:tr w:rsidR="008D7F43" w:rsidRPr="004F2CEF" w:rsidTr="00845C0C">
        <w:trPr>
          <w:trHeight w:val="255"/>
        </w:trPr>
        <w:tc>
          <w:tcPr>
            <w:tcW w:w="220" w:type="dxa"/>
            <w:tcBorders>
              <w:top w:val="nil"/>
              <w:left w:val="nil"/>
              <w:bottom w:val="nil"/>
              <w:right w:val="nil"/>
            </w:tcBorders>
            <w:shd w:val="clear" w:color="000000" w:fill="FFFFFF"/>
            <w:noWrap/>
            <w:vAlign w:val="bottom"/>
            <w:hideMark/>
          </w:tcPr>
          <w:p w:rsidR="008D7F43" w:rsidRPr="004F2CEF" w:rsidRDefault="008D7F43" w:rsidP="0081765C">
            <w:pPr>
              <w:rPr>
                <w:rFonts w:ascii="Arial" w:hAnsi="Arial" w:cs="Arial"/>
                <w:color w:val="000000"/>
                <w:sz w:val="20"/>
                <w:szCs w:val="20"/>
                <w:lang w:val="es-CO" w:eastAsia="es-CO"/>
              </w:rPr>
            </w:pPr>
            <w:r w:rsidRPr="004F2CEF">
              <w:rPr>
                <w:rFonts w:ascii="Arial" w:hAnsi="Arial" w:cs="Arial"/>
                <w:color w:val="000000"/>
                <w:sz w:val="20"/>
                <w:szCs w:val="20"/>
                <w:lang w:val="es-CO" w:eastAsia="es-CO"/>
              </w:rPr>
              <w:t> </w:t>
            </w:r>
          </w:p>
        </w:tc>
        <w:tc>
          <w:tcPr>
            <w:tcW w:w="5180" w:type="dxa"/>
            <w:tcBorders>
              <w:top w:val="nil"/>
              <w:left w:val="double" w:sz="6" w:space="0" w:color="auto"/>
              <w:bottom w:val="nil"/>
              <w:right w:val="nil"/>
            </w:tcBorders>
            <w:shd w:val="clear" w:color="000000" w:fill="FFFFFF"/>
            <w:noWrap/>
            <w:vAlign w:val="bottom"/>
            <w:hideMark/>
          </w:tcPr>
          <w:p w:rsidR="008D7F43" w:rsidRPr="004F2CEF" w:rsidRDefault="008D7F43" w:rsidP="0081765C">
            <w:pPr>
              <w:rPr>
                <w:rFonts w:ascii="Arial" w:hAnsi="Arial" w:cs="Arial"/>
                <w:sz w:val="20"/>
                <w:szCs w:val="20"/>
                <w:lang w:val="es-CO" w:eastAsia="es-CO"/>
              </w:rPr>
            </w:pPr>
            <w:r w:rsidRPr="004F2CEF">
              <w:rPr>
                <w:rFonts w:ascii="Arial" w:hAnsi="Arial" w:cs="Arial"/>
                <w:sz w:val="20"/>
                <w:szCs w:val="20"/>
                <w:lang w:val="es-CO" w:eastAsia="es-CO"/>
              </w:rPr>
              <w:t>ACREEDORES</w:t>
            </w:r>
          </w:p>
        </w:tc>
        <w:tc>
          <w:tcPr>
            <w:tcW w:w="1260" w:type="dxa"/>
            <w:tcBorders>
              <w:top w:val="nil"/>
              <w:left w:val="double" w:sz="6" w:space="0" w:color="auto"/>
              <w:bottom w:val="nil"/>
              <w:right w:val="double" w:sz="6" w:space="0" w:color="auto"/>
            </w:tcBorders>
            <w:shd w:val="clear" w:color="000000" w:fill="FFFFFF"/>
            <w:noWrap/>
            <w:vAlign w:val="bottom"/>
            <w:hideMark/>
          </w:tcPr>
          <w:p w:rsidR="008D7F43" w:rsidRPr="004F2CEF" w:rsidRDefault="008D7F43" w:rsidP="0081765C">
            <w:pPr>
              <w:jc w:val="right"/>
              <w:rPr>
                <w:rFonts w:ascii="Arial" w:hAnsi="Arial" w:cs="Arial"/>
                <w:sz w:val="20"/>
                <w:szCs w:val="20"/>
                <w:lang w:val="es-CO" w:eastAsia="es-CO"/>
              </w:rPr>
            </w:pPr>
            <w:r w:rsidRPr="004F2CEF">
              <w:rPr>
                <w:rFonts w:ascii="Arial" w:hAnsi="Arial" w:cs="Arial"/>
                <w:sz w:val="20"/>
                <w:szCs w:val="20"/>
                <w:lang w:val="es-CO" w:eastAsia="es-CO"/>
              </w:rPr>
              <w:t>491.135</w:t>
            </w:r>
          </w:p>
        </w:tc>
        <w:tc>
          <w:tcPr>
            <w:tcW w:w="1320" w:type="dxa"/>
            <w:tcBorders>
              <w:top w:val="nil"/>
              <w:left w:val="nil"/>
              <w:bottom w:val="nil"/>
              <w:right w:val="double" w:sz="6" w:space="0" w:color="auto"/>
            </w:tcBorders>
            <w:shd w:val="clear" w:color="000000" w:fill="FFFFFF"/>
            <w:noWrap/>
            <w:vAlign w:val="bottom"/>
            <w:hideMark/>
          </w:tcPr>
          <w:p w:rsidR="008D7F43" w:rsidRPr="004F2CEF" w:rsidRDefault="008D7F43" w:rsidP="0081765C">
            <w:pPr>
              <w:jc w:val="right"/>
              <w:rPr>
                <w:rFonts w:ascii="Arial" w:hAnsi="Arial" w:cs="Arial"/>
                <w:sz w:val="20"/>
                <w:szCs w:val="20"/>
                <w:lang w:val="es-CO" w:eastAsia="es-CO"/>
              </w:rPr>
            </w:pPr>
            <w:r w:rsidRPr="004F2CEF">
              <w:rPr>
                <w:rFonts w:ascii="Arial" w:hAnsi="Arial" w:cs="Arial"/>
                <w:sz w:val="20"/>
                <w:szCs w:val="20"/>
                <w:lang w:val="es-CO" w:eastAsia="es-CO"/>
              </w:rPr>
              <w:t>622.861</w:t>
            </w:r>
          </w:p>
        </w:tc>
        <w:tc>
          <w:tcPr>
            <w:tcW w:w="220" w:type="dxa"/>
            <w:tcBorders>
              <w:top w:val="nil"/>
              <w:left w:val="nil"/>
              <w:bottom w:val="nil"/>
              <w:right w:val="nil"/>
            </w:tcBorders>
            <w:shd w:val="clear" w:color="000000" w:fill="FFFFFF"/>
            <w:noWrap/>
            <w:vAlign w:val="bottom"/>
            <w:hideMark/>
          </w:tcPr>
          <w:p w:rsidR="008D7F43" w:rsidRPr="004F2CEF" w:rsidRDefault="008D7F43" w:rsidP="0081765C">
            <w:pPr>
              <w:rPr>
                <w:rFonts w:ascii="Arial" w:hAnsi="Arial" w:cs="Arial"/>
                <w:color w:val="000000"/>
                <w:sz w:val="20"/>
                <w:szCs w:val="20"/>
                <w:lang w:val="es-CO" w:eastAsia="es-CO"/>
              </w:rPr>
            </w:pPr>
            <w:r w:rsidRPr="004F2CEF">
              <w:rPr>
                <w:rFonts w:ascii="Arial" w:hAnsi="Arial" w:cs="Arial"/>
                <w:color w:val="000000"/>
                <w:sz w:val="20"/>
                <w:szCs w:val="20"/>
                <w:lang w:val="es-CO" w:eastAsia="es-CO"/>
              </w:rPr>
              <w:t> </w:t>
            </w:r>
          </w:p>
        </w:tc>
      </w:tr>
      <w:tr w:rsidR="008D7F43" w:rsidRPr="004F2CEF" w:rsidTr="00845C0C">
        <w:trPr>
          <w:trHeight w:val="255"/>
        </w:trPr>
        <w:tc>
          <w:tcPr>
            <w:tcW w:w="220" w:type="dxa"/>
            <w:tcBorders>
              <w:top w:val="nil"/>
              <w:left w:val="nil"/>
              <w:bottom w:val="nil"/>
              <w:right w:val="nil"/>
            </w:tcBorders>
            <w:shd w:val="clear" w:color="000000" w:fill="FFFFFF"/>
            <w:noWrap/>
            <w:vAlign w:val="bottom"/>
            <w:hideMark/>
          </w:tcPr>
          <w:p w:rsidR="008D7F43" w:rsidRPr="004F2CEF" w:rsidRDefault="008D7F43" w:rsidP="0081765C">
            <w:pPr>
              <w:rPr>
                <w:rFonts w:ascii="Arial" w:hAnsi="Arial" w:cs="Arial"/>
                <w:color w:val="000000"/>
                <w:sz w:val="20"/>
                <w:szCs w:val="20"/>
                <w:lang w:val="es-CO" w:eastAsia="es-CO"/>
              </w:rPr>
            </w:pPr>
            <w:r w:rsidRPr="004F2CEF">
              <w:rPr>
                <w:rFonts w:ascii="Arial" w:hAnsi="Arial" w:cs="Arial"/>
                <w:color w:val="000000"/>
                <w:sz w:val="20"/>
                <w:szCs w:val="20"/>
                <w:lang w:val="es-CO" w:eastAsia="es-CO"/>
              </w:rPr>
              <w:t> </w:t>
            </w:r>
          </w:p>
        </w:tc>
        <w:tc>
          <w:tcPr>
            <w:tcW w:w="5180" w:type="dxa"/>
            <w:tcBorders>
              <w:top w:val="nil"/>
              <w:left w:val="double" w:sz="6" w:space="0" w:color="auto"/>
              <w:bottom w:val="nil"/>
              <w:right w:val="nil"/>
            </w:tcBorders>
            <w:shd w:val="clear" w:color="000000" w:fill="FFFFFF"/>
            <w:vAlign w:val="center"/>
            <w:hideMark/>
          </w:tcPr>
          <w:p w:rsidR="008D7F43" w:rsidRPr="004F2CEF" w:rsidRDefault="008D7F43" w:rsidP="0081765C">
            <w:pPr>
              <w:rPr>
                <w:rFonts w:ascii="Arial" w:hAnsi="Arial" w:cs="Arial"/>
                <w:sz w:val="20"/>
                <w:szCs w:val="20"/>
                <w:lang w:val="es-CO" w:eastAsia="es-CO"/>
              </w:rPr>
            </w:pPr>
            <w:r w:rsidRPr="004F2CEF">
              <w:rPr>
                <w:rFonts w:ascii="Arial" w:hAnsi="Arial" w:cs="Arial"/>
                <w:sz w:val="20"/>
                <w:szCs w:val="20"/>
                <w:lang w:val="es-CO" w:eastAsia="es-CO"/>
              </w:rPr>
              <w:t>RETENCIÓN EN LA FUENTE E IMPUESTO DE TIMBRE</w:t>
            </w:r>
          </w:p>
        </w:tc>
        <w:tc>
          <w:tcPr>
            <w:tcW w:w="1260" w:type="dxa"/>
            <w:tcBorders>
              <w:top w:val="nil"/>
              <w:left w:val="double" w:sz="6" w:space="0" w:color="auto"/>
              <w:bottom w:val="nil"/>
              <w:right w:val="double" w:sz="6" w:space="0" w:color="auto"/>
            </w:tcBorders>
            <w:shd w:val="clear" w:color="000000" w:fill="FFFFFF"/>
            <w:noWrap/>
            <w:vAlign w:val="bottom"/>
            <w:hideMark/>
          </w:tcPr>
          <w:p w:rsidR="008D7F43" w:rsidRPr="004F2CEF" w:rsidRDefault="008D7F43" w:rsidP="0081765C">
            <w:pPr>
              <w:jc w:val="right"/>
              <w:rPr>
                <w:rFonts w:ascii="Arial" w:hAnsi="Arial" w:cs="Arial"/>
                <w:sz w:val="20"/>
                <w:szCs w:val="20"/>
                <w:lang w:val="es-CO" w:eastAsia="es-CO"/>
              </w:rPr>
            </w:pPr>
            <w:r w:rsidRPr="004F2CEF">
              <w:rPr>
                <w:rFonts w:ascii="Arial" w:hAnsi="Arial" w:cs="Arial"/>
                <w:sz w:val="20"/>
                <w:szCs w:val="20"/>
                <w:lang w:val="es-CO" w:eastAsia="es-CO"/>
              </w:rPr>
              <w:t>3.477.456</w:t>
            </w:r>
          </w:p>
        </w:tc>
        <w:tc>
          <w:tcPr>
            <w:tcW w:w="1320" w:type="dxa"/>
            <w:tcBorders>
              <w:top w:val="nil"/>
              <w:left w:val="nil"/>
              <w:bottom w:val="nil"/>
              <w:right w:val="double" w:sz="6" w:space="0" w:color="auto"/>
            </w:tcBorders>
            <w:shd w:val="clear" w:color="000000" w:fill="FFFFFF"/>
            <w:noWrap/>
            <w:vAlign w:val="bottom"/>
            <w:hideMark/>
          </w:tcPr>
          <w:p w:rsidR="008D7F43" w:rsidRPr="004F2CEF" w:rsidRDefault="008D7F43" w:rsidP="0081765C">
            <w:pPr>
              <w:jc w:val="right"/>
              <w:rPr>
                <w:rFonts w:ascii="Arial" w:hAnsi="Arial" w:cs="Arial"/>
                <w:sz w:val="20"/>
                <w:szCs w:val="20"/>
                <w:lang w:val="es-CO" w:eastAsia="es-CO"/>
              </w:rPr>
            </w:pPr>
            <w:r w:rsidRPr="004F2CEF">
              <w:rPr>
                <w:rFonts w:ascii="Arial" w:hAnsi="Arial" w:cs="Arial"/>
                <w:sz w:val="20"/>
                <w:szCs w:val="20"/>
                <w:lang w:val="es-CO" w:eastAsia="es-CO"/>
              </w:rPr>
              <w:t>2.762.112</w:t>
            </w:r>
          </w:p>
        </w:tc>
        <w:tc>
          <w:tcPr>
            <w:tcW w:w="220" w:type="dxa"/>
            <w:tcBorders>
              <w:top w:val="nil"/>
              <w:left w:val="nil"/>
              <w:bottom w:val="nil"/>
              <w:right w:val="nil"/>
            </w:tcBorders>
            <w:shd w:val="clear" w:color="000000" w:fill="FFFFFF"/>
            <w:noWrap/>
            <w:vAlign w:val="bottom"/>
            <w:hideMark/>
          </w:tcPr>
          <w:p w:rsidR="008D7F43" w:rsidRPr="004F2CEF" w:rsidRDefault="008D7F43" w:rsidP="0081765C">
            <w:pPr>
              <w:rPr>
                <w:rFonts w:ascii="Arial" w:hAnsi="Arial" w:cs="Arial"/>
                <w:color w:val="000000"/>
                <w:sz w:val="20"/>
                <w:szCs w:val="20"/>
                <w:lang w:val="es-CO" w:eastAsia="es-CO"/>
              </w:rPr>
            </w:pPr>
            <w:r w:rsidRPr="004F2CEF">
              <w:rPr>
                <w:rFonts w:ascii="Arial" w:hAnsi="Arial" w:cs="Arial"/>
                <w:color w:val="000000"/>
                <w:sz w:val="20"/>
                <w:szCs w:val="20"/>
                <w:lang w:val="es-CO" w:eastAsia="es-CO"/>
              </w:rPr>
              <w:t> </w:t>
            </w:r>
          </w:p>
        </w:tc>
      </w:tr>
      <w:tr w:rsidR="008D7F43" w:rsidRPr="004F2CEF" w:rsidTr="00845C0C">
        <w:trPr>
          <w:trHeight w:val="255"/>
        </w:trPr>
        <w:tc>
          <w:tcPr>
            <w:tcW w:w="220" w:type="dxa"/>
            <w:tcBorders>
              <w:top w:val="nil"/>
              <w:left w:val="nil"/>
              <w:bottom w:val="nil"/>
              <w:right w:val="nil"/>
            </w:tcBorders>
            <w:shd w:val="clear" w:color="000000" w:fill="FFFFFF"/>
            <w:noWrap/>
            <w:vAlign w:val="bottom"/>
            <w:hideMark/>
          </w:tcPr>
          <w:p w:rsidR="008D7F43" w:rsidRPr="004F2CEF" w:rsidRDefault="008D7F43" w:rsidP="0081765C">
            <w:pPr>
              <w:rPr>
                <w:rFonts w:ascii="Arial" w:hAnsi="Arial" w:cs="Arial"/>
                <w:color w:val="000000"/>
                <w:sz w:val="20"/>
                <w:szCs w:val="20"/>
                <w:lang w:val="es-CO" w:eastAsia="es-CO"/>
              </w:rPr>
            </w:pPr>
            <w:r w:rsidRPr="004F2CEF">
              <w:rPr>
                <w:rFonts w:ascii="Arial" w:hAnsi="Arial" w:cs="Arial"/>
                <w:color w:val="000000"/>
                <w:sz w:val="20"/>
                <w:szCs w:val="20"/>
                <w:lang w:val="es-CO" w:eastAsia="es-CO"/>
              </w:rPr>
              <w:t> </w:t>
            </w:r>
          </w:p>
        </w:tc>
        <w:tc>
          <w:tcPr>
            <w:tcW w:w="5180" w:type="dxa"/>
            <w:tcBorders>
              <w:top w:val="nil"/>
              <w:left w:val="double" w:sz="6" w:space="0" w:color="auto"/>
              <w:bottom w:val="nil"/>
              <w:right w:val="nil"/>
            </w:tcBorders>
            <w:shd w:val="clear" w:color="000000" w:fill="FFFFFF"/>
            <w:vAlign w:val="center"/>
            <w:hideMark/>
          </w:tcPr>
          <w:p w:rsidR="008D7F43" w:rsidRPr="004F2CEF" w:rsidRDefault="008D7F43" w:rsidP="0081765C">
            <w:pPr>
              <w:rPr>
                <w:rFonts w:ascii="Arial" w:hAnsi="Arial" w:cs="Arial"/>
                <w:sz w:val="20"/>
                <w:szCs w:val="20"/>
                <w:lang w:val="es-CO" w:eastAsia="es-CO"/>
              </w:rPr>
            </w:pPr>
            <w:r w:rsidRPr="004F2CEF">
              <w:rPr>
                <w:rFonts w:ascii="Arial" w:hAnsi="Arial" w:cs="Arial"/>
                <w:sz w:val="20"/>
                <w:szCs w:val="20"/>
                <w:lang w:val="es-CO" w:eastAsia="es-CO"/>
              </w:rPr>
              <w:t>RECURSOS RECIBIDOS EN ADMINISTRACIÓN</w:t>
            </w:r>
          </w:p>
        </w:tc>
        <w:tc>
          <w:tcPr>
            <w:tcW w:w="1260" w:type="dxa"/>
            <w:tcBorders>
              <w:top w:val="nil"/>
              <w:left w:val="double" w:sz="6" w:space="0" w:color="auto"/>
              <w:bottom w:val="nil"/>
              <w:right w:val="double" w:sz="6" w:space="0" w:color="auto"/>
            </w:tcBorders>
            <w:shd w:val="clear" w:color="000000" w:fill="FFFFFF"/>
            <w:noWrap/>
            <w:vAlign w:val="bottom"/>
            <w:hideMark/>
          </w:tcPr>
          <w:p w:rsidR="008D7F43" w:rsidRPr="004F2CEF" w:rsidRDefault="008D7F43" w:rsidP="0081765C">
            <w:pPr>
              <w:jc w:val="right"/>
              <w:rPr>
                <w:rFonts w:ascii="Arial" w:hAnsi="Arial" w:cs="Arial"/>
                <w:sz w:val="20"/>
                <w:szCs w:val="20"/>
                <w:lang w:val="es-CO" w:eastAsia="es-CO"/>
              </w:rPr>
            </w:pPr>
            <w:r w:rsidRPr="004F2CEF">
              <w:rPr>
                <w:rFonts w:ascii="Arial" w:hAnsi="Arial" w:cs="Arial"/>
                <w:sz w:val="20"/>
                <w:szCs w:val="20"/>
                <w:lang w:val="es-CO" w:eastAsia="es-CO"/>
              </w:rPr>
              <w:t>27.677.519</w:t>
            </w:r>
          </w:p>
        </w:tc>
        <w:tc>
          <w:tcPr>
            <w:tcW w:w="1320" w:type="dxa"/>
            <w:tcBorders>
              <w:top w:val="nil"/>
              <w:left w:val="nil"/>
              <w:bottom w:val="nil"/>
              <w:right w:val="double" w:sz="6" w:space="0" w:color="auto"/>
            </w:tcBorders>
            <w:shd w:val="clear" w:color="000000" w:fill="FFFFFF"/>
            <w:noWrap/>
            <w:vAlign w:val="bottom"/>
            <w:hideMark/>
          </w:tcPr>
          <w:p w:rsidR="008D7F43" w:rsidRPr="004F2CEF" w:rsidRDefault="008D7F43" w:rsidP="0081765C">
            <w:pPr>
              <w:jc w:val="right"/>
              <w:rPr>
                <w:rFonts w:ascii="Arial" w:hAnsi="Arial" w:cs="Arial"/>
                <w:sz w:val="20"/>
                <w:szCs w:val="20"/>
                <w:lang w:val="es-CO" w:eastAsia="es-CO"/>
              </w:rPr>
            </w:pPr>
            <w:r w:rsidRPr="004F2CEF">
              <w:rPr>
                <w:rFonts w:ascii="Arial" w:hAnsi="Arial" w:cs="Arial"/>
                <w:sz w:val="20"/>
                <w:szCs w:val="20"/>
                <w:lang w:val="es-CO" w:eastAsia="es-CO"/>
              </w:rPr>
              <w:t>32.774.797</w:t>
            </w:r>
          </w:p>
        </w:tc>
        <w:tc>
          <w:tcPr>
            <w:tcW w:w="220" w:type="dxa"/>
            <w:tcBorders>
              <w:top w:val="nil"/>
              <w:left w:val="nil"/>
              <w:bottom w:val="nil"/>
              <w:right w:val="nil"/>
            </w:tcBorders>
            <w:shd w:val="clear" w:color="000000" w:fill="FFFFFF"/>
            <w:noWrap/>
            <w:vAlign w:val="bottom"/>
            <w:hideMark/>
          </w:tcPr>
          <w:p w:rsidR="008D7F43" w:rsidRPr="004F2CEF" w:rsidRDefault="008D7F43" w:rsidP="0081765C">
            <w:pPr>
              <w:rPr>
                <w:rFonts w:ascii="Arial" w:hAnsi="Arial" w:cs="Arial"/>
                <w:color w:val="000000"/>
                <w:sz w:val="20"/>
                <w:szCs w:val="20"/>
                <w:lang w:val="es-CO" w:eastAsia="es-CO"/>
              </w:rPr>
            </w:pPr>
            <w:r w:rsidRPr="004F2CEF">
              <w:rPr>
                <w:rFonts w:ascii="Arial" w:hAnsi="Arial" w:cs="Arial"/>
                <w:color w:val="000000"/>
                <w:sz w:val="20"/>
                <w:szCs w:val="20"/>
                <w:lang w:val="es-CO" w:eastAsia="es-CO"/>
              </w:rPr>
              <w:t> </w:t>
            </w:r>
          </w:p>
        </w:tc>
      </w:tr>
      <w:tr w:rsidR="008D7F43" w:rsidRPr="004F2CEF" w:rsidTr="00845C0C">
        <w:trPr>
          <w:trHeight w:val="255"/>
        </w:trPr>
        <w:tc>
          <w:tcPr>
            <w:tcW w:w="220" w:type="dxa"/>
            <w:tcBorders>
              <w:top w:val="nil"/>
              <w:left w:val="nil"/>
              <w:bottom w:val="nil"/>
              <w:right w:val="nil"/>
            </w:tcBorders>
            <w:shd w:val="clear" w:color="000000" w:fill="FFFFFF"/>
            <w:noWrap/>
            <w:vAlign w:val="bottom"/>
            <w:hideMark/>
          </w:tcPr>
          <w:p w:rsidR="008D7F43" w:rsidRPr="004F2CEF" w:rsidRDefault="008D7F43" w:rsidP="0081765C">
            <w:pPr>
              <w:rPr>
                <w:rFonts w:ascii="Arial" w:hAnsi="Arial" w:cs="Arial"/>
                <w:color w:val="000000"/>
                <w:sz w:val="20"/>
                <w:szCs w:val="20"/>
                <w:lang w:val="es-CO" w:eastAsia="es-CO"/>
              </w:rPr>
            </w:pPr>
            <w:r w:rsidRPr="004F2CEF">
              <w:rPr>
                <w:rFonts w:ascii="Arial" w:hAnsi="Arial" w:cs="Arial"/>
                <w:color w:val="000000"/>
                <w:sz w:val="20"/>
                <w:szCs w:val="20"/>
                <w:lang w:val="es-CO" w:eastAsia="es-CO"/>
              </w:rPr>
              <w:t> </w:t>
            </w:r>
          </w:p>
        </w:tc>
        <w:tc>
          <w:tcPr>
            <w:tcW w:w="5180" w:type="dxa"/>
            <w:tcBorders>
              <w:top w:val="nil"/>
              <w:left w:val="double" w:sz="6" w:space="0" w:color="auto"/>
              <w:bottom w:val="nil"/>
              <w:right w:val="nil"/>
            </w:tcBorders>
            <w:shd w:val="clear" w:color="000000" w:fill="FFFFFF"/>
            <w:vAlign w:val="center"/>
            <w:hideMark/>
          </w:tcPr>
          <w:p w:rsidR="008D7F43" w:rsidRPr="004F2CEF" w:rsidRDefault="008D7F43" w:rsidP="0081765C">
            <w:pPr>
              <w:rPr>
                <w:rFonts w:ascii="Arial" w:hAnsi="Arial" w:cs="Arial"/>
                <w:sz w:val="20"/>
                <w:szCs w:val="20"/>
                <w:lang w:val="es-CO" w:eastAsia="es-CO"/>
              </w:rPr>
            </w:pPr>
            <w:r w:rsidRPr="004F2CEF">
              <w:rPr>
                <w:rFonts w:ascii="Arial" w:hAnsi="Arial" w:cs="Arial"/>
                <w:sz w:val="20"/>
                <w:szCs w:val="20"/>
                <w:lang w:val="es-CO" w:eastAsia="es-CO"/>
              </w:rPr>
              <w:t>CRÉDITOS JUDICIALES</w:t>
            </w:r>
          </w:p>
        </w:tc>
        <w:tc>
          <w:tcPr>
            <w:tcW w:w="1260" w:type="dxa"/>
            <w:tcBorders>
              <w:top w:val="nil"/>
              <w:left w:val="double" w:sz="6" w:space="0" w:color="auto"/>
              <w:bottom w:val="nil"/>
              <w:right w:val="double" w:sz="6" w:space="0" w:color="auto"/>
            </w:tcBorders>
            <w:shd w:val="clear" w:color="000000" w:fill="FFFFFF"/>
            <w:noWrap/>
            <w:vAlign w:val="bottom"/>
            <w:hideMark/>
          </w:tcPr>
          <w:p w:rsidR="008D7F43" w:rsidRPr="004F2CEF" w:rsidRDefault="008D7F43" w:rsidP="0081765C">
            <w:pPr>
              <w:jc w:val="right"/>
              <w:rPr>
                <w:rFonts w:ascii="Arial" w:hAnsi="Arial" w:cs="Arial"/>
                <w:sz w:val="20"/>
                <w:szCs w:val="20"/>
                <w:lang w:val="es-CO" w:eastAsia="es-CO"/>
              </w:rPr>
            </w:pPr>
            <w:r w:rsidRPr="004F2CEF">
              <w:rPr>
                <w:rFonts w:ascii="Arial" w:hAnsi="Arial" w:cs="Arial"/>
                <w:sz w:val="20"/>
                <w:szCs w:val="20"/>
                <w:lang w:val="es-CO" w:eastAsia="es-CO"/>
              </w:rPr>
              <w:t>43.831.611</w:t>
            </w:r>
          </w:p>
        </w:tc>
        <w:tc>
          <w:tcPr>
            <w:tcW w:w="1320" w:type="dxa"/>
            <w:tcBorders>
              <w:top w:val="nil"/>
              <w:left w:val="nil"/>
              <w:bottom w:val="nil"/>
              <w:right w:val="double" w:sz="6" w:space="0" w:color="auto"/>
            </w:tcBorders>
            <w:shd w:val="clear" w:color="000000" w:fill="FFFFFF"/>
            <w:noWrap/>
            <w:vAlign w:val="bottom"/>
            <w:hideMark/>
          </w:tcPr>
          <w:p w:rsidR="008D7F43" w:rsidRPr="004F2CEF" w:rsidRDefault="008D7F43" w:rsidP="0081765C">
            <w:pPr>
              <w:jc w:val="right"/>
              <w:rPr>
                <w:rFonts w:ascii="Arial" w:hAnsi="Arial" w:cs="Arial"/>
                <w:sz w:val="20"/>
                <w:szCs w:val="20"/>
                <w:lang w:val="es-CO" w:eastAsia="es-CO"/>
              </w:rPr>
            </w:pPr>
            <w:r w:rsidRPr="004F2CEF">
              <w:rPr>
                <w:rFonts w:ascii="Arial" w:hAnsi="Arial" w:cs="Arial"/>
                <w:sz w:val="20"/>
                <w:szCs w:val="20"/>
                <w:lang w:val="es-CO" w:eastAsia="es-CO"/>
              </w:rPr>
              <w:t>187.533.164</w:t>
            </w:r>
          </w:p>
        </w:tc>
        <w:tc>
          <w:tcPr>
            <w:tcW w:w="220" w:type="dxa"/>
            <w:tcBorders>
              <w:top w:val="nil"/>
              <w:left w:val="nil"/>
              <w:bottom w:val="nil"/>
              <w:right w:val="nil"/>
            </w:tcBorders>
            <w:shd w:val="clear" w:color="000000" w:fill="FFFFFF"/>
            <w:noWrap/>
            <w:vAlign w:val="bottom"/>
            <w:hideMark/>
          </w:tcPr>
          <w:p w:rsidR="008D7F43" w:rsidRPr="004F2CEF" w:rsidRDefault="008D7F43" w:rsidP="0081765C">
            <w:pPr>
              <w:rPr>
                <w:rFonts w:ascii="Arial" w:hAnsi="Arial" w:cs="Arial"/>
                <w:color w:val="000000"/>
                <w:sz w:val="20"/>
                <w:szCs w:val="20"/>
                <w:lang w:val="es-CO" w:eastAsia="es-CO"/>
              </w:rPr>
            </w:pPr>
            <w:r w:rsidRPr="004F2CEF">
              <w:rPr>
                <w:rFonts w:ascii="Arial" w:hAnsi="Arial" w:cs="Arial"/>
                <w:color w:val="000000"/>
                <w:sz w:val="20"/>
                <w:szCs w:val="20"/>
                <w:lang w:val="es-CO" w:eastAsia="es-CO"/>
              </w:rPr>
              <w:t> </w:t>
            </w:r>
          </w:p>
        </w:tc>
      </w:tr>
      <w:tr w:rsidR="008D7F43" w:rsidRPr="004F2CEF" w:rsidTr="00845C0C">
        <w:trPr>
          <w:trHeight w:val="270"/>
        </w:trPr>
        <w:tc>
          <w:tcPr>
            <w:tcW w:w="220" w:type="dxa"/>
            <w:tcBorders>
              <w:top w:val="nil"/>
              <w:left w:val="nil"/>
              <w:bottom w:val="nil"/>
              <w:right w:val="nil"/>
            </w:tcBorders>
            <w:shd w:val="clear" w:color="000000" w:fill="FFFFFF"/>
            <w:noWrap/>
            <w:vAlign w:val="bottom"/>
            <w:hideMark/>
          </w:tcPr>
          <w:p w:rsidR="008D7F43" w:rsidRPr="004F2CEF" w:rsidRDefault="008D7F43" w:rsidP="0081765C">
            <w:pPr>
              <w:rPr>
                <w:rFonts w:ascii="Arial" w:hAnsi="Arial" w:cs="Arial"/>
                <w:color w:val="000000"/>
                <w:sz w:val="20"/>
                <w:szCs w:val="20"/>
                <w:lang w:val="es-CO" w:eastAsia="es-CO"/>
              </w:rPr>
            </w:pPr>
            <w:r w:rsidRPr="004F2CEF">
              <w:rPr>
                <w:rFonts w:ascii="Arial" w:hAnsi="Arial" w:cs="Arial"/>
                <w:color w:val="000000"/>
                <w:sz w:val="20"/>
                <w:szCs w:val="20"/>
                <w:lang w:val="es-CO" w:eastAsia="es-CO"/>
              </w:rPr>
              <w:t> </w:t>
            </w:r>
          </w:p>
        </w:tc>
        <w:tc>
          <w:tcPr>
            <w:tcW w:w="5180" w:type="dxa"/>
            <w:tcBorders>
              <w:top w:val="nil"/>
              <w:left w:val="double" w:sz="6" w:space="0" w:color="auto"/>
              <w:bottom w:val="double" w:sz="6" w:space="0" w:color="auto"/>
              <w:right w:val="nil"/>
            </w:tcBorders>
            <w:shd w:val="clear" w:color="000000" w:fill="FFFFFF"/>
            <w:vAlign w:val="center"/>
            <w:hideMark/>
          </w:tcPr>
          <w:p w:rsidR="008D7F43" w:rsidRPr="004F2CEF" w:rsidRDefault="008D7F43" w:rsidP="0081765C">
            <w:pPr>
              <w:rPr>
                <w:rFonts w:ascii="Arial" w:hAnsi="Arial" w:cs="Arial"/>
                <w:sz w:val="20"/>
                <w:szCs w:val="20"/>
                <w:lang w:val="es-CO" w:eastAsia="es-CO"/>
              </w:rPr>
            </w:pPr>
            <w:r w:rsidRPr="004F2CEF">
              <w:rPr>
                <w:rFonts w:ascii="Arial" w:hAnsi="Arial" w:cs="Arial"/>
                <w:sz w:val="20"/>
                <w:szCs w:val="20"/>
                <w:lang w:val="es-CO" w:eastAsia="es-CO"/>
              </w:rPr>
              <w:t>OTRAS CUENTAS POR PAGAR</w:t>
            </w:r>
          </w:p>
        </w:tc>
        <w:tc>
          <w:tcPr>
            <w:tcW w:w="1260" w:type="dxa"/>
            <w:tcBorders>
              <w:top w:val="nil"/>
              <w:left w:val="double" w:sz="6" w:space="0" w:color="auto"/>
              <w:bottom w:val="double" w:sz="6" w:space="0" w:color="auto"/>
              <w:right w:val="double" w:sz="6" w:space="0" w:color="auto"/>
            </w:tcBorders>
            <w:shd w:val="clear" w:color="000000" w:fill="FFFFFF"/>
            <w:noWrap/>
            <w:vAlign w:val="bottom"/>
            <w:hideMark/>
          </w:tcPr>
          <w:p w:rsidR="008D7F43" w:rsidRPr="004F2CEF" w:rsidRDefault="008D7F43" w:rsidP="0081765C">
            <w:pPr>
              <w:jc w:val="right"/>
              <w:rPr>
                <w:rFonts w:ascii="Arial" w:hAnsi="Arial" w:cs="Arial"/>
                <w:sz w:val="20"/>
                <w:szCs w:val="20"/>
                <w:lang w:val="es-CO" w:eastAsia="es-CO"/>
              </w:rPr>
            </w:pPr>
            <w:r w:rsidRPr="004F2CEF">
              <w:rPr>
                <w:rFonts w:ascii="Arial" w:hAnsi="Arial" w:cs="Arial"/>
                <w:sz w:val="20"/>
                <w:szCs w:val="20"/>
                <w:lang w:val="es-CO" w:eastAsia="es-CO"/>
              </w:rPr>
              <w:t>112.023.186</w:t>
            </w:r>
          </w:p>
        </w:tc>
        <w:tc>
          <w:tcPr>
            <w:tcW w:w="1320" w:type="dxa"/>
            <w:tcBorders>
              <w:top w:val="nil"/>
              <w:left w:val="nil"/>
              <w:bottom w:val="double" w:sz="6" w:space="0" w:color="auto"/>
              <w:right w:val="double" w:sz="6" w:space="0" w:color="auto"/>
            </w:tcBorders>
            <w:shd w:val="clear" w:color="000000" w:fill="FFFFFF"/>
            <w:noWrap/>
            <w:vAlign w:val="bottom"/>
            <w:hideMark/>
          </w:tcPr>
          <w:p w:rsidR="008D7F43" w:rsidRPr="004F2CEF" w:rsidRDefault="008D7F43" w:rsidP="0081765C">
            <w:pPr>
              <w:jc w:val="right"/>
              <w:rPr>
                <w:rFonts w:ascii="Arial" w:hAnsi="Arial" w:cs="Arial"/>
                <w:sz w:val="20"/>
                <w:szCs w:val="20"/>
                <w:lang w:val="es-CO" w:eastAsia="es-CO"/>
              </w:rPr>
            </w:pPr>
            <w:r w:rsidRPr="004F2CEF">
              <w:rPr>
                <w:rFonts w:ascii="Arial" w:hAnsi="Arial" w:cs="Arial"/>
                <w:sz w:val="20"/>
                <w:szCs w:val="20"/>
                <w:lang w:val="es-CO" w:eastAsia="es-CO"/>
              </w:rPr>
              <w:t>19.566.335</w:t>
            </w:r>
          </w:p>
        </w:tc>
        <w:tc>
          <w:tcPr>
            <w:tcW w:w="220" w:type="dxa"/>
            <w:tcBorders>
              <w:top w:val="nil"/>
              <w:left w:val="nil"/>
              <w:bottom w:val="nil"/>
              <w:right w:val="nil"/>
            </w:tcBorders>
            <w:shd w:val="clear" w:color="000000" w:fill="FFFFFF"/>
            <w:noWrap/>
            <w:vAlign w:val="bottom"/>
            <w:hideMark/>
          </w:tcPr>
          <w:p w:rsidR="008D7F43" w:rsidRPr="004F2CEF" w:rsidRDefault="008D7F43" w:rsidP="0081765C">
            <w:pPr>
              <w:rPr>
                <w:rFonts w:ascii="Arial" w:hAnsi="Arial" w:cs="Arial"/>
                <w:color w:val="000000"/>
                <w:sz w:val="20"/>
                <w:szCs w:val="20"/>
                <w:lang w:val="es-CO" w:eastAsia="es-CO"/>
              </w:rPr>
            </w:pPr>
            <w:r w:rsidRPr="004F2CEF">
              <w:rPr>
                <w:rFonts w:ascii="Arial" w:hAnsi="Arial" w:cs="Arial"/>
                <w:color w:val="000000"/>
                <w:sz w:val="20"/>
                <w:szCs w:val="20"/>
                <w:lang w:val="es-CO" w:eastAsia="es-CO"/>
              </w:rPr>
              <w:t> </w:t>
            </w:r>
          </w:p>
        </w:tc>
      </w:tr>
      <w:tr w:rsidR="008D7F43" w:rsidRPr="004F2CEF" w:rsidTr="00845C0C">
        <w:trPr>
          <w:trHeight w:val="270"/>
        </w:trPr>
        <w:tc>
          <w:tcPr>
            <w:tcW w:w="220" w:type="dxa"/>
            <w:tcBorders>
              <w:top w:val="nil"/>
              <w:left w:val="nil"/>
              <w:bottom w:val="nil"/>
              <w:right w:val="nil"/>
            </w:tcBorders>
            <w:shd w:val="clear" w:color="000000" w:fill="FFFFFF"/>
            <w:noWrap/>
            <w:vAlign w:val="bottom"/>
            <w:hideMark/>
          </w:tcPr>
          <w:p w:rsidR="008D7F43" w:rsidRPr="004F2CEF" w:rsidRDefault="008D7F43" w:rsidP="0081765C">
            <w:pPr>
              <w:rPr>
                <w:rFonts w:ascii="Arial" w:hAnsi="Arial" w:cs="Arial"/>
                <w:color w:val="000000"/>
                <w:sz w:val="20"/>
                <w:szCs w:val="20"/>
                <w:lang w:val="es-CO" w:eastAsia="es-CO"/>
              </w:rPr>
            </w:pPr>
            <w:r w:rsidRPr="004F2CEF">
              <w:rPr>
                <w:rFonts w:ascii="Arial" w:hAnsi="Arial" w:cs="Arial"/>
                <w:color w:val="000000"/>
                <w:sz w:val="20"/>
                <w:szCs w:val="20"/>
                <w:lang w:val="es-CO" w:eastAsia="es-CO"/>
              </w:rPr>
              <w:t> </w:t>
            </w:r>
          </w:p>
        </w:tc>
        <w:tc>
          <w:tcPr>
            <w:tcW w:w="5180" w:type="dxa"/>
            <w:tcBorders>
              <w:top w:val="nil"/>
              <w:left w:val="double" w:sz="6" w:space="0" w:color="auto"/>
              <w:bottom w:val="double" w:sz="6" w:space="0" w:color="auto"/>
              <w:right w:val="nil"/>
            </w:tcBorders>
            <w:shd w:val="clear" w:color="000000" w:fill="FFFFFF"/>
            <w:vAlign w:val="center"/>
            <w:hideMark/>
          </w:tcPr>
          <w:p w:rsidR="008D7F43" w:rsidRPr="004F2CEF" w:rsidRDefault="008D7F43" w:rsidP="0081765C">
            <w:pPr>
              <w:jc w:val="center"/>
              <w:rPr>
                <w:rFonts w:ascii="Arial" w:hAnsi="Arial" w:cs="Arial"/>
                <w:b/>
                <w:bCs/>
                <w:sz w:val="20"/>
                <w:szCs w:val="20"/>
                <w:lang w:val="es-CO" w:eastAsia="es-CO"/>
              </w:rPr>
            </w:pPr>
            <w:r w:rsidRPr="004F2CEF">
              <w:rPr>
                <w:rFonts w:ascii="Arial" w:hAnsi="Arial" w:cs="Arial"/>
                <w:b/>
                <w:bCs/>
                <w:sz w:val="20"/>
                <w:szCs w:val="20"/>
                <w:lang w:val="es-CO" w:eastAsia="es-CO"/>
              </w:rPr>
              <w:t>TOTAL</w:t>
            </w:r>
          </w:p>
        </w:tc>
        <w:tc>
          <w:tcPr>
            <w:tcW w:w="1260" w:type="dxa"/>
            <w:tcBorders>
              <w:top w:val="nil"/>
              <w:left w:val="double" w:sz="6" w:space="0" w:color="auto"/>
              <w:bottom w:val="double" w:sz="6" w:space="0" w:color="auto"/>
              <w:right w:val="double" w:sz="6" w:space="0" w:color="auto"/>
            </w:tcBorders>
            <w:shd w:val="clear" w:color="000000" w:fill="FFFFFF"/>
            <w:noWrap/>
            <w:vAlign w:val="bottom"/>
            <w:hideMark/>
          </w:tcPr>
          <w:p w:rsidR="008D7F43" w:rsidRPr="004F2CEF" w:rsidRDefault="008D7F43" w:rsidP="0081765C">
            <w:pPr>
              <w:jc w:val="right"/>
              <w:rPr>
                <w:rFonts w:ascii="Arial" w:hAnsi="Arial" w:cs="Arial"/>
                <w:b/>
                <w:bCs/>
                <w:color w:val="000000"/>
                <w:sz w:val="20"/>
                <w:szCs w:val="20"/>
                <w:lang w:val="es-CO" w:eastAsia="es-CO"/>
              </w:rPr>
            </w:pPr>
            <w:r w:rsidRPr="004F2CEF">
              <w:rPr>
                <w:rFonts w:ascii="Arial" w:hAnsi="Arial" w:cs="Arial"/>
                <w:b/>
                <w:bCs/>
                <w:color w:val="000000"/>
                <w:sz w:val="20"/>
                <w:szCs w:val="20"/>
                <w:lang w:val="es-CO" w:eastAsia="es-CO"/>
              </w:rPr>
              <w:t>539.309.224</w:t>
            </w:r>
          </w:p>
        </w:tc>
        <w:tc>
          <w:tcPr>
            <w:tcW w:w="1320" w:type="dxa"/>
            <w:tcBorders>
              <w:top w:val="nil"/>
              <w:left w:val="nil"/>
              <w:bottom w:val="double" w:sz="6" w:space="0" w:color="auto"/>
              <w:right w:val="double" w:sz="6" w:space="0" w:color="auto"/>
            </w:tcBorders>
            <w:shd w:val="clear" w:color="000000" w:fill="FFFFFF"/>
            <w:noWrap/>
            <w:vAlign w:val="bottom"/>
            <w:hideMark/>
          </w:tcPr>
          <w:p w:rsidR="008D7F43" w:rsidRPr="004F2CEF" w:rsidRDefault="008D7F43" w:rsidP="0081765C">
            <w:pPr>
              <w:jc w:val="right"/>
              <w:rPr>
                <w:rFonts w:ascii="Arial" w:hAnsi="Arial" w:cs="Arial"/>
                <w:b/>
                <w:bCs/>
                <w:color w:val="000000"/>
                <w:sz w:val="20"/>
                <w:szCs w:val="20"/>
                <w:lang w:val="es-CO" w:eastAsia="es-CO"/>
              </w:rPr>
            </w:pPr>
            <w:r w:rsidRPr="004F2CEF">
              <w:rPr>
                <w:rFonts w:ascii="Arial" w:hAnsi="Arial" w:cs="Arial"/>
                <w:b/>
                <w:bCs/>
                <w:color w:val="000000"/>
                <w:sz w:val="20"/>
                <w:szCs w:val="20"/>
                <w:lang w:val="es-CO" w:eastAsia="es-CO"/>
              </w:rPr>
              <w:t>331.192.966</w:t>
            </w:r>
          </w:p>
        </w:tc>
        <w:tc>
          <w:tcPr>
            <w:tcW w:w="220" w:type="dxa"/>
            <w:tcBorders>
              <w:top w:val="nil"/>
              <w:left w:val="nil"/>
              <w:bottom w:val="nil"/>
              <w:right w:val="nil"/>
            </w:tcBorders>
            <w:shd w:val="clear" w:color="000000" w:fill="FFFFFF"/>
            <w:noWrap/>
            <w:vAlign w:val="bottom"/>
            <w:hideMark/>
          </w:tcPr>
          <w:p w:rsidR="008D7F43" w:rsidRPr="004F2CEF" w:rsidRDefault="008D7F43" w:rsidP="0081765C">
            <w:pPr>
              <w:rPr>
                <w:rFonts w:ascii="Arial" w:hAnsi="Arial" w:cs="Arial"/>
                <w:color w:val="000000"/>
                <w:sz w:val="20"/>
                <w:szCs w:val="20"/>
                <w:lang w:val="es-CO" w:eastAsia="es-CO"/>
              </w:rPr>
            </w:pPr>
            <w:r w:rsidRPr="004F2CEF">
              <w:rPr>
                <w:rFonts w:ascii="Arial" w:hAnsi="Arial" w:cs="Arial"/>
                <w:color w:val="000000"/>
                <w:sz w:val="20"/>
                <w:szCs w:val="20"/>
                <w:lang w:val="es-CO" w:eastAsia="es-CO"/>
              </w:rPr>
              <w:t> </w:t>
            </w:r>
          </w:p>
        </w:tc>
      </w:tr>
      <w:tr w:rsidR="008D7F43" w:rsidRPr="004F2CEF" w:rsidTr="00845C0C">
        <w:trPr>
          <w:trHeight w:val="255"/>
        </w:trPr>
        <w:tc>
          <w:tcPr>
            <w:tcW w:w="220" w:type="dxa"/>
            <w:tcBorders>
              <w:top w:val="nil"/>
              <w:left w:val="nil"/>
              <w:bottom w:val="nil"/>
              <w:right w:val="nil"/>
            </w:tcBorders>
            <w:shd w:val="clear" w:color="000000" w:fill="FFFFFF"/>
            <w:noWrap/>
            <w:vAlign w:val="bottom"/>
            <w:hideMark/>
          </w:tcPr>
          <w:p w:rsidR="008D7F43" w:rsidRPr="004F2CEF" w:rsidRDefault="008D7F43" w:rsidP="0081765C">
            <w:pPr>
              <w:rPr>
                <w:rFonts w:ascii="Arial" w:hAnsi="Arial" w:cs="Arial"/>
                <w:color w:val="000000"/>
                <w:sz w:val="20"/>
                <w:szCs w:val="20"/>
                <w:lang w:val="es-CO" w:eastAsia="es-CO"/>
              </w:rPr>
            </w:pPr>
            <w:r w:rsidRPr="004F2CEF">
              <w:rPr>
                <w:rFonts w:ascii="Arial" w:hAnsi="Arial" w:cs="Arial"/>
                <w:color w:val="000000"/>
                <w:sz w:val="20"/>
                <w:szCs w:val="20"/>
                <w:lang w:val="es-CO" w:eastAsia="es-CO"/>
              </w:rPr>
              <w:t> </w:t>
            </w:r>
          </w:p>
        </w:tc>
        <w:tc>
          <w:tcPr>
            <w:tcW w:w="5180" w:type="dxa"/>
            <w:tcBorders>
              <w:top w:val="nil"/>
              <w:left w:val="nil"/>
              <w:bottom w:val="nil"/>
              <w:right w:val="nil"/>
            </w:tcBorders>
            <w:shd w:val="clear" w:color="000000" w:fill="FFFFFF"/>
            <w:noWrap/>
            <w:vAlign w:val="bottom"/>
            <w:hideMark/>
          </w:tcPr>
          <w:p w:rsidR="008D7F43" w:rsidRPr="004F2CEF" w:rsidRDefault="008D7F43" w:rsidP="0081765C">
            <w:pPr>
              <w:rPr>
                <w:rFonts w:ascii="Arial" w:hAnsi="Arial" w:cs="Arial"/>
                <w:color w:val="000000"/>
                <w:sz w:val="20"/>
                <w:szCs w:val="20"/>
                <w:lang w:val="es-CO" w:eastAsia="es-CO"/>
              </w:rPr>
            </w:pPr>
            <w:r w:rsidRPr="004F2CEF">
              <w:rPr>
                <w:rFonts w:ascii="Arial" w:hAnsi="Arial" w:cs="Arial"/>
                <w:color w:val="000000"/>
                <w:sz w:val="20"/>
                <w:szCs w:val="20"/>
                <w:lang w:val="es-CO" w:eastAsia="es-CO"/>
              </w:rPr>
              <w:t> </w:t>
            </w:r>
          </w:p>
        </w:tc>
        <w:tc>
          <w:tcPr>
            <w:tcW w:w="1260" w:type="dxa"/>
            <w:tcBorders>
              <w:top w:val="nil"/>
              <w:left w:val="nil"/>
              <w:bottom w:val="nil"/>
              <w:right w:val="nil"/>
            </w:tcBorders>
            <w:shd w:val="clear" w:color="000000" w:fill="FFFFFF"/>
            <w:noWrap/>
            <w:vAlign w:val="bottom"/>
            <w:hideMark/>
          </w:tcPr>
          <w:p w:rsidR="008D7F43" w:rsidRPr="004F2CEF" w:rsidRDefault="008D7F43" w:rsidP="0081765C">
            <w:pPr>
              <w:rPr>
                <w:rFonts w:ascii="Arial" w:hAnsi="Arial" w:cs="Arial"/>
                <w:color w:val="000000"/>
                <w:sz w:val="20"/>
                <w:szCs w:val="20"/>
                <w:lang w:val="es-CO" w:eastAsia="es-CO"/>
              </w:rPr>
            </w:pPr>
            <w:r w:rsidRPr="004F2CEF">
              <w:rPr>
                <w:rFonts w:ascii="Arial" w:hAnsi="Arial" w:cs="Arial"/>
                <w:color w:val="000000"/>
                <w:sz w:val="20"/>
                <w:szCs w:val="20"/>
                <w:lang w:val="es-CO" w:eastAsia="es-CO"/>
              </w:rPr>
              <w:t> </w:t>
            </w:r>
          </w:p>
        </w:tc>
        <w:tc>
          <w:tcPr>
            <w:tcW w:w="1320" w:type="dxa"/>
            <w:tcBorders>
              <w:top w:val="nil"/>
              <w:left w:val="nil"/>
              <w:bottom w:val="nil"/>
              <w:right w:val="nil"/>
            </w:tcBorders>
            <w:shd w:val="clear" w:color="000000" w:fill="FFFFFF"/>
            <w:noWrap/>
            <w:vAlign w:val="bottom"/>
            <w:hideMark/>
          </w:tcPr>
          <w:p w:rsidR="008D7F43" w:rsidRPr="004F2CEF" w:rsidRDefault="008D7F43" w:rsidP="0081765C">
            <w:pPr>
              <w:rPr>
                <w:rFonts w:ascii="Arial" w:hAnsi="Arial" w:cs="Arial"/>
                <w:color w:val="000000"/>
                <w:sz w:val="20"/>
                <w:szCs w:val="20"/>
                <w:lang w:val="es-CO" w:eastAsia="es-CO"/>
              </w:rPr>
            </w:pPr>
            <w:r w:rsidRPr="004F2CEF">
              <w:rPr>
                <w:rFonts w:ascii="Arial" w:hAnsi="Arial" w:cs="Arial"/>
                <w:color w:val="000000"/>
                <w:sz w:val="20"/>
                <w:szCs w:val="20"/>
                <w:lang w:val="es-CO" w:eastAsia="es-CO"/>
              </w:rPr>
              <w:t> </w:t>
            </w:r>
          </w:p>
        </w:tc>
        <w:tc>
          <w:tcPr>
            <w:tcW w:w="220" w:type="dxa"/>
            <w:tcBorders>
              <w:top w:val="nil"/>
              <w:left w:val="nil"/>
              <w:bottom w:val="nil"/>
              <w:right w:val="nil"/>
            </w:tcBorders>
            <w:shd w:val="clear" w:color="000000" w:fill="FFFFFF"/>
            <w:noWrap/>
            <w:vAlign w:val="bottom"/>
            <w:hideMark/>
          </w:tcPr>
          <w:p w:rsidR="008D7F43" w:rsidRPr="004F2CEF" w:rsidRDefault="008D7F43" w:rsidP="0081765C">
            <w:pPr>
              <w:rPr>
                <w:rFonts w:ascii="Arial" w:hAnsi="Arial" w:cs="Arial"/>
                <w:color w:val="000000"/>
                <w:sz w:val="20"/>
                <w:szCs w:val="20"/>
                <w:lang w:val="es-CO" w:eastAsia="es-CO"/>
              </w:rPr>
            </w:pPr>
            <w:r w:rsidRPr="004F2CEF">
              <w:rPr>
                <w:rFonts w:ascii="Arial" w:hAnsi="Arial" w:cs="Arial"/>
                <w:color w:val="000000"/>
                <w:sz w:val="20"/>
                <w:szCs w:val="20"/>
                <w:lang w:val="es-CO" w:eastAsia="es-CO"/>
              </w:rPr>
              <w:t> </w:t>
            </w:r>
          </w:p>
        </w:tc>
      </w:tr>
    </w:tbl>
    <w:p w:rsidR="008D7F43" w:rsidRPr="005646CB" w:rsidRDefault="008D7F43" w:rsidP="008D7F43">
      <w:pPr>
        <w:pStyle w:val="Textoindependiente2"/>
        <w:rPr>
          <w:rFonts w:ascii="Arial Narrow" w:hAnsi="Arial Narrow" w:cs="Gisha"/>
          <w:b w:val="0"/>
          <w:bCs w:val="0"/>
          <w:color w:val="auto"/>
          <w:sz w:val="22"/>
          <w:szCs w:val="22"/>
        </w:rPr>
      </w:pPr>
    </w:p>
    <w:p w:rsidR="000A164E" w:rsidRDefault="008D7F43" w:rsidP="008768CC">
      <w:pPr>
        <w:pStyle w:val="Textoindependiente3"/>
        <w:rPr>
          <w:rFonts w:ascii="Arial Narrow" w:hAnsi="Arial Narrow" w:cs="Gisha"/>
          <w:color w:val="auto"/>
          <w:sz w:val="22"/>
          <w:szCs w:val="22"/>
        </w:rPr>
      </w:pPr>
      <w:r>
        <w:rPr>
          <w:rFonts w:ascii="Arial Narrow" w:hAnsi="Arial Narrow" w:cs="Gisha"/>
          <w:color w:val="auto"/>
          <w:sz w:val="22"/>
          <w:szCs w:val="22"/>
        </w:rPr>
        <w:lastRenderedPageBreak/>
        <w:t>El saldo a 31 de diciembre de 2015 por valor de $351.808.317 miles, en la</w:t>
      </w:r>
      <w:r w:rsidRPr="00BC37A4">
        <w:rPr>
          <w:rFonts w:ascii="Arial Narrow" w:hAnsi="Arial Narrow" w:cs="Gisha"/>
          <w:color w:val="auto"/>
          <w:sz w:val="22"/>
          <w:szCs w:val="22"/>
        </w:rPr>
        <w:t xml:space="preserve"> cuenta </w:t>
      </w:r>
      <w:r w:rsidRPr="00BC37A4">
        <w:rPr>
          <w:rFonts w:ascii="Arial Narrow" w:hAnsi="Arial Narrow" w:cs="Gisha"/>
          <w:sz w:val="22"/>
          <w:szCs w:val="22"/>
        </w:rPr>
        <w:t>Adquisición de Bienes y Servicios,</w:t>
      </w:r>
      <w:r>
        <w:rPr>
          <w:rFonts w:ascii="Arial Narrow" w:hAnsi="Arial Narrow" w:cs="Gisha"/>
          <w:sz w:val="22"/>
          <w:szCs w:val="22"/>
        </w:rPr>
        <w:t xml:space="preserve"> se origina así:</w:t>
      </w:r>
      <w:r w:rsidRPr="00BC37A4">
        <w:rPr>
          <w:rFonts w:ascii="Arial Narrow" w:hAnsi="Arial Narrow" w:cs="Gisha"/>
          <w:color w:val="auto"/>
          <w:sz w:val="22"/>
          <w:szCs w:val="22"/>
        </w:rPr>
        <w:t xml:space="preserve"> </w:t>
      </w:r>
    </w:p>
    <w:p w:rsidR="000A164E" w:rsidRDefault="000A164E" w:rsidP="008768CC">
      <w:pPr>
        <w:pStyle w:val="Textoindependiente3"/>
        <w:rPr>
          <w:rFonts w:ascii="Arial Narrow" w:hAnsi="Arial Narrow" w:cs="Gisha"/>
          <w:color w:val="auto"/>
          <w:sz w:val="22"/>
          <w:szCs w:val="22"/>
        </w:rPr>
      </w:pPr>
    </w:p>
    <w:p w:rsidR="000A164E" w:rsidRDefault="000A164E" w:rsidP="000A164E">
      <w:pPr>
        <w:pStyle w:val="Textoindependiente3"/>
        <w:numPr>
          <w:ilvl w:val="0"/>
          <w:numId w:val="12"/>
        </w:numPr>
        <w:rPr>
          <w:rFonts w:ascii="Arial Narrow" w:hAnsi="Arial Narrow" w:cs="Gisha"/>
          <w:color w:val="auto"/>
          <w:sz w:val="22"/>
          <w:szCs w:val="22"/>
        </w:rPr>
      </w:pPr>
      <w:r>
        <w:rPr>
          <w:rFonts w:ascii="Arial Narrow" w:hAnsi="Arial Narrow" w:cs="Gisha"/>
          <w:color w:val="auto"/>
          <w:sz w:val="22"/>
          <w:szCs w:val="22"/>
        </w:rPr>
        <w:t>S</w:t>
      </w:r>
      <w:r w:rsidR="008D7F43" w:rsidRPr="00BC37A4">
        <w:rPr>
          <w:rFonts w:ascii="Arial Narrow" w:hAnsi="Arial Narrow" w:cs="Gisha"/>
          <w:color w:val="auto"/>
          <w:sz w:val="22"/>
          <w:szCs w:val="22"/>
        </w:rPr>
        <w:t>ubcuenta bienes y servicios</w:t>
      </w:r>
      <w:r w:rsidR="008D7F43">
        <w:rPr>
          <w:rFonts w:ascii="Arial Narrow" w:hAnsi="Arial Narrow" w:cs="Gisha"/>
          <w:color w:val="auto"/>
          <w:sz w:val="22"/>
          <w:szCs w:val="22"/>
        </w:rPr>
        <w:t xml:space="preserve"> por valor de $</w:t>
      </w:r>
      <w:r w:rsidR="007D4297">
        <w:rPr>
          <w:rFonts w:ascii="Arial Narrow" w:hAnsi="Arial Narrow" w:cs="Gisha"/>
          <w:color w:val="auto"/>
          <w:sz w:val="22"/>
          <w:szCs w:val="22"/>
        </w:rPr>
        <w:t>2</w:t>
      </w:r>
      <w:r w:rsidR="008D7F43">
        <w:rPr>
          <w:rFonts w:ascii="Arial Narrow" w:hAnsi="Arial Narrow" w:cs="Gisha"/>
          <w:color w:val="auto"/>
          <w:sz w:val="22"/>
          <w:szCs w:val="22"/>
        </w:rPr>
        <w:t>22.707</w:t>
      </w:r>
      <w:r w:rsidR="008A48AD">
        <w:rPr>
          <w:rFonts w:ascii="Arial Narrow" w:hAnsi="Arial Narrow" w:cs="Gisha"/>
          <w:color w:val="auto"/>
          <w:sz w:val="22"/>
          <w:szCs w:val="22"/>
        </w:rPr>
        <w:t xml:space="preserve"> miles</w:t>
      </w:r>
      <w:r w:rsidR="008D7F43">
        <w:rPr>
          <w:rFonts w:ascii="Arial Narrow" w:hAnsi="Arial Narrow" w:cs="Gisha"/>
          <w:color w:val="auto"/>
          <w:sz w:val="22"/>
          <w:szCs w:val="22"/>
        </w:rPr>
        <w:t>,</w:t>
      </w:r>
      <w:r w:rsidR="008D7F43" w:rsidRPr="00BC37A4">
        <w:rPr>
          <w:rFonts w:ascii="Arial Narrow" w:hAnsi="Arial Narrow" w:cs="Gisha"/>
          <w:color w:val="auto"/>
          <w:sz w:val="22"/>
          <w:szCs w:val="22"/>
        </w:rPr>
        <w:t xml:space="preserve"> </w:t>
      </w:r>
      <w:r w:rsidR="001D4807">
        <w:rPr>
          <w:rFonts w:ascii="Arial Narrow" w:hAnsi="Arial Narrow" w:cs="Gisha"/>
          <w:color w:val="auto"/>
          <w:sz w:val="22"/>
          <w:szCs w:val="22"/>
        </w:rPr>
        <w:t xml:space="preserve">en esta subcuenta </w:t>
      </w:r>
      <w:r w:rsidR="008D7F43" w:rsidRPr="00BC37A4">
        <w:rPr>
          <w:rFonts w:ascii="Arial Narrow" w:hAnsi="Arial Narrow" w:cs="Gisha"/>
          <w:color w:val="auto"/>
          <w:sz w:val="22"/>
          <w:szCs w:val="22"/>
        </w:rPr>
        <w:t>se registran las cuentas por pagar constit</w:t>
      </w:r>
      <w:r w:rsidR="008D7F43">
        <w:rPr>
          <w:rFonts w:ascii="Arial Narrow" w:hAnsi="Arial Narrow" w:cs="Gisha"/>
          <w:color w:val="auto"/>
          <w:sz w:val="22"/>
          <w:szCs w:val="22"/>
        </w:rPr>
        <w:t>uidas a 31 de diciembre del 2015</w:t>
      </w:r>
      <w:r w:rsidR="008D7F43" w:rsidRPr="00BC37A4">
        <w:rPr>
          <w:rFonts w:ascii="Arial Narrow" w:hAnsi="Arial Narrow" w:cs="Gisha"/>
          <w:color w:val="auto"/>
          <w:sz w:val="22"/>
          <w:szCs w:val="22"/>
        </w:rPr>
        <w:t>,</w:t>
      </w:r>
    </w:p>
    <w:p w:rsidR="008768CC" w:rsidRPr="000A164E" w:rsidRDefault="000A164E" w:rsidP="008768CC">
      <w:pPr>
        <w:pStyle w:val="Textoindependiente3"/>
        <w:numPr>
          <w:ilvl w:val="0"/>
          <w:numId w:val="12"/>
        </w:numPr>
        <w:rPr>
          <w:rFonts w:ascii="Arial Narrow" w:hAnsi="Arial Narrow" w:cs="Gisha"/>
          <w:color w:val="auto"/>
          <w:sz w:val="22"/>
          <w:szCs w:val="22"/>
        </w:rPr>
      </w:pPr>
      <w:r>
        <w:rPr>
          <w:rFonts w:ascii="Arial Narrow" w:hAnsi="Arial Narrow" w:cs="Gisha"/>
          <w:color w:val="auto"/>
          <w:sz w:val="22"/>
          <w:szCs w:val="22"/>
        </w:rPr>
        <w:t>S</w:t>
      </w:r>
      <w:r w:rsidR="008D7F43" w:rsidRPr="000A164E">
        <w:rPr>
          <w:rFonts w:ascii="Arial Narrow" w:hAnsi="Arial Narrow" w:cs="Gisha"/>
          <w:color w:val="auto"/>
          <w:sz w:val="22"/>
          <w:szCs w:val="22"/>
        </w:rPr>
        <w:t>ubcuenta proyectos de inversión por valor de $351.585.610</w:t>
      </w:r>
      <w:r w:rsidR="008A053F" w:rsidRPr="000A164E">
        <w:rPr>
          <w:rFonts w:ascii="Arial Narrow" w:hAnsi="Arial Narrow" w:cs="Gisha"/>
          <w:color w:val="auto"/>
          <w:sz w:val="22"/>
          <w:szCs w:val="22"/>
        </w:rPr>
        <w:t xml:space="preserve"> miles</w:t>
      </w:r>
      <w:r w:rsidR="008D7F43" w:rsidRPr="000A164E">
        <w:rPr>
          <w:rFonts w:ascii="Arial Narrow" w:hAnsi="Arial Narrow" w:cs="Gisha"/>
          <w:color w:val="auto"/>
          <w:sz w:val="22"/>
          <w:szCs w:val="22"/>
        </w:rPr>
        <w:t>, corresponde al registro de obligaciones contractuales adquiridas y pendientes de pago a diciembre 31 de 2015</w:t>
      </w:r>
      <w:r w:rsidR="007D4297" w:rsidRPr="000A164E">
        <w:rPr>
          <w:rFonts w:ascii="Arial Narrow" w:hAnsi="Arial Narrow" w:cs="Gisha"/>
          <w:color w:val="auto"/>
          <w:sz w:val="22"/>
          <w:szCs w:val="22"/>
        </w:rPr>
        <w:t xml:space="preserve"> </w:t>
      </w:r>
      <w:r w:rsidR="007D4297" w:rsidRPr="000376B6">
        <w:rPr>
          <w:rFonts w:ascii="Arial Narrow" w:hAnsi="Arial Narrow" w:cs="Gisha"/>
          <w:color w:val="auto"/>
          <w:sz w:val="22"/>
          <w:szCs w:val="22"/>
        </w:rPr>
        <w:t xml:space="preserve">principalmente las </w:t>
      </w:r>
      <w:r w:rsidR="000376B6" w:rsidRPr="000376B6">
        <w:rPr>
          <w:rFonts w:ascii="Arial Narrow" w:hAnsi="Arial Narrow" w:cs="Gisha"/>
          <w:color w:val="auto"/>
          <w:sz w:val="22"/>
          <w:szCs w:val="22"/>
        </w:rPr>
        <w:t xml:space="preserve">obligaciones </w:t>
      </w:r>
      <w:r w:rsidR="007D4297" w:rsidRPr="000376B6">
        <w:rPr>
          <w:rFonts w:ascii="Arial Narrow" w:hAnsi="Arial Narrow" w:cs="Gisha"/>
          <w:color w:val="auto"/>
          <w:sz w:val="22"/>
          <w:szCs w:val="22"/>
        </w:rPr>
        <w:t>derivadas de</w:t>
      </w:r>
      <w:r w:rsidR="000376B6" w:rsidRPr="000376B6">
        <w:rPr>
          <w:rFonts w:ascii="Arial Narrow" w:hAnsi="Arial Narrow" w:cs="Gisha"/>
          <w:color w:val="auto"/>
          <w:sz w:val="22"/>
          <w:szCs w:val="22"/>
        </w:rPr>
        <w:t xml:space="preserve"> honorarios asociados a </w:t>
      </w:r>
      <w:r w:rsidR="007D4297" w:rsidRPr="000376B6">
        <w:rPr>
          <w:rFonts w:ascii="Arial Narrow" w:hAnsi="Arial Narrow" w:cs="Gisha"/>
          <w:color w:val="auto"/>
          <w:sz w:val="22"/>
          <w:szCs w:val="22"/>
        </w:rPr>
        <w:t>contratos de pre</w:t>
      </w:r>
      <w:r w:rsidR="000376B6" w:rsidRPr="000376B6">
        <w:rPr>
          <w:rFonts w:ascii="Arial Narrow" w:hAnsi="Arial Narrow" w:cs="Gisha"/>
          <w:color w:val="auto"/>
          <w:sz w:val="22"/>
          <w:szCs w:val="22"/>
        </w:rPr>
        <w:t>stación de servicios, entre otros</w:t>
      </w:r>
      <w:r w:rsidR="008D7F43" w:rsidRPr="000376B6">
        <w:rPr>
          <w:rFonts w:ascii="Arial Narrow" w:hAnsi="Arial Narrow" w:cs="Gisha"/>
          <w:color w:val="auto"/>
          <w:sz w:val="22"/>
          <w:szCs w:val="22"/>
        </w:rPr>
        <w:t>.</w:t>
      </w:r>
      <w:r w:rsidR="008D7F43" w:rsidRPr="000A164E">
        <w:rPr>
          <w:rFonts w:ascii="Arial Narrow" w:hAnsi="Arial Narrow" w:cs="Gisha"/>
          <w:color w:val="auto"/>
          <w:sz w:val="22"/>
          <w:szCs w:val="22"/>
        </w:rPr>
        <w:t xml:space="preserve"> El aumento corresponde principalmente a las cuentas por pagar de vigencias futuras constituidas a favor de concesionaria Ruta del Sol por $22.777.535 miles y Consorcio vial Helios por $2</w:t>
      </w:r>
      <w:r w:rsidR="007D4297" w:rsidRPr="000A164E">
        <w:rPr>
          <w:rFonts w:ascii="Arial Narrow" w:hAnsi="Arial Narrow" w:cs="Gisha"/>
          <w:color w:val="auto"/>
          <w:sz w:val="22"/>
          <w:szCs w:val="22"/>
        </w:rPr>
        <w:t>1</w:t>
      </w:r>
      <w:r w:rsidR="008D7F43" w:rsidRPr="000A164E">
        <w:rPr>
          <w:rFonts w:ascii="Arial Narrow" w:hAnsi="Arial Narrow" w:cs="Gisha"/>
          <w:color w:val="auto"/>
          <w:sz w:val="22"/>
          <w:szCs w:val="22"/>
        </w:rPr>
        <w:t xml:space="preserve">.312.600 miles y al registro de obligaciones contractuales adquiridas y pendientes de pago a diciembre 31 de 2015 por $294.784.164 miles, </w:t>
      </w:r>
      <w:r w:rsidR="008A053F" w:rsidRPr="000A164E">
        <w:rPr>
          <w:rFonts w:ascii="Arial Narrow" w:hAnsi="Arial Narrow" w:cs="Gisha"/>
          <w:color w:val="auto"/>
          <w:sz w:val="22"/>
          <w:szCs w:val="22"/>
        </w:rPr>
        <w:t>correspondientes al</w:t>
      </w:r>
      <w:r w:rsidR="008D7F43" w:rsidRPr="000A164E">
        <w:rPr>
          <w:rFonts w:ascii="Arial Narrow" w:hAnsi="Arial Narrow" w:cs="Gisha"/>
          <w:color w:val="auto"/>
          <w:sz w:val="22"/>
          <w:szCs w:val="22"/>
        </w:rPr>
        <w:t xml:space="preserve"> Fondo de Contingencias Contractuales de las Entidades Estatales para las Concesiones: Bosa Granada Girardot-Predial , Bogotá Villavicencio Diseños , Bogotá Villavicencio Ambiental , Ruta del Sol II Predial , Ruta del Sol III – Ingreso Esperado,  Rumichaca – Pasto – Chachagui – Ambiental , Transversal de las Américas, Ruta del Sol III – Ingreso Esperado,  Área Metropolitana de Cúcuta – Tarifario , Ruta 2 Otrosí 6 – Predial, Ruta 2 Otrosí 6 – Comercial y Zona Metropolitana de Bucaramanga – Predial. </w:t>
      </w:r>
      <w:r w:rsidR="008768CC" w:rsidRPr="000A164E">
        <w:rPr>
          <w:rFonts w:ascii="Arial Narrow" w:hAnsi="Arial Narrow" w:cs="Gisha"/>
          <w:color w:val="auto"/>
          <w:sz w:val="22"/>
          <w:szCs w:val="22"/>
        </w:rPr>
        <w:t>(</w:t>
      </w:r>
      <w:r w:rsidR="008768CC" w:rsidRPr="00FD34E8">
        <w:rPr>
          <w:rFonts w:ascii="Arial Narrow" w:hAnsi="Arial Narrow" w:cs="Gisha"/>
          <w:color w:val="auto"/>
          <w:sz w:val="22"/>
          <w:szCs w:val="22"/>
        </w:rPr>
        <w:t>Ver Anexo 4</w:t>
      </w:r>
      <w:r w:rsidR="008768CC" w:rsidRPr="000376B6">
        <w:rPr>
          <w:rFonts w:ascii="Arial Narrow" w:hAnsi="Arial Narrow" w:cs="Gisha"/>
          <w:color w:val="auto"/>
          <w:sz w:val="22"/>
          <w:szCs w:val="22"/>
        </w:rPr>
        <w:t xml:space="preserve">). </w:t>
      </w:r>
    </w:p>
    <w:p w:rsidR="008A053F" w:rsidRDefault="008A053F" w:rsidP="008D7F43">
      <w:pPr>
        <w:pStyle w:val="Textoindependiente3"/>
        <w:rPr>
          <w:rFonts w:ascii="Arial Narrow" w:hAnsi="Arial Narrow" w:cs="Gisha"/>
          <w:color w:val="auto"/>
          <w:sz w:val="22"/>
          <w:szCs w:val="22"/>
        </w:rPr>
      </w:pPr>
    </w:p>
    <w:p w:rsidR="008D7F43" w:rsidRPr="00BC37A4" w:rsidRDefault="008D7F43" w:rsidP="008D7F43">
      <w:pPr>
        <w:pStyle w:val="Textoindependiente3"/>
        <w:rPr>
          <w:rFonts w:cs="Gisha"/>
          <w:sz w:val="22"/>
          <w:szCs w:val="22"/>
        </w:rPr>
      </w:pPr>
      <w:r w:rsidRPr="00BC37A4">
        <w:rPr>
          <w:rFonts w:ascii="Arial Narrow" w:hAnsi="Arial Narrow" w:cs="Gisha"/>
          <w:color w:val="auto"/>
          <w:sz w:val="22"/>
          <w:szCs w:val="22"/>
          <w:lang w:val="es-CO"/>
        </w:rPr>
        <w:t>En Retenciones en la Fuente, se reflejan las deducciones correspondientes a impuestos por las cuentas por pagar con</w:t>
      </w:r>
      <w:r>
        <w:rPr>
          <w:rFonts w:ascii="Arial Narrow" w:hAnsi="Arial Narrow" w:cs="Gisha"/>
          <w:color w:val="auto"/>
          <w:sz w:val="22"/>
          <w:szCs w:val="22"/>
          <w:lang w:val="es-CO"/>
        </w:rPr>
        <w:t>stituidas a diciembre 31 de 2015</w:t>
      </w:r>
      <w:r w:rsidRPr="00BC37A4">
        <w:rPr>
          <w:rFonts w:ascii="Arial Narrow" w:hAnsi="Arial Narrow" w:cs="Gisha"/>
          <w:color w:val="auto"/>
          <w:sz w:val="22"/>
          <w:szCs w:val="22"/>
          <w:lang w:val="es-CO"/>
        </w:rPr>
        <w:t xml:space="preserve"> y las retenciones a declarar </w:t>
      </w:r>
      <w:r>
        <w:rPr>
          <w:rFonts w:ascii="Arial Narrow" w:hAnsi="Arial Narrow" w:cs="Gisha"/>
          <w:color w:val="auto"/>
          <w:sz w:val="22"/>
          <w:szCs w:val="22"/>
          <w:lang w:val="es-CO"/>
        </w:rPr>
        <w:t>por el mes de diciembre del 2015</w:t>
      </w:r>
      <w:r w:rsidRPr="00BC37A4">
        <w:rPr>
          <w:rFonts w:ascii="Arial Narrow" w:hAnsi="Arial Narrow" w:cs="Gisha"/>
          <w:color w:val="auto"/>
          <w:sz w:val="22"/>
          <w:szCs w:val="22"/>
          <w:lang w:val="es-CO"/>
        </w:rPr>
        <w:t>.</w:t>
      </w:r>
      <w:r>
        <w:rPr>
          <w:rFonts w:ascii="Arial Narrow" w:hAnsi="Arial Narrow" w:cs="Gisha"/>
          <w:color w:val="auto"/>
          <w:sz w:val="22"/>
          <w:szCs w:val="22"/>
          <w:lang w:val="es-CO"/>
        </w:rPr>
        <w:t xml:space="preserve"> El saldo de esta subcuenta es de $3.477.456</w:t>
      </w:r>
      <w:r w:rsidR="008A053F">
        <w:rPr>
          <w:rFonts w:ascii="Arial Narrow" w:hAnsi="Arial Narrow" w:cs="Gisha"/>
          <w:color w:val="auto"/>
          <w:sz w:val="22"/>
          <w:szCs w:val="22"/>
          <w:lang w:val="es-CO"/>
        </w:rPr>
        <w:t xml:space="preserve"> miles. </w:t>
      </w:r>
    </w:p>
    <w:p w:rsidR="008D7F43" w:rsidRDefault="008D7F43" w:rsidP="008D7F43">
      <w:pPr>
        <w:jc w:val="both"/>
        <w:rPr>
          <w:rFonts w:ascii="Arial Narrow" w:hAnsi="Arial Narrow" w:cs="Gisha"/>
          <w:sz w:val="22"/>
          <w:szCs w:val="22"/>
        </w:rPr>
      </w:pPr>
    </w:p>
    <w:p w:rsidR="008D7F43" w:rsidRDefault="008D7F43" w:rsidP="008D7F43">
      <w:pPr>
        <w:jc w:val="both"/>
        <w:rPr>
          <w:rFonts w:ascii="Arial Narrow" w:hAnsi="Arial Narrow" w:cs="Gisha"/>
          <w:sz w:val="22"/>
          <w:szCs w:val="22"/>
        </w:rPr>
      </w:pPr>
      <w:r w:rsidRPr="00777DDF">
        <w:rPr>
          <w:rFonts w:ascii="Arial Narrow" w:hAnsi="Arial Narrow" w:cs="Gisha"/>
          <w:sz w:val="22"/>
          <w:szCs w:val="22"/>
        </w:rPr>
        <w:t>Recursos recibidos en administración por $</w:t>
      </w:r>
      <w:r>
        <w:rPr>
          <w:rFonts w:ascii="Arial Narrow" w:hAnsi="Arial Narrow" w:cs="Gisha"/>
          <w:sz w:val="22"/>
          <w:szCs w:val="22"/>
        </w:rPr>
        <w:t>27.677.519</w:t>
      </w:r>
      <w:r w:rsidRPr="00777DDF">
        <w:rPr>
          <w:rFonts w:ascii="Arial Narrow" w:hAnsi="Arial Narrow"/>
          <w:sz w:val="22"/>
          <w:szCs w:val="22"/>
        </w:rPr>
        <w:t xml:space="preserve"> miles</w:t>
      </w:r>
      <w:r>
        <w:rPr>
          <w:rFonts w:ascii="Arial Narrow" w:hAnsi="Arial Narrow"/>
          <w:sz w:val="22"/>
          <w:szCs w:val="22"/>
        </w:rPr>
        <w:t xml:space="preserve">, </w:t>
      </w:r>
      <w:r w:rsidRPr="00777DDF">
        <w:rPr>
          <w:rFonts w:ascii="Arial Narrow" w:hAnsi="Arial Narrow" w:cs="Gisha"/>
          <w:sz w:val="22"/>
          <w:szCs w:val="22"/>
        </w:rPr>
        <w:t>corresponde a</w:t>
      </w:r>
      <w:r>
        <w:rPr>
          <w:rFonts w:ascii="Arial Narrow" w:hAnsi="Arial Narrow" w:cs="Gisha"/>
          <w:sz w:val="22"/>
          <w:szCs w:val="22"/>
        </w:rPr>
        <w:t>:</w:t>
      </w:r>
    </w:p>
    <w:p w:rsidR="008D7F43" w:rsidRDefault="008D7F43" w:rsidP="008D7F43">
      <w:pPr>
        <w:jc w:val="both"/>
        <w:rPr>
          <w:rFonts w:ascii="Arial Narrow" w:hAnsi="Arial Narrow" w:cs="Gisha"/>
          <w:sz w:val="22"/>
          <w:szCs w:val="22"/>
        </w:rPr>
      </w:pPr>
    </w:p>
    <w:p w:rsidR="008D7F43" w:rsidRDefault="008D7F43" w:rsidP="00853B3A">
      <w:pPr>
        <w:pStyle w:val="Prrafodelista"/>
        <w:numPr>
          <w:ilvl w:val="0"/>
          <w:numId w:val="26"/>
        </w:numPr>
        <w:jc w:val="both"/>
        <w:rPr>
          <w:rFonts w:cs="Gisha"/>
          <w:sz w:val="22"/>
          <w:szCs w:val="22"/>
        </w:rPr>
      </w:pPr>
      <w:r w:rsidRPr="005E0481">
        <w:rPr>
          <w:rFonts w:cs="Gisha"/>
          <w:sz w:val="22"/>
          <w:szCs w:val="22"/>
        </w:rPr>
        <w:t xml:space="preserve">Los aportes recibidos por parte del Instituto Nacional de Vías –INVIAS- por concepto de la suscripción de los Convenios Nos. </w:t>
      </w:r>
      <w:r w:rsidRPr="005E0481">
        <w:rPr>
          <w:rFonts w:cs="Arial"/>
          <w:sz w:val="22"/>
          <w:szCs w:val="22"/>
        </w:rPr>
        <w:t xml:space="preserve">1154 de 2009 en virtud de cuyo objeto se aunaron esfuerzos con el Instituto Nacional de Vías para realizar los estudios y diseños, gestión social, predial, ambiental y mejoramiento del proyecto </w:t>
      </w:r>
      <w:r w:rsidRPr="005E0481">
        <w:rPr>
          <w:rFonts w:cs="Arial"/>
          <w:color w:val="000000"/>
          <w:sz w:val="22"/>
          <w:szCs w:val="22"/>
        </w:rPr>
        <w:t>Transversa</w:t>
      </w:r>
      <w:r w:rsidRPr="005E0481">
        <w:rPr>
          <w:rFonts w:cs="Arial"/>
          <w:sz w:val="22"/>
          <w:szCs w:val="22"/>
        </w:rPr>
        <w:t xml:space="preserve">l del Sisga y </w:t>
      </w:r>
      <w:r w:rsidRPr="005E0481">
        <w:rPr>
          <w:rFonts w:cs="Gisha"/>
          <w:sz w:val="22"/>
          <w:szCs w:val="22"/>
        </w:rPr>
        <w:t xml:space="preserve">3106 de 2009 </w:t>
      </w:r>
      <w:r w:rsidRPr="005E0481">
        <w:rPr>
          <w:rFonts w:cs="Arial"/>
          <w:sz w:val="22"/>
          <w:szCs w:val="22"/>
        </w:rPr>
        <w:t>en virtud de cuyo objeto se aunaron</w:t>
      </w:r>
      <w:r w:rsidRPr="005E0481">
        <w:rPr>
          <w:rFonts w:cs="Gisha"/>
          <w:sz w:val="22"/>
          <w:szCs w:val="22"/>
        </w:rPr>
        <w:t xml:space="preserve"> esfuerzos para llevar a cabo los diseños, el estudio y la construcción  de 6 puentes peatonales en la Autopista Sur Tramo Bosa- Soacha de la carretera Girardot-Silvania- Bogotá, Ruta 4005 (Adicional 4).  Dicha cuenta se va amortizando con la ejecución de Recursos Públicos Formato GCSP F- 007 tramitados en cada uno de los convenios y se resume de la siguiente manera:</w:t>
      </w:r>
    </w:p>
    <w:p w:rsidR="000F2910" w:rsidRPr="005E0481" w:rsidRDefault="000F2910" w:rsidP="000F2910">
      <w:pPr>
        <w:pStyle w:val="Prrafodelista"/>
        <w:ind w:left="405"/>
        <w:jc w:val="both"/>
        <w:rPr>
          <w:rFonts w:cs="Gisha"/>
          <w:sz w:val="22"/>
          <w:szCs w:val="22"/>
        </w:rPr>
      </w:pPr>
    </w:p>
    <w:tbl>
      <w:tblPr>
        <w:tblW w:w="6440" w:type="dxa"/>
        <w:jc w:val="center"/>
        <w:tblCellMar>
          <w:left w:w="70" w:type="dxa"/>
          <w:right w:w="70" w:type="dxa"/>
        </w:tblCellMar>
        <w:tblLook w:val="04A0" w:firstRow="1" w:lastRow="0" w:firstColumn="1" w:lastColumn="0" w:noHBand="0" w:noVBand="1"/>
      </w:tblPr>
      <w:tblGrid>
        <w:gridCol w:w="5180"/>
        <w:gridCol w:w="1260"/>
      </w:tblGrid>
      <w:tr w:rsidR="008D7F43" w:rsidRPr="00CC405B" w:rsidTr="0081765C">
        <w:trPr>
          <w:trHeight w:val="285"/>
          <w:jc w:val="center"/>
        </w:trPr>
        <w:tc>
          <w:tcPr>
            <w:tcW w:w="5180" w:type="dxa"/>
            <w:tcBorders>
              <w:top w:val="double" w:sz="6" w:space="0" w:color="000000"/>
              <w:left w:val="double" w:sz="6" w:space="0" w:color="000000"/>
              <w:bottom w:val="double" w:sz="6" w:space="0" w:color="auto"/>
              <w:right w:val="double" w:sz="6" w:space="0" w:color="000000"/>
            </w:tcBorders>
            <w:shd w:val="clear" w:color="000000" w:fill="FFFFFF"/>
            <w:vAlign w:val="center"/>
            <w:hideMark/>
          </w:tcPr>
          <w:p w:rsidR="008D7F43" w:rsidRPr="00CC405B" w:rsidRDefault="008D7F43" w:rsidP="0081765C">
            <w:pPr>
              <w:jc w:val="center"/>
              <w:rPr>
                <w:rFonts w:ascii="Arial" w:hAnsi="Arial" w:cs="Arial"/>
                <w:b/>
                <w:bCs/>
                <w:color w:val="000000"/>
                <w:sz w:val="20"/>
                <w:szCs w:val="20"/>
                <w:lang w:val="es-CO" w:eastAsia="es-CO"/>
              </w:rPr>
            </w:pPr>
            <w:r w:rsidRPr="00CC405B">
              <w:rPr>
                <w:rFonts w:ascii="Arial" w:hAnsi="Arial" w:cs="Arial"/>
                <w:b/>
                <w:bCs/>
                <w:color w:val="000000"/>
                <w:sz w:val="20"/>
                <w:szCs w:val="20"/>
                <w:lang w:val="es-CO" w:eastAsia="es-CO"/>
              </w:rPr>
              <w:t>CONCEPTO</w:t>
            </w:r>
          </w:p>
        </w:tc>
        <w:tc>
          <w:tcPr>
            <w:tcW w:w="1260" w:type="dxa"/>
            <w:tcBorders>
              <w:top w:val="double" w:sz="6" w:space="0" w:color="000000"/>
              <w:left w:val="nil"/>
              <w:bottom w:val="double" w:sz="6" w:space="0" w:color="auto"/>
              <w:right w:val="double" w:sz="6" w:space="0" w:color="000000"/>
            </w:tcBorders>
            <w:shd w:val="clear" w:color="000000" w:fill="FFFFFF"/>
            <w:vAlign w:val="center"/>
            <w:hideMark/>
          </w:tcPr>
          <w:p w:rsidR="008D7F43" w:rsidRPr="00CC405B" w:rsidRDefault="008D7F43" w:rsidP="0081765C">
            <w:pPr>
              <w:jc w:val="center"/>
              <w:rPr>
                <w:rFonts w:ascii="Arial" w:hAnsi="Arial" w:cs="Arial"/>
                <w:b/>
                <w:bCs/>
                <w:color w:val="000000"/>
                <w:sz w:val="20"/>
                <w:szCs w:val="20"/>
                <w:lang w:val="es-CO" w:eastAsia="es-CO"/>
              </w:rPr>
            </w:pPr>
            <w:r w:rsidRPr="00CC405B">
              <w:rPr>
                <w:rFonts w:ascii="Arial" w:hAnsi="Arial" w:cs="Arial"/>
                <w:b/>
                <w:bCs/>
                <w:color w:val="000000"/>
                <w:sz w:val="20"/>
                <w:szCs w:val="20"/>
                <w:lang w:val="es-CO" w:eastAsia="es-CO"/>
              </w:rPr>
              <w:t>VALOR</w:t>
            </w:r>
          </w:p>
        </w:tc>
      </w:tr>
      <w:tr w:rsidR="008D7F43" w:rsidRPr="00CC405B" w:rsidTr="0081765C">
        <w:trPr>
          <w:trHeight w:val="285"/>
          <w:jc w:val="center"/>
        </w:trPr>
        <w:tc>
          <w:tcPr>
            <w:tcW w:w="5180" w:type="dxa"/>
            <w:tcBorders>
              <w:top w:val="nil"/>
              <w:left w:val="double" w:sz="6" w:space="0" w:color="000000"/>
              <w:bottom w:val="single" w:sz="12" w:space="0" w:color="FFFFFF"/>
              <w:right w:val="double" w:sz="6" w:space="0" w:color="000000"/>
            </w:tcBorders>
            <w:shd w:val="clear" w:color="000000" w:fill="FFFFFF"/>
            <w:vAlign w:val="center"/>
            <w:hideMark/>
          </w:tcPr>
          <w:p w:rsidR="008D7F43" w:rsidRPr="00CC405B" w:rsidRDefault="008D7F43" w:rsidP="0081765C">
            <w:pPr>
              <w:jc w:val="center"/>
              <w:rPr>
                <w:rFonts w:ascii="Arial" w:hAnsi="Arial" w:cs="Arial"/>
                <w:color w:val="000000"/>
                <w:sz w:val="20"/>
                <w:szCs w:val="20"/>
                <w:lang w:val="es-CO" w:eastAsia="es-CO"/>
              </w:rPr>
            </w:pPr>
          </w:p>
        </w:tc>
        <w:tc>
          <w:tcPr>
            <w:tcW w:w="1260" w:type="dxa"/>
            <w:tcBorders>
              <w:top w:val="nil"/>
              <w:left w:val="nil"/>
              <w:bottom w:val="single" w:sz="12" w:space="0" w:color="FFFFFF"/>
              <w:right w:val="double" w:sz="6" w:space="0" w:color="000000"/>
            </w:tcBorders>
            <w:shd w:val="clear" w:color="000000" w:fill="FFFFFF"/>
            <w:vAlign w:val="center"/>
            <w:hideMark/>
          </w:tcPr>
          <w:p w:rsidR="008D7F43" w:rsidRPr="00CC405B" w:rsidRDefault="008D7F43" w:rsidP="0081765C">
            <w:pPr>
              <w:jc w:val="center"/>
              <w:rPr>
                <w:rFonts w:ascii="Arial" w:hAnsi="Arial" w:cs="Arial"/>
                <w:color w:val="000000"/>
                <w:sz w:val="20"/>
                <w:szCs w:val="20"/>
                <w:lang w:val="es-CO" w:eastAsia="es-CO"/>
              </w:rPr>
            </w:pPr>
          </w:p>
        </w:tc>
      </w:tr>
      <w:tr w:rsidR="008D7F43" w:rsidRPr="00CC405B" w:rsidTr="0081765C">
        <w:trPr>
          <w:trHeight w:val="285"/>
          <w:jc w:val="center"/>
        </w:trPr>
        <w:tc>
          <w:tcPr>
            <w:tcW w:w="5180" w:type="dxa"/>
            <w:tcBorders>
              <w:top w:val="nil"/>
              <w:left w:val="double" w:sz="6" w:space="0" w:color="000000"/>
              <w:bottom w:val="single" w:sz="12" w:space="0" w:color="FFFFFF"/>
              <w:right w:val="double" w:sz="6" w:space="0" w:color="000000"/>
            </w:tcBorders>
            <w:shd w:val="clear" w:color="000000" w:fill="FFFFFF"/>
            <w:vAlign w:val="center"/>
            <w:hideMark/>
          </w:tcPr>
          <w:p w:rsidR="008D7F43" w:rsidRPr="00CC405B" w:rsidRDefault="008D7F43" w:rsidP="0081765C">
            <w:pPr>
              <w:jc w:val="center"/>
              <w:rPr>
                <w:rFonts w:ascii="Arial" w:hAnsi="Arial" w:cs="Arial"/>
                <w:b/>
                <w:bCs/>
                <w:color w:val="000000"/>
                <w:sz w:val="20"/>
                <w:szCs w:val="20"/>
                <w:lang w:val="es-CO" w:eastAsia="es-CO"/>
              </w:rPr>
            </w:pPr>
            <w:r w:rsidRPr="00CC405B">
              <w:rPr>
                <w:rFonts w:ascii="Arial" w:hAnsi="Arial" w:cs="Arial"/>
                <w:b/>
                <w:bCs/>
                <w:color w:val="000000"/>
                <w:sz w:val="20"/>
                <w:szCs w:val="20"/>
                <w:lang w:val="es-CO" w:eastAsia="es-CO"/>
              </w:rPr>
              <w:t>RECURSOS RECIBIDOS DE INVIAS</w:t>
            </w:r>
          </w:p>
        </w:tc>
        <w:tc>
          <w:tcPr>
            <w:tcW w:w="1260" w:type="dxa"/>
            <w:tcBorders>
              <w:top w:val="nil"/>
              <w:left w:val="nil"/>
              <w:bottom w:val="single" w:sz="12" w:space="0" w:color="FFFFFF"/>
              <w:right w:val="double" w:sz="6" w:space="0" w:color="000000"/>
            </w:tcBorders>
            <w:shd w:val="clear" w:color="000000" w:fill="FFFFFF"/>
            <w:vAlign w:val="center"/>
            <w:hideMark/>
          </w:tcPr>
          <w:p w:rsidR="008D7F43" w:rsidRPr="00CC405B" w:rsidRDefault="008D7F43" w:rsidP="0081765C">
            <w:pPr>
              <w:jc w:val="center"/>
              <w:rPr>
                <w:rFonts w:ascii="Arial" w:hAnsi="Arial" w:cs="Arial"/>
                <w:b/>
                <w:bCs/>
                <w:color w:val="000000"/>
                <w:sz w:val="20"/>
                <w:szCs w:val="20"/>
                <w:lang w:val="es-CO" w:eastAsia="es-CO"/>
              </w:rPr>
            </w:pPr>
            <w:r w:rsidRPr="00CC405B">
              <w:rPr>
                <w:rFonts w:ascii="Arial" w:hAnsi="Arial" w:cs="Arial"/>
                <w:b/>
                <w:bCs/>
                <w:color w:val="000000"/>
                <w:sz w:val="20"/>
                <w:szCs w:val="20"/>
                <w:lang w:val="es-CO" w:eastAsia="es-CO"/>
              </w:rPr>
              <w:t>112.713.870</w:t>
            </w:r>
          </w:p>
        </w:tc>
      </w:tr>
      <w:tr w:rsidR="008D7F43" w:rsidRPr="00CC405B" w:rsidTr="0081765C">
        <w:trPr>
          <w:trHeight w:val="285"/>
          <w:jc w:val="center"/>
        </w:trPr>
        <w:tc>
          <w:tcPr>
            <w:tcW w:w="5180" w:type="dxa"/>
            <w:tcBorders>
              <w:top w:val="nil"/>
              <w:left w:val="double" w:sz="6" w:space="0" w:color="000000"/>
              <w:bottom w:val="single" w:sz="12" w:space="0" w:color="FFFFFF"/>
              <w:right w:val="double" w:sz="6" w:space="0" w:color="000000"/>
            </w:tcBorders>
            <w:shd w:val="clear" w:color="000000" w:fill="FFFFFF"/>
            <w:vAlign w:val="center"/>
            <w:hideMark/>
          </w:tcPr>
          <w:p w:rsidR="008D7F43" w:rsidRPr="00CC405B" w:rsidRDefault="008D7F43" w:rsidP="0081765C">
            <w:pPr>
              <w:jc w:val="center"/>
              <w:rPr>
                <w:rFonts w:ascii="Arial" w:hAnsi="Arial" w:cs="Arial"/>
                <w:color w:val="000000"/>
                <w:sz w:val="20"/>
                <w:szCs w:val="20"/>
                <w:lang w:val="es-CO" w:eastAsia="es-CO"/>
              </w:rPr>
            </w:pPr>
            <w:r w:rsidRPr="00CC405B">
              <w:rPr>
                <w:rFonts w:ascii="Arial" w:hAnsi="Arial" w:cs="Arial"/>
                <w:color w:val="000000"/>
                <w:sz w:val="20"/>
                <w:szCs w:val="20"/>
                <w:lang w:val="es-CO" w:eastAsia="es-CO"/>
              </w:rPr>
              <w:t>CONVENIO 1154 - SISGA GUATEQUE EL SECRETO</w:t>
            </w:r>
          </w:p>
        </w:tc>
        <w:tc>
          <w:tcPr>
            <w:tcW w:w="1260" w:type="dxa"/>
            <w:tcBorders>
              <w:top w:val="nil"/>
              <w:left w:val="nil"/>
              <w:bottom w:val="single" w:sz="12" w:space="0" w:color="FFFFFF"/>
              <w:right w:val="double" w:sz="6" w:space="0" w:color="000000"/>
            </w:tcBorders>
            <w:shd w:val="clear" w:color="000000" w:fill="FFFFFF"/>
            <w:vAlign w:val="center"/>
            <w:hideMark/>
          </w:tcPr>
          <w:p w:rsidR="008D7F43" w:rsidRPr="00CC405B" w:rsidRDefault="008D7F43" w:rsidP="0081765C">
            <w:pPr>
              <w:jc w:val="center"/>
              <w:rPr>
                <w:rFonts w:ascii="Arial" w:hAnsi="Arial" w:cs="Arial"/>
                <w:color w:val="000000"/>
                <w:sz w:val="20"/>
                <w:szCs w:val="20"/>
                <w:lang w:val="es-CO" w:eastAsia="es-CO"/>
              </w:rPr>
            </w:pPr>
            <w:r w:rsidRPr="00CC405B">
              <w:rPr>
                <w:rFonts w:ascii="Arial" w:hAnsi="Arial" w:cs="Arial"/>
                <w:color w:val="000000"/>
                <w:sz w:val="20"/>
                <w:szCs w:val="20"/>
                <w:lang w:val="es-CO" w:eastAsia="es-CO"/>
              </w:rPr>
              <w:t>84.897.870</w:t>
            </w:r>
          </w:p>
        </w:tc>
      </w:tr>
      <w:tr w:rsidR="008D7F43" w:rsidRPr="00CC405B" w:rsidTr="0081765C">
        <w:trPr>
          <w:trHeight w:val="285"/>
          <w:jc w:val="center"/>
        </w:trPr>
        <w:tc>
          <w:tcPr>
            <w:tcW w:w="5180" w:type="dxa"/>
            <w:tcBorders>
              <w:top w:val="nil"/>
              <w:left w:val="double" w:sz="6" w:space="0" w:color="000000"/>
              <w:bottom w:val="single" w:sz="12" w:space="0" w:color="FFFFFF"/>
              <w:right w:val="double" w:sz="6" w:space="0" w:color="000000"/>
            </w:tcBorders>
            <w:shd w:val="clear" w:color="000000" w:fill="FFFFFF"/>
            <w:vAlign w:val="center"/>
            <w:hideMark/>
          </w:tcPr>
          <w:p w:rsidR="008D7F43" w:rsidRPr="00CC405B" w:rsidRDefault="008D7F43" w:rsidP="0081765C">
            <w:pPr>
              <w:jc w:val="center"/>
              <w:rPr>
                <w:rFonts w:ascii="Arial" w:hAnsi="Arial" w:cs="Arial"/>
                <w:color w:val="000000"/>
                <w:sz w:val="20"/>
                <w:szCs w:val="20"/>
                <w:lang w:val="es-CO" w:eastAsia="es-CO"/>
              </w:rPr>
            </w:pPr>
            <w:r w:rsidRPr="00CC405B">
              <w:rPr>
                <w:rFonts w:ascii="Arial" w:hAnsi="Arial" w:cs="Arial"/>
                <w:color w:val="000000"/>
                <w:sz w:val="20"/>
                <w:szCs w:val="20"/>
                <w:lang w:val="es-CO" w:eastAsia="es-CO"/>
              </w:rPr>
              <w:t>CONVENIO 3106 - PUENTES SOACHA</w:t>
            </w:r>
          </w:p>
        </w:tc>
        <w:tc>
          <w:tcPr>
            <w:tcW w:w="1260" w:type="dxa"/>
            <w:tcBorders>
              <w:top w:val="nil"/>
              <w:left w:val="nil"/>
              <w:bottom w:val="single" w:sz="12" w:space="0" w:color="FFFFFF"/>
              <w:right w:val="double" w:sz="6" w:space="0" w:color="000000"/>
            </w:tcBorders>
            <w:shd w:val="clear" w:color="000000" w:fill="FFFFFF"/>
            <w:vAlign w:val="center"/>
            <w:hideMark/>
          </w:tcPr>
          <w:p w:rsidR="008D7F43" w:rsidRPr="00CC405B" w:rsidRDefault="008D7F43" w:rsidP="0081765C">
            <w:pPr>
              <w:jc w:val="center"/>
              <w:rPr>
                <w:rFonts w:ascii="Arial" w:hAnsi="Arial" w:cs="Arial"/>
                <w:color w:val="000000"/>
                <w:sz w:val="20"/>
                <w:szCs w:val="20"/>
                <w:lang w:val="es-CO" w:eastAsia="es-CO"/>
              </w:rPr>
            </w:pPr>
            <w:r w:rsidRPr="00CC405B">
              <w:rPr>
                <w:rFonts w:ascii="Arial" w:hAnsi="Arial" w:cs="Arial"/>
                <w:color w:val="000000"/>
                <w:sz w:val="20"/>
                <w:szCs w:val="20"/>
                <w:lang w:val="es-CO" w:eastAsia="es-CO"/>
              </w:rPr>
              <w:t>27.816.000</w:t>
            </w:r>
          </w:p>
        </w:tc>
      </w:tr>
      <w:tr w:rsidR="008D7F43" w:rsidRPr="00CC405B" w:rsidTr="0081765C">
        <w:trPr>
          <w:trHeight w:val="285"/>
          <w:jc w:val="center"/>
        </w:trPr>
        <w:tc>
          <w:tcPr>
            <w:tcW w:w="5180" w:type="dxa"/>
            <w:tcBorders>
              <w:top w:val="nil"/>
              <w:left w:val="double" w:sz="6" w:space="0" w:color="000000"/>
              <w:bottom w:val="single" w:sz="12" w:space="0" w:color="FFFFFF"/>
              <w:right w:val="double" w:sz="6" w:space="0" w:color="000000"/>
            </w:tcBorders>
            <w:shd w:val="clear" w:color="000000" w:fill="FFFFFF"/>
            <w:vAlign w:val="center"/>
            <w:hideMark/>
          </w:tcPr>
          <w:p w:rsidR="008D7F43" w:rsidRPr="00CC405B" w:rsidRDefault="008D7F43" w:rsidP="0081765C">
            <w:pPr>
              <w:jc w:val="center"/>
              <w:rPr>
                <w:rFonts w:ascii="Arial" w:hAnsi="Arial" w:cs="Arial"/>
                <w:color w:val="000000"/>
                <w:sz w:val="20"/>
                <w:szCs w:val="20"/>
                <w:lang w:val="es-CO" w:eastAsia="es-CO"/>
              </w:rPr>
            </w:pPr>
          </w:p>
        </w:tc>
        <w:tc>
          <w:tcPr>
            <w:tcW w:w="1260" w:type="dxa"/>
            <w:tcBorders>
              <w:top w:val="nil"/>
              <w:left w:val="nil"/>
              <w:bottom w:val="single" w:sz="12" w:space="0" w:color="FFFFFF"/>
              <w:right w:val="double" w:sz="6" w:space="0" w:color="000000"/>
            </w:tcBorders>
            <w:shd w:val="clear" w:color="000000" w:fill="FFFFFF"/>
            <w:vAlign w:val="center"/>
            <w:hideMark/>
          </w:tcPr>
          <w:p w:rsidR="008D7F43" w:rsidRPr="00CC405B" w:rsidRDefault="008D7F43" w:rsidP="0081765C">
            <w:pPr>
              <w:jc w:val="center"/>
              <w:rPr>
                <w:rFonts w:ascii="Arial" w:hAnsi="Arial" w:cs="Arial"/>
                <w:color w:val="000000"/>
                <w:sz w:val="20"/>
                <w:szCs w:val="20"/>
                <w:lang w:val="es-CO" w:eastAsia="es-CO"/>
              </w:rPr>
            </w:pPr>
          </w:p>
        </w:tc>
      </w:tr>
      <w:tr w:rsidR="008D7F43" w:rsidRPr="00CC405B" w:rsidTr="0081765C">
        <w:trPr>
          <w:trHeight w:val="285"/>
          <w:jc w:val="center"/>
        </w:trPr>
        <w:tc>
          <w:tcPr>
            <w:tcW w:w="5180" w:type="dxa"/>
            <w:tcBorders>
              <w:top w:val="nil"/>
              <w:left w:val="double" w:sz="6" w:space="0" w:color="000000"/>
              <w:bottom w:val="single" w:sz="12" w:space="0" w:color="FFFFFF"/>
              <w:right w:val="double" w:sz="6" w:space="0" w:color="000000"/>
            </w:tcBorders>
            <w:shd w:val="clear" w:color="000000" w:fill="FFFFFF"/>
            <w:vAlign w:val="center"/>
            <w:hideMark/>
          </w:tcPr>
          <w:p w:rsidR="008D7F43" w:rsidRPr="00CC405B" w:rsidRDefault="008D7F43" w:rsidP="0081765C">
            <w:pPr>
              <w:jc w:val="center"/>
              <w:rPr>
                <w:rFonts w:ascii="Arial" w:hAnsi="Arial" w:cs="Arial"/>
                <w:b/>
                <w:bCs/>
                <w:color w:val="000000"/>
                <w:sz w:val="20"/>
                <w:szCs w:val="20"/>
                <w:lang w:val="es-CO" w:eastAsia="es-CO"/>
              </w:rPr>
            </w:pPr>
            <w:r w:rsidRPr="00CC405B">
              <w:rPr>
                <w:rFonts w:ascii="Arial" w:hAnsi="Arial" w:cs="Arial"/>
                <w:b/>
                <w:bCs/>
                <w:color w:val="000000"/>
                <w:sz w:val="20"/>
                <w:szCs w:val="20"/>
                <w:lang w:val="es-CO" w:eastAsia="es-CO"/>
              </w:rPr>
              <w:t xml:space="preserve">RECURSOS </w:t>
            </w:r>
            <w:r w:rsidR="0081765C">
              <w:rPr>
                <w:rFonts w:ascii="Arial" w:hAnsi="Arial" w:cs="Arial"/>
                <w:b/>
                <w:bCs/>
                <w:color w:val="000000"/>
                <w:sz w:val="20"/>
                <w:szCs w:val="20"/>
                <w:lang w:val="es-CO" w:eastAsia="es-CO"/>
              </w:rPr>
              <w:t>PENDIENTES DE EJECUCION</w:t>
            </w:r>
          </w:p>
        </w:tc>
        <w:tc>
          <w:tcPr>
            <w:tcW w:w="1260" w:type="dxa"/>
            <w:tcBorders>
              <w:top w:val="nil"/>
              <w:left w:val="nil"/>
              <w:bottom w:val="single" w:sz="12" w:space="0" w:color="FFFFFF"/>
              <w:right w:val="double" w:sz="6" w:space="0" w:color="000000"/>
            </w:tcBorders>
            <w:shd w:val="clear" w:color="000000" w:fill="FFFFFF"/>
            <w:vAlign w:val="center"/>
            <w:hideMark/>
          </w:tcPr>
          <w:p w:rsidR="008D7F43" w:rsidRPr="00CC405B" w:rsidRDefault="008D7F43" w:rsidP="0081765C">
            <w:pPr>
              <w:jc w:val="center"/>
              <w:rPr>
                <w:rFonts w:ascii="Arial" w:hAnsi="Arial" w:cs="Arial"/>
                <w:color w:val="000000"/>
                <w:sz w:val="20"/>
                <w:szCs w:val="20"/>
                <w:lang w:val="es-CO" w:eastAsia="es-CO"/>
              </w:rPr>
            </w:pPr>
          </w:p>
        </w:tc>
      </w:tr>
      <w:tr w:rsidR="008D7F43" w:rsidRPr="00CC405B" w:rsidTr="0081765C">
        <w:trPr>
          <w:trHeight w:val="285"/>
          <w:jc w:val="center"/>
        </w:trPr>
        <w:tc>
          <w:tcPr>
            <w:tcW w:w="5180" w:type="dxa"/>
            <w:tcBorders>
              <w:top w:val="nil"/>
              <w:left w:val="double" w:sz="6" w:space="0" w:color="000000"/>
              <w:bottom w:val="single" w:sz="12" w:space="0" w:color="FFFFFF"/>
              <w:right w:val="double" w:sz="6" w:space="0" w:color="000000"/>
            </w:tcBorders>
            <w:shd w:val="clear" w:color="000000" w:fill="FFFFFF"/>
            <w:vAlign w:val="center"/>
            <w:hideMark/>
          </w:tcPr>
          <w:p w:rsidR="008D7F43" w:rsidRPr="00CC405B" w:rsidRDefault="008D7F43" w:rsidP="0081765C">
            <w:pPr>
              <w:jc w:val="center"/>
              <w:rPr>
                <w:rFonts w:ascii="Arial" w:hAnsi="Arial" w:cs="Arial"/>
                <w:color w:val="000000"/>
                <w:sz w:val="20"/>
                <w:szCs w:val="20"/>
                <w:lang w:val="es-CO" w:eastAsia="es-CO"/>
              </w:rPr>
            </w:pPr>
            <w:r w:rsidRPr="00CC405B">
              <w:rPr>
                <w:rFonts w:ascii="Arial" w:hAnsi="Arial" w:cs="Arial"/>
                <w:color w:val="000000"/>
                <w:sz w:val="20"/>
                <w:szCs w:val="20"/>
                <w:lang w:val="es-CO" w:eastAsia="es-CO"/>
              </w:rPr>
              <w:t>CONVENIO 1154 - BRICEÑO - TUNJA - SOGAMOSO</w:t>
            </w:r>
          </w:p>
        </w:tc>
        <w:tc>
          <w:tcPr>
            <w:tcW w:w="1260" w:type="dxa"/>
            <w:tcBorders>
              <w:top w:val="nil"/>
              <w:left w:val="nil"/>
              <w:bottom w:val="single" w:sz="12" w:space="0" w:color="FFFFFF"/>
              <w:right w:val="double" w:sz="6" w:space="0" w:color="000000"/>
            </w:tcBorders>
            <w:shd w:val="clear" w:color="000000" w:fill="FFFFFF"/>
            <w:vAlign w:val="center"/>
            <w:hideMark/>
          </w:tcPr>
          <w:p w:rsidR="008D7F43" w:rsidRPr="00CC405B" w:rsidRDefault="008D7F43" w:rsidP="0081765C">
            <w:pPr>
              <w:jc w:val="center"/>
              <w:rPr>
                <w:rFonts w:ascii="Arial" w:hAnsi="Arial" w:cs="Arial"/>
                <w:color w:val="000000"/>
                <w:sz w:val="20"/>
                <w:szCs w:val="20"/>
                <w:lang w:val="es-CO" w:eastAsia="es-CO"/>
              </w:rPr>
            </w:pPr>
            <w:r w:rsidRPr="00CC405B">
              <w:rPr>
                <w:rFonts w:ascii="Arial" w:hAnsi="Arial" w:cs="Arial"/>
                <w:color w:val="000000"/>
                <w:sz w:val="20"/>
                <w:szCs w:val="20"/>
                <w:lang w:val="es-CO" w:eastAsia="es-CO"/>
              </w:rPr>
              <w:t>4.089.703</w:t>
            </w:r>
          </w:p>
        </w:tc>
      </w:tr>
      <w:tr w:rsidR="008D7F43" w:rsidRPr="00CC405B" w:rsidTr="0081765C">
        <w:trPr>
          <w:trHeight w:val="285"/>
          <w:jc w:val="center"/>
        </w:trPr>
        <w:tc>
          <w:tcPr>
            <w:tcW w:w="5180" w:type="dxa"/>
            <w:tcBorders>
              <w:top w:val="nil"/>
              <w:left w:val="double" w:sz="6" w:space="0" w:color="000000"/>
              <w:bottom w:val="single" w:sz="12" w:space="0" w:color="FFFFFF"/>
              <w:right w:val="double" w:sz="6" w:space="0" w:color="000000"/>
            </w:tcBorders>
            <w:shd w:val="clear" w:color="000000" w:fill="FFFFFF"/>
            <w:vAlign w:val="center"/>
            <w:hideMark/>
          </w:tcPr>
          <w:p w:rsidR="008D7F43" w:rsidRPr="00CC405B" w:rsidRDefault="008D7F43" w:rsidP="0081765C">
            <w:pPr>
              <w:jc w:val="center"/>
              <w:rPr>
                <w:rFonts w:ascii="Arial" w:hAnsi="Arial" w:cs="Arial"/>
                <w:color w:val="000000"/>
                <w:sz w:val="20"/>
                <w:szCs w:val="20"/>
                <w:lang w:val="es-CO" w:eastAsia="es-CO"/>
              </w:rPr>
            </w:pPr>
            <w:r w:rsidRPr="00CC405B">
              <w:rPr>
                <w:rFonts w:ascii="Arial" w:hAnsi="Arial" w:cs="Arial"/>
                <w:color w:val="000000"/>
                <w:sz w:val="20"/>
                <w:szCs w:val="20"/>
                <w:lang w:val="es-CO" w:eastAsia="es-CO"/>
              </w:rPr>
              <w:t>CONVENIO 3106 - PUENTES SOACHA</w:t>
            </w:r>
          </w:p>
        </w:tc>
        <w:tc>
          <w:tcPr>
            <w:tcW w:w="1260" w:type="dxa"/>
            <w:tcBorders>
              <w:top w:val="nil"/>
              <w:left w:val="nil"/>
              <w:bottom w:val="single" w:sz="12" w:space="0" w:color="FFFFFF"/>
              <w:right w:val="double" w:sz="6" w:space="0" w:color="000000"/>
            </w:tcBorders>
            <w:shd w:val="clear" w:color="000000" w:fill="FFFFFF"/>
            <w:vAlign w:val="center"/>
            <w:hideMark/>
          </w:tcPr>
          <w:p w:rsidR="008D7F43" w:rsidRPr="00CC405B" w:rsidRDefault="008D7F43" w:rsidP="0081765C">
            <w:pPr>
              <w:jc w:val="center"/>
              <w:rPr>
                <w:rFonts w:ascii="Arial" w:hAnsi="Arial" w:cs="Arial"/>
                <w:color w:val="000000"/>
                <w:sz w:val="20"/>
                <w:szCs w:val="20"/>
                <w:lang w:val="es-CO" w:eastAsia="es-CO"/>
              </w:rPr>
            </w:pPr>
            <w:r w:rsidRPr="00CC405B">
              <w:rPr>
                <w:rFonts w:ascii="Arial" w:hAnsi="Arial" w:cs="Arial"/>
                <w:color w:val="000000"/>
                <w:sz w:val="20"/>
                <w:szCs w:val="20"/>
                <w:lang w:val="es-CO" w:eastAsia="es-CO"/>
              </w:rPr>
              <w:t>22.987.816</w:t>
            </w:r>
          </w:p>
        </w:tc>
      </w:tr>
      <w:tr w:rsidR="008D7F43" w:rsidRPr="00CC405B" w:rsidTr="0081765C">
        <w:trPr>
          <w:trHeight w:val="285"/>
          <w:jc w:val="center"/>
        </w:trPr>
        <w:tc>
          <w:tcPr>
            <w:tcW w:w="5180" w:type="dxa"/>
            <w:tcBorders>
              <w:top w:val="nil"/>
              <w:left w:val="double" w:sz="6" w:space="0" w:color="000000"/>
              <w:bottom w:val="double" w:sz="6" w:space="0" w:color="auto"/>
              <w:right w:val="double" w:sz="6" w:space="0" w:color="000000"/>
            </w:tcBorders>
            <w:shd w:val="clear" w:color="000000" w:fill="FFFFFF"/>
            <w:vAlign w:val="center"/>
            <w:hideMark/>
          </w:tcPr>
          <w:p w:rsidR="008D7F43" w:rsidRPr="00CC405B" w:rsidRDefault="008D7F43" w:rsidP="0081765C">
            <w:pPr>
              <w:jc w:val="center"/>
              <w:rPr>
                <w:rFonts w:ascii="Arial" w:hAnsi="Arial" w:cs="Arial"/>
                <w:color w:val="000000"/>
                <w:sz w:val="20"/>
                <w:szCs w:val="20"/>
                <w:lang w:val="es-CO" w:eastAsia="es-CO"/>
              </w:rPr>
            </w:pPr>
          </w:p>
        </w:tc>
        <w:tc>
          <w:tcPr>
            <w:tcW w:w="1260" w:type="dxa"/>
            <w:tcBorders>
              <w:top w:val="nil"/>
              <w:left w:val="nil"/>
              <w:bottom w:val="double" w:sz="6" w:space="0" w:color="auto"/>
              <w:right w:val="double" w:sz="6" w:space="0" w:color="000000"/>
            </w:tcBorders>
            <w:shd w:val="clear" w:color="000000" w:fill="FFFFFF"/>
            <w:vAlign w:val="center"/>
            <w:hideMark/>
          </w:tcPr>
          <w:p w:rsidR="008D7F43" w:rsidRPr="00CC405B" w:rsidRDefault="008D7F43" w:rsidP="0081765C">
            <w:pPr>
              <w:jc w:val="center"/>
              <w:rPr>
                <w:rFonts w:ascii="Arial" w:hAnsi="Arial" w:cs="Arial"/>
                <w:color w:val="000000"/>
                <w:sz w:val="20"/>
                <w:szCs w:val="20"/>
                <w:lang w:val="es-CO" w:eastAsia="es-CO"/>
              </w:rPr>
            </w:pPr>
          </w:p>
        </w:tc>
      </w:tr>
      <w:tr w:rsidR="008D7F43" w:rsidRPr="00CC405B" w:rsidTr="0081765C">
        <w:trPr>
          <w:trHeight w:val="285"/>
          <w:jc w:val="center"/>
        </w:trPr>
        <w:tc>
          <w:tcPr>
            <w:tcW w:w="5180" w:type="dxa"/>
            <w:tcBorders>
              <w:top w:val="nil"/>
              <w:left w:val="double" w:sz="6" w:space="0" w:color="000000"/>
              <w:bottom w:val="double" w:sz="6" w:space="0" w:color="auto"/>
              <w:right w:val="double" w:sz="6" w:space="0" w:color="000000"/>
            </w:tcBorders>
            <w:shd w:val="clear" w:color="000000" w:fill="FFFFFF"/>
            <w:vAlign w:val="center"/>
            <w:hideMark/>
          </w:tcPr>
          <w:p w:rsidR="008D7F43" w:rsidRPr="00CC405B" w:rsidRDefault="008D7F43" w:rsidP="0081765C">
            <w:pPr>
              <w:jc w:val="center"/>
              <w:rPr>
                <w:rFonts w:ascii="Arial" w:hAnsi="Arial" w:cs="Arial"/>
                <w:b/>
                <w:bCs/>
                <w:color w:val="000000"/>
                <w:sz w:val="20"/>
                <w:szCs w:val="20"/>
                <w:lang w:val="es-CO" w:eastAsia="es-CO"/>
              </w:rPr>
            </w:pPr>
            <w:r w:rsidRPr="00CC405B">
              <w:rPr>
                <w:rFonts w:ascii="Arial" w:hAnsi="Arial" w:cs="Arial"/>
                <w:b/>
                <w:bCs/>
                <w:color w:val="000000"/>
                <w:sz w:val="20"/>
                <w:szCs w:val="20"/>
                <w:lang w:val="es-CO" w:eastAsia="es-CO"/>
              </w:rPr>
              <w:t xml:space="preserve">TOTAL </w:t>
            </w:r>
            <w:r w:rsidR="0081765C">
              <w:rPr>
                <w:rFonts w:ascii="Arial" w:hAnsi="Arial" w:cs="Arial"/>
                <w:b/>
                <w:bCs/>
                <w:color w:val="000000"/>
                <w:sz w:val="20"/>
                <w:szCs w:val="20"/>
                <w:lang w:val="es-CO" w:eastAsia="es-CO"/>
              </w:rPr>
              <w:t>PENDIENTE DE EJECUCION</w:t>
            </w:r>
          </w:p>
        </w:tc>
        <w:tc>
          <w:tcPr>
            <w:tcW w:w="1260" w:type="dxa"/>
            <w:tcBorders>
              <w:top w:val="nil"/>
              <w:left w:val="nil"/>
              <w:bottom w:val="double" w:sz="6" w:space="0" w:color="auto"/>
              <w:right w:val="double" w:sz="6" w:space="0" w:color="000000"/>
            </w:tcBorders>
            <w:shd w:val="clear" w:color="000000" w:fill="FFFFFF"/>
            <w:vAlign w:val="center"/>
            <w:hideMark/>
          </w:tcPr>
          <w:p w:rsidR="008D7F43" w:rsidRPr="00CC405B" w:rsidRDefault="008D7F43" w:rsidP="0081765C">
            <w:pPr>
              <w:jc w:val="center"/>
              <w:rPr>
                <w:rFonts w:ascii="Arial" w:hAnsi="Arial" w:cs="Arial"/>
                <w:b/>
                <w:bCs/>
                <w:color w:val="000000"/>
                <w:sz w:val="20"/>
                <w:szCs w:val="20"/>
                <w:lang w:val="es-CO" w:eastAsia="es-CO"/>
              </w:rPr>
            </w:pPr>
            <w:r w:rsidRPr="00CC405B">
              <w:rPr>
                <w:rFonts w:ascii="Arial" w:hAnsi="Arial" w:cs="Arial"/>
                <w:b/>
                <w:bCs/>
                <w:color w:val="000000"/>
                <w:sz w:val="20"/>
                <w:szCs w:val="20"/>
                <w:lang w:val="es-CO" w:eastAsia="es-CO"/>
              </w:rPr>
              <w:t>27.077.519</w:t>
            </w:r>
          </w:p>
        </w:tc>
      </w:tr>
    </w:tbl>
    <w:p w:rsidR="008D7F43" w:rsidRDefault="008D7F43" w:rsidP="008D7F43">
      <w:pPr>
        <w:jc w:val="center"/>
        <w:rPr>
          <w:rFonts w:ascii="Arial Narrow" w:hAnsi="Arial Narrow" w:cs="Gisha"/>
          <w:sz w:val="22"/>
          <w:szCs w:val="22"/>
        </w:rPr>
      </w:pPr>
    </w:p>
    <w:p w:rsidR="008D7F43" w:rsidRDefault="008D7F43" w:rsidP="008D7F43">
      <w:pPr>
        <w:jc w:val="both"/>
        <w:rPr>
          <w:rFonts w:ascii="Arial Narrow" w:hAnsi="Arial Narrow" w:cs="Gisha"/>
          <w:sz w:val="22"/>
          <w:szCs w:val="22"/>
        </w:rPr>
      </w:pPr>
      <w:r>
        <w:rPr>
          <w:rFonts w:ascii="Arial Narrow" w:hAnsi="Arial Narrow" w:cs="Gisha"/>
          <w:sz w:val="22"/>
          <w:szCs w:val="22"/>
        </w:rPr>
        <w:t>E</w:t>
      </w:r>
      <w:r w:rsidR="0081765C">
        <w:rPr>
          <w:rFonts w:ascii="Arial Narrow" w:hAnsi="Arial Narrow" w:cs="Gisha"/>
          <w:sz w:val="22"/>
          <w:szCs w:val="22"/>
        </w:rPr>
        <w:t>n e</w:t>
      </w:r>
      <w:r>
        <w:rPr>
          <w:rFonts w:ascii="Arial Narrow" w:hAnsi="Arial Narrow" w:cs="Gisha"/>
          <w:sz w:val="22"/>
          <w:szCs w:val="22"/>
        </w:rPr>
        <w:t>st</w:t>
      </w:r>
      <w:r w:rsidR="000A164E">
        <w:rPr>
          <w:rFonts w:ascii="Arial Narrow" w:hAnsi="Arial Narrow" w:cs="Gisha"/>
          <w:sz w:val="22"/>
          <w:szCs w:val="22"/>
        </w:rPr>
        <w:t>a cuenta también se incluye el C</w:t>
      </w:r>
      <w:r>
        <w:rPr>
          <w:rFonts w:ascii="Arial Narrow" w:hAnsi="Arial Narrow" w:cs="Gisha"/>
          <w:sz w:val="22"/>
          <w:szCs w:val="22"/>
        </w:rPr>
        <w:t>onvenio</w:t>
      </w:r>
      <w:r>
        <w:t xml:space="preserve"> </w:t>
      </w:r>
      <w:r w:rsidRPr="00B838BA">
        <w:rPr>
          <w:rFonts w:ascii="Arial Narrow" w:hAnsi="Arial Narrow" w:cs="Gisha"/>
          <w:sz w:val="22"/>
          <w:szCs w:val="22"/>
        </w:rPr>
        <w:t>No. 496 del 29 de dic</w:t>
      </w:r>
      <w:r>
        <w:rPr>
          <w:rFonts w:ascii="Arial Narrow" w:hAnsi="Arial Narrow" w:cs="Gisha"/>
          <w:sz w:val="22"/>
          <w:szCs w:val="22"/>
        </w:rPr>
        <w:t>iembre</w:t>
      </w:r>
      <w:r w:rsidRPr="00B838BA">
        <w:rPr>
          <w:rFonts w:ascii="Arial Narrow" w:hAnsi="Arial Narrow" w:cs="Gisha"/>
          <w:sz w:val="22"/>
          <w:szCs w:val="22"/>
        </w:rPr>
        <w:t xml:space="preserve"> de 2014  celebrado entre </w:t>
      </w:r>
      <w:r>
        <w:rPr>
          <w:rFonts w:ascii="Arial Narrow" w:hAnsi="Arial Narrow" w:cs="Gisha"/>
          <w:sz w:val="22"/>
          <w:szCs w:val="22"/>
        </w:rPr>
        <w:t>el Ministerio de Transporte, Agencia Nacional de Infraestructura ANI</w:t>
      </w:r>
      <w:r w:rsidRPr="00B838BA">
        <w:rPr>
          <w:rFonts w:ascii="Arial Narrow" w:hAnsi="Arial Narrow" w:cs="Gisha"/>
          <w:sz w:val="22"/>
          <w:szCs w:val="22"/>
        </w:rPr>
        <w:t xml:space="preserve"> y Aeronáutica Civil cuyo objeto es aunar esfuerzos administrativos, técnicos y financieros con el fin de implementar estrategias  que permitan la optimización y/o seguimiento de los programas y </w:t>
      </w:r>
      <w:r w:rsidRPr="00B838BA">
        <w:rPr>
          <w:rFonts w:ascii="Arial Narrow" w:hAnsi="Arial Narrow" w:cs="Gisha"/>
          <w:sz w:val="22"/>
          <w:szCs w:val="22"/>
        </w:rPr>
        <w:lastRenderedPageBreak/>
        <w:t>proyectos en ejecución, a través de las coordinación entre estos a</w:t>
      </w:r>
      <w:r w:rsidR="000A164E">
        <w:rPr>
          <w:rFonts w:ascii="Arial Narrow" w:hAnsi="Arial Narrow" w:cs="Gisha"/>
          <w:sz w:val="22"/>
          <w:szCs w:val="22"/>
        </w:rPr>
        <w:t xml:space="preserve">ctores, </w:t>
      </w:r>
      <w:r w:rsidR="000376B6" w:rsidRPr="000376B6">
        <w:rPr>
          <w:rFonts w:ascii="Arial Narrow" w:hAnsi="Arial Narrow" w:cs="Gisha"/>
          <w:sz w:val="22"/>
          <w:szCs w:val="22"/>
        </w:rPr>
        <w:t>respecto a la</w:t>
      </w:r>
      <w:r w:rsidR="000376B6">
        <w:rPr>
          <w:rFonts w:ascii="Arial Narrow" w:hAnsi="Arial Narrow" w:cs="Gisha"/>
          <w:color w:val="FF0000"/>
          <w:sz w:val="22"/>
          <w:szCs w:val="22"/>
        </w:rPr>
        <w:t xml:space="preserve"> </w:t>
      </w:r>
      <w:r w:rsidRPr="00B838BA">
        <w:rPr>
          <w:rFonts w:ascii="Arial Narrow" w:hAnsi="Arial Narrow" w:cs="Gisha"/>
          <w:sz w:val="22"/>
          <w:szCs w:val="22"/>
        </w:rPr>
        <w:t xml:space="preserve">construcción, mantenimiento y demás obras integrales orientadas a fortalecer la operación del Aeropuerto Internacional El Dorado “Luis Carlos Galán Sarmiento” de la ciudad de Bogotá, recursos recibidos en administración de  Aeronáutica Civil </w:t>
      </w:r>
      <w:r>
        <w:rPr>
          <w:rFonts w:ascii="Arial Narrow" w:hAnsi="Arial Narrow" w:cs="Gisha"/>
          <w:sz w:val="22"/>
          <w:szCs w:val="22"/>
        </w:rPr>
        <w:t>$</w:t>
      </w:r>
      <w:r w:rsidRPr="00B838BA">
        <w:rPr>
          <w:rFonts w:ascii="Arial Narrow" w:hAnsi="Arial Narrow" w:cs="Gisha"/>
          <w:sz w:val="22"/>
          <w:szCs w:val="22"/>
        </w:rPr>
        <w:t xml:space="preserve">250.000 miles y Ministerio de Transporte </w:t>
      </w:r>
      <w:r>
        <w:rPr>
          <w:rFonts w:ascii="Arial Narrow" w:hAnsi="Arial Narrow" w:cs="Gisha"/>
          <w:sz w:val="22"/>
          <w:szCs w:val="22"/>
        </w:rPr>
        <w:t>$</w:t>
      </w:r>
      <w:r w:rsidRPr="00B838BA">
        <w:rPr>
          <w:rFonts w:ascii="Arial Narrow" w:hAnsi="Arial Narrow" w:cs="Gisha"/>
          <w:sz w:val="22"/>
          <w:szCs w:val="22"/>
        </w:rPr>
        <w:t>350.000 Miles, sin ejecución a 31 de diciembre de 2015.</w:t>
      </w:r>
    </w:p>
    <w:p w:rsidR="008D7F43" w:rsidRDefault="008D7F43" w:rsidP="008D7F43">
      <w:pPr>
        <w:jc w:val="both"/>
        <w:rPr>
          <w:rFonts w:ascii="Arial Narrow" w:hAnsi="Arial Narrow" w:cs="Gisha"/>
          <w:sz w:val="22"/>
          <w:szCs w:val="22"/>
        </w:rPr>
      </w:pPr>
    </w:p>
    <w:p w:rsidR="008D7F43" w:rsidRDefault="008D7F43" w:rsidP="008D7F43">
      <w:pPr>
        <w:jc w:val="both"/>
        <w:rPr>
          <w:rFonts w:ascii="Arial Narrow" w:hAnsi="Arial Narrow" w:cs="Gisha"/>
          <w:sz w:val="22"/>
          <w:szCs w:val="22"/>
        </w:rPr>
      </w:pPr>
      <w:r>
        <w:rPr>
          <w:rFonts w:ascii="Arial Narrow" w:hAnsi="Arial Narrow" w:cs="Gisha"/>
          <w:sz w:val="22"/>
          <w:szCs w:val="22"/>
        </w:rPr>
        <w:t xml:space="preserve">En la </w:t>
      </w:r>
      <w:r w:rsidRPr="00362A5B">
        <w:rPr>
          <w:rFonts w:ascii="Arial Narrow" w:hAnsi="Arial Narrow" w:cs="Gisha"/>
          <w:sz w:val="22"/>
          <w:szCs w:val="22"/>
        </w:rPr>
        <w:t xml:space="preserve"> subcuenta</w:t>
      </w:r>
      <w:r>
        <w:rPr>
          <w:rFonts w:ascii="Arial Narrow" w:hAnsi="Arial Narrow" w:cs="Gisha"/>
          <w:sz w:val="22"/>
          <w:szCs w:val="22"/>
        </w:rPr>
        <w:t xml:space="preserve"> créditos judiciales , </w:t>
      </w:r>
      <w:r w:rsidRPr="00362A5B">
        <w:rPr>
          <w:rFonts w:ascii="Arial Narrow" w:hAnsi="Arial Narrow" w:cs="Gisha"/>
          <w:sz w:val="22"/>
          <w:szCs w:val="22"/>
        </w:rPr>
        <w:t>se refleja el saldo por Reconocimiento de Auto  del Tribunal Administrativo de Cundinamarca, Sección tercera que Aprueba “</w:t>
      </w:r>
      <w:r w:rsidRPr="00362A5B">
        <w:rPr>
          <w:rFonts w:ascii="Arial Narrow" w:hAnsi="Arial Narrow" w:cs="Gisha"/>
          <w:i/>
          <w:sz w:val="22"/>
          <w:szCs w:val="22"/>
        </w:rPr>
        <w:t>Conciliación Judicial lograda el 22 de junio de 2015  entre la sociedad  CSS Constructores y la Agencia Nacional de Infraestructura ANI- en donde se llegó al acuerdo económico de cancelar por parte de la entidad demandada la suma de    por $41.953.316 miles”</w:t>
      </w:r>
      <w:r w:rsidRPr="00362A5B">
        <w:rPr>
          <w:rFonts w:ascii="Arial Narrow" w:hAnsi="Arial Narrow" w:cs="Gisha"/>
          <w:sz w:val="22"/>
          <w:szCs w:val="22"/>
        </w:rPr>
        <w:t>., producto de la demanda interpuesta en ejercicio de reparación directa, con el fin de que se le declare patrimonial y Administrativamente a la Agencia Nacional de Infraestructura responsable a título de enriquecimiento sin justa causa, por lo</w:t>
      </w:r>
      <w:r w:rsidR="000376B6">
        <w:rPr>
          <w:rFonts w:ascii="Arial Narrow" w:hAnsi="Arial Narrow" w:cs="Gisha"/>
          <w:sz w:val="22"/>
          <w:szCs w:val="22"/>
        </w:rPr>
        <w:t>s perjuicios de orden material</w:t>
      </w:r>
      <w:r w:rsidRPr="00362A5B">
        <w:rPr>
          <w:rFonts w:ascii="Arial Narrow" w:hAnsi="Arial Narrow" w:cs="Gisha"/>
          <w:sz w:val="22"/>
          <w:szCs w:val="22"/>
        </w:rPr>
        <w:t xml:space="preserve"> causado a la Sociedad CSS Constructores S.A</w:t>
      </w:r>
      <w:r>
        <w:rPr>
          <w:rFonts w:ascii="Arial Narrow" w:hAnsi="Arial Narrow" w:cs="Gisha"/>
          <w:sz w:val="22"/>
          <w:szCs w:val="22"/>
        </w:rPr>
        <w:t>.</w:t>
      </w:r>
    </w:p>
    <w:p w:rsidR="008D7F43" w:rsidRDefault="008D7F43" w:rsidP="008D7F43">
      <w:pPr>
        <w:jc w:val="both"/>
        <w:rPr>
          <w:rFonts w:ascii="Arial Narrow" w:hAnsi="Arial Narrow" w:cs="Gisha"/>
          <w:sz w:val="22"/>
          <w:szCs w:val="22"/>
        </w:rPr>
      </w:pPr>
    </w:p>
    <w:p w:rsidR="008D7F43" w:rsidRDefault="008D7F43" w:rsidP="008D7F43">
      <w:pPr>
        <w:jc w:val="both"/>
        <w:rPr>
          <w:rFonts w:ascii="Arial Narrow" w:hAnsi="Arial Narrow" w:cs="Gisha"/>
          <w:sz w:val="22"/>
          <w:szCs w:val="22"/>
        </w:rPr>
      </w:pPr>
      <w:r w:rsidRPr="006B4AE1">
        <w:rPr>
          <w:rFonts w:ascii="Arial Narrow" w:hAnsi="Arial Narrow" w:cs="Gisha"/>
          <w:sz w:val="22"/>
          <w:szCs w:val="22"/>
        </w:rPr>
        <w:t>En esta subcuenta</w:t>
      </w:r>
      <w:r>
        <w:rPr>
          <w:rFonts w:ascii="Arial Narrow" w:hAnsi="Arial Narrow" w:cs="Gisha"/>
          <w:sz w:val="22"/>
          <w:szCs w:val="22"/>
        </w:rPr>
        <w:t xml:space="preserve"> también</w:t>
      </w:r>
      <w:r w:rsidRPr="006B4AE1">
        <w:rPr>
          <w:rFonts w:ascii="Arial Narrow" w:hAnsi="Arial Narrow" w:cs="Gisha"/>
          <w:sz w:val="22"/>
          <w:szCs w:val="22"/>
        </w:rPr>
        <w:t xml:space="preserve"> se reflejan los gastos pendientes de </w:t>
      </w:r>
      <w:r w:rsidR="000A164E">
        <w:rPr>
          <w:rFonts w:ascii="Arial Narrow" w:hAnsi="Arial Narrow" w:cs="Gisha"/>
          <w:sz w:val="22"/>
          <w:szCs w:val="22"/>
        </w:rPr>
        <w:t>pago por Honorarios de Peritos</w:t>
      </w:r>
      <w:r w:rsidRPr="006B4AE1">
        <w:rPr>
          <w:rFonts w:ascii="Arial Narrow" w:hAnsi="Arial Narrow" w:cs="Gisha"/>
          <w:sz w:val="22"/>
          <w:szCs w:val="22"/>
        </w:rPr>
        <w:t xml:space="preserve"> y Sentencias proferidas en contra de la Entidad</w:t>
      </w:r>
      <w:r>
        <w:rPr>
          <w:rFonts w:ascii="Arial Narrow" w:hAnsi="Arial Narrow" w:cs="Gisha"/>
          <w:sz w:val="22"/>
          <w:szCs w:val="22"/>
        </w:rPr>
        <w:t xml:space="preserve"> por valor de $1.878.295 miles de pesos. </w:t>
      </w:r>
    </w:p>
    <w:p w:rsidR="008D7F43" w:rsidRDefault="008D7F43" w:rsidP="008D7F43">
      <w:pPr>
        <w:jc w:val="both"/>
        <w:rPr>
          <w:rFonts w:ascii="Arial Narrow" w:hAnsi="Arial Narrow" w:cs="Gisha"/>
          <w:b/>
          <w:bCs/>
          <w:i/>
          <w:iCs/>
          <w:sz w:val="22"/>
          <w:szCs w:val="22"/>
        </w:rPr>
      </w:pPr>
      <w:r w:rsidRPr="000E5E7B">
        <w:rPr>
          <w:rFonts w:ascii="Arial Narrow" w:hAnsi="Arial Narrow" w:cs="Gisha"/>
          <w:b/>
          <w:bCs/>
          <w:i/>
          <w:iCs/>
          <w:vanish/>
          <w:sz w:val="22"/>
          <w:szCs w:val="22"/>
        </w:rPr>
        <w:t>el valor correspondientes al  50% de los honorarios de los peritos y árbitros y del secretario, gastos de funcionamiento y administración, protocolización, registro y demás gastos,  del tribunal de arbitramento convocado por: Concesionaria San Simón S.A, Autopista de los Llanos, Terminal Marítimo Muelles el Bosque, por el pago del 50% realizado correspondiente al tribunal convocado por la Sociedad Portuaria e Cementeras Asociadas S.A- CEMAS S.A y a la Dirección de Impuestos y Aduanas Nacionales DIAN por concepto de Retención en la Fuente y Reteiva  a realizar a los arbitros del tribunal convocado por la Sociedad Portuaria e Cementeras Asociadas S.A- CEMAS S.A;  en la medida en que se ejecuten los gastos y los árbitros generen los informes y facturas correspondientes, una vez sean remitidos a la Agencia se realizará la legalización de estos anel valor correspondientes al  50% de los honorarios de los peritos y árbitros y del secretario, gastos de funcionamiento y administración, protocolización, registro y demás gastos,  del tribunal de arbitramento convocado por: Concesionaria San Simón S.A, Autopista de los Llanos, Terminal Marítimo Muelles el Bosque, por el pago del 50% realizado correspondiente al tribunal convocado por la Sociedad Portuaria e Cementeras Asociadas S.A- CEMAS S.A y a la Dirección de Impuestos y Aduanas Nacionales DIAN por concepto de Retención en la Fuente y Reteiva  a realizar a los arbitros del tribunal convocado por la Sociedad Portuaria e Cementeras Asociadas S.A- CEMAS S.A;  en la medida en que se ejecuten los gastos y los árbitros generen los informes y facturas correspondientes, una vez sean remitidos a la Agencia se realizará la legalización de estos an</w:t>
      </w:r>
    </w:p>
    <w:p w:rsidR="008D7F43" w:rsidRPr="005B2A57" w:rsidRDefault="008D7F43" w:rsidP="008D7F43">
      <w:pPr>
        <w:jc w:val="both"/>
        <w:rPr>
          <w:rFonts w:ascii="Arial Narrow" w:hAnsi="Arial Narrow" w:cs="Arial"/>
          <w:sz w:val="22"/>
          <w:szCs w:val="22"/>
          <w:lang w:val="es-ES_tradnl"/>
        </w:rPr>
      </w:pPr>
      <w:r>
        <w:rPr>
          <w:rFonts w:ascii="Arial Narrow" w:hAnsi="Arial Narrow" w:cs="Gisha"/>
          <w:b/>
          <w:bCs/>
          <w:i/>
          <w:iCs/>
          <w:vanish/>
          <w:sz w:val="22"/>
          <w:szCs w:val="22"/>
        </w:rPr>
        <w:t>el valor correspondientes al  50% de los honorarios de los peritos y árbitros y del secretario, gastos de funcionamiento y administración, protocolización, registro y demás gastos,  del tribunal de arbitramento convocado por: Concesionaria San Simón S.A, Autopista de los Llanos, Terminal Marítimo Muelles el Bosque, por el pago del 50% realizado correspondiente al tribunal convocado por la Sociedad Portuaria e Cementeras Asociadas S.A- CEMAS S.A y a la Dirección de Impuestos y Aduanas Nacionales DIAN por concepto de Retención en la Fuente y Reteiva  a realizar a los arbitros del tribunal convocado por la Sociedad Portuaria e Cementeras Asociadas S.A- CEMAS S.A;  en la medida en que se ejecuten los gastos y los árbitros generen los informes y facturas correspondientes, una vez sean remitidos a la Agencia se realizará la legalización de estos an</w:t>
      </w:r>
      <w:r w:rsidRPr="005B2A57">
        <w:rPr>
          <w:rFonts w:ascii="Arial Narrow" w:hAnsi="Arial Narrow" w:cs="Arial"/>
          <w:sz w:val="22"/>
          <w:szCs w:val="22"/>
          <w:lang w:val="es-ES_tradnl"/>
        </w:rPr>
        <w:t>En Otras Cuentas por pagar:</w:t>
      </w:r>
    </w:p>
    <w:p w:rsidR="008D7F43" w:rsidRPr="005B2A57" w:rsidRDefault="008D7F43" w:rsidP="008D7F43">
      <w:pPr>
        <w:jc w:val="both"/>
        <w:rPr>
          <w:rFonts w:ascii="Arial Narrow" w:hAnsi="Arial Narrow" w:cs="Arial"/>
          <w:sz w:val="22"/>
          <w:szCs w:val="22"/>
          <w:lang w:val="es-ES_tradnl"/>
        </w:rPr>
      </w:pPr>
    </w:p>
    <w:p w:rsidR="008D7F43" w:rsidRPr="00E03EDD" w:rsidRDefault="008D7F43" w:rsidP="008D7F43">
      <w:pPr>
        <w:jc w:val="both"/>
        <w:rPr>
          <w:rFonts w:ascii="Arial Narrow" w:hAnsi="Arial Narrow" w:cs="Gisha"/>
          <w:sz w:val="22"/>
          <w:szCs w:val="22"/>
        </w:rPr>
      </w:pPr>
      <w:r w:rsidRPr="00E03EDD">
        <w:rPr>
          <w:rFonts w:ascii="Arial Narrow" w:hAnsi="Arial Narrow" w:cs="Gisha"/>
          <w:sz w:val="22"/>
          <w:szCs w:val="22"/>
        </w:rPr>
        <w:t>El valor reflejado en esta cuenta corresponde a las deudas reconocidas a favor de las siguientes concesiones: Santa Marta Riohacha Paraguachón por valor de $155.726 miles, Bogotá Villavicencio $1.964.160 miles, Devimed $6.098.98</w:t>
      </w:r>
      <w:r w:rsidR="0081765C">
        <w:rPr>
          <w:rFonts w:ascii="Arial Narrow" w:hAnsi="Arial Narrow" w:cs="Gisha"/>
          <w:sz w:val="22"/>
          <w:szCs w:val="22"/>
        </w:rPr>
        <w:t>5</w:t>
      </w:r>
      <w:r w:rsidRPr="00E03EDD">
        <w:rPr>
          <w:rFonts w:ascii="Arial Narrow" w:hAnsi="Arial Narrow" w:cs="Gisha"/>
          <w:sz w:val="22"/>
          <w:szCs w:val="22"/>
        </w:rPr>
        <w:t xml:space="preserve"> miles, Briceño Tunja Sogamoso $51.765.32</w:t>
      </w:r>
      <w:r w:rsidR="0081765C">
        <w:rPr>
          <w:rFonts w:ascii="Arial Narrow" w:hAnsi="Arial Narrow" w:cs="Gisha"/>
          <w:sz w:val="22"/>
          <w:szCs w:val="22"/>
        </w:rPr>
        <w:t>1</w:t>
      </w:r>
      <w:r w:rsidRPr="00E03EDD">
        <w:rPr>
          <w:rFonts w:ascii="Arial Narrow" w:hAnsi="Arial Narrow" w:cs="Gisha"/>
          <w:sz w:val="22"/>
          <w:szCs w:val="22"/>
        </w:rPr>
        <w:t xml:space="preserve"> miles, Ruta del Sol II $52.038.994 miles. </w:t>
      </w:r>
    </w:p>
    <w:p w:rsidR="008D7F43" w:rsidRDefault="008D7F43" w:rsidP="008D7F43">
      <w:pPr>
        <w:jc w:val="center"/>
        <w:rPr>
          <w:rFonts w:ascii="Arial Narrow" w:hAnsi="Arial Narrow" w:cs="Gisha"/>
          <w:bCs/>
          <w:sz w:val="22"/>
          <w:szCs w:val="22"/>
          <w:lang w:val="es-ES_tradnl"/>
        </w:rPr>
      </w:pPr>
    </w:p>
    <w:p w:rsidR="008D7F43" w:rsidRDefault="008D7F43" w:rsidP="008D7F43">
      <w:pPr>
        <w:jc w:val="center"/>
        <w:rPr>
          <w:rFonts w:ascii="Arial Narrow" w:hAnsi="Arial Narrow" w:cs="Gisha"/>
          <w:bCs/>
          <w:sz w:val="22"/>
          <w:szCs w:val="22"/>
          <w:lang w:val="es-ES_tradnl"/>
        </w:rPr>
      </w:pPr>
      <w:r w:rsidRPr="00D52F99">
        <w:rPr>
          <w:noProof/>
          <w:lang w:val="es-CO" w:eastAsia="es-CO"/>
        </w:rPr>
        <w:drawing>
          <wp:inline distT="0" distB="0" distL="0" distR="0">
            <wp:extent cx="5610225" cy="17240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0225" cy="1724025"/>
                    </a:xfrm>
                    <a:prstGeom prst="rect">
                      <a:avLst/>
                    </a:prstGeom>
                    <a:noFill/>
                    <a:ln>
                      <a:noFill/>
                    </a:ln>
                  </pic:spPr>
                </pic:pic>
              </a:graphicData>
            </a:graphic>
          </wp:inline>
        </w:drawing>
      </w:r>
    </w:p>
    <w:p w:rsidR="008D7F43" w:rsidRPr="00233D47" w:rsidRDefault="008D7F43" w:rsidP="008D7F43">
      <w:pPr>
        <w:jc w:val="both"/>
        <w:rPr>
          <w:rFonts w:ascii="Arial Narrow" w:hAnsi="Arial Narrow" w:cs="Gisha"/>
          <w:bCs/>
          <w:sz w:val="22"/>
          <w:szCs w:val="22"/>
          <w:lang w:val="es-ES_tradnl"/>
        </w:rPr>
      </w:pPr>
    </w:p>
    <w:p w:rsidR="008D7F43" w:rsidRPr="00233D47" w:rsidRDefault="008D7F43" w:rsidP="008D7F43">
      <w:pPr>
        <w:jc w:val="both"/>
        <w:rPr>
          <w:rFonts w:ascii="Calibri" w:hAnsi="Calibri"/>
          <w:color w:val="000000"/>
          <w:sz w:val="22"/>
          <w:szCs w:val="22"/>
          <w:lang w:val="es-MX" w:eastAsia="es-MX"/>
        </w:rPr>
      </w:pPr>
      <w:r w:rsidRPr="00233D47">
        <w:rPr>
          <w:rFonts w:ascii="Arial Narrow" w:hAnsi="Arial Narrow" w:cs="Gisha"/>
          <w:bCs/>
          <w:sz w:val="22"/>
          <w:szCs w:val="22"/>
          <w:lang w:val="es-ES_tradnl"/>
        </w:rPr>
        <w:t>Está subcuenta presenta un aumento de</w:t>
      </w:r>
      <w:r w:rsidRPr="00233D47">
        <w:rPr>
          <w:rFonts w:ascii="Calibri" w:hAnsi="Calibri"/>
          <w:color w:val="000000"/>
          <w:sz w:val="22"/>
          <w:szCs w:val="22"/>
        </w:rPr>
        <w:t xml:space="preserve"> </w:t>
      </w:r>
      <w:r w:rsidRPr="00233D47">
        <w:rPr>
          <w:rFonts w:ascii="Arial Narrow" w:hAnsi="Arial Narrow" w:cs="Gisha"/>
          <w:bCs/>
          <w:sz w:val="22"/>
          <w:szCs w:val="22"/>
          <w:lang w:val="es-ES_tradnl"/>
        </w:rPr>
        <w:t>$ 92.456.852</w:t>
      </w:r>
      <w:r w:rsidRPr="00233D47">
        <w:rPr>
          <w:rFonts w:ascii="Calibri" w:hAnsi="Calibri"/>
          <w:color w:val="000000"/>
          <w:sz w:val="22"/>
          <w:szCs w:val="22"/>
        </w:rPr>
        <w:t xml:space="preserve"> </w:t>
      </w:r>
      <w:r w:rsidRPr="00233D47">
        <w:rPr>
          <w:rFonts w:ascii="Arial Narrow" w:hAnsi="Arial Narrow" w:cs="Gisha"/>
          <w:bCs/>
          <w:sz w:val="22"/>
          <w:szCs w:val="22"/>
          <w:lang w:val="es-ES_tradnl"/>
        </w:rPr>
        <w:t>miles, correspondientes a:</w:t>
      </w:r>
    </w:p>
    <w:p w:rsidR="008D7F43" w:rsidRPr="00233D47" w:rsidRDefault="008D7F43" w:rsidP="008D7F43">
      <w:pPr>
        <w:jc w:val="both"/>
        <w:rPr>
          <w:rFonts w:ascii="Arial Narrow" w:hAnsi="Arial Narrow" w:cs="Gisha"/>
          <w:bCs/>
          <w:sz w:val="22"/>
          <w:szCs w:val="22"/>
          <w:lang w:val="es-ES_tradnl"/>
        </w:rPr>
      </w:pPr>
    </w:p>
    <w:p w:rsidR="008D7F43" w:rsidRPr="00233D47" w:rsidRDefault="008D7F43" w:rsidP="00853B3A">
      <w:pPr>
        <w:numPr>
          <w:ilvl w:val="0"/>
          <w:numId w:val="10"/>
        </w:numPr>
        <w:ind w:left="360"/>
        <w:jc w:val="both"/>
        <w:rPr>
          <w:rFonts w:ascii="Arial Narrow" w:hAnsi="Arial Narrow" w:cs="Gisha"/>
          <w:bCs/>
          <w:sz w:val="22"/>
          <w:szCs w:val="22"/>
          <w:lang w:val="es-ES_tradnl"/>
        </w:rPr>
      </w:pPr>
      <w:r w:rsidRPr="000A164E">
        <w:rPr>
          <w:rFonts w:ascii="Arial Narrow" w:hAnsi="Arial Narrow" w:cs="Gisha"/>
          <w:bCs/>
          <w:sz w:val="22"/>
          <w:szCs w:val="22"/>
          <w:u w:val="single"/>
          <w:lang w:val="es-ES_tradnl"/>
        </w:rPr>
        <w:t>Santa Marta - Riohacha – Paraguachón</w:t>
      </w:r>
      <w:r w:rsidRPr="00233D47">
        <w:rPr>
          <w:rFonts w:ascii="Arial Narrow" w:hAnsi="Arial Narrow" w:cs="Gisha"/>
          <w:bCs/>
          <w:sz w:val="22"/>
          <w:szCs w:val="22"/>
          <w:lang w:val="es-ES_tradnl"/>
        </w:rPr>
        <w:t>:</w:t>
      </w:r>
    </w:p>
    <w:p w:rsidR="008D7F43" w:rsidRPr="00233D47" w:rsidRDefault="008D7F43" w:rsidP="008D7F43">
      <w:pPr>
        <w:ind w:left="360"/>
        <w:jc w:val="both"/>
        <w:rPr>
          <w:rFonts w:ascii="Arial Narrow" w:hAnsi="Arial Narrow" w:cs="Gisha"/>
          <w:bCs/>
          <w:sz w:val="22"/>
          <w:szCs w:val="22"/>
          <w:lang w:val="es-ES_tradnl"/>
        </w:rPr>
      </w:pPr>
    </w:p>
    <w:p w:rsidR="008D7F43" w:rsidRPr="00233D47" w:rsidRDefault="008D7F43" w:rsidP="00853B3A">
      <w:pPr>
        <w:pStyle w:val="Prrafodelista"/>
        <w:numPr>
          <w:ilvl w:val="1"/>
          <w:numId w:val="27"/>
        </w:numPr>
        <w:jc w:val="both"/>
        <w:rPr>
          <w:rFonts w:cs="Gisha"/>
          <w:bCs/>
          <w:sz w:val="22"/>
          <w:szCs w:val="22"/>
          <w:lang w:val="es-ES_tradnl"/>
        </w:rPr>
      </w:pPr>
      <w:r w:rsidRPr="00233D47">
        <w:rPr>
          <w:rFonts w:cs="Gisha"/>
          <w:bCs/>
          <w:sz w:val="22"/>
          <w:szCs w:val="22"/>
          <w:lang w:val="es-ES_tradnl"/>
        </w:rPr>
        <w:t xml:space="preserve">Se paga la </w:t>
      </w:r>
      <w:r>
        <w:rPr>
          <w:rFonts w:cs="Gisha"/>
          <w:bCs/>
          <w:sz w:val="22"/>
          <w:szCs w:val="22"/>
          <w:lang w:val="es-ES_tradnl"/>
        </w:rPr>
        <w:t xml:space="preserve">deuda derivada </w:t>
      </w:r>
      <w:r w:rsidRPr="00233D47">
        <w:rPr>
          <w:rFonts w:cs="Gisha"/>
          <w:bCs/>
          <w:sz w:val="22"/>
          <w:szCs w:val="22"/>
          <w:lang w:val="es-ES_tradnl"/>
        </w:rPr>
        <w:t xml:space="preserve">en la vigencia 2014 con el concesionario Santa Marta Riohacha- Paraguachón correspondiente a la liquidación de la póliza todo riesgo red eléctrica Alto Pino para las vigencias septiembre de 2012 a septiembre de 2014, septiembre de 2014 y septiembre de 2015 por valor </w:t>
      </w:r>
      <w:r>
        <w:rPr>
          <w:rFonts w:cs="Gisha"/>
          <w:bCs/>
          <w:sz w:val="22"/>
          <w:szCs w:val="22"/>
          <w:lang w:val="es-ES_tradnl"/>
        </w:rPr>
        <w:t>de $319.137 miles en el mes de m</w:t>
      </w:r>
      <w:r w:rsidRPr="00233D47">
        <w:rPr>
          <w:rFonts w:cs="Gisha"/>
          <w:bCs/>
          <w:sz w:val="22"/>
          <w:szCs w:val="22"/>
          <w:lang w:val="es-ES_tradnl"/>
        </w:rPr>
        <w:t>arzo de 2015.</w:t>
      </w:r>
    </w:p>
    <w:p w:rsidR="008D7F43" w:rsidRPr="00233D47" w:rsidRDefault="008D7F43" w:rsidP="008D7F43">
      <w:pPr>
        <w:pStyle w:val="Prrafodelista"/>
        <w:ind w:left="792"/>
        <w:jc w:val="both"/>
        <w:rPr>
          <w:rFonts w:cs="Gisha"/>
          <w:bCs/>
          <w:sz w:val="22"/>
          <w:szCs w:val="22"/>
          <w:lang w:val="es-ES_tradnl"/>
        </w:rPr>
      </w:pPr>
    </w:p>
    <w:p w:rsidR="008D7F43" w:rsidRPr="00233D47" w:rsidRDefault="008D7F43" w:rsidP="00853B3A">
      <w:pPr>
        <w:pStyle w:val="Prrafodelista"/>
        <w:numPr>
          <w:ilvl w:val="1"/>
          <w:numId w:val="27"/>
        </w:numPr>
        <w:jc w:val="both"/>
        <w:rPr>
          <w:rFonts w:cs="Gisha"/>
          <w:bCs/>
          <w:sz w:val="22"/>
          <w:szCs w:val="22"/>
          <w:lang w:val="es-ES_tradnl"/>
        </w:rPr>
      </w:pPr>
      <w:r w:rsidRPr="00233D47">
        <w:rPr>
          <w:rFonts w:cs="Gisha"/>
          <w:bCs/>
          <w:sz w:val="22"/>
          <w:szCs w:val="22"/>
          <w:lang w:val="es-ES_tradnl"/>
        </w:rPr>
        <w:t>Se constituye deuda derivada de la resolución 092 de 2014 con el concesionario Santa Marta Riohacha- Paraguach</w:t>
      </w:r>
      <w:r w:rsidR="00777D2F">
        <w:rPr>
          <w:rFonts w:cs="Gisha"/>
          <w:bCs/>
          <w:sz w:val="22"/>
          <w:szCs w:val="22"/>
          <w:lang w:val="es-ES_tradnl"/>
        </w:rPr>
        <w:t>ó</w:t>
      </w:r>
      <w:r w:rsidRPr="00233D47">
        <w:rPr>
          <w:rFonts w:cs="Gisha"/>
          <w:bCs/>
          <w:sz w:val="22"/>
          <w:szCs w:val="22"/>
          <w:lang w:val="es-ES_tradnl"/>
        </w:rPr>
        <w:t>n correspondiente a la liquidación del diferencial tarifario del 1 de Enero al 30 de Junio de 2015 por $253.347 Miles que se pagan en Septiembre de 2015.</w:t>
      </w:r>
    </w:p>
    <w:p w:rsidR="008D7F43" w:rsidRPr="00233D47" w:rsidRDefault="008D7F43" w:rsidP="008D7F43">
      <w:pPr>
        <w:pStyle w:val="Prrafodelista"/>
        <w:ind w:left="792"/>
        <w:jc w:val="both"/>
        <w:rPr>
          <w:rFonts w:cs="Gisha"/>
          <w:bCs/>
          <w:sz w:val="22"/>
          <w:szCs w:val="22"/>
          <w:lang w:val="es-ES_tradnl"/>
        </w:rPr>
      </w:pPr>
    </w:p>
    <w:p w:rsidR="008D7F43" w:rsidRPr="00233D47" w:rsidRDefault="008D7F43" w:rsidP="00853B3A">
      <w:pPr>
        <w:pStyle w:val="Prrafodelista"/>
        <w:numPr>
          <w:ilvl w:val="1"/>
          <w:numId w:val="27"/>
        </w:numPr>
        <w:jc w:val="both"/>
        <w:rPr>
          <w:rFonts w:cs="Gisha"/>
          <w:bCs/>
          <w:sz w:val="22"/>
          <w:szCs w:val="22"/>
          <w:lang w:val="es-ES_tradnl"/>
        </w:rPr>
      </w:pPr>
      <w:r w:rsidRPr="00233D47">
        <w:rPr>
          <w:rFonts w:cs="Gisha"/>
          <w:bCs/>
          <w:sz w:val="22"/>
          <w:szCs w:val="22"/>
          <w:lang w:val="es-ES_tradnl"/>
        </w:rPr>
        <w:lastRenderedPageBreak/>
        <w:t>Se constituye deuda derivada de la resolución 092 de 2014 con el Concesionario Santa Marta Riohacha Paraguach</w:t>
      </w:r>
      <w:r w:rsidR="00777D2F">
        <w:rPr>
          <w:rFonts w:cs="Gisha"/>
          <w:bCs/>
          <w:sz w:val="22"/>
          <w:szCs w:val="22"/>
          <w:lang w:val="es-ES_tradnl"/>
        </w:rPr>
        <w:t>ó</w:t>
      </w:r>
      <w:r w:rsidRPr="00233D47">
        <w:rPr>
          <w:rFonts w:cs="Gisha"/>
          <w:bCs/>
          <w:sz w:val="22"/>
          <w:szCs w:val="22"/>
          <w:lang w:val="es-ES_tradnl"/>
        </w:rPr>
        <w:t>n correspondientes a la liquidación del diferencial tarifario del 1 de julio al 31 diciembre de 2015 por valor de $155.726 miles.</w:t>
      </w:r>
    </w:p>
    <w:p w:rsidR="008D7F43" w:rsidRPr="00233D47" w:rsidRDefault="008D7F43" w:rsidP="008D7F43">
      <w:pPr>
        <w:pStyle w:val="Prrafodelista"/>
        <w:ind w:left="792"/>
        <w:jc w:val="both"/>
        <w:rPr>
          <w:rFonts w:cs="Gisha"/>
          <w:bCs/>
          <w:sz w:val="22"/>
          <w:szCs w:val="22"/>
          <w:lang w:val="es-ES_tradnl"/>
        </w:rPr>
      </w:pPr>
    </w:p>
    <w:p w:rsidR="008D7F43" w:rsidRPr="00233D47" w:rsidRDefault="008D7F43" w:rsidP="00853B3A">
      <w:pPr>
        <w:pStyle w:val="Prrafodelista"/>
        <w:numPr>
          <w:ilvl w:val="0"/>
          <w:numId w:val="10"/>
        </w:numPr>
        <w:ind w:left="360"/>
        <w:jc w:val="both"/>
        <w:rPr>
          <w:rFonts w:cs="Gisha"/>
          <w:bCs/>
          <w:sz w:val="22"/>
          <w:szCs w:val="22"/>
          <w:lang w:val="es-ES_tradnl"/>
        </w:rPr>
      </w:pPr>
      <w:r w:rsidRPr="000A164E">
        <w:rPr>
          <w:rFonts w:cs="Gisha"/>
          <w:bCs/>
          <w:sz w:val="22"/>
          <w:szCs w:val="22"/>
          <w:u w:val="single"/>
          <w:lang w:val="es-ES_tradnl"/>
        </w:rPr>
        <w:t>Desarrollo Vial del Oriente de Medellín</w:t>
      </w:r>
      <w:r w:rsidRPr="00233D47">
        <w:rPr>
          <w:rFonts w:cs="Gisha"/>
          <w:bCs/>
          <w:sz w:val="22"/>
          <w:szCs w:val="22"/>
          <w:lang w:val="es-ES_tradnl"/>
        </w:rPr>
        <w:t>:</w:t>
      </w:r>
    </w:p>
    <w:p w:rsidR="008D7F43" w:rsidRPr="00233D47" w:rsidRDefault="008D7F43" w:rsidP="008D7F43">
      <w:pPr>
        <w:pStyle w:val="Prrafodelista"/>
        <w:ind w:left="360"/>
        <w:jc w:val="both"/>
        <w:rPr>
          <w:rFonts w:cs="Gisha"/>
          <w:bCs/>
          <w:sz w:val="22"/>
          <w:szCs w:val="22"/>
          <w:lang w:val="es-ES_tradnl"/>
        </w:rPr>
      </w:pPr>
    </w:p>
    <w:p w:rsidR="008D7F43" w:rsidRPr="00233D47" w:rsidRDefault="008D7F43" w:rsidP="008D7F43">
      <w:pPr>
        <w:pStyle w:val="Prrafodelista"/>
        <w:ind w:left="851" w:hanging="284"/>
        <w:jc w:val="both"/>
        <w:rPr>
          <w:rFonts w:cs="Gisha"/>
          <w:bCs/>
          <w:sz w:val="22"/>
          <w:szCs w:val="22"/>
          <w:lang w:val="es-ES_tradnl"/>
        </w:rPr>
      </w:pPr>
      <w:r w:rsidRPr="00233D47">
        <w:rPr>
          <w:rFonts w:cs="Gisha"/>
          <w:bCs/>
          <w:sz w:val="22"/>
          <w:szCs w:val="22"/>
          <w:lang w:val="es-ES_tradnl"/>
        </w:rPr>
        <w:t>2.1 Se efectúa el pago de la deuda que se presentaba a 31 de Julio por valor de $3.817.922 Miles que correspondían al saldo a 31 de Diciembre de 2014 por $1.349.330 Miles y lo reportado a 30 de Junio de 2015 por $ 2.468.592 Miles por medio del acuerdo de pago celebrado entre la Nación – Ministerio de Hacienda y Crédito Público y la ANI Resolución 4795 del 24 de Diciembre de 2015.</w:t>
      </w:r>
    </w:p>
    <w:p w:rsidR="008D7F43" w:rsidRPr="00233D47" w:rsidRDefault="008D7F43" w:rsidP="008D7F43">
      <w:pPr>
        <w:pStyle w:val="Prrafodelista"/>
        <w:ind w:left="851" w:hanging="284"/>
        <w:jc w:val="both"/>
        <w:rPr>
          <w:rFonts w:cs="Gisha"/>
          <w:bCs/>
          <w:sz w:val="22"/>
          <w:szCs w:val="22"/>
          <w:lang w:val="es-ES_tradnl"/>
        </w:rPr>
      </w:pPr>
    </w:p>
    <w:p w:rsidR="008D7F43" w:rsidRPr="00233D47" w:rsidRDefault="008D7F43" w:rsidP="008D7F43">
      <w:pPr>
        <w:pStyle w:val="Prrafodelista"/>
        <w:ind w:left="851" w:hanging="284"/>
        <w:jc w:val="both"/>
        <w:rPr>
          <w:rFonts w:cs="Gisha"/>
          <w:bCs/>
          <w:sz w:val="22"/>
          <w:szCs w:val="22"/>
          <w:lang w:val="es-ES_tradnl"/>
        </w:rPr>
      </w:pPr>
      <w:r w:rsidRPr="00233D47">
        <w:rPr>
          <w:rFonts w:cs="Gisha"/>
          <w:bCs/>
          <w:sz w:val="22"/>
          <w:szCs w:val="22"/>
          <w:lang w:val="es-ES_tradnl"/>
        </w:rPr>
        <w:t xml:space="preserve">2.2 </w:t>
      </w:r>
      <w:r w:rsidR="0081765C">
        <w:rPr>
          <w:rFonts w:cs="Gisha"/>
          <w:bCs/>
          <w:sz w:val="22"/>
          <w:szCs w:val="22"/>
          <w:lang w:val="es-ES_tradnl"/>
        </w:rPr>
        <w:t>S</w:t>
      </w:r>
      <w:r w:rsidRPr="00233D47">
        <w:rPr>
          <w:rFonts w:cs="Gisha"/>
          <w:bCs/>
          <w:sz w:val="22"/>
          <w:szCs w:val="22"/>
          <w:lang w:val="es-ES_tradnl"/>
        </w:rPr>
        <w:t>e constituye deuda por valor de $6.098.985 miles,  por concepto de actualización de garantías contractuales, Ingresos Mínimo Garantizado, generado por diferencial tarifario, correspondiente a los meses de julio a diciembre de 2015; el valor adeudado se encuentra sujeto con lo que dirima el Tribunal de Arbitramento que se  encuentra en curso.</w:t>
      </w:r>
    </w:p>
    <w:p w:rsidR="008D7F43" w:rsidRPr="00233D47" w:rsidRDefault="008D7F43" w:rsidP="008D7F43">
      <w:pPr>
        <w:pStyle w:val="Prrafodelista"/>
        <w:ind w:left="851" w:hanging="284"/>
        <w:jc w:val="both"/>
        <w:rPr>
          <w:rFonts w:cs="Gisha"/>
          <w:bCs/>
          <w:sz w:val="22"/>
          <w:szCs w:val="22"/>
          <w:lang w:val="es-ES_tradnl"/>
        </w:rPr>
      </w:pPr>
    </w:p>
    <w:p w:rsidR="008D7F43" w:rsidRPr="00233D47" w:rsidRDefault="008D7F43" w:rsidP="00853B3A">
      <w:pPr>
        <w:numPr>
          <w:ilvl w:val="0"/>
          <w:numId w:val="10"/>
        </w:numPr>
        <w:ind w:left="360"/>
        <w:jc w:val="both"/>
        <w:rPr>
          <w:rFonts w:ascii="Arial Narrow" w:hAnsi="Arial Narrow" w:cs="Gisha"/>
          <w:bCs/>
          <w:sz w:val="22"/>
          <w:szCs w:val="22"/>
          <w:lang w:val="es-ES_tradnl"/>
        </w:rPr>
      </w:pPr>
      <w:r w:rsidRPr="000A164E">
        <w:rPr>
          <w:rFonts w:ascii="Arial Narrow" w:hAnsi="Arial Narrow" w:cs="Gisha"/>
          <w:bCs/>
          <w:sz w:val="22"/>
          <w:szCs w:val="22"/>
          <w:u w:val="single"/>
          <w:lang w:val="es-ES_tradnl"/>
        </w:rPr>
        <w:t>Neiva – Espinal – Girardot</w:t>
      </w:r>
      <w:r w:rsidRPr="00233D47">
        <w:rPr>
          <w:rFonts w:ascii="Arial Narrow" w:hAnsi="Arial Narrow" w:cs="Gisha"/>
          <w:bCs/>
          <w:sz w:val="22"/>
          <w:szCs w:val="22"/>
          <w:lang w:val="es-ES_tradnl"/>
        </w:rPr>
        <w:t>:</w:t>
      </w:r>
    </w:p>
    <w:p w:rsidR="008D7F43" w:rsidRPr="00233D47" w:rsidRDefault="008D7F43" w:rsidP="008D7F43">
      <w:pPr>
        <w:ind w:left="360"/>
        <w:jc w:val="both"/>
        <w:rPr>
          <w:rFonts w:ascii="Arial Narrow" w:hAnsi="Arial Narrow" w:cs="Gisha"/>
          <w:bCs/>
          <w:sz w:val="22"/>
          <w:szCs w:val="22"/>
          <w:lang w:val="es-ES_tradnl"/>
        </w:rPr>
      </w:pPr>
    </w:p>
    <w:p w:rsidR="008D7F43" w:rsidRPr="00233D47" w:rsidRDefault="008D7F43" w:rsidP="008D7F43">
      <w:pPr>
        <w:ind w:left="360"/>
        <w:jc w:val="both"/>
        <w:rPr>
          <w:rFonts w:ascii="Arial Narrow" w:hAnsi="Arial Narrow" w:cs="Gisha"/>
          <w:bCs/>
          <w:sz w:val="22"/>
          <w:szCs w:val="22"/>
          <w:lang w:val="es-ES_tradnl"/>
        </w:rPr>
      </w:pPr>
      <w:r w:rsidRPr="00233D47">
        <w:rPr>
          <w:rFonts w:ascii="Arial Narrow" w:hAnsi="Arial Narrow" w:cs="Gisha"/>
          <w:bCs/>
          <w:sz w:val="22"/>
          <w:szCs w:val="22"/>
          <w:lang w:val="es-ES_tradnl"/>
        </w:rPr>
        <w:t>Durante la vigencia 2015 se realizó el pago de $17.897.868 del contrato 0849 de 1995, atendiendo lo indicado en el Otro</w:t>
      </w:r>
      <w:r>
        <w:rPr>
          <w:rFonts w:ascii="Arial Narrow" w:hAnsi="Arial Narrow" w:cs="Gisha"/>
          <w:bCs/>
          <w:sz w:val="22"/>
          <w:szCs w:val="22"/>
          <w:lang w:val="es-ES_tradnl"/>
        </w:rPr>
        <w:t xml:space="preserve"> sí</w:t>
      </w:r>
      <w:r w:rsidRPr="00233D47">
        <w:rPr>
          <w:rFonts w:ascii="Arial Narrow" w:hAnsi="Arial Narrow" w:cs="Gisha"/>
          <w:bCs/>
          <w:sz w:val="22"/>
          <w:szCs w:val="22"/>
          <w:lang w:val="es-ES_tradnl"/>
        </w:rPr>
        <w:t xml:space="preserve"> del 30 de enero de 2014, donde se estableció que el concesionario recaudaría los ingresos hasta tanto alcanzara la TIR contractual, hecho que ocurrió el 27 de octubre de 2015 y producto del recaudo de peajes se canceló el valor antes mencionado.</w:t>
      </w:r>
    </w:p>
    <w:p w:rsidR="008D7F43" w:rsidRPr="00233D47" w:rsidRDefault="008D7F43" w:rsidP="008D7F43">
      <w:pPr>
        <w:ind w:left="360"/>
        <w:jc w:val="both"/>
        <w:rPr>
          <w:rFonts w:ascii="Arial Narrow" w:hAnsi="Arial Narrow" w:cs="Gisha"/>
          <w:bCs/>
          <w:sz w:val="22"/>
          <w:szCs w:val="22"/>
          <w:lang w:val="es-ES_tradnl"/>
        </w:rPr>
      </w:pPr>
    </w:p>
    <w:p w:rsidR="008D7F43" w:rsidRPr="00233D47" w:rsidRDefault="008D7F43" w:rsidP="008D7F43">
      <w:pPr>
        <w:jc w:val="both"/>
        <w:rPr>
          <w:rFonts w:ascii="Arial Narrow" w:hAnsi="Arial Narrow" w:cs="Gisha"/>
          <w:bCs/>
          <w:sz w:val="22"/>
          <w:szCs w:val="22"/>
          <w:lang w:val="es-ES_tradnl"/>
        </w:rPr>
      </w:pPr>
      <w:r w:rsidRPr="00233D47">
        <w:rPr>
          <w:rFonts w:ascii="Arial Narrow" w:hAnsi="Arial Narrow" w:cs="Gisha"/>
          <w:bCs/>
          <w:sz w:val="22"/>
          <w:szCs w:val="22"/>
          <w:lang w:val="es-ES_tradnl"/>
        </w:rPr>
        <w:t xml:space="preserve">4.    </w:t>
      </w:r>
      <w:r w:rsidRPr="000A164E">
        <w:rPr>
          <w:rFonts w:ascii="Arial Narrow" w:hAnsi="Arial Narrow" w:cs="Gisha"/>
          <w:bCs/>
          <w:sz w:val="22"/>
          <w:szCs w:val="22"/>
          <w:u w:val="single"/>
          <w:lang w:val="es-ES_tradnl"/>
        </w:rPr>
        <w:t>Ruta del Sol Sector II</w:t>
      </w:r>
      <w:r w:rsidRPr="00233D47">
        <w:rPr>
          <w:rFonts w:ascii="Arial Narrow" w:hAnsi="Arial Narrow" w:cs="Gisha"/>
          <w:bCs/>
          <w:sz w:val="22"/>
          <w:szCs w:val="22"/>
          <w:lang w:val="es-ES_tradnl"/>
        </w:rPr>
        <w:t>:</w:t>
      </w:r>
    </w:p>
    <w:p w:rsidR="008D7F43" w:rsidRPr="00233D47" w:rsidRDefault="008D7F43" w:rsidP="008D7F43">
      <w:pPr>
        <w:ind w:left="360"/>
        <w:jc w:val="both"/>
        <w:rPr>
          <w:rFonts w:ascii="Arial Narrow" w:hAnsi="Arial Narrow" w:cs="Gisha"/>
          <w:bCs/>
          <w:sz w:val="22"/>
          <w:szCs w:val="22"/>
          <w:lang w:val="es-ES_tradnl"/>
        </w:rPr>
      </w:pPr>
    </w:p>
    <w:p w:rsidR="008D7F43" w:rsidRPr="00233D47" w:rsidRDefault="008D7F43" w:rsidP="008D7F43">
      <w:pPr>
        <w:ind w:left="360"/>
        <w:jc w:val="both"/>
        <w:rPr>
          <w:rFonts w:ascii="Arial Narrow" w:hAnsi="Arial Narrow" w:cs="Gisha"/>
          <w:bCs/>
          <w:sz w:val="22"/>
          <w:szCs w:val="22"/>
          <w:lang w:val="es-ES_tradnl"/>
        </w:rPr>
      </w:pPr>
      <w:r w:rsidRPr="00233D47">
        <w:rPr>
          <w:rFonts w:ascii="Arial Narrow" w:hAnsi="Arial Narrow" w:cs="Gisha"/>
          <w:bCs/>
          <w:sz w:val="22"/>
          <w:szCs w:val="22"/>
          <w:lang w:val="es-ES_tradnl"/>
        </w:rPr>
        <w:t>Al cierre del 2015 se reporta deudas reconocidas por valor de $74.816.528 que corresponden al saldo adeudado por la vigencia futura  del año 2015, debido a mayor valor de inflación y TRM versus  el valor  proyectado cuando se solicitó la vigencia futura.  De esta cifra a 31 de diciembre de 2015 se constituyeron cuentas por pagar por valor de $ 22.777.534 Miles registrados en la cuenta Bienes y servicios por registro automático del SIIF.</w:t>
      </w:r>
    </w:p>
    <w:p w:rsidR="008D7F43" w:rsidRPr="00233D47" w:rsidRDefault="008D7F43" w:rsidP="008D7F43">
      <w:pPr>
        <w:pStyle w:val="Prrafodelista"/>
        <w:rPr>
          <w:rFonts w:cs="Gisha"/>
          <w:bCs/>
          <w:sz w:val="22"/>
          <w:szCs w:val="22"/>
          <w:lang w:val="es-ES_tradnl"/>
        </w:rPr>
      </w:pPr>
    </w:p>
    <w:p w:rsidR="008D7F43" w:rsidRPr="00233D47" w:rsidRDefault="008D7F43" w:rsidP="00853B3A">
      <w:pPr>
        <w:pStyle w:val="Prrafodelista"/>
        <w:numPr>
          <w:ilvl w:val="0"/>
          <w:numId w:val="28"/>
        </w:numPr>
        <w:ind w:left="284" w:hanging="284"/>
        <w:jc w:val="both"/>
        <w:rPr>
          <w:rFonts w:cs="Gisha"/>
          <w:bCs/>
          <w:sz w:val="22"/>
          <w:szCs w:val="22"/>
          <w:lang w:val="es-ES_tradnl"/>
        </w:rPr>
      </w:pPr>
      <w:r w:rsidRPr="000A164E">
        <w:rPr>
          <w:rFonts w:cs="Gisha"/>
          <w:bCs/>
          <w:sz w:val="22"/>
          <w:szCs w:val="22"/>
          <w:u w:val="single"/>
          <w:lang w:val="es-ES_tradnl"/>
        </w:rPr>
        <w:t>Briceño – Tunja – Sogamoso</w:t>
      </w:r>
      <w:r w:rsidRPr="00233D47">
        <w:rPr>
          <w:rFonts w:cs="Gisha"/>
          <w:bCs/>
          <w:sz w:val="22"/>
          <w:szCs w:val="22"/>
          <w:lang w:val="es-ES_tradnl"/>
        </w:rPr>
        <w:t>:</w:t>
      </w:r>
    </w:p>
    <w:p w:rsidR="008D7F43" w:rsidRPr="00233D47" w:rsidRDefault="008D7F43" w:rsidP="008D7F43">
      <w:pPr>
        <w:pStyle w:val="Prrafodelista"/>
        <w:ind w:left="284"/>
        <w:jc w:val="both"/>
        <w:rPr>
          <w:rFonts w:cs="Gisha"/>
          <w:bCs/>
          <w:sz w:val="22"/>
          <w:szCs w:val="22"/>
          <w:lang w:val="es-ES_tradnl"/>
        </w:rPr>
      </w:pPr>
    </w:p>
    <w:p w:rsidR="008D7F43" w:rsidRPr="00233D47" w:rsidRDefault="008D7F43" w:rsidP="008D7F43">
      <w:pPr>
        <w:pStyle w:val="Prrafodelista"/>
        <w:ind w:left="284"/>
        <w:jc w:val="both"/>
        <w:rPr>
          <w:rFonts w:cs="Gisha"/>
          <w:bCs/>
          <w:sz w:val="22"/>
          <w:szCs w:val="22"/>
          <w:lang w:val="es-ES_tradnl"/>
        </w:rPr>
      </w:pPr>
      <w:r w:rsidRPr="00233D47">
        <w:rPr>
          <w:rFonts w:cs="Gisha"/>
          <w:bCs/>
          <w:sz w:val="22"/>
          <w:szCs w:val="22"/>
          <w:lang w:val="es-ES_tradnl"/>
        </w:rPr>
        <w:t>Se constituy</w:t>
      </w:r>
      <w:r>
        <w:rPr>
          <w:rFonts w:cs="Gisha"/>
          <w:bCs/>
          <w:sz w:val="22"/>
          <w:szCs w:val="22"/>
          <w:lang w:val="es-ES_tradnl"/>
        </w:rPr>
        <w:t>e deuda de la Variante Tocancipá</w:t>
      </w:r>
      <w:r w:rsidRPr="00233D47">
        <w:rPr>
          <w:rFonts w:cs="Gisha"/>
          <w:bCs/>
          <w:sz w:val="22"/>
          <w:szCs w:val="22"/>
          <w:lang w:val="es-ES_tradnl"/>
        </w:rPr>
        <w:t xml:space="preserve"> por $ 51.765.320 Miles, que se </w:t>
      </w:r>
      <w:r w:rsidR="00777D2F">
        <w:rPr>
          <w:rFonts w:cs="Gisha"/>
          <w:bCs/>
          <w:sz w:val="22"/>
          <w:szCs w:val="22"/>
          <w:lang w:val="es-ES_tradnl"/>
        </w:rPr>
        <w:t>proyecta pagar</w:t>
      </w:r>
      <w:r w:rsidR="000A164E">
        <w:rPr>
          <w:rFonts w:cs="Gisha"/>
          <w:bCs/>
          <w:sz w:val="22"/>
          <w:szCs w:val="22"/>
          <w:lang w:val="es-ES_tradnl"/>
        </w:rPr>
        <w:t xml:space="preserve"> con TES, no o</w:t>
      </w:r>
      <w:r w:rsidR="004A2766">
        <w:rPr>
          <w:rFonts w:cs="Gisha"/>
          <w:bCs/>
          <w:sz w:val="22"/>
          <w:szCs w:val="22"/>
          <w:lang w:val="es-ES_tradnl"/>
        </w:rPr>
        <w:t>b</w:t>
      </w:r>
      <w:r w:rsidR="000A164E">
        <w:rPr>
          <w:rFonts w:cs="Gisha"/>
          <w:bCs/>
          <w:sz w:val="22"/>
          <w:szCs w:val="22"/>
          <w:lang w:val="es-ES_tradnl"/>
        </w:rPr>
        <w:t>stante,</w:t>
      </w:r>
      <w:r w:rsidRPr="00233D47">
        <w:rPr>
          <w:rFonts w:cs="Gisha"/>
          <w:bCs/>
          <w:sz w:val="22"/>
          <w:szCs w:val="22"/>
          <w:lang w:val="es-ES_tradnl"/>
        </w:rPr>
        <w:t xml:space="preserve"> </w:t>
      </w:r>
      <w:r w:rsidR="002A1921">
        <w:rPr>
          <w:rFonts w:cs="Gisha"/>
          <w:bCs/>
          <w:sz w:val="22"/>
          <w:szCs w:val="22"/>
          <w:lang w:val="es-ES_tradnl"/>
        </w:rPr>
        <w:t>al cierre de la vigencia no se alcanzó a realizar el trámite de pago.</w:t>
      </w:r>
    </w:p>
    <w:p w:rsidR="008D7F43" w:rsidRPr="00233D47" w:rsidRDefault="008D7F43" w:rsidP="008D7F43">
      <w:pPr>
        <w:ind w:left="720"/>
        <w:jc w:val="both"/>
        <w:rPr>
          <w:rFonts w:ascii="Arial Narrow" w:hAnsi="Arial Narrow" w:cs="Gisha"/>
          <w:bCs/>
          <w:sz w:val="22"/>
          <w:szCs w:val="22"/>
          <w:lang w:val="es-ES_tradnl"/>
        </w:rPr>
      </w:pPr>
    </w:p>
    <w:p w:rsidR="008D7F43" w:rsidRDefault="008D7F43" w:rsidP="00853B3A">
      <w:pPr>
        <w:pStyle w:val="Prrafodelista"/>
        <w:numPr>
          <w:ilvl w:val="0"/>
          <w:numId w:val="28"/>
        </w:numPr>
        <w:ind w:left="284" w:hanging="284"/>
        <w:jc w:val="both"/>
        <w:rPr>
          <w:rFonts w:cs="Gisha"/>
          <w:bCs/>
          <w:sz w:val="22"/>
          <w:szCs w:val="22"/>
          <w:lang w:val="es-ES_tradnl"/>
        </w:rPr>
      </w:pPr>
      <w:r w:rsidRPr="000A164E">
        <w:rPr>
          <w:rFonts w:cs="Gisha"/>
          <w:bCs/>
          <w:sz w:val="22"/>
          <w:szCs w:val="22"/>
          <w:u w:val="single"/>
          <w:lang w:val="es-ES_tradnl"/>
        </w:rPr>
        <w:t>Bogotá – Villavicencio</w:t>
      </w:r>
      <w:r w:rsidRPr="00233D47">
        <w:rPr>
          <w:rFonts w:cs="Gisha"/>
          <w:bCs/>
          <w:sz w:val="22"/>
          <w:szCs w:val="22"/>
          <w:lang w:val="es-ES_tradnl"/>
        </w:rPr>
        <w:t>:</w:t>
      </w:r>
    </w:p>
    <w:p w:rsidR="008D7F43" w:rsidRPr="00233D47" w:rsidRDefault="008D7F43" w:rsidP="008D7F43">
      <w:pPr>
        <w:pStyle w:val="Prrafodelista"/>
        <w:ind w:left="284"/>
        <w:jc w:val="both"/>
        <w:rPr>
          <w:rFonts w:cs="Gisha"/>
          <w:bCs/>
          <w:sz w:val="22"/>
          <w:szCs w:val="22"/>
          <w:lang w:val="es-ES_tradnl"/>
        </w:rPr>
      </w:pPr>
    </w:p>
    <w:p w:rsidR="008D7F43" w:rsidRPr="002A1921" w:rsidRDefault="008D7F43" w:rsidP="002A1921">
      <w:pPr>
        <w:pStyle w:val="Prrafodelista"/>
        <w:ind w:left="284"/>
        <w:jc w:val="both"/>
        <w:rPr>
          <w:rFonts w:cs="Gisha"/>
          <w:bCs/>
          <w:sz w:val="22"/>
          <w:szCs w:val="22"/>
          <w:lang w:val="es-ES_tradnl"/>
        </w:rPr>
      </w:pPr>
      <w:r w:rsidRPr="002A1921">
        <w:rPr>
          <w:rFonts w:cs="Gisha"/>
          <w:bCs/>
          <w:sz w:val="22"/>
          <w:szCs w:val="22"/>
          <w:lang w:val="es-ES_tradnl"/>
        </w:rPr>
        <w:t>Actualización de garantías contractuales a 31 de diciembre de 2015 con la Concesión Bogotá- Villavicencio por valor de $1.964.161miles por concepto de obras realizadas en la quebrada Estaquecá en el año 2011.</w:t>
      </w:r>
    </w:p>
    <w:p w:rsidR="008D7F43" w:rsidRPr="00233D47" w:rsidRDefault="008D7F43" w:rsidP="002A1921">
      <w:pPr>
        <w:pStyle w:val="Prrafodelista"/>
        <w:ind w:left="284"/>
        <w:jc w:val="both"/>
        <w:rPr>
          <w:rFonts w:cs="Gisha"/>
          <w:bCs/>
          <w:sz w:val="22"/>
          <w:szCs w:val="22"/>
          <w:lang w:val="es-ES_tradnl"/>
        </w:rPr>
      </w:pPr>
    </w:p>
    <w:p w:rsidR="008D7F43" w:rsidRDefault="008D7F43" w:rsidP="002A1921">
      <w:pPr>
        <w:pStyle w:val="Prrafodelista"/>
        <w:ind w:left="284"/>
        <w:jc w:val="both"/>
        <w:rPr>
          <w:rFonts w:cs="Gisha"/>
          <w:bCs/>
          <w:sz w:val="22"/>
          <w:szCs w:val="22"/>
          <w:lang w:val="es-ES_tradnl"/>
        </w:rPr>
      </w:pPr>
      <w:r w:rsidRPr="00233D47">
        <w:rPr>
          <w:rFonts w:cs="Gisha"/>
          <w:bCs/>
          <w:sz w:val="22"/>
          <w:szCs w:val="22"/>
          <w:lang w:val="es-ES_tradnl"/>
        </w:rPr>
        <w:t xml:space="preserve">Las áreas financieras de las Vicepresidencias de Gestión Contractual y Ejecutiva depuraron y revisaron las deudas adquiridas con los concesionarios y las clasificó en: Reconocidas (Pasivo) corresponde a las deudas validadas y reconocidas por la Agencia, Interventoría y el Concesionario , Probables o en revisión (provisión) corresponde a deudas que se encuentran en revisión jurídica, técnica </w:t>
      </w:r>
      <w:r w:rsidR="00D93CCF" w:rsidRPr="00233D47">
        <w:rPr>
          <w:rFonts w:cs="Gisha"/>
          <w:bCs/>
          <w:sz w:val="22"/>
          <w:szCs w:val="22"/>
          <w:lang w:val="es-ES_tradnl"/>
        </w:rPr>
        <w:t>o</w:t>
      </w:r>
      <w:r w:rsidRPr="00233D47">
        <w:rPr>
          <w:rFonts w:cs="Gisha"/>
          <w:bCs/>
          <w:sz w:val="22"/>
          <w:szCs w:val="22"/>
          <w:lang w:val="es-ES_tradnl"/>
        </w:rPr>
        <w:t xml:space="preserve"> financiera y, eventuales o remotas (cuentas de orden) corresponde a obligaciones que no están reconocidos por la entidad, pero que el concesionario aduce se le deben cancelar y que pueden terminar o no en ins</w:t>
      </w:r>
      <w:r w:rsidR="000A164E">
        <w:rPr>
          <w:rFonts w:cs="Gisha"/>
          <w:bCs/>
          <w:sz w:val="22"/>
          <w:szCs w:val="22"/>
          <w:lang w:val="es-ES_tradnl"/>
        </w:rPr>
        <w:t>tancias judiciales . T</w:t>
      </w:r>
      <w:r w:rsidRPr="00233D47">
        <w:rPr>
          <w:rFonts w:cs="Gisha"/>
          <w:bCs/>
          <w:sz w:val="22"/>
          <w:szCs w:val="22"/>
          <w:lang w:val="es-ES_tradnl"/>
        </w:rPr>
        <w:t xml:space="preserve">eniendo en cuenta ésta clasificación se registraron en la contabilidad de la Agencia </w:t>
      </w:r>
      <w:r w:rsidRPr="00233D47">
        <w:rPr>
          <w:rFonts w:cs="Gisha"/>
          <w:sz w:val="22"/>
          <w:szCs w:val="22"/>
        </w:rPr>
        <w:t>(</w:t>
      </w:r>
      <w:r w:rsidRPr="00D93CCF">
        <w:rPr>
          <w:rFonts w:cs="Gisha"/>
          <w:sz w:val="22"/>
          <w:szCs w:val="22"/>
        </w:rPr>
        <w:t>Ver Anexo 5</w:t>
      </w:r>
      <w:r w:rsidRPr="00233D47">
        <w:rPr>
          <w:rFonts w:cs="Gisha"/>
          <w:sz w:val="22"/>
          <w:szCs w:val="22"/>
        </w:rPr>
        <w:t>)</w:t>
      </w:r>
      <w:r w:rsidRPr="00233D47">
        <w:rPr>
          <w:rFonts w:cs="Gisha"/>
          <w:bCs/>
          <w:sz w:val="22"/>
          <w:szCs w:val="22"/>
          <w:lang w:val="es-ES_tradnl"/>
        </w:rPr>
        <w:t>.</w:t>
      </w:r>
    </w:p>
    <w:p w:rsidR="008D7F43" w:rsidRDefault="008D7F43" w:rsidP="008D7F43">
      <w:pPr>
        <w:rPr>
          <w:rFonts w:ascii="Arial Narrow" w:hAnsi="Arial Narrow" w:cs="Gisha"/>
          <w:b/>
          <w:bCs/>
          <w:sz w:val="22"/>
          <w:szCs w:val="22"/>
          <w:lang w:val="es-ES_tradnl"/>
        </w:rPr>
      </w:pPr>
    </w:p>
    <w:p w:rsidR="008D7F43" w:rsidRPr="005B2A57" w:rsidRDefault="008D7F43" w:rsidP="008D7F43">
      <w:pPr>
        <w:pStyle w:val="Ttulo4"/>
        <w:rPr>
          <w:rFonts w:ascii="Arial Narrow" w:hAnsi="Arial Narrow" w:cs="Gisha"/>
          <w:color w:val="auto"/>
          <w:sz w:val="22"/>
          <w:szCs w:val="22"/>
        </w:rPr>
      </w:pPr>
      <w:r w:rsidRPr="005B2A57">
        <w:rPr>
          <w:rFonts w:ascii="Arial Narrow" w:hAnsi="Arial Narrow" w:cs="Gisha"/>
          <w:color w:val="auto"/>
          <w:sz w:val="22"/>
          <w:szCs w:val="22"/>
        </w:rPr>
        <w:lastRenderedPageBreak/>
        <w:t xml:space="preserve">NOTA </w:t>
      </w:r>
      <w:r w:rsidR="00D75EC8">
        <w:rPr>
          <w:rFonts w:ascii="Arial Narrow" w:hAnsi="Arial Narrow" w:cs="Gisha"/>
          <w:color w:val="auto"/>
          <w:sz w:val="22"/>
          <w:szCs w:val="22"/>
        </w:rPr>
        <w:t>8</w:t>
      </w:r>
      <w:r w:rsidRPr="005B2A57">
        <w:rPr>
          <w:rFonts w:ascii="Arial Narrow" w:hAnsi="Arial Narrow" w:cs="Gisha"/>
          <w:color w:val="auto"/>
          <w:sz w:val="22"/>
          <w:szCs w:val="22"/>
        </w:rPr>
        <w:t>.    OBLIGACIONES LABORALES</w:t>
      </w:r>
    </w:p>
    <w:p w:rsidR="008D7F43" w:rsidRDefault="008D7F43" w:rsidP="008D7F43">
      <w:pPr>
        <w:rPr>
          <w:rFonts w:ascii="Arial Narrow" w:hAnsi="Arial Narrow" w:cs="Gisha"/>
          <w:sz w:val="22"/>
          <w:szCs w:val="22"/>
        </w:rPr>
      </w:pPr>
    </w:p>
    <w:p w:rsidR="008D7F43" w:rsidRDefault="008D7F43" w:rsidP="008D7F43">
      <w:pPr>
        <w:pStyle w:val="Textoindependiente3"/>
        <w:rPr>
          <w:rFonts w:ascii="Arial Narrow" w:hAnsi="Arial Narrow" w:cs="Gisha"/>
          <w:color w:val="auto"/>
          <w:sz w:val="22"/>
          <w:szCs w:val="22"/>
        </w:rPr>
      </w:pPr>
      <w:r w:rsidRPr="00050055">
        <w:rPr>
          <w:rFonts w:ascii="Arial Narrow" w:hAnsi="Arial Narrow" w:cs="Gisha"/>
          <w:color w:val="auto"/>
          <w:sz w:val="22"/>
          <w:szCs w:val="22"/>
        </w:rPr>
        <w:t>A 31 de diciembre de 201</w:t>
      </w:r>
      <w:r>
        <w:rPr>
          <w:rFonts w:ascii="Arial Narrow" w:hAnsi="Arial Narrow" w:cs="Gisha"/>
          <w:color w:val="auto"/>
          <w:sz w:val="22"/>
          <w:szCs w:val="22"/>
        </w:rPr>
        <w:t>5</w:t>
      </w:r>
      <w:r w:rsidRPr="00050055">
        <w:rPr>
          <w:rFonts w:ascii="Arial Narrow" w:hAnsi="Arial Narrow" w:cs="Gisha"/>
          <w:color w:val="auto"/>
          <w:sz w:val="22"/>
          <w:szCs w:val="22"/>
        </w:rPr>
        <w:t xml:space="preserve"> esta cuenta presenta un saldo de $</w:t>
      </w:r>
      <w:r>
        <w:rPr>
          <w:rFonts w:ascii="Arial Narrow" w:hAnsi="Arial Narrow" w:cs="Gisha"/>
          <w:color w:val="auto"/>
          <w:sz w:val="22"/>
          <w:szCs w:val="22"/>
        </w:rPr>
        <w:t>3.249.468</w:t>
      </w:r>
      <w:r w:rsidRPr="00050055">
        <w:rPr>
          <w:rFonts w:ascii="Arial Narrow" w:hAnsi="Arial Narrow" w:cs="Gisha"/>
          <w:color w:val="auto"/>
          <w:sz w:val="22"/>
          <w:szCs w:val="22"/>
        </w:rPr>
        <w:t xml:space="preserve"> miles, </w:t>
      </w:r>
      <w:r>
        <w:rPr>
          <w:rFonts w:ascii="Arial Narrow" w:hAnsi="Arial Narrow" w:cs="Gisha"/>
          <w:color w:val="auto"/>
          <w:sz w:val="22"/>
          <w:szCs w:val="22"/>
        </w:rPr>
        <w:t xml:space="preserve">los cuales </w:t>
      </w:r>
      <w:r w:rsidRPr="00050055">
        <w:rPr>
          <w:rFonts w:ascii="Arial Narrow" w:hAnsi="Arial Narrow" w:cs="Gisha"/>
          <w:color w:val="auto"/>
          <w:sz w:val="22"/>
          <w:szCs w:val="22"/>
        </w:rPr>
        <w:t>corresponden al registro de las prestaciones sociales</w:t>
      </w:r>
      <w:r>
        <w:rPr>
          <w:rFonts w:ascii="Arial Narrow" w:hAnsi="Arial Narrow" w:cs="Gisha"/>
          <w:color w:val="auto"/>
          <w:sz w:val="22"/>
          <w:szCs w:val="22"/>
        </w:rPr>
        <w:t xml:space="preserve"> </w:t>
      </w:r>
      <w:r w:rsidRPr="00050055">
        <w:rPr>
          <w:rFonts w:ascii="Arial Narrow" w:hAnsi="Arial Narrow" w:cs="Gisha"/>
          <w:color w:val="auto"/>
          <w:sz w:val="22"/>
          <w:szCs w:val="22"/>
        </w:rPr>
        <w:t>de los funcionarios de planta de</w:t>
      </w:r>
      <w:r>
        <w:rPr>
          <w:rFonts w:ascii="Arial Narrow" w:hAnsi="Arial Narrow" w:cs="Gisha"/>
          <w:color w:val="auto"/>
          <w:sz w:val="22"/>
          <w:szCs w:val="22"/>
        </w:rPr>
        <w:t xml:space="preserve"> </w:t>
      </w:r>
      <w:r w:rsidRPr="00050055">
        <w:rPr>
          <w:rFonts w:ascii="Arial Narrow" w:hAnsi="Arial Narrow" w:cs="Gisha"/>
          <w:color w:val="auto"/>
          <w:sz w:val="22"/>
          <w:szCs w:val="22"/>
        </w:rPr>
        <w:t>l</w:t>
      </w:r>
      <w:r>
        <w:rPr>
          <w:rFonts w:ascii="Arial Narrow" w:hAnsi="Arial Narrow" w:cs="Gisha"/>
          <w:color w:val="auto"/>
          <w:sz w:val="22"/>
          <w:szCs w:val="22"/>
        </w:rPr>
        <w:t>a</w:t>
      </w:r>
      <w:r w:rsidRPr="00050055">
        <w:rPr>
          <w:rFonts w:ascii="Arial Narrow" w:hAnsi="Arial Narrow" w:cs="Gisha"/>
          <w:color w:val="auto"/>
          <w:sz w:val="22"/>
          <w:szCs w:val="22"/>
        </w:rPr>
        <w:t xml:space="preserve"> </w:t>
      </w:r>
      <w:r>
        <w:rPr>
          <w:rFonts w:ascii="Arial Narrow" w:hAnsi="Arial Narrow" w:cs="Gisha"/>
          <w:color w:val="auto"/>
          <w:sz w:val="22"/>
          <w:szCs w:val="22"/>
        </w:rPr>
        <w:t>Agencia</w:t>
      </w:r>
      <w:r w:rsidRPr="00050055">
        <w:rPr>
          <w:rFonts w:ascii="Arial Narrow" w:hAnsi="Arial Narrow" w:cs="Gisha"/>
          <w:color w:val="auto"/>
          <w:sz w:val="22"/>
          <w:szCs w:val="22"/>
        </w:rPr>
        <w:t xml:space="preserve"> causadas al cierre de la vigencia, así:</w:t>
      </w:r>
    </w:p>
    <w:p w:rsidR="008D7F43" w:rsidRPr="00050055" w:rsidRDefault="008D7F43" w:rsidP="008D7F43">
      <w:pPr>
        <w:pStyle w:val="Textoindependiente3"/>
        <w:rPr>
          <w:rFonts w:ascii="Arial Narrow" w:hAnsi="Arial Narrow" w:cs="Gisha"/>
          <w:color w:val="auto"/>
          <w:sz w:val="22"/>
          <w:szCs w:val="22"/>
        </w:rPr>
      </w:pPr>
    </w:p>
    <w:tbl>
      <w:tblPr>
        <w:tblW w:w="5720" w:type="dxa"/>
        <w:jc w:val="center"/>
        <w:tblCellMar>
          <w:left w:w="70" w:type="dxa"/>
          <w:right w:w="70" w:type="dxa"/>
        </w:tblCellMar>
        <w:tblLook w:val="04A0" w:firstRow="1" w:lastRow="0" w:firstColumn="1" w:lastColumn="0" w:noHBand="0" w:noVBand="1"/>
      </w:tblPr>
      <w:tblGrid>
        <w:gridCol w:w="3000"/>
        <w:gridCol w:w="1420"/>
        <w:gridCol w:w="1300"/>
      </w:tblGrid>
      <w:tr w:rsidR="008D7F43" w:rsidRPr="00CC405B" w:rsidTr="0081765C">
        <w:trPr>
          <w:trHeight w:val="285"/>
          <w:jc w:val="center"/>
        </w:trPr>
        <w:tc>
          <w:tcPr>
            <w:tcW w:w="300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rsidR="008D7F43" w:rsidRPr="00CC405B" w:rsidRDefault="008D7F43" w:rsidP="0081765C">
            <w:pPr>
              <w:jc w:val="center"/>
              <w:rPr>
                <w:rFonts w:ascii="Arial" w:hAnsi="Arial" w:cs="Arial"/>
                <w:b/>
                <w:bCs/>
                <w:color w:val="000000"/>
                <w:sz w:val="20"/>
                <w:szCs w:val="20"/>
                <w:lang w:val="es-CO" w:eastAsia="es-CO"/>
              </w:rPr>
            </w:pPr>
            <w:r w:rsidRPr="00CC405B">
              <w:rPr>
                <w:rFonts w:ascii="Arial" w:hAnsi="Arial" w:cs="Arial"/>
                <w:b/>
                <w:bCs/>
                <w:color w:val="000000"/>
                <w:sz w:val="20"/>
                <w:szCs w:val="20"/>
                <w:lang w:val="es-CO" w:eastAsia="es-CO"/>
              </w:rPr>
              <w:t>CUENTA</w:t>
            </w:r>
          </w:p>
        </w:tc>
        <w:tc>
          <w:tcPr>
            <w:tcW w:w="14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rsidR="008D7F43" w:rsidRPr="00CC405B" w:rsidRDefault="008D7F43" w:rsidP="0081765C">
            <w:pPr>
              <w:jc w:val="center"/>
              <w:rPr>
                <w:rFonts w:ascii="Arial" w:hAnsi="Arial" w:cs="Arial"/>
                <w:b/>
                <w:bCs/>
                <w:color w:val="000000"/>
                <w:sz w:val="20"/>
                <w:szCs w:val="20"/>
                <w:lang w:val="es-CO" w:eastAsia="es-CO"/>
              </w:rPr>
            </w:pPr>
            <w:r w:rsidRPr="00CC405B">
              <w:rPr>
                <w:rFonts w:ascii="Arial" w:hAnsi="Arial" w:cs="Arial"/>
                <w:b/>
                <w:bCs/>
                <w:color w:val="000000"/>
                <w:sz w:val="20"/>
                <w:szCs w:val="20"/>
                <w:lang w:val="es-CO" w:eastAsia="es-CO"/>
              </w:rPr>
              <w:t>dic-15</w:t>
            </w:r>
          </w:p>
        </w:tc>
        <w:tc>
          <w:tcPr>
            <w:tcW w:w="130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rsidR="008D7F43" w:rsidRPr="00CC405B" w:rsidRDefault="008D7F43" w:rsidP="0081765C">
            <w:pPr>
              <w:jc w:val="center"/>
              <w:rPr>
                <w:rFonts w:ascii="Arial" w:hAnsi="Arial" w:cs="Arial"/>
                <w:b/>
                <w:bCs/>
                <w:color w:val="000000"/>
                <w:sz w:val="20"/>
                <w:szCs w:val="20"/>
                <w:lang w:val="es-CO" w:eastAsia="es-CO"/>
              </w:rPr>
            </w:pPr>
            <w:r w:rsidRPr="00CC405B">
              <w:rPr>
                <w:rFonts w:ascii="Arial" w:hAnsi="Arial" w:cs="Arial"/>
                <w:b/>
                <w:bCs/>
                <w:color w:val="000000"/>
                <w:sz w:val="20"/>
                <w:szCs w:val="20"/>
                <w:lang w:val="es-CO" w:eastAsia="es-CO"/>
              </w:rPr>
              <w:t>dic-14</w:t>
            </w:r>
          </w:p>
        </w:tc>
      </w:tr>
      <w:tr w:rsidR="008D7F43" w:rsidRPr="00CC405B" w:rsidTr="0081765C">
        <w:trPr>
          <w:trHeight w:val="270"/>
          <w:jc w:val="center"/>
        </w:trPr>
        <w:tc>
          <w:tcPr>
            <w:tcW w:w="3000" w:type="dxa"/>
            <w:tcBorders>
              <w:top w:val="nil"/>
              <w:left w:val="double" w:sz="6" w:space="0" w:color="auto"/>
              <w:bottom w:val="nil"/>
              <w:right w:val="double" w:sz="6" w:space="0" w:color="auto"/>
            </w:tcBorders>
            <w:shd w:val="clear" w:color="000000" w:fill="FFFFFF"/>
            <w:noWrap/>
            <w:vAlign w:val="bottom"/>
            <w:hideMark/>
          </w:tcPr>
          <w:p w:rsidR="008D7F43" w:rsidRPr="00CC405B" w:rsidRDefault="008D7F43" w:rsidP="0081765C">
            <w:pPr>
              <w:rPr>
                <w:rFonts w:ascii="Arial" w:hAnsi="Arial" w:cs="Arial"/>
                <w:sz w:val="20"/>
                <w:szCs w:val="20"/>
                <w:lang w:val="es-CO" w:eastAsia="es-CO"/>
              </w:rPr>
            </w:pPr>
            <w:r w:rsidRPr="00CC405B">
              <w:rPr>
                <w:rFonts w:ascii="Arial" w:hAnsi="Arial" w:cs="Arial"/>
                <w:sz w:val="20"/>
                <w:szCs w:val="20"/>
                <w:lang w:val="es-CO" w:eastAsia="es-CO"/>
              </w:rPr>
              <w:t>VACACIONES</w:t>
            </w:r>
          </w:p>
        </w:tc>
        <w:tc>
          <w:tcPr>
            <w:tcW w:w="1420" w:type="dxa"/>
            <w:tcBorders>
              <w:top w:val="nil"/>
              <w:left w:val="nil"/>
              <w:bottom w:val="nil"/>
              <w:right w:val="double" w:sz="6" w:space="0" w:color="auto"/>
            </w:tcBorders>
            <w:shd w:val="clear" w:color="000000" w:fill="FFFFFF"/>
            <w:noWrap/>
            <w:vAlign w:val="bottom"/>
            <w:hideMark/>
          </w:tcPr>
          <w:p w:rsidR="008D7F43" w:rsidRPr="00CC405B" w:rsidRDefault="008D7F43" w:rsidP="0081765C">
            <w:pPr>
              <w:jc w:val="right"/>
              <w:rPr>
                <w:rFonts w:ascii="Arial" w:hAnsi="Arial" w:cs="Arial"/>
                <w:sz w:val="20"/>
                <w:szCs w:val="20"/>
                <w:lang w:val="es-CO" w:eastAsia="es-CO"/>
              </w:rPr>
            </w:pPr>
            <w:r w:rsidRPr="00CC405B">
              <w:rPr>
                <w:rFonts w:ascii="Arial" w:hAnsi="Arial" w:cs="Arial"/>
                <w:sz w:val="20"/>
                <w:szCs w:val="20"/>
                <w:lang w:val="es-CO" w:eastAsia="es-CO"/>
              </w:rPr>
              <w:t>1.623.084</w:t>
            </w:r>
          </w:p>
        </w:tc>
        <w:tc>
          <w:tcPr>
            <w:tcW w:w="1300" w:type="dxa"/>
            <w:tcBorders>
              <w:top w:val="nil"/>
              <w:left w:val="nil"/>
              <w:bottom w:val="nil"/>
              <w:right w:val="double" w:sz="6" w:space="0" w:color="auto"/>
            </w:tcBorders>
            <w:shd w:val="clear" w:color="000000" w:fill="FFFFFF"/>
            <w:noWrap/>
            <w:vAlign w:val="bottom"/>
            <w:hideMark/>
          </w:tcPr>
          <w:p w:rsidR="008D7F43" w:rsidRPr="00CC405B" w:rsidRDefault="008D7F43" w:rsidP="0081765C">
            <w:pPr>
              <w:jc w:val="right"/>
              <w:rPr>
                <w:rFonts w:ascii="Arial" w:hAnsi="Arial" w:cs="Arial"/>
                <w:sz w:val="20"/>
                <w:szCs w:val="20"/>
                <w:lang w:val="es-CO" w:eastAsia="es-CO"/>
              </w:rPr>
            </w:pPr>
            <w:r w:rsidRPr="00CC405B">
              <w:rPr>
                <w:rFonts w:ascii="Arial" w:hAnsi="Arial" w:cs="Arial"/>
                <w:sz w:val="20"/>
                <w:szCs w:val="20"/>
                <w:lang w:val="es-CO" w:eastAsia="es-CO"/>
              </w:rPr>
              <w:t>1.367.333</w:t>
            </w:r>
          </w:p>
        </w:tc>
      </w:tr>
      <w:tr w:rsidR="008D7F43" w:rsidRPr="00CC405B" w:rsidTr="0081765C">
        <w:trPr>
          <w:trHeight w:val="255"/>
          <w:jc w:val="center"/>
        </w:trPr>
        <w:tc>
          <w:tcPr>
            <w:tcW w:w="3000" w:type="dxa"/>
            <w:tcBorders>
              <w:top w:val="nil"/>
              <w:left w:val="double" w:sz="6" w:space="0" w:color="auto"/>
              <w:bottom w:val="nil"/>
              <w:right w:val="double" w:sz="6" w:space="0" w:color="auto"/>
            </w:tcBorders>
            <w:shd w:val="clear" w:color="000000" w:fill="FFFFFF"/>
            <w:noWrap/>
            <w:vAlign w:val="bottom"/>
            <w:hideMark/>
          </w:tcPr>
          <w:p w:rsidR="008D7F43" w:rsidRPr="00CC405B" w:rsidRDefault="008D7F43" w:rsidP="0081765C">
            <w:pPr>
              <w:rPr>
                <w:rFonts w:ascii="Arial" w:hAnsi="Arial" w:cs="Arial"/>
                <w:sz w:val="20"/>
                <w:szCs w:val="20"/>
                <w:lang w:val="es-CO" w:eastAsia="es-CO"/>
              </w:rPr>
            </w:pPr>
            <w:r w:rsidRPr="00CC405B">
              <w:rPr>
                <w:rFonts w:ascii="Arial" w:hAnsi="Arial" w:cs="Arial"/>
                <w:sz w:val="20"/>
                <w:szCs w:val="20"/>
                <w:lang w:val="es-CO" w:eastAsia="es-CO"/>
              </w:rPr>
              <w:t>PRIMA DE VACACIONES</w:t>
            </w:r>
          </w:p>
        </w:tc>
        <w:tc>
          <w:tcPr>
            <w:tcW w:w="1420" w:type="dxa"/>
            <w:tcBorders>
              <w:top w:val="nil"/>
              <w:left w:val="nil"/>
              <w:bottom w:val="nil"/>
              <w:right w:val="double" w:sz="6" w:space="0" w:color="auto"/>
            </w:tcBorders>
            <w:shd w:val="clear" w:color="000000" w:fill="FFFFFF"/>
            <w:noWrap/>
            <w:vAlign w:val="bottom"/>
            <w:hideMark/>
          </w:tcPr>
          <w:p w:rsidR="008D7F43" w:rsidRPr="00CC405B" w:rsidRDefault="008D7F43" w:rsidP="0081765C">
            <w:pPr>
              <w:jc w:val="right"/>
              <w:rPr>
                <w:rFonts w:ascii="Arial" w:hAnsi="Arial" w:cs="Arial"/>
                <w:sz w:val="20"/>
                <w:szCs w:val="20"/>
                <w:lang w:val="es-CO" w:eastAsia="es-CO"/>
              </w:rPr>
            </w:pPr>
            <w:r w:rsidRPr="00CC405B">
              <w:rPr>
                <w:rFonts w:ascii="Arial" w:hAnsi="Arial" w:cs="Arial"/>
                <w:sz w:val="20"/>
                <w:szCs w:val="20"/>
                <w:lang w:val="es-CO" w:eastAsia="es-CO"/>
              </w:rPr>
              <w:t>1.159.345</w:t>
            </w:r>
          </w:p>
        </w:tc>
        <w:tc>
          <w:tcPr>
            <w:tcW w:w="1300" w:type="dxa"/>
            <w:tcBorders>
              <w:top w:val="nil"/>
              <w:left w:val="nil"/>
              <w:bottom w:val="nil"/>
              <w:right w:val="double" w:sz="6" w:space="0" w:color="auto"/>
            </w:tcBorders>
            <w:shd w:val="clear" w:color="000000" w:fill="FFFFFF"/>
            <w:noWrap/>
            <w:vAlign w:val="bottom"/>
            <w:hideMark/>
          </w:tcPr>
          <w:p w:rsidR="008D7F43" w:rsidRPr="00CC405B" w:rsidRDefault="008D7F43" w:rsidP="0081765C">
            <w:pPr>
              <w:jc w:val="right"/>
              <w:rPr>
                <w:rFonts w:ascii="Arial" w:hAnsi="Arial" w:cs="Arial"/>
                <w:sz w:val="20"/>
                <w:szCs w:val="20"/>
                <w:lang w:val="es-CO" w:eastAsia="es-CO"/>
              </w:rPr>
            </w:pPr>
            <w:r w:rsidRPr="00CC405B">
              <w:rPr>
                <w:rFonts w:ascii="Arial" w:hAnsi="Arial" w:cs="Arial"/>
                <w:sz w:val="20"/>
                <w:szCs w:val="20"/>
                <w:lang w:val="es-CO" w:eastAsia="es-CO"/>
              </w:rPr>
              <w:t>976.666</w:t>
            </w:r>
          </w:p>
        </w:tc>
      </w:tr>
      <w:tr w:rsidR="008D7F43" w:rsidRPr="00CC405B" w:rsidTr="0081765C">
        <w:trPr>
          <w:trHeight w:val="255"/>
          <w:jc w:val="center"/>
        </w:trPr>
        <w:tc>
          <w:tcPr>
            <w:tcW w:w="3000" w:type="dxa"/>
            <w:tcBorders>
              <w:top w:val="nil"/>
              <w:left w:val="double" w:sz="6" w:space="0" w:color="auto"/>
              <w:bottom w:val="nil"/>
              <w:right w:val="double" w:sz="6" w:space="0" w:color="auto"/>
            </w:tcBorders>
            <w:shd w:val="clear" w:color="000000" w:fill="FFFFFF"/>
            <w:vAlign w:val="center"/>
            <w:hideMark/>
          </w:tcPr>
          <w:p w:rsidR="008D7F43" w:rsidRPr="00CC405B" w:rsidRDefault="008D7F43" w:rsidP="0081765C">
            <w:pPr>
              <w:rPr>
                <w:rFonts w:ascii="Arial" w:hAnsi="Arial" w:cs="Arial"/>
                <w:sz w:val="20"/>
                <w:szCs w:val="20"/>
                <w:lang w:val="es-CO" w:eastAsia="es-CO"/>
              </w:rPr>
            </w:pPr>
            <w:r w:rsidRPr="00CC405B">
              <w:rPr>
                <w:rFonts w:ascii="Arial" w:hAnsi="Arial" w:cs="Arial"/>
                <w:sz w:val="20"/>
                <w:szCs w:val="20"/>
                <w:lang w:val="es-CO" w:eastAsia="es-CO"/>
              </w:rPr>
              <w:t>PRIMA DE SERVICIOS</w:t>
            </w:r>
          </w:p>
        </w:tc>
        <w:tc>
          <w:tcPr>
            <w:tcW w:w="1420" w:type="dxa"/>
            <w:tcBorders>
              <w:top w:val="nil"/>
              <w:left w:val="nil"/>
              <w:bottom w:val="nil"/>
              <w:right w:val="double" w:sz="6" w:space="0" w:color="auto"/>
            </w:tcBorders>
            <w:shd w:val="clear" w:color="000000" w:fill="FFFFFF"/>
            <w:noWrap/>
            <w:vAlign w:val="bottom"/>
            <w:hideMark/>
          </w:tcPr>
          <w:p w:rsidR="008D7F43" w:rsidRPr="00CC405B" w:rsidRDefault="008D7F43" w:rsidP="0081765C">
            <w:pPr>
              <w:jc w:val="right"/>
              <w:rPr>
                <w:rFonts w:ascii="Arial" w:hAnsi="Arial" w:cs="Arial"/>
                <w:sz w:val="20"/>
                <w:szCs w:val="20"/>
                <w:lang w:val="es-CO" w:eastAsia="es-CO"/>
              </w:rPr>
            </w:pPr>
            <w:r w:rsidRPr="00CC405B">
              <w:rPr>
                <w:rFonts w:ascii="Arial" w:hAnsi="Arial" w:cs="Arial"/>
                <w:sz w:val="20"/>
                <w:szCs w:val="20"/>
                <w:lang w:val="es-CO" w:eastAsia="es-CO"/>
              </w:rPr>
              <w:t>325.319</w:t>
            </w:r>
          </w:p>
        </w:tc>
        <w:tc>
          <w:tcPr>
            <w:tcW w:w="1300" w:type="dxa"/>
            <w:tcBorders>
              <w:top w:val="nil"/>
              <w:left w:val="nil"/>
              <w:bottom w:val="nil"/>
              <w:right w:val="double" w:sz="6" w:space="0" w:color="auto"/>
            </w:tcBorders>
            <w:shd w:val="clear" w:color="000000" w:fill="FFFFFF"/>
            <w:noWrap/>
            <w:vAlign w:val="bottom"/>
            <w:hideMark/>
          </w:tcPr>
          <w:p w:rsidR="008D7F43" w:rsidRPr="00CC405B" w:rsidRDefault="008D7F43" w:rsidP="0081765C">
            <w:pPr>
              <w:jc w:val="right"/>
              <w:rPr>
                <w:rFonts w:ascii="Arial" w:hAnsi="Arial" w:cs="Arial"/>
                <w:sz w:val="20"/>
                <w:szCs w:val="20"/>
                <w:lang w:val="es-CO" w:eastAsia="es-CO"/>
              </w:rPr>
            </w:pPr>
            <w:r w:rsidRPr="00CC405B">
              <w:rPr>
                <w:rFonts w:ascii="Arial" w:hAnsi="Arial" w:cs="Arial"/>
                <w:sz w:val="20"/>
                <w:szCs w:val="20"/>
                <w:lang w:val="es-CO" w:eastAsia="es-CO"/>
              </w:rPr>
              <w:t>0</w:t>
            </w:r>
          </w:p>
        </w:tc>
      </w:tr>
      <w:tr w:rsidR="008D7F43" w:rsidRPr="00CC405B" w:rsidTr="0081765C">
        <w:trPr>
          <w:trHeight w:val="255"/>
          <w:jc w:val="center"/>
        </w:trPr>
        <w:tc>
          <w:tcPr>
            <w:tcW w:w="3000" w:type="dxa"/>
            <w:tcBorders>
              <w:top w:val="nil"/>
              <w:left w:val="double" w:sz="6" w:space="0" w:color="auto"/>
              <w:bottom w:val="nil"/>
              <w:right w:val="double" w:sz="6" w:space="0" w:color="auto"/>
            </w:tcBorders>
            <w:shd w:val="clear" w:color="000000" w:fill="FFFFFF"/>
            <w:vAlign w:val="center"/>
            <w:hideMark/>
          </w:tcPr>
          <w:p w:rsidR="008D7F43" w:rsidRPr="00CC405B" w:rsidRDefault="008D7F43" w:rsidP="0081765C">
            <w:pPr>
              <w:rPr>
                <w:rFonts w:ascii="Arial" w:hAnsi="Arial" w:cs="Arial"/>
                <w:sz w:val="20"/>
                <w:szCs w:val="20"/>
                <w:lang w:val="es-CO" w:eastAsia="es-CO"/>
              </w:rPr>
            </w:pPr>
            <w:r w:rsidRPr="00CC405B">
              <w:rPr>
                <w:rFonts w:ascii="Arial" w:hAnsi="Arial" w:cs="Arial"/>
                <w:sz w:val="20"/>
                <w:szCs w:val="20"/>
                <w:lang w:val="es-CO" w:eastAsia="es-CO"/>
              </w:rPr>
              <w:t>PRIMA DE NAVIDAD</w:t>
            </w:r>
          </w:p>
        </w:tc>
        <w:tc>
          <w:tcPr>
            <w:tcW w:w="1420" w:type="dxa"/>
            <w:tcBorders>
              <w:top w:val="nil"/>
              <w:left w:val="nil"/>
              <w:bottom w:val="nil"/>
              <w:right w:val="double" w:sz="6" w:space="0" w:color="auto"/>
            </w:tcBorders>
            <w:shd w:val="clear" w:color="000000" w:fill="FFFFFF"/>
            <w:noWrap/>
            <w:vAlign w:val="bottom"/>
            <w:hideMark/>
          </w:tcPr>
          <w:p w:rsidR="008D7F43" w:rsidRPr="00CC405B" w:rsidRDefault="008D7F43" w:rsidP="0081765C">
            <w:pPr>
              <w:jc w:val="right"/>
              <w:rPr>
                <w:rFonts w:ascii="Arial" w:hAnsi="Arial" w:cs="Arial"/>
                <w:sz w:val="20"/>
                <w:szCs w:val="20"/>
                <w:lang w:val="es-CO" w:eastAsia="es-CO"/>
              </w:rPr>
            </w:pPr>
            <w:r w:rsidRPr="00CC405B">
              <w:rPr>
                <w:rFonts w:ascii="Arial" w:hAnsi="Arial" w:cs="Arial"/>
                <w:sz w:val="20"/>
                <w:szCs w:val="20"/>
                <w:lang w:val="es-CO" w:eastAsia="es-CO"/>
              </w:rPr>
              <w:t>7.123</w:t>
            </w:r>
          </w:p>
        </w:tc>
        <w:tc>
          <w:tcPr>
            <w:tcW w:w="1300" w:type="dxa"/>
            <w:tcBorders>
              <w:top w:val="nil"/>
              <w:left w:val="nil"/>
              <w:bottom w:val="nil"/>
              <w:right w:val="double" w:sz="6" w:space="0" w:color="auto"/>
            </w:tcBorders>
            <w:shd w:val="clear" w:color="000000" w:fill="FFFFFF"/>
            <w:noWrap/>
            <w:vAlign w:val="bottom"/>
            <w:hideMark/>
          </w:tcPr>
          <w:p w:rsidR="008D7F43" w:rsidRPr="00CC405B" w:rsidRDefault="008D7F43" w:rsidP="0081765C">
            <w:pPr>
              <w:jc w:val="right"/>
              <w:rPr>
                <w:rFonts w:ascii="Arial" w:hAnsi="Arial" w:cs="Arial"/>
                <w:sz w:val="20"/>
                <w:szCs w:val="20"/>
                <w:lang w:val="es-CO" w:eastAsia="es-CO"/>
              </w:rPr>
            </w:pPr>
            <w:r w:rsidRPr="00CC405B">
              <w:rPr>
                <w:rFonts w:ascii="Arial" w:hAnsi="Arial" w:cs="Arial"/>
                <w:sz w:val="20"/>
                <w:szCs w:val="20"/>
                <w:lang w:val="es-CO" w:eastAsia="es-CO"/>
              </w:rPr>
              <w:t>0</w:t>
            </w:r>
          </w:p>
        </w:tc>
      </w:tr>
      <w:tr w:rsidR="008D7F43" w:rsidRPr="00CC405B" w:rsidTr="0081765C">
        <w:trPr>
          <w:trHeight w:val="270"/>
          <w:jc w:val="center"/>
        </w:trPr>
        <w:tc>
          <w:tcPr>
            <w:tcW w:w="3000" w:type="dxa"/>
            <w:tcBorders>
              <w:top w:val="nil"/>
              <w:left w:val="double" w:sz="6" w:space="0" w:color="auto"/>
              <w:bottom w:val="double" w:sz="6" w:space="0" w:color="auto"/>
              <w:right w:val="double" w:sz="6" w:space="0" w:color="auto"/>
            </w:tcBorders>
            <w:shd w:val="clear" w:color="000000" w:fill="FFFFFF"/>
            <w:vAlign w:val="center"/>
            <w:hideMark/>
          </w:tcPr>
          <w:p w:rsidR="008D7F43" w:rsidRPr="00CC405B" w:rsidRDefault="008D7F43" w:rsidP="0081765C">
            <w:pPr>
              <w:rPr>
                <w:rFonts w:ascii="Arial" w:hAnsi="Arial" w:cs="Arial"/>
                <w:sz w:val="20"/>
                <w:szCs w:val="20"/>
                <w:lang w:val="es-CO" w:eastAsia="es-CO"/>
              </w:rPr>
            </w:pPr>
            <w:r w:rsidRPr="00CC405B">
              <w:rPr>
                <w:rFonts w:ascii="Arial" w:hAnsi="Arial" w:cs="Arial"/>
                <w:sz w:val="20"/>
                <w:szCs w:val="20"/>
                <w:lang w:val="es-CO" w:eastAsia="es-CO"/>
              </w:rPr>
              <w:t>BONIFICACIONES</w:t>
            </w:r>
          </w:p>
        </w:tc>
        <w:tc>
          <w:tcPr>
            <w:tcW w:w="1420" w:type="dxa"/>
            <w:tcBorders>
              <w:top w:val="nil"/>
              <w:left w:val="nil"/>
              <w:bottom w:val="double" w:sz="6" w:space="0" w:color="auto"/>
              <w:right w:val="double" w:sz="6" w:space="0" w:color="auto"/>
            </w:tcBorders>
            <w:shd w:val="clear" w:color="000000" w:fill="FFFFFF"/>
            <w:noWrap/>
            <w:vAlign w:val="bottom"/>
            <w:hideMark/>
          </w:tcPr>
          <w:p w:rsidR="008D7F43" w:rsidRPr="00CC405B" w:rsidRDefault="008D7F43" w:rsidP="0081765C">
            <w:pPr>
              <w:jc w:val="right"/>
              <w:rPr>
                <w:rFonts w:ascii="Arial" w:hAnsi="Arial" w:cs="Arial"/>
                <w:sz w:val="20"/>
                <w:szCs w:val="20"/>
                <w:lang w:val="es-CO" w:eastAsia="es-CO"/>
              </w:rPr>
            </w:pPr>
            <w:r w:rsidRPr="00CC405B">
              <w:rPr>
                <w:rFonts w:ascii="Arial" w:hAnsi="Arial" w:cs="Arial"/>
                <w:sz w:val="20"/>
                <w:szCs w:val="20"/>
                <w:lang w:val="es-CO" w:eastAsia="es-CO"/>
              </w:rPr>
              <w:t>134.597</w:t>
            </w:r>
          </w:p>
        </w:tc>
        <w:tc>
          <w:tcPr>
            <w:tcW w:w="1300" w:type="dxa"/>
            <w:tcBorders>
              <w:top w:val="nil"/>
              <w:left w:val="nil"/>
              <w:bottom w:val="double" w:sz="6" w:space="0" w:color="auto"/>
              <w:right w:val="double" w:sz="6" w:space="0" w:color="auto"/>
            </w:tcBorders>
            <w:shd w:val="clear" w:color="000000" w:fill="FFFFFF"/>
            <w:noWrap/>
            <w:vAlign w:val="bottom"/>
            <w:hideMark/>
          </w:tcPr>
          <w:p w:rsidR="008D7F43" w:rsidRPr="00CC405B" w:rsidRDefault="008D7F43" w:rsidP="0081765C">
            <w:pPr>
              <w:jc w:val="right"/>
              <w:rPr>
                <w:rFonts w:ascii="Arial" w:hAnsi="Arial" w:cs="Arial"/>
                <w:sz w:val="20"/>
                <w:szCs w:val="20"/>
                <w:lang w:val="es-CO" w:eastAsia="es-CO"/>
              </w:rPr>
            </w:pPr>
            <w:r w:rsidRPr="00CC405B">
              <w:rPr>
                <w:rFonts w:ascii="Arial" w:hAnsi="Arial" w:cs="Arial"/>
                <w:sz w:val="20"/>
                <w:szCs w:val="20"/>
                <w:lang w:val="es-CO" w:eastAsia="es-CO"/>
              </w:rPr>
              <w:t>114.809</w:t>
            </w:r>
          </w:p>
        </w:tc>
      </w:tr>
      <w:tr w:rsidR="008D7F43" w:rsidRPr="00CC405B" w:rsidTr="0081765C">
        <w:trPr>
          <w:trHeight w:val="285"/>
          <w:jc w:val="center"/>
        </w:trPr>
        <w:tc>
          <w:tcPr>
            <w:tcW w:w="3000" w:type="dxa"/>
            <w:tcBorders>
              <w:top w:val="nil"/>
              <w:left w:val="double" w:sz="6" w:space="0" w:color="auto"/>
              <w:bottom w:val="double" w:sz="6" w:space="0" w:color="auto"/>
              <w:right w:val="double" w:sz="6" w:space="0" w:color="auto"/>
            </w:tcBorders>
            <w:shd w:val="clear" w:color="000000" w:fill="FFFFFF"/>
            <w:vAlign w:val="center"/>
            <w:hideMark/>
          </w:tcPr>
          <w:p w:rsidR="008D7F43" w:rsidRPr="00CC405B" w:rsidRDefault="008D7F43" w:rsidP="0081765C">
            <w:pPr>
              <w:jc w:val="center"/>
              <w:rPr>
                <w:rFonts w:ascii="Arial" w:hAnsi="Arial" w:cs="Arial"/>
                <w:b/>
                <w:bCs/>
                <w:sz w:val="20"/>
                <w:szCs w:val="20"/>
                <w:lang w:val="es-CO" w:eastAsia="es-CO"/>
              </w:rPr>
            </w:pPr>
            <w:r w:rsidRPr="00CC405B">
              <w:rPr>
                <w:rFonts w:ascii="Arial" w:hAnsi="Arial" w:cs="Arial"/>
                <w:b/>
                <w:bCs/>
                <w:sz w:val="20"/>
                <w:szCs w:val="20"/>
                <w:lang w:val="es-CO" w:eastAsia="es-CO"/>
              </w:rPr>
              <w:t>TOTAL</w:t>
            </w:r>
          </w:p>
        </w:tc>
        <w:tc>
          <w:tcPr>
            <w:tcW w:w="1420" w:type="dxa"/>
            <w:tcBorders>
              <w:top w:val="nil"/>
              <w:left w:val="nil"/>
              <w:bottom w:val="double" w:sz="6" w:space="0" w:color="auto"/>
              <w:right w:val="double" w:sz="6" w:space="0" w:color="auto"/>
            </w:tcBorders>
            <w:shd w:val="clear" w:color="000000" w:fill="FFFFFF"/>
            <w:noWrap/>
            <w:vAlign w:val="bottom"/>
            <w:hideMark/>
          </w:tcPr>
          <w:p w:rsidR="008D7F43" w:rsidRPr="00CC405B" w:rsidRDefault="008D7F43" w:rsidP="0081765C">
            <w:pPr>
              <w:jc w:val="right"/>
              <w:rPr>
                <w:rFonts w:ascii="Arial" w:hAnsi="Arial" w:cs="Arial"/>
                <w:b/>
                <w:bCs/>
                <w:color w:val="000000"/>
                <w:sz w:val="20"/>
                <w:szCs w:val="20"/>
                <w:lang w:val="es-CO" w:eastAsia="es-CO"/>
              </w:rPr>
            </w:pPr>
            <w:r w:rsidRPr="00CC405B">
              <w:rPr>
                <w:rFonts w:ascii="Arial" w:hAnsi="Arial" w:cs="Arial"/>
                <w:b/>
                <w:bCs/>
                <w:color w:val="000000"/>
                <w:sz w:val="20"/>
                <w:szCs w:val="20"/>
                <w:lang w:val="es-CO" w:eastAsia="es-CO"/>
              </w:rPr>
              <w:t>3.249.468</w:t>
            </w:r>
          </w:p>
        </w:tc>
        <w:tc>
          <w:tcPr>
            <w:tcW w:w="1300" w:type="dxa"/>
            <w:tcBorders>
              <w:top w:val="nil"/>
              <w:left w:val="nil"/>
              <w:bottom w:val="double" w:sz="6" w:space="0" w:color="auto"/>
              <w:right w:val="double" w:sz="6" w:space="0" w:color="auto"/>
            </w:tcBorders>
            <w:shd w:val="clear" w:color="000000" w:fill="FFFFFF"/>
            <w:noWrap/>
            <w:vAlign w:val="bottom"/>
            <w:hideMark/>
          </w:tcPr>
          <w:p w:rsidR="008D7F43" w:rsidRPr="00CC405B" w:rsidRDefault="008D7F43" w:rsidP="0081765C">
            <w:pPr>
              <w:jc w:val="right"/>
              <w:rPr>
                <w:rFonts w:ascii="Arial" w:hAnsi="Arial" w:cs="Arial"/>
                <w:b/>
                <w:bCs/>
                <w:color w:val="000000"/>
                <w:sz w:val="20"/>
                <w:szCs w:val="20"/>
                <w:lang w:val="es-CO" w:eastAsia="es-CO"/>
              </w:rPr>
            </w:pPr>
            <w:r w:rsidRPr="00CC405B">
              <w:rPr>
                <w:rFonts w:ascii="Arial" w:hAnsi="Arial" w:cs="Arial"/>
                <w:b/>
                <w:bCs/>
                <w:color w:val="000000"/>
                <w:sz w:val="20"/>
                <w:szCs w:val="20"/>
                <w:lang w:val="es-CO" w:eastAsia="es-CO"/>
              </w:rPr>
              <w:t>2.458.808</w:t>
            </w:r>
          </w:p>
        </w:tc>
      </w:tr>
    </w:tbl>
    <w:p w:rsidR="008D7F43" w:rsidRDefault="008D7F43" w:rsidP="008D7F43">
      <w:pPr>
        <w:pStyle w:val="Textoindependiente3"/>
        <w:jc w:val="center"/>
        <w:rPr>
          <w:rFonts w:ascii="Arial Narrow" w:hAnsi="Arial Narrow" w:cs="Gisha"/>
          <w:color w:val="auto"/>
          <w:sz w:val="22"/>
          <w:szCs w:val="22"/>
        </w:rPr>
      </w:pPr>
    </w:p>
    <w:p w:rsidR="008D7F43" w:rsidRDefault="008D7F43" w:rsidP="008D7F43">
      <w:pPr>
        <w:pStyle w:val="Textoindependiente3"/>
        <w:rPr>
          <w:rFonts w:ascii="Arial Narrow" w:hAnsi="Arial Narrow" w:cs="Gisha"/>
          <w:color w:val="auto"/>
          <w:sz w:val="22"/>
          <w:szCs w:val="22"/>
        </w:rPr>
      </w:pPr>
      <w:r w:rsidRPr="006377ED">
        <w:rPr>
          <w:rFonts w:ascii="Arial Narrow" w:hAnsi="Arial Narrow" w:cs="Gisha"/>
          <w:color w:val="auto"/>
          <w:sz w:val="22"/>
          <w:szCs w:val="22"/>
        </w:rPr>
        <w:t xml:space="preserve">Esta subcuenta presentó </w:t>
      </w:r>
      <w:r>
        <w:rPr>
          <w:rFonts w:ascii="Arial Narrow" w:hAnsi="Arial Narrow" w:cs="Gisha"/>
          <w:color w:val="auto"/>
          <w:sz w:val="22"/>
          <w:szCs w:val="22"/>
        </w:rPr>
        <w:t>un</w:t>
      </w:r>
      <w:r w:rsidRPr="006377ED">
        <w:rPr>
          <w:rFonts w:ascii="Arial Narrow" w:hAnsi="Arial Narrow" w:cs="Gisha"/>
          <w:color w:val="auto"/>
          <w:sz w:val="22"/>
          <w:szCs w:val="22"/>
        </w:rPr>
        <w:t xml:space="preserve"> incremento </w:t>
      </w:r>
      <w:r>
        <w:rPr>
          <w:rFonts w:ascii="Arial Narrow" w:hAnsi="Arial Narrow" w:cs="Gisha"/>
          <w:color w:val="auto"/>
          <w:sz w:val="22"/>
          <w:szCs w:val="22"/>
        </w:rPr>
        <w:t>de $790.660 miles,</w:t>
      </w:r>
      <w:r w:rsidRPr="006377ED">
        <w:rPr>
          <w:rFonts w:ascii="Arial Narrow" w:hAnsi="Arial Narrow" w:cs="Gisha"/>
          <w:color w:val="auto"/>
          <w:sz w:val="22"/>
          <w:szCs w:val="22"/>
        </w:rPr>
        <w:t xml:space="preserve"> debido a</w:t>
      </w:r>
      <w:r>
        <w:rPr>
          <w:rFonts w:ascii="Arial Narrow" w:hAnsi="Arial Narrow" w:cs="Gisha"/>
          <w:color w:val="auto"/>
          <w:sz w:val="22"/>
          <w:szCs w:val="22"/>
        </w:rPr>
        <w:t xml:space="preserve"> que la mayoría de funcionarios de la planta de la Entidad adoptada mediante el </w:t>
      </w:r>
      <w:r w:rsidRPr="006377ED">
        <w:rPr>
          <w:rFonts w:ascii="Arial Narrow" w:hAnsi="Arial Narrow" w:cs="Gisha"/>
          <w:color w:val="auto"/>
          <w:sz w:val="22"/>
          <w:szCs w:val="22"/>
        </w:rPr>
        <w:t>Decreto No. 665 de 2012</w:t>
      </w:r>
      <w:r>
        <w:rPr>
          <w:rFonts w:ascii="Arial Narrow" w:hAnsi="Arial Narrow" w:cs="Gisha"/>
          <w:color w:val="auto"/>
          <w:sz w:val="22"/>
          <w:szCs w:val="22"/>
        </w:rPr>
        <w:t>, al 31 de diciembre de 201</w:t>
      </w:r>
      <w:r w:rsidR="00220C5D">
        <w:rPr>
          <w:rFonts w:ascii="Arial Narrow" w:hAnsi="Arial Narrow" w:cs="Gisha"/>
          <w:color w:val="auto"/>
          <w:sz w:val="22"/>
          <w:szCs w:val="22"/>
        </w:rPr>
        <w:t>5</w:t>
      </w:r>
      <w:r>
        <w:rPr>
          <w:rFonts w:ascii="Arial Narrow" w:hAnsi="Arial Narrow" w:cs="Gisha"/>
          <w:color w:val="auto"/>
          <w:sz w:val="22"/>
          <w:szCs w:val="22"/>
        </w:rPr>
        <w:t xml:space="preserve"> tenían derecho al reconocimiento y pago de las prestaciones sociales causadas.</w:t>
      </w:r>
      <w:r w:rsidRPr="006377ED">
        <w:rPr>
          <w:rFonts w:ascii="Arial Narrow" w:hAnsi="Arial Narrow" w:cs="Gisha"/>
          <w:color w:val="7030A0"/>
          <w:sz w:val="22"/>
          <w:szCs w:val="22"/>
        </w:rPr>
        <w:t xml:space="preserve"> </w:t>
      </w:r>
      <w:r w:rsidRPr="0052264A">
        <w:rPr>
          <w:rFonts w:ascii="Arial Narrow" w:hAnsi="Arial Narrow" w:cs="Gisha"/>
          <w:color w:val="auto"/>
          <w:sz w:val="22"/>
          <w:szCs w:val="22"/>
        </w:rPr>
        <w:t xml:space="preserve">Se reflejan </w:t>
      </w:r>
      <w:r w:rsidR="00220C5D">
        <w:rPr>
          <w:rFonts w:ascii="Arial Narrow" w:hAnsi="Arial Narrow" w:cs="Gisha"/>
          <w:color w:val="auto"/>
          <w:sz w:val="22"/>
          <w:szCs w:val="22"/>
        </w:rPr>
        <w:t xml:space="preserve">el pasivo real </w:t>
      </w:r>
      <w:r w:rsidRPr="0052264A">
        <w:rPr>
          <w:rFonts w:ascii="Arial Narrow" w:hAnsi="Arial Narrow" w:cs="Gisha"/>
          <w:color w:val="auto"/>
          <w:sz w:val="22"/>
          <w:szCs w:val="22"/>
        </w:rPr>
        <w:t xml:space="preserve"> por conc</w:t>
      </w:r>
      <w:r>
        <w:rPr>
          <w:rFonts w:ascii="Arial Narrow" w:hAnsi="Arial Narrow" w:cs="Gisha"/>
          <w:color w:val="auto"/>
          <w:sz w:val="22"/>
          <w:szCs w:val="22"/>
        </w:rPr>
        <w:t xml:space="preserve">epto de </w:t>
      </w:r>
      <w:r w:rsidR="00777D2F">
        <w:rPr>
          <w:rFonts w:ascii="Arial Narrow" w:hAnsi="Arial Narrow" w:cs="Gisha"/>
          <w:color w:val="auto"/>
          <w:sz w:val="22"/>
          <w:szCs w:val="22"/>
        </w:rPr>
        <w:t>V</w:t>
      </w:r>
      <w:r>
        <w:rPr>
          <w:rFonts w:ascii="Arial Narrow" w:hAnsi="Arial Narrow" w:cs="Gisha"/>
          <w:color w:val="auto"/>
          <w:sz w:val="22"/>
          <w:szCs w:val="22"/>
        </w:rPr>
        <w:t xml:space="preserve">acaciones, </w:t>
      </w:r>
      <w:r w:rsidR="00777D2F">
        <w:rPr>
          <w:rFonts w:ascii="Arial Narrow" w:hAnsi="Arial Narrow" w:cs="Gisha"/>
          <w:color w:val="auto"/>
          <w:sz w:val="22"/>
          <w:szCs w:val="22"/>
        </w:rPr>
        <w:t>P</w:t>
      </w:r>
      <w:r>
        <w:rPr>
          <w:rFonts w:ascii="Arial Narrow" w:hAnsi="Arial Narrow" w:cs="Gisha"/>
          <w:color w:val="auto"/>
          <w:sz w:val="22"/>
          <w:szCs w:val="22"/>
        </w:rPr>
        <w:t xml:space="preserve">rima de </w:t>
      </w:r>
      <w:r w:rsidR="00777D2F">
        <w:rPr>
          <w:rFonts w:ascii="Arial Narrow" w:hAnsi="Arial Narrow" w:cs="Gisha"/>
          <w:color w:val="auto"/>
          <w:sz w:val="22"/>
          <w:szCs w:val="22"/>
        </w:rPr>
        <w:t>V</w:t>
      </w:r>
      <w:r>
        <w:rPr>
          <w:rFonts w:ascii="Arial Narrow" w:hAnsi="Arial Narrow" w:cs="Gisha"/>
          <w:color w:val="auto"/>
          <w:sz w:val="22"/>
          <w:szCs w:val="22"/>
        </w:rPr>
        <w:t>acaciones</w:t>
      </w:r>
      <w:r w:rsidR="00777D2F">
        <w:rPr>
          <w:rFonts w:ascii="Arial Narrow" w:hAnsi="Arial Narrow" w:cs="Gisha"/>
          <w:color w:val="auto"/>
          <w:sz w:val="22"/>
          <w:szCs w:val="22"/>
        </w:rPr>
        <w:t>, Prima de Servicios, Prima de Navidad</w:t>
      </w:r>
      <w:r>
        <w:rPr>
          <w:rFonts w:ascii="Arial Narrow" w:hAnsi="Arial Narrow" w:cs="Gisha"/>
          <w:color w:val="auto"/>
          <w:sz w:val="22"/>
          <w:szCs w:val="22"/>
        </w:rPr>
        <w:t xml:space="preserve"> y Bonificación de Recreación de los funci</w:t>
      </w:r>
      <w:r w:rsidRPr="0052264A">
        <w:rPr>
          <w:rFonts w:ascii="Arial Narrow" w:hAnsi="Arial Narrow" w:cs="Gisha"/>
          <w:color w:val="auto"/>
          <w:sz w:val="22"/>
          <w:szCs w:val="22"/>
        </w:rPr>
        <w:t>onarios de planta.</w:t>
      </w:r>
    </w:p>
    <w:p w:rsidR="008D7F43" w:rsidRDefault="008D7F43" w:rsidP="008D7F43">
      <w:pPr>
        <w:pStyle w:val="Textoindependiente3"/>
        <w:rPr>
          <w:rFonts w:ascii="Arial Narrow" w:hAnsi="Arial Narrow" w:cs="Gisha"/>
          <w:iCs/>
          <w:color w:val="auto"/>
          <w:sz w:val="22"/>
          <w:szCs w:val="22"/>
        </w:rPr>
      </w:pPr>
    </w:p>
    <w:p w:rsidR="008D7F43" w:rsidRPr="00570EF5" w:rsidRDefault="008D7F43" w:rsidP="008D7F43">
      <w:pPr>
        <w:pStyle w:val="Textoindependiente3"/>
        <w:rPr>
          <w:rFonts w:ascii="Arial Narrow" w:hAnsi="Arial Narrow" w:cs="Gisha"/>
          <w:iCs/>
          <w:vanish/>
          <w:color w:val="auto"/>
          <w:sz w:val="22"/>
          <w:szCs w:val="22"/>
        </w:rPr>
      </w:pPr>
    </w:p>
    <w:p w:rsidR="008D7F43" w:rsidRPr="00570EF5" w:rsidRDefault="008D7F43" w:rsidP="008D7F43">
      <w:pPr>
        <w:pStyle w:val="Textoindependiente"/>
        <w:rPr>
          <w:rFonts w:ascii="Arial Narrow" w:hAnsi="Arial Narrow" w:cs="Gisha"/>
          <w:i w:val="0"/>
          <w:iCs w:val="0"/>
          <w:vanish w:val="0"/>
          <w:color w:val="auto"/>
          <w:sz w:val="22"/>
          <w:szCs w:val="22"/>
          <w:u w:val="none"/>
        </w:rPr>
      </w:pPr>
      <w:r w:rsidRPr="00570EF5">
        <w:rPr>
          <w:rFonts w:ascii="Arial Narrow" w:hAnsi="Arial Narrow" w:cs="Gisha"/>
          <w:i w:val="0"/>
          <w:iCs w:val="0"/>
          <w:vanish w:val="0"/>
          <w:color w:val="auto"/>
          <w:sz w:val="22"/>
          <w:szCs w:val="22"/>
          <w:u w:val="none"/>
        </w:rPr>
        <w:t xml:space="preserve">NOTA </w:t>
      </w:r>
      <w:r w:rsidR="00D75EC8">
        <w:rPr>
          <w:rFonts w:ascii="Arial Narrow" w:hAnsi="Arial Narrow" w:cs="Gisha"/>
          <w:i w:val="0"/>
          <w:iCs w:val="0"/>
          <w:vanish w:val="0"/>
          <w:color w:val="auto"/>
          <w:sz w:val="22"/>
          <w:szCs w:val="22"/>
          <w:u w:val="none"/>
        </w:rPr>
        <w:t>9</w:t>
      </w:r>
      <w:r w:rsidRPr="00570EF5">
        <w:rPr>
          <w:rFonts w:ascii="Arial Narrow" w:hAnsi="Arial Narrow" w:cs="Gisha"/>
          <w:i w:val="0"/>
          <w:iCs w:val="0"/>
          <w:vanish w:val="0"/>
          <w:color w:val="auto"/>
          <w:sz w:val="22"/>
          <w:szCs w:val="22"/>
          <w:u w:val="none"/>
        </w:rPr>
        <w:t>. PASIVOS ESTIMADOS</w:t>
      </w:r>
    </w:p>
    <w:p w:rsidR="008D7F43" w:rsidRDefault="008D7F43" w:rsidP="008D7F43">
      <w:pPr>
        <w:pStyle w:val="Textoindependiente3"/>
        <w:rPr>
          <w:rFonts w:ascii="Arial Narrow" w:hAnsi="Arial Narrow" w:cs="Gisha"/>
          <w:color w:val="auto"/>
          <w:sz w:val="22"/>
          <w:szCs w:val="22"/>
        </w:rPr>
      </w:pPr>
    </w:p>
    <w:p w:rsidR="008D7F43" w:rsidRDefault="008D7F43" w:rsidP="008D7F43">
      <w:pPr>
        <w:pStyle w:val="Textoindependiente3"/>
        <w:rPr>
          <w:rFonts w:ascii="Arial Narrow" w:hAnsi="Arial Narrow"/>
          <w:color w:val="auto"/>
          <w:sz w:val="22"/>
          <w:szCs w:val="22"/>
        </w:rPr>
      </w:pPr>
      <w:r>
        <w:rPr>
          <w:rFonts w:ascii="Arial Narrow" w:hAnsi="Arial Narrow"/>
          <w:color w:val="auto"/>
          <w:sz w:val="22"/>
          <w:szCs w:val="22"/>
        </w:rPr>
        <w:t>Esta cuenta representa el valor provisionado para atender posibles obligaciones a cargo de la Agencia por demandas en contra o reconocimiento de deudas contractuales. Su saldo comparativo (2014- 2013) a 31 de diciembre de 201</w:t>
      </w:r>
      <w:r w:rsidR="00E14823">
        <w:rPr>
          <w:rFonts w:ascii="Arial Narrow" w:hAnsi="Arial Narrow"/>
          <w:color w:val="auto"/>
          <w:sz w:val="22"/>
          <w:szCs w:val="22"/>
        </w:rPr>
        <w:t>5</w:t>
      </w:r>
      <w:r>
        <w:rPr>
          <w:rFonts w:ascii="Arial Narrow" w:hAnsi="Arial Narrow"/>
          <w:color w:val="auto"/>
          <w:sz w:val="22"/>
          <w:szCs w:val="22"/>
        </w:rPr>
        <w:t xml:space="preserve"> está conformado así: </w:t>
      </w:r>
    </w:p>
    <w:p w:rsidR="008D7F43" w:rsidRDefault="008D7F43" w:rsidP="008D7F43">
      <w:pPr>
        <w:pStyle w:val="Textoindependiente3"/>
        <w:rPr>
          <w:rFonts w:ascii="Arial Narrow" w:hAnsi="Arial Narrow"/>
          <w:color w:val="auto"/>
          <w:sz w:val="22"/>
          <w:szCs w:val="22"/>
        </w:rPr>
      </w:pPr>
    </w:p>
    <w:tbl>
      <w:tblPr>
        <w:tblW w:w="7660" w:type="dxa"/>
        <w:jc w:val="center"/>
        <w:tblCellMar>
          <w:left w:w="70" w:type="dxa"/>
          <w:right w:w="70" w:type="dxa"/>
        </w:tblCellMar>
        <w:tblLook w:val="04A0" w:firstRow="1" w:lastRow="0" w:firstColumn="1" w:lastColumn="0" w:noHBand="0" w:noVBand="1"/>
      </w:tblPr>
      <w:tblGrid>
        <w:gridCol w:w="4600"/>
        <w:gridCol w:w="1640"/>
        <w:gridCol w:w="1420"/>
      </w:tblGrid>
      <w:tr w:rsidR="008D7F43" w:rsidRPr="002314DB" w:rsidTr="0081765C">
        <w:trPr>
          <w:trHeight w:val="315"/>
          <w:jc w:val="center"/>
        </w:trPr>
        <w:tc>
          <w:tcPr>
            <w:tcW w:w="460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rsidR="008D7F43" w:rsidRPr="002314DB" w:rsidRDefault="008D7F43" w:rsidP="0081765C">
            <w:pPr>
              <w:jc w:val="center"/>
              <w:rPr>
                <w:rFonts w:ascii="Arial" w:hAnsi="Arial" w:cs="Arial"/>
                <w:b/>
                <w:bCs/>
                <w:color w:val="000000"/>
                <w:sz w:val="20"/>
                <w:szCs w:val="20"/>
                <w:lang w:val="es-CO" w:eastAsia="es-CO"/>
              </w:rPr>
            </w:pPr>
            <w:r w:rsidRPr="002314DB">
              <w:rPr>
                <w:rFonts w:ascii="Arial" w:hAnsi="Arial" w:cs="Arial"/>
                <w:b/>
                <w:bCs/>
                <w:color w:val="000000"/>
                <w:sz w:val="20"/>
                <w:szCs w:val="20"/>
                <w:lang w:val="es-CO" w:eastAsia="es-CO"/>
              </w:rPr>
              <w:t>CUENTA</w:t>
            </w:r>
          </w:p>
        </w:tc>
        <w:tc>
          <w:tcPr>
            <w:tcW w:w="1640" w:type="dxa"/>
            <w:tcBorders>
              <w:top w:val="double" w:sz="6" w:space="0" w:color="auto"/>
              <w:left w:val="nil"/>
              <w:bottom w:val="double" w:sz="6" w:space="0" w:color="auto"/>
              <w:right w:val="double" w:sz="6" w:space="0" w:color="auto"/>
            </w:tcBorders>
            <w:shd w:val="clear" w:color="000000" w:fill="FFFFFF"/>
            <w:noWrap/>
            <w:vAlign w:val="bottom"/>
            <w:hideMark/>
          </w:tcPr>
          <w:p w:rsidR="008D7F43" w:rsidRPr="002314DB" w:rsidRDefault="008D7F43" w:rsidP="0081765C">
            <w:pPr>
              <w:jc w:val="center"/>
              <w:rPr>
                <w:rFonts w:ascii="Arial" w:hAnsi="Arial" w:cs="Arial"/>
                <w:b/>
                <w:bCs/>
                <w:color w:val="000000"/>
                <w:sz w:val="20"/>
                <w:szCs w:val="20"/>
                <w:lang w:val="es-CO" w:eastAsia="es-CO"/>
              </w:rPr>
            </w:pPr>
            <w:r w:rsidRPr="002314DB">
              <w:rPr>
                <w:rFonts w:ascii="Arial" w:hAnsi="Arial" w:cs="Arial"/>
                <w:b/>
                <w:bCs/>
                <w:color w:val="000000"/>
                <w:sz w:val="20"/>
                <w:szCs w:val="20"/>
                <w:lang w:val="es-CO" w:eastAsia="es-CO"/>
              </w:rPr>
              <w:t>dic-15</w:t>
            </w:r>
          </w:p>
        </w:tc>
        <w:tc>
          <w:tcPr>
            <w:tcW w:w="1420" w:type="dxa"/>
            <w:tcBorders>
              <w:top w:val="double" w:sz="6" w:space="0" w:color="auto"/>
              <w:left w:val="nil"/>
              <w:bottom w:val="double" w:sz="6" w:space="0" w:color="auto"/>
              <w:right w:val="double" w:sz="6" w:space="0" w:color="auto"/>
            </w:tcBorders>
            <w:shd w:val="clear" w:color="000000" w:fill="FFFFFF"/>
            <w:noWrap/>
            <w:vAlign w:val="bottom"/>
            <w:hideMark/>
          </w:tcPr>
          <w:p w:rsidR="008D7F43" w:rsidRPr="002314DB" w:rsidRDefault="008D7F43" w:rsidP="0081765C">
            <w:pPr>
              <w:jc w:val="center"/>
              <w:rPr>
                <w:rFonts w:ascii="Arial" w:hAnsi="Arial" w:cs="Arial"/>
                <w:b/>
                <w:bCs/>
                <w:color w:val="000000"/>
                <w:sz w:val="20"/>
                <w:szCs w:val="20"/>
                <w:lang w:val="es-CO" w:eastAsia="es-CO"/>
              </w:rPr>
            </w:pPr>
            <w:r w:rsidRPr="002314DB">
              <w:rPr>
                <w:rFonts w:ascii="Arial" w:hAnsi="Arial" w:cs="Arial"/>
                <w:b/>
                <w:bCs/>
                <w:color w:val="000000"/>
                <w:sz w:val="20"/>
                <w:szCs w:val="20"/>
                <w:lang w:val="es-CO" w:eastAsia="es-CO"/>
              </w:rPr>
              <w:t>dic-14</w:t>
            </w:r>
          </w:p>
        </w:tc>
      </w:tr>
      <w:tr w:rsidR="008D7F43" w:rsidRPr="002314DB" w:rsidTr="0081765C">
        <w:trPr>
          <w:trHeight w:val="300"/>
          <w:jc w:val="center"/>
        </w:trPr>
        <w:tc>
          <w:tcPr>
            <w:tcW w:w="4600" w:type="dxa"/>
            <w:tcBorders>
              <w:top w:val="nil"/>
              <w:left w:val="double" w:sz="6" w:space="0" w:color="auto"/>
              <w:bottom w:val="nil"/>
              <w:right w:val="double" w:sz="6" w:space="0" w:color="auto"/>
            </w:tcBorders>
            <w:shd w:val="clear" w:color="000000" w:fill="FFFFFF"/>
            <w:noWrap/>
            <w:vAlign w:val="bottom"/>
            <w:hideMark/>
          </w:tcPr>
          <w:p w:rsidR="008D7F43" w:rsidRPr="002314DB" w:rsidRDefault="008D7F43" w:rsidP="0081765C">
            <w:pPr>
              <w:rPr>
                <w:rFonts w:ascii="Arial" w:hAnsi="Arial" w:cs="Arial"/>
                <w:sz w:val="20"/>
                <w:szCs w:val="20"/>
                <w:lang w:val="es-CO" w:eastAsia="es-CO"/>
              </w:rPr>
            </w:pPr>
            <w:r w:rsidRPr="002314DB">
              <w:rPr>
                <w:rFonts w:ascii="Arial" w:hAnsi="Arial" w:cs="Arial"/>
                <w:sz w:val="20"/>
                <w:szCs w:val="20"/>
                <w:lang w:val="es-CO" w:eastAsia="es-CO"/>
              </w:rPr>
              <w:t>Mecanismos Alternativos de Solución de conflictos</w:t>
            </w:r>
          </w:p>
        </w:tc>
        <w:tc>
          <w:tcPr>
            <w:tcW w:w="1640" w:type="dxa"/>
            <w:tcBorders>
              <w:top w:val="nil"/>
              <w:left w:val="nil"/>
              <w:bottom w:val="nil"/>
              <w:right w:val="double" w:sz="6" w:space="0" w:color="auto"/>
            </w:tcBorders>
            <w:shd w:val="clear" w:color="000000" w:fill="FFFFFF"/>
            <w:noWrap/>
            <w:vAlign w:val="bottom"/>
            <w:hideMark/>
          </w:tcPr>
          <w:p w:rsidR="008D7F43" w:rsidRPr="002314DB" w:rsidRDefault="008D7F43" w:rsidP="0081765C">
            <w:pPr>
              <w:jc w:val="right"/>
              <w:rPr>
                <w:rFonts w:ascii="Arial" w:hAnsi="Arial" w:cs="Arial"/>
                <w:sz w:val="20"/>
                <w:szCs w:val="20"/>
                <w:lang w:val="es-CO" w:eastAsia="es-CO"/>
              </w:rPr>
            </w:pPr>
            <w:r w:rsidRPr="002314DB">
              <w:rPr>
                <w:rFonts w:ascii="Arial" w:hAnsi="Arial" w:cs="Arial"/>
                <w:sz w:val="20"/>
                <w:szCs w:val="20"/>
                <w:lang w:val="es-CO" w:eastAsia="es-CO"/>
              </w:rPr>
              <w:t>210.476.474</w:t>
            </w:r>
          </w:p>
        </w:tc>
        <w:tc>
          <w:tcPr>
            <w:tcW w:w="1420" w:type="dxa"/>
            <w:tcBorders>
              <w:top w:val="nil"/>
              <w:left w:val="nil"/>
              <w:bottom w:val="nil"/>
              <w:right w:val="double" w:sz="6" w:space="0" w:color="auto"/>
            </w:tcBorders>
            <w:shd w:val="clear" w:color="000000" w:fill="FFFFFF"/>
            <w:noWrap/>
            <w:vAlign w:val="bottom"/>
            <w:hideMark/>
          </w:tcPr>
          <w:p w:rsidR="008D7F43" w:rsidRPr="002314DB" w:rsidRDefault="008D7F43" w:rsidP="0081765C">
            <w:pPr>
              <w:jc w:val="right"/>
              <w:rPr>
                <w:rFonts w:ascii="Arial" w:hAnsi="Arial" w:cs="Arial"/>
                <w:sz w:val="20"/>
                <w:szCs w:val="20"/>
                <w:lang w:val="es-CO" w:eastAsia="es-CO"/>
              </w:rPr>
            </w:pPr>
            <w:r w:rsidRPr="002314DB">
              <w:rPr>
                <w:rFonts w:ascii="Arial" w:hAnsi="Arial" w:cs="Arial"/>
                <w:sz w:val="20"/>
                <w:szCs w:val="20"/>
                <w:lang w:val="es-CO" w:eastAsia="es-CO"/>
              </w:rPr>
              <w:t>372.457.645</w:t>
            </w:r>
          </w:p>
        </w:tc>
      </w:tr>
      <w:tr w:rsidR="008D7F43" w:rsidRPr="002314DB" w:rsidTr="0081765C">
        <w:trPr>
          <w:trHeight w:val="300"/>
          <w:jc w:val="center"/>
        </w:trPr>
        <w:tc>
          <w:tcPr>
            <w:tcW w:w="4600" w:type="dxa"/>
            <w:tcBorders>
              <w:top w:val="nil"/>
              <w:left w:val="double" w:sz="6" w:space="0" w:color="auto"/>
              <w:bottom w:val="double" w:sz="6" w:space="0" w:color="auto"/>
              <w:right w:val="double" w:sz="6" w:space="0" w:color="auto"/>
            </w:tcBorders>
            <w:shd w:val="clear" w:color="000000" w:fill="FFFFFF"/>
            <w:noWrap/>
            <w:vAlign w:val="bottom"/>
            <w:hideMark/>
          </w:tcPr>
          <w:p w:rsidR="008D7F43" w:rsidRPr="002314DB" w:rsidRDefault="008D7F43" w:rsidP="0081765C">
            <w:pPr>
              <w:rPr>
                <w:rFonts w:ascii="Arial" w:hAnsi="Arial" w:cs="Arial"/>
                <w:sz w:val="20"/>
                <w:szCs w:val="20"/>
                <w:lang w:val="es-CO" w:eastAsia="es-CO"/>
              </w:rPr>
            </w:pPr>
            <w:r w:rsidRPr="002314DB">
              <w:rPr>
                <w:rFonts w:ascii="Arial" w:hAnsi="Arial" w:cs="Arial"/>
                <w:sz w:val="20"/>
                <w:szCs w:val="20"/>
                <w:lang w:val="es-CO" w:eastAsia="es-CO"/>
              </w:rPr>
              <w:t>Garantías Contractuales Concesiones</w:t>
            </w:r>
          </w:p>
        </w:tc>
        <w:tc>
          <w:tcPr>
            <w:tcW w:w="1640" w:type="dxa"/>
            <w:tcBorders>
              <w:top w:val="nil"/>
              <w:left w:val="nil"/>
              <w:bottom w:val="double" w:sz="6" w:space="0" w:color="auto"/>
              <w:right w:val="double" w:sz="6" w:space="0" w:color="auto"/>
            </w:tcBorders>
            <w:shd w:val="clear" w:color="000000" w:fill="FFFFFF"/>
            <w:noWrap/>
            <w:vAlign w:val="bottom"/>
            <w:hideMark/>
          </w:tcPr>
          <w:p w:rsidR="008D7F43" w:rsidRPr="002314DB" w:rsidRDefault="008D7F43" w:rsidP="0081765C">
            <w:pPr>
              <w:jc w:val="right"/>
              <w:rPr>
                <w:rFonts w:ascii="Arial" w:hAnsi="Arial" w:cs="Arial"/>
                <w:sz w:val="20"/>
                <w:szCs w:val="20"/>
                <w:lang w:val="es-CO" w:eastAsia="es-CO"/>
              </w:rPr>
            </w:pPr>
            <w:r w:rsidRPr="002314DB">
              <w:rPr>
                <w:rFonts w:ascii="Arial" w:hAnsi="Arial" w:cs="Arial"/>
                <w:sz w:val="20"/>
                <w:szCs w:val="20"/>
                <w:lang w:val="es-CO" w:eastAsia="es-CO"/>
              </w:rPr>
              <w:t>221.536.472</w:t>
            </w:r>
          </w:p>
        </w:tc>
        <w:tc>
          <w:tcPr>
            <w:tcW w:w="1420" w:type="dxa"/>
            <w:tcBorders>
              <w:top w:val="nil"/>
              <w:left w:val="nil"/>
              <w:bottom w:val="double" w:sz="6" w:space="0" w:color="auto"/>
              <w:right w:val="double" w:sz="6" w:space="0" w:color="auto"/>
            </w:tcBorders>
            <w:shd w:val="clear" w:color="000000" w:fill="FFFFFF"/>
            <w:noWrap/>
            <w:vAlign w:val="bottom"/>
            <w:hideMark/>
          </w:tcPr>
          <w:p w:rsidR="008D7F43" w:rsidRPr="002314DB" w:rsidRDefault="008D7F43" w:rsidP="0081765C">
            <w:pPr>
              <w:jc w:val="right"/>
              <w:rPr>
                <w:rFonts w:ascii="Arial" w:hAnsi="Arial" w:cs="Arial"/>
                <w:sz w:val="20"/>
                <w:szCs w:val="20"/>
                <w:lang w:val="es-CO" w:eastAsia="es-CO"/>
              </w:rPr>
            </w:pPr>
            <w:r w:rsidRPr="002314DB">
              <w:rPr>
                <w:rFonts w:ascii="Arial" w:hAnsi="Arial" w:cs="Arial"/>
                <w:sz w:val="20"/>
                <w:szCs w:val="20"/>
                <w:lang w:val="es-CO" w:eastAsia="es-CO"/>
              </w:rPr>
              <w:t>180.466.018</w:t>
            </w:r>
          </w:p>
        </w:tc>
      </w:tr>
      <w:tr w:rsidR="008D7F43" w:rsidRPr="002314DB" w:rsidTr="0081765C">
        <w:trPr>
          <w:trHeight w:val="315"/>
          <w:jc w:val="center"/>
        </w:trPr>
        <w:tc>
          <w:tcPr>
            <w:tcW w:w="4600" w:type="dxa"/>
            <w:tcBorders>
              <w:top w:val="nil"/>
              <w:left w:val="double" w:sz="6" w:space="0" w:color="auto"/>
              <w:bottom w:val="double" w:sz="6" w:space="0" w:color="auto"/>
              <w:right w:val="double" w:sz="6" w:space="0" w:color="auto"/>
            </w:tcBorders>
            <w:shd w:val="clear" w:color="000000" w:fill="FFFFFF"/>
            <w:vAlign w:val="center"/>
            <w:hideMark/>
          </w:tcPr>
          <w:p w:rsidR="008D7F43" w:rsidRPr="002314DB" w:rsidRDefault="008D7F43" w:rsidP="0081765C">
            <w:pPr>
              <w:jc w:val="center"/>
              <w:rPr>
                <w:rFonts w:ascii="Arial" w:hAnsi="Arial" w:cs="Arial"/>
                <w:b/>
                <w:bCs/>
                <w:sz w:val="20"/>
                <w:szCs w:val="20"/>
                <w:lang w:val="es-CO" w:eastAsia="es-CO"/>
              </w:rPr>
            </w:pPr>
            <w:r w:rsidRPr="002314DB">
              <w:rPr>
                <w:rFonts w:ascii="Arial" w:hAnsi="Arial" w:cs="Arial"/>
                <w:b/>
                <w:bCs/>
                <w:sz w:val="20"/>
                <w:szCs w:val="20"/>
                <w:lang w:val="es-CO" w:eastAsia="es-CO"/>
              </w:rPr>
              <w:t>TOTAL</w:t>
            </w:r>
          </w:p>
        </w:tc>
        <w:tc>
          <w:tcPr>
            <w:tcW w:w="1640" w:type="dxa"/>
            <w:tcBorders>
              <w:top w:val="nil"/>
              <w:left w:val="nil"/>
              <w:bottom w:val="double" w:sz="6" w:space="0" w:color="auto"/>
              <w:right w:val="double" w:sz="6" w:space="0" w:color="auto"/>
            </w:tcBorders>
            <w:shd w:val="clear" w:color="000000" w:fill="FFFFFF"/>
            <w:noWrap/>
            <w:vAlign w:val="bottom"/>
            <w:hideMark/>
          </w:tcPr>
          <w:p w:rsidR="008D7F43" w:rsidRPr="002314DB" w:rsidRDefault="008D7F43" w:rsidP="0081765C">
            <w:pPr>
              <w:jc w:val="right"/>
              <w:rPr>
                <w:rFonts w:ascii="Arial" w:hAnsi="Arial" w:cs="Arial"/>
                <w:b/>
                <w:bCs/>
                <w:color w:val="000000"/>
                <w:sz w:val="20"/>
                <w:szCs w:val="20"/>
                <w:lang w:val="es-CO" w:eastAsia="es-CO"/>
              </w:rPr>
            </w:pPr>
            <w:r w:rsidRPr="002314DB">
              <w:rPr>
                <w:rFonts w:ascii="Arial" w:hAnsi="Arial" w:cs="Arial"/>
                <w:b/>
                <w:bCs/>
                <w:color w:val="000000"/>
                <w:sz w:val="20"/>
                <w:szCs w:val="20"/>
                <w:lang w:val="es-CO" w:eastAsia="es-CO"/>
              </w:rPr>
              <w:t>432.012.946</w:t>
            </w:r>
          </w:p>
        </w:tc>
        <w:tc>
          <w:tcPr>
            <w:tcW w:w="1420" w:type="dxa"/>
            <w:tcBorders>
              <w:top w:val="nil"/>
              <w:left w:val="nil"/>
              <w:bottom w:val="double" w:sz="6" w:space="0" w:color="auto"/>
              <w:right w:val="double" w:sz="6" w:space="0" w:color="auto"/>
            </w:tcBorders>
            <w:shd w:val="clear" w:color="000000" w:fill="FFFFFF"/>
            <w:noWrap/>
            <w:vAlign w:val="bottom"/>
            <w:hideMark/>
          </w:tcPr>
          <w:p w:rsidR="008D7F43" w:rsidRPr="002314DB" w:rsidRDefault="008D7F43" w:rsidP="0081765C">
            <w:pPr>
              <w:jc w:val="right"/>
              <w:rPr>
                <w:rFonts w:ascii="Arial" w:hAnsi="Arial" w:cs="Arial"/>
                <w:b/>
                <w:bCs/>
                <w:color w:val="000000"/>
                <w:sz w:val="20"/>
                <w:szCs w:val="20"/>
                <w:lang w:val="es-CO" w:eastAsia="es-CO"/>
              </w:rPr>
            </w:pPr>
            <w:r w:rsidRPr="002314DB">
              <w:rPr>
                <w:rFonts w:ascii="Arial" w:hAnsi="Arial" w:cs="Arial"/>
                <w:b/>
                <w:bCs/>
                <w:color w:val="000000"/>
                <w:sz w:val="20"/>
                <w:szCs w:val="20"/>
                <w:lang w:val="es-CO" w:eastAsia="es-CO"/>
              </w:rPr>
              <w:t>552.923.663</w:t>
            </w:r>
          </w:p>
        </w:tc>
      </w:tr>
    </w:tbl>
    <w:p w:rsidR="008D7F43" w:rsidRDefault="008D7F43" w:rsidP="008D7F43">
      <w:pPr>
        <w:pStyle w:val="Textoindependiente"/>
        <w:rPr>
          <w:rFonts w:ascii="Arial Narrow" w:hAnsi="Arial Narrow"/>
          <w:i w:val="0"/>
          <w:iCs w:val="0"/>
          <w:color w:val="auto"/>
          <w:sz w:val="22"/>
          <w:szCs w:val="22"/>
          <w:u w:val="none"/>
        </w:rPr>
      </w:pPr>
    </w:p>
    <w:p w:rsidR="008D7F43" w:rsidRDefault="008D7F43" w:rsidP="008D7F43">
      <w:pPr>
        <w:pStyle w:val="Textoindependiente"/>
        <w:rPr>
          <w:rFonts w:ascii="Arial Narrow" w:hAnsi="Arial Narrow"/>
          <w:i w:val="0"/>
          <w:iCs w:val="0"/>
          <w:color w:val="auto"/>
          <w:sz w:val="22"/>
          <w:szCs w:val="22"/>
          <w:u w:val="none"/>
        </w:rPr>
      </w:pPr>
    </w:p>
    <w:p w:rsidR="008D7F43" w:rsidRPr="001F055A" w:rsidRDefault="008D7F43" w:rsidP="008D7F43">
      <w:pPr>
        <w:pStyle w:val="Textoindependiente"/>
        <w:rPr>
          <w:rFonts w:ascii="Arial Narrow" w:hAnsi="Arial Narrow"/>
          <w:b w:val="0"/>
          <w:bCs w:val="0"/>
          <w:i w:val="0"/>
          <w:iCs w:val="0"/>
          <w:vanish w:val="0"/>
          <w:color w:val="auto"/>
          <w:sz w:val="22"/>
          <w:szCs w:val="22"/>
          <w:u w:val="none"/>
          <w:lang w:val="es-ES"/>
        </w:rPr>
      </w:pPr>
      <w:r w:rsidRPr="00D52F99">
        <w:rPr>
          <w:noProof/>
          <w:lang w:val="es-CO" w:eastAsia="es-CO"/>
        </w:rPr>
        <w:drawing>
          <wp:inline distT="0" distB="0" distL="0" distR="0">
            <wp:extent cx="5610225" cy="21240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10225" cy="2124075"/>
                    </a:xfrm>
                    <a:prstGeom prst="rect">
                      <a:avLst/>
                    </a:prstGeom>
                    <a:noFill/>
                    <a:ln>
                      <a:noFill/>
                    </a:ln>
                  </pic:spPr>
                </pic:pic>
              </a:graphicData>
            </a:graphic>
          </wp:inline>
        </w:drawing>
      </w:r>
    </w:p>
    <w:p w:rsidR="00314B56" w:rsidRDefault="008D7F43" w:rsidP="00314B56">
      <w:pPr>
        <w:pStyle w:val="Textoindependiente3"/>
        <w:rPr>
          <w:rFonts w:ascii="Arial Narrow" w:hAnsi="Arial Narrow"/>
          <w:sz w:val="22"/>
          <w:szCs w:val="22"/>
        </w:rPr>
      </w:pPr>
      <w:r w:rsidRPr="001F055A">
        <w:rPr>
          <w:rFonts w:ascii="Arial Narrow" w:hAnsi="Arial Narrow"/>
          <w:color w:val="auto"/>
          <w:sz w:val="22"/>
          <w:szCs w:val="22"/>
        </w:rPr>
        <w:t>En la subcuenta Mecanism</w:t>
      </w:r>
      <w:r w:rsidR="00633E0B">
        <w:rPr>
          <w:rFonts w:ascii="Arial Narrow" w:hAnsi="Arial Narrow"/>
          <w:color w:val="auto"/>
          <w:sz w:val="22"/>
          <w:szCs w:val="22"/>
        </w:rPr>
        <w:t xml:space="preserve">os Alternativos de Solución de Conflictos, se reflejan </w:t>
      </w:r>
      <w:r w:rsidRPr="001F055A">
        <w:rPr>
          <w:rFonts w:ascii="Arial Narrow" w:hAnsi="Arial Narrow"/>
          <w:color w:val="auto"/>
          <w:sz w:val="22"/>
          <w:szCs w:val="22"/>
        </w:rPr>
        <w:t>l</w:t>
      </w:r>
      <w:r w:rsidR="00633E0B">
        <w:rPr>
          <w:rFonts w:ascii="Arial Narrow" w:hAnsi="Arial Narrow"/>
          <w:color w:val="auto"/>
          <w:sz w:val="22"/>
          <w:szCs w:val="22"/>
        </w:rPr>
        <w:t>os</w:t>
      </w:r>
      <w:r w:rsidRPr="001F055A">
        <w:rPr>
          <w:rFonts w:ascii="Arial Narrow" w:hAnsi="Arial Narrow"/>
          <w:color w:val="auto"/>
          <w:sz w:val="22"/>
          <w:szCs w:val="22"/>
        </w:rPr>
        <w:t xml:space="preserve"> valor</w:t>
      </w:r>
      <w:r w:rsidR="00633E0B">
        <w:rPr>
          <w:rFonts w:ascii="Arial Narrow" w:hAnsi="Arial Narrow"/>
          <w:color w:val="auto"/>
          <w:sz w:val="22"/>
          <w:szCs w:val="22"/>
        </w:rPr>
        <w:t>es</w:t>
      </w:r>
      <w:r w:rsidRPr="001F055A">
        <w:rPr>
          <w:rFonts w:ascii="Arial Narrow" w:hAnsi="Arial Narrow"/>
          <w:color w:val="auto"/>
          <w:sz w:val="22"/>
          <w:szCs w:val="22"/>
        </w:rPr>
        <w:t xml:space="preserve"> reportado</w:t>
      </w:r>
      <w:r w:rsidR="00633E0B">
        <w:rPr>
          <w:rFonts w:ascii="Arial Narrow" w:hAnsi="Arial Narrow"/>
          <w:color w:val="auto"/>
          <w:sz w:val="22"/>
          <w:szCs w:val="22"/>
        </w:rPr>
        <w:t>s</w:t>
      </w:r>
      <w:r w:rsidRPr="001F055A">
        <w:rPr>
          <w:rFonts w:ascii="Arial Narrow" w:hAnsi="Arial Narrow"/>
          <w:color w:val="auto"/>
          <w:sz w:val="22"/>
          <w:szCs w:val="22"/>
        </w:rPr>
        <w:t xml:space="preserve"> como riesgos probable de ocurrencia de la contingencia, por la Vicepresidencia Jurídica - Grupo Interno de Trabajo Defensa Judicial.</w:t>
      </w:r>
      <w:r>
        <w:rPr>
          <w:rFonts w:ascii="Arial Narrow" w:hAnsi="Arial Narrow"/>
          <w:color w:val="auto"/>
          <w:sz w:val="22"/>
          <w:szCs w:val="22"/>
        </w:rPr>
        <w:t xml:space="preserve"> </w:t>
      </w:r>
      <w:r w:rsidR="00314B56" w:rsidRPr="00257E29">
        <w:rPr>
          <w:rFonts w:ascii="Arial Narrow" w:hAnsi="Arial Narrow"/>
          <w:sz w:val="22"/>
          <w:szCs w:val="22"/>
        </w:rPr>
        <w:t xml:space="preserve">En </w:t>
      </w:r>
      <w:r w:rsidR="00314B56">
        <w:rPr>
          <w:rFonts w:ascii="Arial Narrow" w:hAnsi="Arial Narrow"/>
          <w:sz w:val="22"/>
          <w:szCs w:val="22"/>
        </w:rPr>
        <w:t>esta sub</w:t>
      </w:r>
      <w:r w:rsidR="00314B56" w:rsidRPr="00257E29">
        <w:rPr>
          <w:rFonts w:ascii="Arial Narrow" w:hAnsi="Arial Narrow"/>
          <w:sz w:val="22"/>
          <w:szCs w:val="22"/>
        </w:rPr>
        <w:t xml:space="preserve">cuenta </w:t>
      </w:r>
      <w:r w:rsidR="00314B56">
        <w:rPr>
          <w:rFonts w:ascii="Arial Narrow" w:hAnsi="Arial Narrow"/>
          <w:sz w:val="22"/>
          <w:szCs w:val="22"/>
        </w:rPr>
        <w:t>s</w:t>
      </w:r>
      <w:r w:rsidR="00314B56" w:rsidRPr="00257E29">
        <w:rPr>
          <w:rFonts w:ascii="Arial Narrow" w:hAnsi="Arial Narrow"/>
          <w:sz w:val="22"/>
          <w:szCs w:val="22"/>
        </w:rPr>
        <w:t xml:space="preserve">e registran las demandas interpuestas en contra de la Entidad que han sido evaluadas por la Vicepresidencia Jurídica con probabilidad alta de </w:t>
      </w:r>
      <w:r w:rsidR="00314B56">
        <w:rPr>
          <w:rFonts w:ascii="Arial Narrow" w:hAnsi="Arial Narrow"/>
          <w:sz w:val="22"/>
          <w:szCs w:val="22"/>
        </w:rPr>
        <w:t>riesgo</w:t>
      </w:r>
      <w:r w:rsidR="00314B56" w:rsidRPr="00257E29">
        <w:rPr>
          <w:rFonts w:ascii="Arial Narrow" w:hAnsi="Arial Narrow"/>
          <w:sz w:val="22"/>
          <w:szCs w:val="22"/>
        </w:rPr>
        <w:t xml:space="preserve">.  Dentro de estas provisiones por demandas las cifras más significativas son las relacionados con los Tribunales de la Concesión Autopistas de Santander S.A. provisionado por pretensión de $20.000.000 miles por desequilibrio financiero, ola invernal, asunción riesgo geológico, predial, ambiental, social, traslado de redes, alcance progresivo, disminuciones y retenciones, compensación tarifaria y las provisiones de los Tribunales Arbitrales de la concesión Autopista Bogotá – Girardot uno con provisión </w:t>
      </w:r>
      <w:r w:rsidR="00314B56">
        <w:rPr>
          <w:rFonts w:ascii="Arial Narrow" w:hAnsi="Arial Narrow"/>
          <w:sz w:val="22"/>
          <w:szCs w:val="22"/>
        </w:rPr>
        <w:t xml:space="preserve">de </w:t>
      </w:r>
      <w:r w:rsidR="00314B56" w:rsidRPr="00257E29">
        <w:rPr>
          <w:rFonts w:ascii="Arial Narrow" w:hAnsi="Arial Narrow"/>
          <w:sz w:val="22"/>
          <w:szCs w:val="22"/>
        </w:rPr>
        <w:t>$102.604.970 miles por cronograma de obras, disminuciones y retenciones, incumplimiento de contrato y desequilibrio financiero y otro con provisión de $ 70.314.041 miles por cronograma de obras, disminuciones y retenciones, incumplimiento de contrato y desequilibrio financiero.</w:t>
      </w:r>
    </w:p>
    <w:p w:rsidR="00314B56" w:rsidRPr="00257E29" w:rsidRDefault="00314B56" w:rsidP="00314B56">
      <w:pPr>
        <w:jc w:val="both"/>
        <w:rPr>
          <w:rFonts w:ascii="Arial Narrow" w:hAnsi="Arial Narrow" w:cs="Arial"/>
          <w:sz w:val="22"/>
          <w:szCs w:val="22"/>
        </w:rPr>
      </w:pPr>
    </w:p>
    <w:p w:rsidR="00314B56" w:rsidRPr="00257E29" w:rsidRDefault="00314B56" w:rsidP="00314B56">
      <w:pPr>
        <w:jc w:val="both"/>
        <w:rPr>
          <w:rFonts w:ascii="Arial Narrow" w:hAnsi="Arial Narrow" w:cs="Arial"/>
          <w:sz w:val="22"/>
          <w:szCs w:val="22"/>
        </w:rPr>
      </w:pPr>
      <w:r w:rsidRPr="00257E29">
        <w:rPr>
          <w:rFonts w:ascii="Arial Narrow" w:hAnsi="Arial Narrow" w:cs="Arial"/>
          <w:sz w:val="22"/>
          <w:szCs w:val="22"/>
        </w:rPr>
        <w:t xml:space="preserve">En demandas en contra con probabilidad alta de </w:t>
      </w:r>
      <w:r>
        <w:rPr>
          <w:rFonts w:ascii="Arial Narrow" w:hAnsi="Arial Narrow" w:cs="Arial"/>
          <w:sz w:val="22"/>
          <w:szCs w:val="22"/>
        </w:rPr>
        <w:t>riesgo</w:t>
      </w:r>
      <w:r w:rsidRPr="00257E29">
        <w:rPr>
          <w:rFonts w:ascii="Arial Narrow" w:hAnsi="Arial Narrow" w:cs="Arial"/>
          <w:sz w:val="22"/>
          <w:szCs w:val="22"/>
        </w:rPr>
        <w:t xml:space="preserve"> se encuentran trece (13) procesos sin cuantía o cuantía indeterminada; ocho (8) Acciones Populares, cuatro (4) ejecutivo singular, y una (1) demanda arbitral.</w:t>
      </w:r>
    </w:p>
    <w:p w:rsidR="00777D2F" w:rsidRPr="00314B56" w:rsidRDefault="00777D2F" w:rsidP="00314B56">
      <w:pPr>
        <w:pStyle w:val="Textoindependiente3"/>
        <w:rPr>
          <w:rFonts w:ascii="Arial Narrow" w:hAnsi="Arial Narrow"/>
          <w:color w:val="auto"/>
          <w:sz w:val="22"/>
          <w:szCs w:val="22"/>
        </w:rPr>
      </w:pPr>
    </w:p>
    <w:p w:rsidR="008D7F43" w:rsidRDefault="008D7F43" w:rsidP="008D7F43">
      <w:pPr>
        <w:jc w:val="both"/>
        <w:rPr>
          <w:rFonts w:ascii="Arial Narrow" w:hAnsi="Arial Narrow"/>
          <w:color w:val="FF0000"/>
          <w:sz w:val="22"/>
          <w:szCs w:val="22"/>
        </w:rPr>
      </w:pPr>
      <w:r w:rsidRPr="002314DB">
        <w:rPr>
          <w:rFonts w:ascii="Arial Narrow" w:hAnsi="Arial Narrow" w:cs="Arial"/>
          <w:sz w:val="22"/>
          <w:szCs w:val="22"/>
        </w:rPr>
        <w:t>En la subcuenta Garantías Contractuales - Concesiones, se refleja el valor reportado como deuda probable o en revisión, por la</w:t>
      </w:r>
      <w:r w:rsidR="00BE20C6">
        <w:rPr>
          <w:rFonts w:ascii="Arial Narrow" w:hAnsi="Arial Narrow" w:cs="Arial"/>
          <w:sz w:val="22"/>
          <w:szCs w:val="22"/>
        </w:rPr>
        <w:t>s</w:t>
      </w:r>
      <w:r w:rsidRPr="002314DB">
        <w:rPr>
          <w:rFonts w:ascii="Arial Narrow" w:hAnsi="Arial Narrow" w:cs="Arial"/>
          <w:sz w:val="22"/>
          <w:szCs w:val="22"/>
        </w:rPr>
        <w:t xml:space="preserve"> Vicepresidencia de Gestión Contractual -  Grupo Interno de Trabajo Financiero, por las deudas adquiridas con los </w:t>
      </w:r>
      <w:r w:rsidRPr="002314DB">
        <w:rPr>
          <w:rFonts w:ascii="Arial Narrow" w:hAnsi="Arial Narrow" w:cs="Arial"/>
          <w:sz w:val="22"/>
          <w:szCs w:val="22"/>
        </w:rPr>
        <w:lastRenderedPageBreak/>
        <w:t>siguientes concesionarios: Pereira la Victoria, Briceño Tunja Sogamoso, Córdoba Sucre, por $2.840.217 miles, $213.464.444 miles y  $5.231.811 miles respectivamente</w:t>
      </w:r>
      <w:r w:rsidRPr="00B374F1">
        <w:rPr>
          <w:rFonts w:ascii="Calibri" w:hAnsi="Calibri"/>
          <w:color w:val="000000"/>
          <w:lang w:eastAsia="es-CO"/>
        </w:rPr>
        <w:t>.</w:t>
      </w:r>
      <w:r>
        <w:rPr>
          <w:rFonts w:ascii="Calibri" w:hAnsi="Calibri"/>
          <w:color w:val="000000"/>
          <w:lang w:eastAsia="es-CO"/>
        </w:rPr>
        <w:t xml:space="preserve"> </w:t>
      </w:r>
      <w:r>
        <w:rPr>
          <w:rFonts w:ascii="Arial Narrow" w:hAnsi="Arial Narrow"/>
          <w:sz w:val="22"/>
          <w:szCs w:val="22"/>
        </w:rPr>
        <w:t>(</w:t>
      </w:r>
      <w:r w:rsidRPr="00D93CCF">
        <w:rPr>
          <w:rFonts w:ascii="Arial Narrow" w:hAnsi="Arial Narrow"/>
          <w:sz w:val="22"/>
          <w:szCs w:val="22"/>
        </w:rPr>
        <w:t>Ver Anexo 6)</w:t>
      </w:r>
      <w:r w:rsidRPr="002314DB">
        <w:rPr>
          <w:rFonts w:ascii="Arial Narrow" w:hAnsi="Arial Narrow"/>
          <w:color w:val="FF0000"/>
          <w:sz w:val="22"/>
          <w:szCs w:val="22"/>
        </w:rPr>
        <w:t>.</w:t>
      </w:r>
    </w:p>
    <w:p w:rsidR="008D7F43" w:rsidRPr="002314DB" w:rsidRDefault="008D7F43" w:rsidP="008D7F43">
      <w:pPr>
        <w:jc w:val="both"/>
        <w:rPr>
          <w:rFonts w:ascii="Calibri" w:hAnsi="Calibri"/>
          <w:color w:val="000000"/>
          <w:lang w:eastAsia="es-CO"/>
        </w:rPr>
      </w:pPr>
    </w:p>
    <w:p w:rsidR="008D7F43" w:rsidRDefault="008D7F43" w:rsidP="008D7F43">
      <w:pPr>
        <w:pStyle w:val="Textoindependiente3"/>
        <w:rPr>
          <w:rFonts w:ascii="Arial Narrow" w:hAnsi="Arial Narrow" w:cs="Gisha"/>
          <w:color w:val="auto"/>
          <w:sz w:val="22"/>
          <w:szCs w:val="22"/>
        </w:rPr>
      </w:pPr>
      <w:r>
        <w:rPr>
          <w:rFonts w:ascii="Arial Narrow" w:hAnsi="Arial Narrow" w:cs="Gisha"/>
          <w:color w:val="auto"/>
          <w:sz w:val="22"/>
          <w:szCs w:val="22"/>
        </w:rPr>
        <w:t>Se efectuó una reducción a  la provisión inicial de diciembre de 2014 por valor de $42.136.254 con la concesión Bogotá Villavicencio; a diciembre 31 de 2015 se canceló esta provisión por los siguientes conceptos Sitios inestables y diseños-</w:t>
      </w:r>
      <w:r w:rsidR="00DE2D55">
        <w:rPr>
          <w:rFonts w:ascii="Arial Narrow" w:hAnsi="Arial Narrow" w:cs="Gisha"/>
          <w:color w:val="auto"/>
          <w:sz w:val="22"/>
          <w:szCs w:val="22"/>
        </w:rPr>
        <w:t xml:space="preserve"> Predial,</w:t>
      </w:r>
      <w:r>
        <w:rPr>
          <w:rFonts w:ascii="Arial Narrow" w:hAnsi="Arial Narrow" w:cs="Gisha"/>
          <w:color w:val="auto"/>
          <w:sz w:val="22"/>
          <w:szCs w:val="22"/>
        </w:rPr>
        <w:t xml:space="preserve"> </w:t>
      </w:r>
      <w:r w:rsidR="00DE2D55">
        <w:rPr>
          <w:rFonts w:ascii="Arial Narrow" w:hAnsi="Arial Narrow" w:cs="Gisha"/>
          <w:color w:val="auto"/>
          <w:sz w:val="22"/>
          <w:szCs w:val="22"/>
        </w:rPr>
        <w:t>s</w:t>
      </w:r>
      <w:r>
        <w:rPr>
          <w:rFonts w:ascii="Arial Narrow" w:hAnsi="Arial Narrow" w:cs="Gisha"/>
          <w:color w:val="auto"/>
          <w:sz w:val="22"/>
          <w:szCs w:val="22"/>
        </w:rPr>
        <w:t xml:space="preserve">e pagó mediante la </w:t>
      </w:r>
      <w:r w:rsidR="00DE2D55">
        <w:rPr>
          <w:rFonts w:ascii="Arial Narrow" w:hAnsi="Arial Narrow" w:cs="Gisha"/>
          <w:color w:val="auto"/>
          <w:sz w:val="22"/>
          <w:szCs w:val="22"/>
        </w:rPr>
        <w:t>R</w:t>
      </w:r>
      <w:r>
        <w:rPr>
          <w:rFonts w:ascii="Arial Narrow" w:hAnsi="Arial Narrow" w:cs="Gisha"/>
          <w:color w:val="auto"/>
          <w:sz w:val="22"/>
          <w:szCs w:val="22"/>
        </w:rPr>
        <w:t xml:space="preserve">esolución 1695 del 2 de octubre de 2015 </w:t>
      </w:r>
      <w:r w:rsidR="00DE2D55">
        <w:rPr>
          <w:rFonts w:ascii="Arial Narrow" w:hAnsi="Arial Narrow" w:cs="Gisha"/>
          <w:color w:val="auto"/>
          <w:sz w:val="22"/>
          <w:szCs w:val="22"/>
        </w:rPr>
        <w:t>con recursos del</w:t>
      </w:r>
      <w:r>
        <w:rPr>
          <w:rFonts w:ascii="Arial Narrow" w:hAnsi="Arial Narrow" w:cs="Gisha"/>
          <w:color w:val="auto"/>
          <w:sz w:val="22"/>
          <w:szCs w:val="22"/>
        </w:rPr>
        <w:t xml:space="preserve"> fondo de pasivos contingentes.</w:t>
      </w:r>
    </w:p>
    <w:p w:rsidR="008D7F43" w:rsidRDefault="008D7F43" w:rsidP="008D7F43">
      <w:pPr>
        <w:pStyle w:val="Textoindependiente3"/>
        <w:rPr>
          <w:rFonts w:ascii="Arial Narrow" w:hAnsi="Arial Narrow" w:cs="Gisha"/>
          <w:color w:val="auto"/>
          <w:sz w:val="22"/>
          <w:szCs w:val="22"/>
        </w:rPr>
      </w:pPr>
    </w:p>
    <w:p w:rsidR="008D7F43" w:rsidRDefault="008D7F43" w:rsidP="008D7F43">
      <w:pPr>
        <w:pStyle w:val="Textoindependiente3"/>
        <w:rPr>
          <w:rFonts w:ascii="Arial Narrow" w:hAnsi="Arial Narrow" w:cs="Gisha"/>
          <w:i/>
          <w:iCs/>
          <w:vanish/>
          <w:color w:val="auto"/>
          <w:sz w:val="22"/>
          <w:szCs w:val="22"/>
        </w:rPr>
      </w:pPr>
      <w:r>
        <w:rPr>
          <w:rFonts w:ascii="Arial Narrow" w:hAnsi="Arial Narrow" w:cs="Gisha"/>
          <w:color w:val="auto"/>
          <w:sz w:val="22"/>
          <w:szCs w:val="22"/>
        </w:rPr>
        <w:t xml:space="preserve"> </w:t>
      </w:r>
    </w:p>
    <w:p w:rsidR="008D7F43" w:rsidRPr="00282296" w:rsidRDefault="008D7F43" w:rsidP="008D7F43">
      <w:pPr>
        <w:pStyle w:val="Textoindependiente"/>
        <w:rPr>
          <w:rFonts w:ascii="Arial Narrow" w:hAnsi="Arial Narrow" w:cs="Gisha"/>
          <w:i w:val="0"/>
          <w:iCs w:val="0"/>
          <w:vanish w:val="0"/>
          <w:color w:val="auto"/>
          <w:sz w:val="22"/>
          <w:szCs w:val="22"/>
          <w:u w:val="none"/>
        </w:rPr>
      </w:pPr>
      <w:r w:rsidRPr="00282296">
        <w:rPr>
          <w:rFonts w:ascii="Arial Narrow" w:hAnsi="Arial Narrow" w:cs="Gisha"/>
          <w:i w:val="0"/>
          <w:iCs w:val="0"/>
          <w:vanish w:val="0"/>
          <w:color w:val="auto"/>
          <w:sz w:val="22"/>
          <w:szCs w:val="22"/>
          <w:u w:val="none"/>
        </w:rPr>
        <w:t>NOTA 1</w:t>
      </w:r>
      <w:r w:rsidR="0059293F">
        <w:rPr>
          <w:rFonts w:ascii="Arial Narrow" w:hAnsi="Arial Narrow" w:cs="Gisha"/>
          <w:i w:val="0"/>
          <w:iCs w:val="0"/>
          <w:vanish w:val="0"/>
          <w:color w:val="auto"/>
          <w:sz w:val="22"/>
          <w:szCs w:val="22"/>
          <w:u w:val="none"/>
        </w:rPr>
        <w:t>0</w:t>
      </w:r>
      <w:r w:rsidRPr="00282296">
        <w:rPr>
          <w:rFonts w:ascii="Arial Narrow" w:hAnsi="Arial Narrow" w:cs="Gisha"/>
          <w:i w:val="0"/>
          <w:iCs w:val="0"/>
          <w:vanish w:val="0"/>
          <w:color w:val="auto"/>
          <w:sz w:val="22"/>
          <w:szCs w:val="22"/>
          <w:u w:val="none"/>
        </w:rPr>
        <w:t>. OTROS PASIVOS</w:t>
      </w:r>
    </w:p>
    <w:p w:rsidR="008D7F43" w:rsidRDefault="008D7F43" w:rsidP="008D7F43">
      <w:pPr>
        <w:pStyle w:val="Textoindependiente"/>
        <w:rPr>
          <w:rFonts w:ascii="Arial Narrow" w:hAnsi="Arial Narrow" w:cs="Gisha"/>
          <w:b w:val="0"/>
          <w:bCs w:val="0"/>
          <w:i w:val="0"/>
          <w:iCs w:val="0"/>
          <w:vanish w:val="0"/>
          <w:color w:val="auto"/>
          <w:sz w:val="22"/>
          <w:szCs w:val="22"/>
          <w:u w:val="none"/>
        </w:rPr>
      </w:pPr>
    </w:p>
    <w:p w:rsidR="008D7F43" w:rsidRDefault="008D7F43" w:rsidP="008D7F43">
      <w:pPr>
        <w:pStyle w:val="Textoindependiente"/>
        <w:rPr>
          <w:rFonts w:ascii="Arial Narrow" w:hAnsi="Arial Narrow" w:cs="Gisha"/>
          <w:b w:val="0"/>
          <w:bCs w:val="0"/>
          <w:i w:val="0"/>
          <w:iCs w:val="0"/>
          <w:vanish w:val="0"/>
          <w:color w:val="auto"/>
          <w:sz w:val="22"/>
          <w:szCs w:val="22"/>
          <w:u w:val="none"/>
          <w:lang w:val="es-ES"/>
        </w:rPr>
      </w:pPr>
      <w:r w:rsidRPr="00982AF9">
        <w:rPr>
          <w:rFonts w:ascii="Arial Narrow" w:hAnsi="Arial Narrow" w:cs="Gisha"/>
          <w:b w:val="0"/>
          <w:bCs w:val="0"/>
          <w:i w:val="0"/>
          <w:iCs w:val="0"/>
          <w:vanish w:val="0"/>
          <w:color w:val="auto"/>
          <w:sz w:val="22"/>
          <w:szCs w:val="22"/>
          <w:u w:val="none"/>
          <w:lang w:val="es-ES"/>
        </w:rPr>
        <w:t>Se registra los recaudos a favor de terceros y los créditos diferidos.</w:t>
      </w:r>
      <w:r>
        <w:rPr>
          <w:rFonts w:ascii="Arial Narrow" w:hAnsi="Arial Narrow" w:cs="Gisha"/>
          <w:b w:val="0"/>
          <w:bCs w:val="0"/>
          <w:i w:val="0"/>
          <w:iCs w:val="0"/>
          <w:vanish w:val="0"/>
          <w:color w:val="auto"/>
          <w:sz w:val="22"/>
          <w:szCs w:val="22"/>
          <w:u w:val="none"/>
          <w:lang w:val="es-ES"/>
        </w:rPr>
        <w:t xml:space="preserve"> Su saldo comparativo (2014 -2014) es:</w:t>
      </w:r>
    </w:p>
    <w:tbl>
      <w:tblPr>
        <w:tblW w:w="7120" w:type="dxa"/>
        <w:jc w:val="center"/>
        <w:tblCellMar>
          <w:left w:w="70" w:type="dxa"/>
          <w:right w:w="70" w:type="dxa"/>
        </w:tblCellMar>
        <w:tblLook w:val="04A0" w:firstRow="1" w:lastRow="0" w:firstColumn="1" w:lastColumn="0" w:noHBand="0" w:noVBand="1"/>
      </w:tblPr>
      <w:tblGrid>
        <w:gridCol w:w="4260"/>
        <w:gridCol w:w="1420"/>
        <w:gridCol w:w="1440"/>
      </w:tblGrid>
      <w:tr w:rsidR="008D7F43" w:rsidRPr="00CC405B" w:rsidTr="00D90389">
        <w:trPr>
          <w:trHeight w:val="270"/>
          <w:jc w:val="center"/>
        </w:trPr>
        <w:tc>
          <w:tcPr>
            <w:tcW w:w="4260" w:type="dxa"/>
            <w:tcBorders>
              <w:top w:val="nil"/>
              <w:left w:val="nil"/>
              <w:bottom w:val="nil"/>
              <w:right w:val="nil"/>
            </w:tcBorders>
            <w:shd w:val="clear" w:color="000000" w:fill="FFFFFF"/>
            <w:noWrap/>
            <w:vAlign w:val="bottom"/>
            <w:hideMark/>
          </w:tcPr>
          <w:p w:rsidR="008D7F43" w:rsidRPr="00CC405B" w:rsidRDefault="008D7F43" w:rsidP="0081765C">
            <w:pPr>
              <w:rPr>
                <w:rFonts w:ascii="Arial" w:hAnsi="Arial" w:cs="Arial"/>
                <w:color w:val="000000"/>
                <w:sz w:val="20"/>
                <w:szCs w:val="20"/>
                <w:lang w:val="es-CO" w:eastAsia="es-CO"/>
              </w:rPr>
            </w:pPr>
            <w:r w:rsidRPr="00CC405B">
              <w:rPr>
                <w:rFonts w:ascii="Arial" w:hAnsi="Arial" w:cs="Arial"/>
                <w:color w:val="000000"/>
                <w:sz w:val="20"/>
                <w:szCs w:val="20"/>
                <w:lang w:val="es-CO" w:eastAsia="es-CO"/>
              </w:rPr>
              <w:t> </w:t>
            </w:r>
          </w:p>
        </w:tc>
        <w:tc>
          <w:tcPr>
            <w:tcW w:w="1420" w:type="dxa"/>
            <w:tcBorders>
              <w:top w:val="nil"/>
              <w:left w:val="nil"/>
              <w:bottom w:val="nil"/>
              <w:right w:val="nil"/>
            </w:tcBorders>
            <w:shd w:val="clear" w:color="000000" w:fill="FFFFFF"/>
            <w:noWrap/>
            <w:vAlign w:val="bottom"/>
            <w:hideMark/>
          </w:tcPr>
          <w:p w:rsidR="008D7F43" w:rsidRPr="00CC405B" w:rsidRDefault="008D7F43" w:rsidP="0081765C">
            <w:pPr>
              <w:rPr>
                <w:rFonts w:ascii="Arial" w:hAnsi="Arial" w:cs="Arial"/>
                <w:color w:val="000000"/>
                <w:sz w:val="20"/>
                <w:szCs w:val="20"/>
                <w:lang w:val="es-CO" w:eastAsia="es-CO"/>
              </w:rPr>
            </w:pPr>
            <w:r w:rsidRPr="00CC405B">
              <w:rPr>
                <w:rFonts w:ascii="Arial" w:hAnsi="Arial" w:cs="Arial"/>
                <w:color w:val="000000"/>
                <w:sz w:val="20"/>
                <w:szCs w:val="20"/>
                <w:lang w:val="es-CO" w:eastAsia="es-CO"/>
              </w:rPr>
              <w:t> </w:t>
            </w:r>
          </w:p>
        </w:tc>
        <w:tc>
          <w:tcPr>
            <w:tcW w:w="1440" w:type="dxa"/>
            <w:tcBorders>
              <w:top w:val="nil"/>
              <w:left w:val="nil"/>
              <w:bottom w:val="nil"/>
              <w:right w:val="nil"/>
            </w:tcBorders>
            <w:shd w:val="clear" w:color="000000" w:fill="FFFFFF"/>
            <w:noWrap/>
            <w:vAlign w:val="bottom"/>
            <w:hideMark/>
          </w:tcPr>
          <w:p w:rsidR="008D7F43" w:rsidRPr="00CC405B" w:rsidRDefault="008D7F43" w:rsidP="0081765C">
            <w:pPr>
              <w:rPr>
                <w:rFonts w:ascii="Arial" w:hAnsi="Arial" w:cs="Arial"/>
                <w:color w:val="000000"/>
                <w:sz w:val="20"/>
                <w:szCs w:val="20"/>
                <w:lang w:val="es-CO" w:eastAsia="es-CO"/>
              </w:rPr>
            </w:pPr>
            <w:r w:rsidRPr="00CC405B">
              <w:rPr>
                <w:rFonts w:ascii="Arial" w:hAnsi="Arial" w:cs="Arial"/>
                <w:color w:val="000000"/>
                <w:sz w:val="20"/>
                <w:szCs w:val="20"/>
                <w:lang w:val="es-CO" w:eastAsia="es-CO"/>
              </w:rPr>
              <w:t> </w:t>
            </w:r>
          </w:p>
        </w:tc>
      </w:tr>
      <w:tr w:rsidR="008D7F43" w:rsidRPr="00CC405B" w:rsidTr="00D90389">
        <w:trPr>
          <w:trHeight w:val="285"/>
          <w:jc w:val="center"/>
        </w:trPr>
        <w:tc>
          <w:tcPr>
            <w:tcW w:w="426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rsidR="008D7F43" w:rsidRPr="00CC405B" w:rsidRDefault="008D7F43" w:rsidP="0081765C">
            <w:pPr>
              <w:jc w:val="center"/>
              <w:rPr>
                <w:rFonts w:ascii="Arial" w:hAnsi="Arial" w:cs="Arial"/>
                <w:b/>
                <w:bCs/>
                <w:color w:val="000000"/>
                <w:sz w:val="20"/>
                <w:szCs w:val="20"/>
                <w:lang w:val="es-CO" w:eastAsia="es-CO"/>
              </w:rPr>
            </w:pPr>
            <w:r w:rsidRPr="00CC405B">
              <w:rPr>
                <w:rFonts w:ascii="Arial" w:hAnsi="Arial" w:cs="Arial"/>
                <w:b/>
                <w:bCs/>
                <w:color w:val="000000"/>
                <w:sz w:val="20"/>
                <w:szCs w:val="20"/>
                <w:lang w:val="es-CO" w:eastAsia="es-CO"/>
              </w:rPr>
              <w:t>CUENTA</w:t>
            </w:r>
          </w:p>
        </w:tc>
        <w:tc>
          <w:tcPr>
            <w:tcW w:w="142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rsidR="008D7F43" w:rsidRPr="00CC405B" w:rsidRDefault="008D7F43" w:rsidP="0081765C">
            <w:pPr>
              <w:jc w:val="center"/>
              <w:rPr>
                <w:rFonts w:ascii="Arial" w:hAnsi="Arial" w:cs="Arial"/>
                <w:b/>
                <w:bCs/>
                <w:color w:val="000000"/>
                <w:sz w:val="20"/>
                <w:szCs w:val="20"/>
                <w:lang w:val="es-CO" w:eastAsia="es-CO"/>
              </w:rPr>
            </w:pPr>
            <w:r w:rsidRPr="00CC405B">
              <w:rPr>
                <w:rFonts w:ascii="Arial" w:hAnsi="Arial" w:cs="Arial"/>
                <w:b/>
                <w:bCs/>
                <w:color w:val="000000"/>
                <w:sz w:val="20"/>
                <w:szCs w:val="20"/>
                <w:lang w:val="es-CO" w:eastAsia="es-CO"/>
              </w:rPr>
              <w:t>dic-15</w:t>
            </w:r>
          </w:p>
        </w:tc>
        <w:tc>
          <w:tcPr>
            <w:tcW w:w="1440"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rsidR="008D7F43" w:rsidRPr="00CC405B" w:rsidRDefault="008D7F43" w:rsidP="0081765C">
            <w:pPr>
              <w:jc w:val="center"/>
              <w:rPr>
                <w:rFonts w:ascii="Arial" w:hAnsi="Arial" w:cs="Arial"/>
                <w:b/>
                <w:bCs/>
                <w:color w:val="000000"/>
                <w:sz w:val="20"/>
                <w:szCs w:val="20"/>
                <w:lang w:val="es-CO" w:eastAsia="es-CO"/>
              </w:rPr>
            </w:pPr>
            <w:r w:rsidRPr="00CC405B">
              <w:rPr>
                <w:rFonts w:ascii="Arial" w:hAnsi="Arial" w:cs="Arial"/>
                <w:b/>
                <w:bCs/>
                <w:color w:val="000000"/>
                <w:sz w:val="20"/>
                <w:szCs w:val="20"/>
                <w:lang w:val="es-CO" w:eastAsia="es-CO"/>
              </w:rPr>
              <w:t>dic-14</w:t>
            </w:r>
          </w:p>
        </w:tc>
      </w:tr>
      <w:tr w:rsidR="008D7F43" w:rsidRPr="00CC405B" w:rsidTr="00D90389">
        <w:trPr>
          <w:trHeight w:val="270"/>
          <w:jc w:val="center"/>
        </w:trPr>
        <w:tc>
          <w:tcPr>
            <w:tcW w:w="4260" w:type="dxa"/>
            <w:tcBorders>
              <w:top w:val="nil"/>
              <w:left w:val="double" w:sz="6" w:space="0" w:color="auto"/>
              <w:bottom w:val="nil"/>
              <w:right w:val="double" w:sz="6" w:space="0" w:color="auto"/>
            </w:tcBorders>
            <w:shd w:val="clear" w:color="000000" w:fill="FFFFFF"/>
            <w:noWrap/>
            <w:vAlign w:val="bottom"/>
            <w:hideMark/>
          </w:tcPr>
          <w:p w:rsidR="008D7F43" w:rsidRPr="00CC405B" w:rsidRDefault="008D7F43" w:rsidP="0081765C">
            <w:pPr>
              <w:rPr>
                <w:rFonts w:ascii="Arial" w:hAnsi="Arial" w:cs="Arial"/>
                <w:sz w:val="20"/>
                <w:szCs w:val="20"/>
                <w:lang w:val="es-CO" w:eastAsia="es-CO"/>
              </w:rPr>
            </w:pPr>
            <w:r w:rsidRPr="00CC405B">
              <w:rPr>
                <w:rFonts w:ascii="Arial" w:hAnsi="Arial" w:cs="Arial"/>
                <w:sz w:val="20"/>
                <w:szCs w:val="20"/>
                <w:lang w:val="es-CO" w:eastAsia="es-CO"/>
              </w:rPr>
              <w:t>RECAUDOS A FAVOR DE TERCEROS</w:t>
            </w:r>
          </w:p>
        </w:tc>
        <w:tc>
          <w:tcPr>
            <w:tcW w:w="1420" w:type="dxa"/>
            <w:tcBorders>
              <w:top w:val="nil"/>
              <w:left w:val="nil"/>
              <w:bottom w:val="nil"/>
              <w:right w:val="double" w:sz="6" w:space="0" w:color="auto"/>
            </w:tcBorders>
            <w:shd w:val="clear" w:color="000000" w:fill="FFFFFF"/>
            <w:noWrap/>
            <w:vAlign w:val="bottom"/>
            <w:hideMark/>
          </w:tcPr>
          <w:p w:rsidR="008D7F43" w:rsidRPr="00CC405B" w:rsidRDefault="008D7F43" w:rsidP="0081765C">
            <w:pPr>
              <w:jc w:val="right"/>
              <w:rPr>
                <w:rFonts w:ascii="Arial" w:hAnsi="Arial" w:cs="Arial"/>
                <w:sz w:val="20"/>
                <w:szCs w:val="20"/>
                <w:lang w:val="es-CO" w:eastAsia="es-CO"/>
              </w:rPr>
            </w:pPr>
            <w:r w:rsidRPr="00CC405B">
              <w:rPr>
                <w:rFonts w:ascii="Arial" w:hAnsi="Arial" w:cs="Arial"/>
                <w:sz w:val="20"/>
                <w:szCs w:val="20"/>
                <w:lang w:val="es-CO" w:eastAsia="es-CO"/>
              </w:rPr>
              <w:t>1.152.625</w:t>
            </w:r>
          </w:p>
        </w:tc>
        <w:tc>
          <w:tcPr>
            <w:tcW w:w="1440" w:type="dxa"/>
            <w:tcBorders>
              <w:top w:val="nil"/>
              <w:left w:val="nil"/>
              <w:bottom w:val="nil"/>
              <w:right w:val="double" w:sz="6" w:space="0" w:color="auto"/>
            </w:tcBorders>
            <w:shd w:val="clear" w:color="000000" w:fill="FFFFFF"/>
            <w:noWrap/>
            <w:vAlign w:val="bottom"/>
            <w:hideMark/>
          </w:tcPr>
          <w:p w:rsidR="008D7F43" w:rsidRPr="00CC405B" w:rsidRDefault="008D7F43" w:rsidP="0081765C">
            <w:pPr>
              <w:jc w:val="right"/>
              <w:rPr>
                <w:rFonts w:ascii="Arial" w:hAnsi="Arial" w:cs="Arial"/>
                <w:sz w:val="20"/>
                <w:szCs w:val="20"/>
                <w:lang w:val="es-CO" w:eastAsia="es-CO"/>
              </w:rPr>
            </w:pPr>
            <w:r w:rsidRPr="00CC405B">
              <w:rPr>
                <w:rFonts w:ascii="Arial" w:hAnsi="Arial" w:cs="Arial"/>
                <w:sz w:val="20"/>
                <w:szCs w:val="20"/>
                <w:lang w:val="es-CO" w:eastAsia="es-CO"/>
              </w:rPr>
              <w:t>1.752.087</w:t>
            </w:r>
          </w:p>
        </w:tc>
      </w:tr>
      <w:tr w:rsidR="008D7F43" w:rsidRPr="00CC405B" w:rsidTr="00D90389">
        <w:trPr>
          <w:trHeight w:val="270"/>
          <w:jc w:val="center"/>
        </w:trPr>
        <w:tc>
          <w:tcPr>
            <w:tcW w:w="4260" w:type="dxa"/>
            <w:tcBorders>
              <w:top w:val="nil"/>
              <w:left w:val="double" w:sz="6" w:space="0" w:color="auto"/>
              <w:bottom w:val="double" w:sz="6" w:space="0" w:color="auto"/>
              <w:right w:val="double" w:sz="6" w:space="0" w:color="auto"/>
            </w:tcBorders>
            <w:shd w:val="clear" w:color="000000" w:fill="FFFFFF"/>
            <w:noWrap/>
            <w:vAlign w:val="bottom"/>
            <w:hideMark/>
          </w:tcPr>
          <w:p w:rsidR="008D7F43" w:rsidRPr="00CC405B" w:rsidRDefault="008D7F43" w:rsidP="0081765C">
            <w:pPr>
              <w:rPr>
                <w:rFonts w:ascii="Arial" w:hAnsi="Arial" w:cs="Arial"/>
                <w:sz w:val="20"/>
                <w:szCs w:val="20"/>
                <w:lang w:val="es-CO" w:eastAsia="es-CO"/>
              </w:rPr>
            </w:pPr>
            <w:r w:rsidRPr="00CC405B">
              <w:rPr>
                <w:rFonts w:ascii="Arial" w:hAnsi="Arial" w:cs="Arial"/>
                <w:sz w:val="20"/>
                <w:szCs w:val="20"/>
                <w:lang w:val="es-CO" w:eastAsia="es-CO"/>
              </w:rPr>
              <w:t>CRÉDITOS DIFERIDOS - CONCESIONES</w:t>
            </w:r>
          </w:p>
        </w:tc>
        <w:tc>
          <w:tcPr>
            <w:tcW w:w="1420" w:type="dxa"/>
            <w:tcBorders>
              <w:top w:val="nil"/>
              <w:left w:val="nil"/>
              <w:bottom w:val="double" w:sz="6" w:space="0" w:color="auto"/>
              <w:right w:val="double" w:sz="6" w:space="0" w:color="auto"/>
            </w:tcBorders>
            <w:shd w:val="clear" w:color="000000" w:fill="FFFFFF"/>
            <w:noWrap/>
            <w:vAlign w:val="bottom"/>
            <w:hideMark/>
          </w:tcPr>
          <w:p w:rsidR="008D7F43" w:rsidRPr="00CC405B" w:rsidRDefault="008D7F43" w:rsidP="0081765C">
            <w:pPr>
              <w:jc w:val="right"/>
              <w:rPr>
                <w:rFonts w:ascii="Arial" w:hAnsi="Arial" w:cs="Arial"/>
                <w:sz w:val="20"/>
                <w:szCs w:val="20"/>
                <w:lang w:val="es-CO" w:eastAsia="es-CO"/>
              </w:rPr>
            </w:pPr>
            <w:r w:rsidRPr="00CC405B">
              <w:rPr>
                <w:rFonts w:ascii="Arial" w:hAnsi="Arial" w:cs="Arial"/>
                <w:sz w:val="20"/>
                <w:szCs w:val="20"/>
                <w:lang w:val="es-CO" w:eastAsia="es-CO"/>
              </w:rPr>
              <w:t>5.291.457.046</w:t>
            </w:r>
          </w:p>
        </w:tc>
        <w:tc>
          <w:tcPr>
            <w:tcW w:w="1440" w:type="dxa"/>
            <w:tcBorders>
              <w:top w:val="nil"/>
              <w:left w:val="nil"/>
              <w:bottom w:val="double" w:sz="6" w:space="0" w:color="auto"/>
              <w:right w:val="double" w:sz="6" w:space="0" w:color="auto"/>
            </w:tcBorders>
            <w:shd w:val="clear" w:color="000000" w:fill="FFFFFF"/>
            <w:noWrap/>
            <w:vAlign w:val="bottom"/>
            <w:hideMark/>
          </w:tcPr>
          <w:p w:rsidR="008D7F43" w:rsidRPr="00CC405B" w:rsidRDefault="008D7F43" w:rsidP="0081765C">
            <w:pPr>
              <w:jc w:val="right"/>
              <w:rPr>
                <w:rFonts w:ascii="Arial" w:hAnsi="Arial" w:cs="Arial"/>
                <w:sz w:val="20"/>
                <w:szCs w:val="20"/>
                <w:lang w:val="es-CO" w:eastAsia="es-CO"/>
              </w:rPr>
            </w:pPr>
            <w:r w:rsidRPr="00CC405B">
              <w:rPr>
                <w:rFonts w:ascii="Arial" w:hAnsi="Arial" w:cs="Arial"/>
                <w:sz w:val="20"/>
                <w:szCs w:val="20"/>
                <w:lang w:val="es-CO" w:eastAsia="es-CO"/>
              </w:rPr>
              <w:t>9.822.536.259</w:t>
            </w:r>
          </w:p>
        </w:tc>
      </w:tr>
      <w:tr w:rsidR="008D7F43" w:rsidRPr="00CC405B" w:rsidTr="00D90389">
        <w:trPr>
          <w:trHeight w:val="285"/>
          <w:jc w:val="center"/>
        </w:trPr>
        <w:tc>
          <w:tcPr>
            <w:tcW w:w="4260" w:type="dxa"/>
            <w:tcBorders>
              <w:top w:val="nil"/>
              <w:left w:val="double" w:sz="6" w:space="0" w:color="auto"/>
              <w:bottom w:val="double" w:sz="6" w:space="0" w:color="auto"/>
              <w:right w:val="double" w:sz="6" w:space="0" w:color="auto"/>
            </w:tcBorders>
            <w:shd w:val="clear" w:color="000000" w:fill="FFFFFF"/>
            <w:vAlign w:val="center"/>
            <w:hideMark/>
          </w:tcPr>
          <w:p w:rsidR="008D7F43" w:rsidRPr="00CC405B" w:rsidRDefault="008D7F43" w:rsidP="0081765C">
            <w:pPr>
              <w:jc w:val="center"/>
              <w:rPr>
                <w:rFonts w:ascii="Arial" w:hAnsi="Arial" w:cs="Arial"/>
                <w:b/>
                <w:bCs/>
                <w:sz w:val="20"/>
                <w:szCs w:val="20"/>
                <w:lang w:val="es-CO" w:eastAsia="es-CO"/>
              </w:rPr>
            </w:pPr>
            <w:r w:rsidRPr="00CC405B">
              <w:rPr>
                <w:rFonts w:ascii="Arial" w:hAnsi="Arial" w:cs="Arial"/>
                <w:b/>
                <w:bCs/>
                <w:sz w:val="20"/>
                <w:szCs w:val="20"/>
                <w:lang w:val="es-CO" w:eastAsia="es-CO"/>
              </w:rPr>
              <w:t>TOTAL</w:t>
            </w:r>
          </w:p>
        </w:tc>
        <w:tc>
          <w:tcPr>
            <w:tcW w:w="1420" w:type="dxa"/>
            <w:tcBorders>
              <w:top w:val="nil"/>
              <w:left w:val="nil"/>
              <w:bottom w:val="double" w:sz="6" w:space="0" w:color="auto"/>
              <w:right w:val="double" w:sz="6" w:space="0" w:color="auto"/>
            </w:tcBorders>
            <w:shd w:val="clear" w:color="000000" w:fill="FFFFFF"/>
            <w:noWrap/>
            <w:vAlign w:val="bottom"/>
            <w:hideMark/>
          </w:tcPr>
          <w:p w:rsidR="008D7F43" w:rsidRPr="00CC405B" w:rsidRDefault="008D7F43" w:rsidP="0081765C">
            <w:pPr>
              <w:jc w:val="right"/>
              <w:rPr>
                <w:rFonts w:ascii="Arial" w:hAnsi="Arial" w:cs="Arial"/>
                <w:b/>
                <w:bCs/>
                <w:color w:val="000000"/>
                <w:sz w:val="20"/>
                <w:szCs w:val="20"/>
                <w:lang w:val="es-CO" w:eastAsia="es-CO"/>
              </w:rPr>
            </w:pPr>
            <w:r w:rsidRPr="00CC405B">
              <w:rPr>
                <w:rFonts w:ascii="Arial" w:hAnsi="Arial" w:cs="Arial"/>
                <w:b/>
                <w:bCs/>
                <w:color w:val="000000"/>
                <w:sz w:val="20"/>
                <w:szCs w:val="20"/>
                <w:lang w:val="es-CO" w:eastAsia="es-CO"/>
              </w:rPr>
              <w:t>5.292.609.671</w:t>
            </w:r>
          </w:p>
        </w:tc>
        <w:tc>
          <w:tcPr>
            <w:tcW w:w="1440" w:type="dxa"/>
            <w:tcBorders>
              <w:top w:val="nil"/>
              <w:left w:val="nil"/>
              <w:bottom w:val="double" w:sz="6" w:space="0" w:color="auto"/>
              <w:right w:val="double" w:sz="6" w:space="0" w:color="auto"/>
            </w:tcBorders>
            <w:shd w:val="clear" w:color="000000" w:fill="FFFFFF"/>
            <w:noWrap/>
            <w:vAlign w:val="bottom"/>
            <w:hideMark/>
          </w:tcPr>
          <w:p w:rsidR="008D7F43" w:rsidRPr="00CC405B" w:rsidRDefault="008D7F43" w:rsidP="0081765C">
            <w:pPr>
              <w:jc w:val="right"/>
              <w:rPr>
                <w:rFonts w:ascii="Arial" w:hAnsi="Arial" w:cs="Arial"/>
                <w:b/>
                <w:bCs/>
                <w:color w:val="000000"/>
                <w:sz w:val="20"/>
                <w:szCs w:val="20"/>
                <w:lang w:val="es-CO" w:eastAsia="es-CO"/>
              </w:rPr>
            </w:pPr>
            <w:r w:rsidRPr="00CC405B">
              <w:rPr>
                <w:rFonts w:ascii="Arial" w:hAnsi="Arial" w:cs="Arial"/>
                <w:b/>
                <w:bCs/>
                <w:color w:val="000000"/>
                <w:sz w:val="20"/>
                <w:szCs w:val="20"/>
                <w:lang w:val="es-CO" w:eastAsia="es-CO"/>
              </w:rPr>
              <w:t>9.824.288.346</w:t>
            </w:r>
          </w:p>
        </w:tc>
      </w:tr>
    </w:tbl>
    <w:p w:rsidR="008D7F43" w:rsidRPr="00982AF9" w:rsidRDefault="008D7F43" w:rsidP="008D7F43">
      <w:pPr>
        <w:rPr>
          <w:rFonts w:ascii="Arial Narrow" w:hAnsi="Arial Narrow" w:cs="Gisha"/>
          <w:sz w:val="22"/>
          <w:szCs w:val="22"/>
        </w:rPr>
      </w:pPr>
    </w:p>
    <w:p w:rsidR="008D7F43" w:rsidRDefault="008D7F43" w:rsidP="008D7F43">
      <w:pPr>
        <w:jc w:val="both"/>
        <w:rPr>
          <w:rFonts w:ascii="Arial Narrow" w:hAnsi="Arial Narrow" w:cs="Gisha"/>
          <w:iCs/>
          <w:sz w:val="22"/>
          <w:szCs w:val="22"/>
        </w:rPr>
      </w:pPr>
      <w:r>
        <w:rPr>
          <w:rFonts w:ascii="Arial Narrow" w:hAnsi="Arial Narrow" w:cs="Gisha"/>
          <w:iCs/>
          <w:sz w:val="22"/>
          <w:szCs w:val="22"/>
        </w:rPr>
        <w:t>En cobro de cartera de terceros el saldo está conformado por el valor a pagar a 31 de diciembre de 2015 de</w:t>
      </w:r>
      <w:r w:rsidRPr="003368C5">
        <w:rPr>
          <w:rFonts w:ascii="Arial Narrow" w:hAnsi="Arial Narrow" w:cs="Gisha"/>
          <w:iCs/>
          <w:sz w:val="22"/>
          <w:szCs w:val="22"/>
        </w:rPr>
        <w:t xml:space="preserve"> la contribución</w:t>
      </w:r>
      <w:r>
        <w:rPr>
          <w:rFonts w:ascii="Arial Narrow" w:hAnsi="Arial Narrow" w:cs="Gisha"/>
          <w:iCs/>
          <w:sz w:val="22"/>
          <w:szCs w:val="22"/>
        </w:rPr>
        <w:t xml:space="preserve"> del 5%</w:t>
      </w:r>
      <w:r w:rsidRPr="003368C5">
        <w:rPr>
          <w:rFonts w:ascii="Arial Narrow" w:hAnsi="Arial Narrow" w:cs="Gisha"/>
          <w:iCs/>
          <w:sz w:val="22"/>
          <w:szCs w:val="22"/>
        </w:rPr>
        <w:t xml:space="preserve"> de los contratos de obra pública o concesión de o</w:t>
      </w:r>
      <w:r>
        <w:rPr>
          <w:rFonts w:ascii="Arial Narrow" w:hAnsi="Arial Narrow" w:cs="Gisha"/>
          <w:iCs/>
          <w:sz w:val="22"/>
          <w:szCs w:val="22"/>
        </w:rPr>
        <w:t>bra pública y otras concesiones, Ley 1106 de 2006,  valor que será reintegrado a la Dirección del Tesoro Nacional en la vigencia 201</w:t>
      </w:r>
      <w:r w:rsidR="0059293F">
        <w:rPr>
          <w:rFonts w:ascii="Arial Narrow" w:hAnsi="Arial Narrow" w:cs="Gisha"/>
          <w:iCs/>
          <w:sz w:val="22"/>
          <w:szCs w:val="22"/>
        </w:rPr>
        <w:t>6</w:t>
      </w:r>
      <w:r>
        <w:rPr>
          <w:rFonts w:ascii="Arial Narrow" w:hAnsi="Arial Narrow" w:cs="Gisha"/>
          <w:iCs/>
          <w:sz w:val="22"/>
          <w:szCs w:val="22"/>
        </w:rPr>
        <w:t xml:space="preserve">. </w:t>
      </w:r>
    </w:p>
    <w:p w:rsidR="008D7F43" w:rsidRDefault="008D7F43" w:rsidP="008D7F43">
      <w:pPr>
        <w:jc w:val="both"/>
        <w:rPr>
          <w:rFonts w:ascii="Arial Narrow" w:hAnsi="Arial Narrow" w:cs="Gisha"/>
          <w:iCs/>
          <w:sz w:val="22"/>
          <w:szCs w:val="22"/>
        </w:rPr>
      </w:pPr>
    </w:p>
    <w:p w:rsidR="00C928CA" w:rsidRDefault="00C928CA" w:rsidP="008D7F43">
      <w:pPr>
        <w:jc w:val="both"/>
        <w:rPr>
          <w:rFonts w:ascii="Arial Narrow" w:hAnsi="Arial Narrow" w:cs="Gisha"/>
          <w:iCs/>
          <w:sz w:val="22"/>
          <w:szCs w:val="22"/>
        </w:rPr>
      </w:pPr>
      <w:r w:rsidRPr="00C928CA">
        <w:rPr>
          <w:rFonts w:ascii="Arial Narrow" w:hAnsi="Arial Narrow" w:cs="Gisha"/>
          <w:iCs/>
          <w:sz w:val="22"/>
          <w:szCs w:val="22"/>
        </w:rPr>
        <w:t xml:space="preserve">En </w:t>
      </w:r>
      <w:r>
        <w:rPr>
          <w:rFonts w:ascii="Arial Narrow" w:hAnsi="Arial Narrow" w:cs="Gisha"/>
          <w:iCs/>
          <w:sz w:val="22"/>
          <w:szCs w:val="22"/>
        </w:rPr>
        <w:t xml:space="preserve">la Subcuenta Créditos diferidos Concesiones se registró a 31 de diciembre de 2015 </w:t>
      </w:r>
      <w:r w:rsidRPr="00C928CA">
        <w:rPr>
          <w:rFonts w:ascii="Arial Narrow" w:hAnsi="Arial Narrow" w:cs="Gisha"/>
          <w:iCs/>
          <w:sz w:val="22"/>
          <w:szCs w:val="22"/>
        </w:rPr>
        <w:t>la información recibida en los formatos establecidos,</w:t>
      </w:r>
      <w:r>
        <w:rPr>
          <w:rFonts w:ascii="Arial Narrow" w:hAnsi="Arial Narrow" w:cs="Gisha"/>
          <w:iCs/>
          <w:sz w:val="22"/>
          <w:szCs w:val="22"/>
        </w:rPr>
        <w:t xml:space="preserve"> de</w:t>
      </w:r>
      <w:r w:rsidRPr="00C928CA">
        <w:rPr>
          <w:rFonts w:ascii="Arial Narrow" w:hAnsi="Arial Narrow" w:cs="Gisha"/>
          <w:iCs/>
          <w:sz w:val="22"/>
          <w:szCs w:val="22"/>
        </w:rPr>
        <w:t xml:space="preserve"> la Inversión del privado en las concesiones viales gestionados por la ANI, de los siguientes proyectos:  Área Metropolitana de Cúcuta y Norte de Santander, Concesión Vial Córdoba – Sucre, Concesión Vial Ruta Caribe, Concesión Vial Zona Metropolitana de Bucaramanga, Concesión  Rumichaca -Pasto – Chachagui, Ibagué - Girardot- Cajamarca, Pereira - La Victoria, Ruta del Sol Sector 1, 2 y 3, Transversal De Las Américas. Así mismo se registra la inversión del privado en las Concesiones adjudicadas en la Vigencia 201</w:t>
      </w:r>
      <w:r>
        <w:rPr>
          <w:rFonts w:ascii="Arial Narrow" w:hAnsi="Arial Narrow" w:cs="Gisha"/>
          <w:iCs/>
          <w:sz w:val="22"/>
          <w:szCs w:val="22"/>
        </w:rPr>
        <w:t>4 y 201</w:t>
      </w:r>
      <w:r w:rsidRPr="00C928CA">
        <w:rPr>
          <w:rFonts w:ascii="Arial Narrow" w:hAnsi="Arial Narrow" w:cs="Gisha"/>
          <w:iCs/>
          <w:sz w:val="22"/>
          <w:szCs w:val="22"/>
        </w:rPr>
        <w:t>5, bajo el esquema de Asociación Público-Privada (APP).</w:t>
      </w:r>
    </w:p>
    <w:p w:rsidR="00C928CA" w:rsidRDefault="00C928CA" w:rsidP="008D7F43">
      <w:pPr>
        <w:jc w:val="both"/>
        <w:rPr>
          <w:rFonts w:ascii="Arial Narrow" w:hAnsi="Arial Narrow" w:cs="Gisha"/>
          <w:iCs/>
          <w:sz w:val="22"/>
          <w:szCs w:val="22"/>
        </w:rPr>
      </w:pPr>
    </w:p>
    <w:p w:rsidR="008D7F43" w:rsidRDefault="00C928CA" w:rsidP="008D7F43">
      <w:pPr>
        <w:jc w:val="both"/>
        <w:rPr>
          <w:rFonts w:ascii="Arial Narrow" w:hAnsi="Arial Narrow" w:cs="Gisha"/>
          <w:iCs/>
          <w:sz w:val="22"/>
          <w:szCs w:val="22"/>
        </w:rPr>
      </w:pPr>
      <w:r>
        <w:rPr>
          <w:rFonts w:ascii="Arial Narrow" w:hAnsi="Arial Narrow" w:cs="Gisha"/>
          <w:iCs/>
          <w:sz w:val="22"/>
          <w:szCs w:val="22"/>
        </w:rPr>
        <w:t>También se registró en ésta</w:t>
      </w:r>
      <w:r w:rsidR="008D7F43">
        <w:rPr>
          <w:rFonts w:ascii="Arial Narrow" w:hAnsi="Arial Narrow" w:cs="Gisha"/>
          <w:iCs/>
          <w:sz w:val="22"/>
          <w:szCs w:val="22"/>
        </w:rPr>
        <w:t xml:space="preserve"> </w:t>
      </w:r>
      <w:r>
        <w:rPr>
          <w:rFonts w:ascii="Arial Narrow" w:hAnsi="Arial Narrow" w:cs="Gisha"/>
          <w:iCs/>
          <w:sz w:val="22"/>
          <w:szCs w:val="22"/>
        </w:rPr>
        <w:t>s</w:t>
      </w:r>
      <w:r w:rsidR="008D7F43">
        <w:rPr>
          <w:rFonts w:ascii="Arial Narrow" w:hAnsi="Arial Narrow" w:cs="Gisha"/>
          <w:iCs/>
          <w:sz w:val="22"/>
          <w:szCs w:val="22"/>
        </w:rPr>
        <w:t>ubcuenta la amortización del aporte al capital privado de las siguientes concesiones: Ruta del sol sector III, Ruta del Sol sector I, Córdoba Sucre, Bogotá-Girardot, Zona Metropolitana de Bucaramanga, Ruta Caribe, Pereira la Victoria, Girardot- Ibagué- Cajamarca; Ruta del Sol sector II, Área Metropolitana de Cúcuta y Transversal de las Américas; de acuerdo con la información suministrada de la Vicepresidencia de Gestión Contractual y la Vicepresidencia Ejecutiva y se contabilizó la primera retribución de la Concesiones Loboguerrero Buga y Zipaquirá Palenque</w:t>
      </w:r>
      <w:r w:rsidR="00756B3F">
        <w:rPr>
          <w:rFonts w:ascii="Arial Narrow" w:hAnsi="Arial Narrow" w:cs="Gisha"/>
          <w:iCs/>
          <w:sz w:val="22"/>
          <w:szCs w:val="22"/>
        </w:rPr>
        <w:t xml:space="preserve"> (Ver anexo 9)</w:t>
      </w:r>
      <w:r w:rsidR="008D7F43">
        <w:rPr>
          <w:rFonts w:ascii="Arial Narrow" w:hAnsi="Arial Narrow" w:cs="Gisha"/>
          <w:iCs/>
          <w:sz w:val="22"/>
          <w:szCs w:val="22"/>
        </w:rPr>
        <w:t>.</w:t>
      </w:r>
    </w:p>
    <w:p w:rsidR="006C7F4C" w:rsidRDefault="006C7F4C" w:rsidP="00C35B7C">
      <w:pPr>
        <w:pStyle w:val="Textoindependiente"/>
        <w:rPr>
          <w:rFonts w:ascii="Arial Narrow" w:hAnsi="Arial Narrow" w:cs="Gisha"/>
          <w:i w:val="0"/>
          <w:iCs w:val="0"/>
          <w:vanish w:val="0"/>
          <w:color w:val="auto"/>
          <w:sz w:val="22"/>
          <w:szCs w:val="22"/>
          <w:u w:val="none"/>
        </w:rPr>
      </w:pPr>
    </w:p>
    <w:p w:rsidR="00C35B7C" w:rsidRPr="00F2614D" w:rsidRDefault="00C35B7C" w:rsidP="00C35B7C">
      <w:pPr>
        <w:pStyle w:val="Textoindependiente"/>
        <w:rPr>
          <w:rFonts w:ascii="Arial Narrow" w:hAnsi="Arial Narrow" w:cs="Gisha"/>
          <w:i w:val="0"/>
          <w:iCs w:val="0"/>
          <w:vanish w:val="0"/>
          <w:color w:val="auto"/>
          <w:sz w:val="22"/>
          <w:szCs w:val="22"/>
          <w:u w:val="none"/>
        </w:rPr>
      </w:pPr>
      <w:r w:rsidRPr="00F2614D">
        <w:rPr>
          <w:rFonts w:ascii="Arial Narrow" w:hAnsi="Arial Narrow" w:cs="Gisha"/>
          <w:i w:val="0"/>
          <w:iCs w:val="0"/>
          <w:vanish w:val="0"/>
          <w:color w:val="auto"/>
          <w:sz w:val="22"/>
          <w:szCs w:val="22"/>
          <w:u w:val="none"/>
        </w:rPr>
        <w:t>NOTA 1</w:t>
      </w:r>
      <w:r w:rsidR="00850DA1">
        <w:rPr>
          <w:rFonts w:ascii="Arial Narrow" w:hAnsi="Arial Narrow" w:cs="Gisha"/>
          <w:i w:val="0"/>
          <w:iCs w:val="0"/>
          <w:vanish w:val="0"/>
          <w:color w:val="auto"/>
          <w:sz w:val="22"/>
          <w:szCs w:val="22"/>
          <w:u w:val="none"/>
        </w:rPr>
        <w:t>1</w:t>
      </w:r>
      <w:r w:rsidRPr="00F2614D">
        <w:rPr>
          <w:rFonts w:ascii="Arial Narrow" w:hAnsi="Arial Narrow" w:cs="Gisha"/>
          <w:i w:val="0"/>
          <w:iCs w:val="0"/>
          <w:vanish w:val="0"/>
          <w:color w:val="auto"/>
          <w:sz w:val="22"/>
          <w:szCs w:val="22"/>
          <w:u w:val="none"/>
        </w:rPr>
        <w:t>.      PATRIMONIO</w:t>
      </w:r>
    </w:p>
    <w:p w:rsidR="00C35B7C" w:rsidRPr="00E43D05" w:rsidRDefault="00C35B7C" w:rsidP="00C35B7C">
      <w:pPr>
        <w:pStyle w:val="Textoindependiente"/>
        <w:rPr>
          <w:rFonts w:ascii="Arial Narrow" w:hAnsi="Arial Narrow" w:cs="Gisha"/>
          <w:i w:val="0"/>
          <w:iCs w:val="0"/>
          <w:vanish w:val="0"/>
          <w:color w:val="auto"/>
          <w:sz w:val="22"/>
          <w:szCs w:val="22"/>
          <w:highlight w:val="yellow"/>
          <w:u w:val="none"/>
        </w:rPr>
      </w:pPr>
    </w:p>
    <w:p w:rsidR="00C35B7C" w:rsidRDefault="00C35B7C" w:rsidP="00C35B7C">
      <w:pPr>
        <w:pStyle w:val="Textoindependiente3"/>
        <w:rPr>
          <w:rFonts w:ascii="Arial Narrow" w:hAnsi="Arial Narrow" w:cs="Gisha"/>
          <w:color w:val="auto"/>
          <w:sz w:val="22"/>
          <w:szCs w:val="22"/>
        </w:rPr>
      </w:pPr>
      <w:r w:rsidRPr="00F2614D">
        <w:rPr>
          <w:rFonts w:ascii="Arial Narrow" w:hAnsi="Arial Narrow" w:cs="Gisha"/>
          <w:sz w:val="22"/>
          <w:szCs w:val="22"/>
          <w:lang w:val="es-MX"/>
        </w:rPr>
        <w:t>En el patrimonio se refleja un aumento causado por la incorporación de los valores de la inversión del privado correspondientes al modo portuario, férreo</w:t>
      </w:r>
      <w:r>
        <w:rPr>
          <w:rFonts w:ascii="Arial Narrow" w:hAnsi="Arial Narrow" w:cs="Gisha"/>
          <w:sz w:val="22"/>
          <w:szCs w:val="22"/>
          <w:lang w:val="es-MX"/>
        </w:rPr>
        <w:t>, aeroportuario</w:t>
      </w:r>
      <w:r w:rsidRPr="00F2614D">
        <w:rPr>
          <w:rFonts w:ascii="Arial Narrow" w:hAnsi="Arial Narrow" w:cs="Gisha"/>
          <w:sz w:val="22"/>
          <w:szCs w:val="22"/>
          <w:lang w:val="es-MX"/>
        </w:rPr>
        <w:t xml:space="preserve"> y las concesiones viales adjudicadas por el INVIAS</w:t>
      </w:r>
      <w:r w:rsidRPr="00F2614D">
        <w:rPr>
          <w:rFonts w:ascii="Arial Narrow" w:hAnsi="Arial Narrow" w:cs="Gisha"/>
          <w:color w:val="auto"/>
          <w:sz w:val="22"/>
          <w:szCs w:val="22"/>
        </w:rPr>
        <w:t xml:space="preserve"> y el resultado del ejercicio a  31 de Diciembre de 201</w:t>
      </w:r>
      <w:r w:rsidR="00850DA1">
        <w:rPr>
          <w:rFonts w:ascii="Arial Narrow" w:hAnsi="Arial Narrow" w:cs="Gisha"/>
          <w:color w:val="auto"/>
          <w:sz w:val="22"/>
          <w:szCs w:val="22"/>
        </w:rPr>
        <w:t>5</w:t>
      </w:r>
      <w:r w:rsidRPr="00F2614D">
        <w:rPr>
          <w:rFonts w:ascii="Arial Narrow" w:hAnsi="Arial Narrow" w:cs="Gisha"/>
          <w:color w:val="auto"/>
          <w:sz w:val="22"/>
          <w:szCs w:val="22"/>
        </w:rPr>
        <w:t>, su saldo comparativo (201</w:t>
      </w:r>
      <w:r w:rsidR="00850DA1">
        <w:rPr>
          <w:rFonts w:ascii="Arial Narrow" w:hAnsi="Arial Narrow" w:cs="Gisha"/>
          <w:color w:val="auto"/>
          <w:sz w:val="22"/>
          <w:szCs w:val="22"/>
        </w:rPr>
        <w:t>5</w:t>
      </w:r>
      <w:r w:rsidRPr="00F2614D">
        <w:rPr>
          <w:rFonts w:ascii="Arial Narrow" w:hAnsi="Arial Narrow" w:cs="Gisha"/>
          <w:color w:val="auto"/>
          <w:sz w:val="22"/>
          <w:szCs w:val="22"/>
        </w:rPr>
        <w:t xml:space="preserve"> -201</w:t>
      </w:r>
      <w:r w:rsidR="00850DA1">
        <w:rPr>
          <w:rFonts w:ascii="Arial Narrow" w:hAnsi="Arial Narrow" w:cs="Gisha"/>
          <w:color w:val="auto"/>
          <w:sz w:val="22"/>
          <w:szCs w:val="22"/>
        </w:rPr>
        <w:t>4</w:t>
      </w:r>
      <w:r w:rsidRPr="00F2614D">
        <w:rPr>
          <w:rFonts w:ascii="Arial Narrow" w:hAnsi="Arial Narrow" w:cs="Gisha"/>
          <w:color w:val="auto"/>
          <w:sz w:val="22"/>
          <w:szCs w:val="22"/>
        </w:rPr>
        <w:t>) lo conforman las siguientes cuentas:</w:t>
      </w:r>
    </w:p>
    <w:tbl>
      <w:tblPr>
        <w:tblW w:w="8431" w:type="dxa"/>
        <w:tblInd w:w="709" w:type="dxa"/>
        <w:tblCellMar>
          <w:left w:w="70" w:type="dxa"/>
          <w:right w:w="70" w:type="dxa"/>
        </w:tblCellMar>
        <w:tblLook w:val="04A0" w:firstRow="1" w:lastRow="0" w:firstColumn="1" w:lastColumn="0" w:noHBand="0" w:noVBand="1"/>
      </w:tblPr>
      <w:tblGrid>
        <w:gridCol w:w="5369"/>
        <w:gridCol w:w="1531"/>
        <w:gridCol w:w="1531"/>
      </w:tblGrid>
      <w:tr w:rsidR="00D277B8" w:rsidTr="00D90389">
        <w:trPr>
          <w:trHeight w:val="315"/>
        </w:trPr>
        <w:tc>
          <w:tcPr>
            <w:tcW w:w="5369" w:type="dxa"/>
            <w:tcBorders>
              <w:top w:val="nil"/>
              <w:left w:val="nil"/>
              <w:bottom w:val="nil"/>
              <w:right w:val="nil"/>
            </w:tcBorders>
            <w:shd w:val="clear" w:color="auto" w:fill="auto"/>
            <w:noWrap/>
            <w:vAlign w:val="bottom"/>
            <w:hideMark/>
          </w:tcPr>
          <w:p w:rsidR="00D277B8" w:rsidRDefault="00D277B8">
            <w:pPr>
              <w:rPr>
                <w:sz w:val="20"/>
                <w:szCs w:val="20"/>
                <w:lang w:val="es-MX" w:eastAsia="es-MX"/>
              </w:rPr>
            </w:pPr>
          </w:p>
        </w:tc>
        <w:tc>
          <w:tcPr>
            <w:tcW w:w="1531" w:type="dxa"/>
            <w:tcBorders>
              <w:top w:val="nil"/>
              <w:left w:val="nil"/>
              <w:bottom w:val="nil"/>
              <w:right w:val="nil"/>
            </w:tcBorders>
            <w:shd w:val="clear" w:color="auto" w:fill="auto"/>
            <w:noWrap/>
            <w:vAlign w:val="bottom"/>
            <w:hideMark/>
          </w:tcPr>
          <w:p w:rsidR="00D277B8" w:rsidRDefault="00D277B8">
            <w:pPr>
              <w:rPr>
                <w:sz w:val="20"/>
                <w:szCs w:val="20"/>
              </w:rPr>
            </w:pPr>
          </w:p>
        </w:tc>
        <w:tc>
          <w:tcPr>
            <w:tcW w:w="1531" w:type="dxa"/>
            <w:tcBorders>
              <w:top w:val="nil"/>
              <w:left w:val="nil"/>
              <w:bottom w:val="nil"/>
              <w:right w:val="nil"/>
            </w:tcBorders>
            <w:shd w:val="clear" w:color="auto" w:fill="auto"/>
            <w:noWrap/>
            <w:vAlign w:val="bottom"/>
            <w:hideMark/>
          </w:tcPr>
          <w:p w:rsidR="00D277B8" w:rsidRDefault="00D277B8">
            <w:pPr>
              <w:rPr>
                <w:sz w:val="20"/>
                <w:szCs w:val="20"/>
              </w:rPr>
            </w:pPr>
          </w:p>
        </w:tc>
      </w:tr>
      <w:tr w:rsidR="00D277B8" w:rsidTr="00D90389">
        <w:trPr>
          <w:trHeight w:val="330"/>
        </w:trPr>
        <w:tc>
          <w:tcPr>
            <w:tcW w:w="5369" w:type="dxa"/>
            <w:tcBorders>
              <w:top w:val="double" w:sz="6" w:space="0" w:color="auto"/>
              <w:left w:val="double" w:sz="6" w:space="0" w:color="auto"/>
              <w:bottom w:val="double" w:sz="6" w:space="0" w:color="auto"/>
              <w:right w:val="double" w:sz="6" w:space="0" w:color="auto"/>
            </w:tcBorders>
            <w:shd w:val="clear" w:color="000000" w:fill="FFFFFF"/>
            <w:noWrap/>
            <w:vAlign w:val="bottom"/>
            <w:hideMark/>
          </w:tcPr>
          <w:p w:rsidR="00D277B8" w:rsidRDefault="00D277B8">
            <w:pPr>
              <w:jc w:val="center"/>
              <w:rPr>
                <w:rFonts w:ascii="Arial" w:hAnsi="Arial" w:cs="Arial"/>
                <w:b/>
                <w:bCs/>
                <w:color w:val="000000"/>
                <w:sz w:val="20"/>
                <w:szCs w:val="20"/>
              </w:rPr>
            </w:pPr>
            <w:r>
              <w:rPr>
                <w:rFonts w:ascii="Arial" w:hAnsi="Arial" w:cs="Arial"/>
                <w:b/>
                <w:bCs/>
                <w:color w:val="000000"/>
                <w:sz w:val="20"/>
                <w:szCs w:val="20"/>
              </w:rPr>
              <w:t>CUENTA</w:t>
            </w:r>
          </w:p>
        </w:tc>
        <w:tc>
          <w:tcPr>
            <w:tcW w:w="1531" w:type="dxa"/>
            <w:tcBorders>
              <w:top w:val="double" w:sz="6" w:space="0" w:color="auto"/>
              <w:left w:val="nil"/>
              <w:bottom w:val="double" w:sz="6" w:space="0" w:color="auto"/>
              <w:right w:val="double" w:sz="6" w:space="0" w:color="auto"/>
            </w:tcBorders>
            <w:shd w:val="clear" w:color="000000" w:fill="FFFFFF"/>
            <w:noWrap/>
            <w:vAlign w:val="bottom"/>
            <w:hideMark/>
          </w:tcPr>
          <w:p w:rsidR="00D277B8" w:rsidRDefault="00D277B8">
            <w:pPr>
              <w:jc w:val="center"/>
              <w:rPr>
                <w:rFonts w:ascii="Arial" w:hAnsi="Arial" w:cs="Arial"/>
                <w:b/>
                <w:bCs/>
                <w:color w:val="000000"/>
                <w:sz w:val="20"/>
                <w:szCs w:val="20"/>
              </w:rPr>
            </w:pPr>
            <w:r>
              <w:rPr>
                <w:rFonts w:ascii="Arial" w:hAnsi="Arial" w:cs="Arial"/>
                <w:b/>
                <w:bCs/>
                <w:color w:val="000000"/>
                <w:sz w:val="20"/>
                <w:szCs w:val="20"/>
              </w:rPr>
              <w:t>dic-15</w:t>
            </w:r>
          </w:p>
        </w:tc>
        <w:tc>
          <w:tcPr>
            <w:tcW w:w="1531" w:type="dxa"/>
            <w:tcBorders>
              <w:top w:val="double" w:sz="6" w:space="0" w:color="auto"/>
              <w:left w:val="nil"/>
              <w:bottom w:val="double" w:sz="6" w:space="0" w:color="auto"/>
              <w:right w:val="double" w:sz="6" w:space="0" w:color="auto"/>
            </w:tcBorders>
            <w:shd w:val="clear" w:color="000000" w:fill="FFFFFF"/>
            <w:noWrap/>
            <w:vAlign w:val="bottom"/>
            <w:hideMark/>
          </w:tcPr>
          <w:p w:rsidR="00D277B8" w:rsidRDefault="00D277B8">
            <w:pPr>
              <w:jc w:val="center"/>
              <w:rPr>
                <w:rFonts w:ascii="Arial" w:hAnsi="Arial" w:cs="Arial"/>
                <w:b/>
                <w:bCs/>
                <w:color w:val="000000"/>
                <w:sz w:val="20"/>
                <w:szCs w:val="20"/>
              </w:rPr>
            </w:pPr>
            <w:r>
              <w:rPr>
                <w:rFonts w:ascii="Arial" w:hAnsi="Arial" w:cs="Arial"/>
                <w:b/>
                <w:bCs/>
                <w:color w:val="000000"/>
                <w:sz w:val="20"/>
                <w:szCs w:val="20"/>
              </w:rPr>
              <w:t>dic-14</w:t>
            </w:r>
          </w:p>
        </w:tc>
      </w:tr>
      <w:tr w:rsidR="00D277B8" w:rsidTr="00D90389">
        <w:trPr>
          <w:trHeight w:val="315"/>
        </w:trPr>
        <w:tc>
          <w:tcPr>
            <w:tcW w:w="5369" w:type="dxa"/>
            <w:tcBorders>
              <w:top w:val="nil"/>
              <w:left w:val="double" w:sz="6" w:space="0" w:color="auto"/>
              <w:bottom w:val="nil"/>
              <w:right w:val="double" w:sz="6" w:space="0" w:color="auto"/>
            </w:tcBorders>
            <w:shd w:val="clear" w:color="000000" w:fill="FFFFFF"/>
            <w:noWrap/>
            <w:vAlign w:val="bottom"/>
            <w:hideMark/>
          </w:tcPr>
          <w:p w:rsidR="00D277B8" w:rsidRDefault="00D277B8">
            <w:pPr>
              <w:rPr>
                <w:rFonts w:ascii="Arial" w:hAnsi="Arial" w:cs="Arial"/>
                <w:sz w:val="20"/>
                <w:szCs w:val="20"/>
              </w:rPr>
            </w:pPr>
            <w:r>
              <w:rPr>
                <w:rFonts w:ascii="Arial" w:hAnsi="Arial" w:cs="Arial"/>
                <w:sz w:val="20"/>
                <w:szCs w:val="20"/>
              </w:rPr>
              <w:t>CAPITAL FISCAL</w:t>
            </w:r>
          </w:p>
        </w:tc>
        <w:tc>
          <w:tcPr>
            <w:tcW w:w="1531" w:type="dxa"/>
            <w:tcBorders>
              <w:top w:val="nil"/>
              <w:left w:val="nil"/>
              <w:bottom w:val="nil"/>
              <w:right w:val="double" w:sz="6" w:space="0" w:color="auto"/>
            </w:tcBorders>
            <w:shd w:val="clear" w:color="000000" w:fill="FFFFFF"/>
            <w:noWrap/>
            <w:vAlign w:val="bottom"/>
            <w:hideMark/>
          </w:tcPr>
          <w:p w:rsidR="00D277B8" w:rsidRDefault="00D277B8">
            <w:pPr>
              <w:jc w:val="right"/>
              <w:rPr>
                <w:rFonts w:ascii="Arial" w:hAnsi="Arial" w:cs="Arial"/>
                <w:sz w:val="20"/>
                <w:szCs w:val="20"/>
              </w:rPr>
            </w:pPr>
            <w:r>
              <w:rPr>
                <w:rFonts w:ascii="Arial" w:hAnsi="Arial" w:cs="Arial"/>
                <w:sz w:val="20"/>
                <w:szCs w:val="20"/>
              </w:rPr>
              <w:t>15,012,002,012</w:t>
            </w:r>
          </w:p>
        </w:tc>
        <w:tc>
          <w:tcPr>
            <w:tcW w:w="1531" w:type="dxa"/>
            <w:tcBorders>
              <w:top w:val="nil"/>
              <w:left w:val="nil"/>
              <w:bottom w:val="nil"/>
              <w:right w:val="double" w:sz="6" w:space="0" w:color="auto"/>
            </w:tcBorders>
            <w:shd w:val="clear" w:color="000000" w:fill="FFFFFF"/>
            <w:noWrap/>
            <w:vAlign w:val="bottom"/>
            <w:hideMark/>
          </w:tcPr>
          <w:p w:rsidR="00D277B8" w:rsidRDefault="00D277B8">
            <w:pPr>
              <w:jc w:val="right"/>
              <w:rPr>
                <w:rFonts w:ascii="Arial" w:hAnsi="Arial" w:cs="Arial"/>
                <w:sz w:val="20"/>
                <w:szCs w:val="20"/>
              </w:rPr>
            </w:pPr>
            <w:r>
              <w:rPr>
                <w:rFonts w:ascii="Arial" w:hAnsi="Arial" w:cs="Arial"/>
                <w:sz w:val="20"/>
                <w:szCs w:val="20"/>
              </w:rPr>
              <w:t>13,182,037,127</w:t>
            </w:r>
          </w:p>
        </w:tc>
      </w:tr>
      <w:tr w:rsidR="00D277B8" w:rsidTr="00D90389">
        <w:trPr>
          <w:trHeight w:val="300"/>
        </w:trPr>
        <w:tc>
          <w:tcPr>
            <w:tcW w:w="5369" w:type="dxa"/>
            <w:tcBorders>
              <w:top w:val="nil"/>
              <w:left w:val="double" w:sz="6" w:space="0" w:color="auto"/>
              <w:bottom w:val="nil"/>
              <w:right w:val="double" w:sz="6" w:space="0" w:color="auto"/>
            </w:tcBorders>
            <w:shd w:val="clear" w:color="000000" w:fill="FFFFFF"/>
            <w:noWrap/>
            <w:vAlign w:val="bottom"/>
            <w:hideMark/>
          </w:tcPr>
          <w:p w:rsidR="00D277B8" w:rsidRDefault="00D277B8">
            <w:pPr>
              <w:rPr>
                <w:rFonts w:ascii="Arial" w:hAnsi="Arial" w:cs="Arial"/>
                <w:sz w:val="20"/>
                <w:szCs w:val="20"/>
              </w:rPr>
            </w:pPr>
            <w:r>
              <w:rPr>
                <w:rFonts w:ascii="Arial" w:hAnsi="Arial" w:cs="Arial"/>
                <w:sz w:val="20"/>
                <w:szCs w:val="20"/>
              </w:rPr>
              <w:t>RESULTADOS DE EJERCICIOS ANTERIORES</w:t>
            </w:r>
          </w:p>
        </w:tc>
        <w:tc>
          <w:tcPr>
            <w:tcW w:w="1531" w:type="dxa"/>
            <w:tcBorders>
              <w:top w:val="nil"/>
              <w:left w:val="nil"/>
              <w:bottom w:val="nil"/>
              <w:right w:val="double" w:sz="6" w:space="0" w:color="auto"/>
            </w:tcBorders>
            <w:shd w:val="clear" w:color="000000" w:fill="FFFFFF"/>
            <w:noWrap/>
            <w:vAlign w:val="bottom"/>
            <w:hideMark/>
          </w:tcPr>
          <w:p w:rsidR="00D277B8" w:rsidRDefault="00D277B8">
            <w:pPr>
              <w:jc w:val="right"/>
              <w:rPr>
                <w:rFonts w:ascii="Arial" w:hAnsi="Arial" w:cs="Arial"/>
                <w:sz w:val="20"/>
                <w:szCs w:val="20"/>
              </w:rPr>
            </w:pPr>
            <w:r>
              <w:rPr>
                <w:rFonts w:ascii="Arial" w:hAnsi="Arial" w:cs="Arial"/>
                <w:sz w:val="20"/>
                <w:szCs w:val="20"/>
              </w:rPr>
              <w:t>8,665,386,393</w:t>
            </w:r>
          </w:p>
        </w:tc>
        <w:tc>
          <w:tcPr>
            <w:tcW w:w="1531" w:type="dxa"/>
            <w:tcBorders>
              <w:top w:val="nil"/>
              <w:left w:val="nil"/>
              <w:bottom w:val="nil"/>
              <w:right w:val="double" w:sz="6" w:space="0" w:color="auto"/>
            </w:tcBorders>
            <w:shd w:val="clear" w:color="000000" w:fill="FFFFFF"/>
            <w:noWrap/>
            <w:vAlign w:val="bottom"/>
            <w:hideMark/>
          </w:tcPr>
          <w:p w:rsidR="00D277B8" w:rsidRDefault="00D277B8">
            <w:pPr>
              <w:jc w:val="right"/>
              <w:rPr>
                <w:rFonts w:ascii="Arial" w:hAnsi="Arial" w:cs="Arial"/>
                <w:sz w:val="20"/>
                <w:szCs w:val="20"/>
              </w:rPr>
            </w:pPr>
            <w:r>
              <w:rPr>
                <w:rFonts w:ascii="Arial" w:hAnsi="Arial" w:cs="Arial"/>
                <w:sz w:val="20"/>
                <w:szCs w:val="20"/>
              </w:rPr>
              <w:t>6,025,343,626</w:t>
            </w:r>
          </w:p>
        </w:tc>
      </w:tr>
      <w:tr w:rsidR="00D277B8" w:rsidTr="00D90389">
        <w:trPr>
          <w:trHeight w:val="300"/>
        </w:trPr>
        <w:tc>
          <w:tcPr>
            <w:tcW w:w="5369" w:type="dxa"/>
            <w:tcBorders>
              <w:top w:val="nil"/>
              <w:left w:val="double" w:sz="6" w:space="0" w:color="auto"/>
              <w:bottom w:val="nil"/>
              <w:right w:val="double" w:sz="6" w:space="0" w:color="auto"/>
            </w:tcBorders>
            <w:shd w:val="clear" w:color="000000" w:fill="FFFFFF"/>
            <w:noWrap/>
            <w:vAlign w:val="bottom"/>
            <w:hideMark/>
          </w:tcPr>
          <w:p w:rsidR="00D277B8" w:rsidRDefault="00D277B8">
            <w:pPr>
              <w:rPr>
                <w:rFonts w:ascii="Arial" w:hAnsi="Arial" w:cs="Arial"/>
                <w:sz w:val="20"/>
                <w:szCs w:val="20"/>
              </w:rPr>
            </w:pPr>
            <w:r>
              <w:rPr>
                <w:rFonts w:ascii="Arial" w:hAnsi="Arial" w:cs="Arial"/>
                <w:sz w:val="20"/>
                <w:szCs w:val="20"/>
              </w:rPr>
              <w:t>RESULTADOS DEL EJERCICIO</w:t>
            </w:r>
          </w:p>
        </w:tc>
        <w:tc>
          <w:tcPr>
            <w:tcW w:w="1531" w:type="dxa"/>
            <w:tcBorders>
              <w:top w:val="nil"/>
              <w:left w:val="nil"/>
              <w:bottom w:val="nil"/>
              <w:right w:val="double" w:sz="6" w:space="0" w:color="auto"/>
            </w:tcBorders>
            <w:shd w:val="clear" w:color="000000" w:fill="FFFFFF"/>
            <w:noWrap/>
            <w:vAlign w:val="bottom"/>
            <w:hideMark/>
          </w:tcPr>
          <w:p w:rsidR="00D277B8" w:rsidRDefault="00D277B8">
            <w:pPr>
              <w:jc w:val="right"/>
              <w:rPr>
                <w:rFonts w:ascii="Arial" w:hAnsi="Arial" w:cs="Arial"/>
                <w:sz w:val="20"/>
                <w:szCs w:val="20"/>
              </w:rPr>
            </w:pPr>
            <w:r>
              <w:rPr>
                <w:rFonts w:ascii="Arial" w:hAnsi="Arial" w:cs="Arial"/>
                <w:sz w:val="20"/>
                <w:szCs w:val="20"/>
              </w:rPr>
              <w:t>5,812,673,545</w:t>
            </w:r>
          </w:p>
        </w:tc>
        <w:tc>
          <w:tcPr>
            <w:tcW w:w="1531" w:type="dxa"/>
            <w:tcBorders>
              <w:top w:val="nil"/>
              <w:left w:val="nil"/>
              <w:bottom w:val="nil"/>
              <w:right w:val="double" w:sz="6" w:space="0" w:color="auto"/>
            </w:tcBorders>
            <w:shd w:val="clear" w:color="000000" w:fill="FFFFFF"/>
            <w:noWrap/>
            <w:vAlign w:val="bottom"/>
            <w:hideMark/>
          </w:tcPr>
          <w:p w:rsidR="00D277B8" w:rsidRDefault="00D277B8">
            <w:pPr>
              <w:jc w:val="right"/>
              <w:rPr>
                <w:rFonts w:ascii="Arial" w:hAnsi="Arial" w:cs="Arial"/>
                <w:sz w:val="20"/>
                <w:szCs w:val="20"/>
              </w:rPr>
            </w:pPr>
            <w:r>
              <w:rPr>
                <w:rFonts w:ascii="Arial" w:hAnsi="Arial" w:cs="Arial"/>
                <w:sz w:val="20"/>
                <w:szCs w:val="20"/>
              </w:rPr>
              <w:t>2,649,728,868</w:t>
            </w:r>
          </w:p>
        </w:tc>
      </w:tr>
      <w:tr w:rsidR="00D277B8" w:rsidTr="00D90389">
        <w:trPr>
          <w:trHeight w:val="300"/>
        </w:trPr>
        <w:tc>
          <w:tcPr>
            <w:tcW w:w="5369" w:type="dxa"/>
            <w:tcBorders>
              <w:top w:val="nil"/>
              <w:left w:val="double" w:sz="6" w:space="0" w:color="auto"/>
              <w:bottom w:val="nil"/>
              <w:right w:val="double" w:sz="6" w:space="0" w:color="auto"/>
            </w:tcBorders>
            <w:shd w:val="clear" w:color="000000" w:fill="FFFFFF"/>
            <w:noWrap/>
            <w:vAlign w:val="bottom"/>
            <w:hideMark/>
          </w:tcPr>
          <w:p w:rsidR="00D277B8" w:rsidRDefault="00D277B8">
            <w:pPr>
              <w:rPr>
                <w:rFonts w:ascii="Arial" w:hAnsi="Arial" w:cs="Arial"/>
                <w:sz w:val="20"/>
                <w:szCs w:val="20"/>
              </w:rPr>
            </w:pPr>
            <w:r>
              <w:rPr>
                <w:rFonts w:ascii="Arial" w:hAnsi="Arial" w:cs="Arial"/>
                <w:sz w:val="20"/>
                <w:szCs w:val="20"/>
              </w:rPr>
              <w:t>SUPERÁVIT POR DONACIÓN</w:t>
            </w:r>
          </w:p>
        </w:tc>
        <w:tc>
          <w:tcPr>
            <w:tcW w:w="1531" w:type="dxa"/>
            <w:tcBorders>
              <w:top w:val="nil"/>
              <w:left w:val="nil"/>
              <w:bottom w:val="nil"/>
              <w:right w:val="double" w:sz="6" w:space="0" w:color="auto"/>
            </w:tcBorders>
            <w:shd w:val="clear" w:color="000000" w:fill="FFFFFF"/>
            <w:noWrap/>
            <w:vAlign w:val="bottom"/>
            <w:hideMark/>
          </w:tcPr>
          <w:p w:rsidR="00D277B8" w:rsidRDefault="00D277B8">
            <w:pPr>
              <w:jc w:val="right"/>
              <w:rPr>
                <w:rFonts w:ascii="Arial" w:hAnsi="Arial" w:cs="Arial"/>
                <w:sz w:val="20"/>
                <w:szCs w:val="20"/>
              </w:rPr>
            </w:pPr>
            <w:r>
              <w:rPr>
                <w:rFonts w:ascii="Arial" w:hAnsi="Arial" w:cs="Arial"/>
                <w:sz w:val="20"/>
                <w:szCs w:val="20"/>
              </w:rPr>
              <w:t>55,161</w:t>
            </w:r>
          </w:p>
        </w:tc>
        <w:tc>
          <w:tcPr>
            <w:tcW w:w="1531" w:type="dxa"/>
            <w:tcBorders>
              <w:top w:val="nil"/>
              <w:left w:val="nil"/>
              <w:bottom w:val="nil"/>
              <w:right w:val="double" w:sz="6" w:space="0" w:color="auto"/>
            </w:tcBorders>
            <w:shd w:val="clear" w:color="000000" w:fill="FFFFFF"/>
            <w:noWrap/>
            <w:vAlign w:val="bottom"/>
            <w:hideMark/>
          </w:tcPr>
          <w:p w:rsidR="00D277B8" w:rsidRDefault="00D277B8">
            <w:pPr>
              <w:jc w:val="right"/>
              <w:rPr>
                <w:rFonts w:ascii="Arial" w:hAnsi="Arial" w:cs="Arial"/>
                <w:sz w:val="20"/>
                <w:szCs w:val="20"/>
              </w:rPr>
            </w:pPr>
            <w:r>
              <w:rPr>
                <w:rFonts w:ascii="Arial" w:hAnsi="Arial" w:cs="Arial"/>
                <w:sz w:val="20"/>
                <w:szCs w:val="20"/>
              </w:rPr>
              <w:t>55,161</w:t>
            </w:r>
          </w:p>
        </w:tc>
      </w:tr>
      <w:tr w:rsidR="00D277B8" w:rsidTr="00D90389">
        <w:trPr>
          <w:trHeight w:val="300"/>
        </w:trPr>
        <w:tc>
          <w:tcPr>
            <w:tcW w:w="5369" w:type="dxa"/>
            <w:tcBorders>
              <w:top w:val="nil"/>
              <w:left w:val="double" w:sz="6" w:space="0" w:color="auto"/>
              <w:bottom w:val="nil"/>
              <w:right w:val="double" w:sz="6" w:space="0" w:color="auto"/>
            </w:tcBorders>
            <w:shd w:val="clear" w:color="000000" w:fill="FFFFFF"/>
            <w:noWrap/>
            <w:vAlign w:val="bottom"/>
            <w:hideMark/>
          </w:tcPr>
          <w:p w:rsidR="00D277B8" w:rsidRDefault="00D277B8">
            <w:pPr>
              <w:rPr>
                <w:rFonts w:ascii="Arial" w:hAnsi="Arial" w:cs="Arial"/>
                <w:sz w:val="20"/>
                <w:szCs w:val="20"/>
              </w:rPr>
            </w:pPr>
            <w:r>
              <w:rPr>
                <w:rFonts w:ascii="Arial" w:hAnsi="Arial" w:cs="Arial"/>
                <w:sz w:val="20"/>
                <w:szCs w:val="20"/>
              </w:rPr>
              <w:t>SUPERÁVIT POR VALORIZACIÓN</w:t>
            </w:r>
          </w:p>
        </w:tc>
        <w:tc>
          <w:tcPr>
            <w:tcW w:w="1531" w:type="dxa"/>
            <w:tcBorders>
              <w:top w:val="nil"/>
              <w:left w:val="nil"/>
              <w:bottom w:val="nil"/>
              <w:right w:val="double" w:sz="6" w:space="0" w:color="auto"/>
            </w:tcBorders>
            <w:shd w:val="clear" w:color="000000" w:fill="FFFFFF"/>
            <w:noWrap/>
            <w:vAlign w:val="bottom"/>
            <w:hideMark/>
          </w:tcPr>
          <w:p w:rsidR="00D277B8" w:rsidRDefault="00D277B8">
            <w:pPr>
              <w:jc w:val="right"/>
              <w:rPr>
                <w:rFonts w:ascii="Arial" w:hAnsi="Arial" w:cs="Arial"/>
                <w:sz w:val="20"/>
                <w:szCs w:val="20"/>
              </w:rPr>
            </w:pPr>
            <w:r>
              <w:rPr>
                <w:rFonts w:ascii="Arial" w:hAnsi="Arial" w:cs="Arial"/>
                <w:sz w:val="20"/>
                <w:szCs w:val="20"/>
              </w:rPr>
              <w:t>16,000</w:t>
            </w:r>
          </w:p>
        </w:tc>
        <w:tc>
          <w:tcPr>
            <w:tcW w:w="1531" w:type="dxa"/>
            <w:tcBorders>
              <w:top w:val="nil"/>
              <w:left w:val="nil"/>
              <w:bottom w:val="nil"/>
              <w:right w:val="double" w:sz="6" w:space="0" w:color="auto"/>
            </w:tcBorders>
            <w:shd w:val="clear" w:color="000000" w:fill="FFFFFF"/>
            <w:noWrap/>
            <w:vAlign w:val="bottom"/>
            <w:hideMark/>
          </w:tcPr>
          <w:p w:rsidR="00D277B8" w:rsidRDefault="00D277B8">
            <w:pPr>
              <w:jc w:val="right"/>
              <w:rPr>
                <w:rFonts w:ascii="Arial" w:hAnsi="Arial" w:cs="Arial"/>
                <w:sz w:val="20"/>
                <w:szCs w:val="20"/>
              </w:rPr>
            </w:pPr>
            <w:r>
              <w:rPr>
                <w:rFonts w:ascii="Arial" w:hAnsi="Arial" w:cs="Arial"/>
                <w:sz w:val="20"/>
                <w:szCs w:val="20"/>
              </w:rPr>
              <w:t>16,000</w:t>
            </w:r>
          </w:p>
        </w:tc>
      </w:tr>
      <w:tr w:rsidR="00D277B8" w:rsidTr="00D90389">
        <w:trPr>
          <w:trHeight w:val="300"/>
        </w:trPr>
        <w:tc>
          <w:tcPr>
            <w:tcW w:w="5369" w:type="dxa"/>
            <w:tcBorders>
              <w:top w:val="nil"/>
              <w:left w:val="double" w:sz="6" w:space="0" w:color="auto"/>
              <w:bottom w:val="nil"/>
              <w:right w:val="double" w:sz="6" w:space="0" w:color="auto"/>
            </w:tcBorders>
            <w:shd w:val="clear" w:color="000000" w:fill="FFFFFF"/>
            <w:noWrap/>
            <w:vAlign w:val="bottom"/>
            <w:hideMark/>
          </w:tcPr>
          <w:p w:rsidR="00D277B8" w:rsidRDefault="00D277B8">
            <w:pPr>
              <w:rPr>
                <w:rFonts w:ascii="Arial" w:hAnsi="Arial" w:cs="Arial"/>
                <w:sz w:val="20"/>
                <w:szCs w:val="20"/>
              </w:rPr>
            </w:pPr>
            <w:r>
              <w:rPr>
                <w:rFonts w:ascii="Arial" w:hAnsi="Arial" w:cs="Arial"/>
                <w:sz w:val="20"/>
                <w:szCs w:val="20"/>
              </w:rPr>
              <w:lastRenderedPageBreak/>
              <w:t>PATRIMONIO INSTITUCIONAL INCORPORADO</w:t>
            </w:r>
          </w:p>
        </w:tc>
        <w:tc>
          <w:tcPr>
            <w:tcW w:w="1531" w:type="dxa"/>
            <w:tcBorders>
              <w:top w:val="nil"/>
              <w:left w:val="nil"/>
              <w:bottom w:val="nil"/>
              <w:right w:val="double" w:sz="6" w:space="0" w:color="auto"/>
            </w:tcBorders>
            <w:shd w:val="clear" w:color="000000" w:fill="FFFFFF"/>
            <w:noWrap/>
            <w:vAlign w:val="bottom"/>
            <w:hideMark/>
          </w:tcPr>
          <w:p w:rsidR="00D277B8" w:rsidRDefault="00D277B8">
            <w:pPr>
              <w:jc w:val="right"/>
              <w:rPr>
                <w:rFonts w:ascii="Arial" w:hAnsi="Arial" w:cs="Arial"/>
                <w:sz w:val="20"/>
                <w:szCs w:val="20"/>
              </w:rPr>
            </w:pPr>
            <w:r>
              <w:rPr>
                <w:rFonts w:ascii="Arial" w:hAnsi="Arial" w:cs="Arial"/>
                <w:sz w:val="20"/>
                <w:szCs w:val="20"/>
              </w:rPr>
              <w:t>2,982,630,817</w:t>
            </w:r>
          </w:p>
        </w:tc>
        <w:tc>
          <w:tcPr>
            <w:tcW w:w="1531" w:type="dxa"/>
            <w:tcBorders>
              <w:top w:val="nil"/>
              <w:left w:val="nil"/>
              <w:bottom w:val="nil"/>
              <w:right w:val="double" w:sz="6" w:space="0" w:color="auto"/>
            </w:tcBorders>
            <w:shd w:val="clear" w:color="000000" w:fill="FFFFFF"/>
            <w:noWrap/>
            <w:vAlign w:val="bottom"/>
            <w:hideMark/>
          </w:tcPr>
          <w:p w:rsidR="00D277B8" w:rsidRDefault="00D277B8">
            <w:pPr>
              <w:jc w:val="right"/>
              <w:rPr>
                <w:rFonts w:ascii="Arial" w:hAnsi="Arial" w:cs="Arial"/>
                <w:sz w:val="20"/>
                <w:szCs w:val="20"/>
              </w:rPr>
            </w:pPr>
            <w:r>
              <w:rPr>
                <w:rFonts w:ascii="Arial" w:hAnsi="Arial" w:cs="Arial"/>
                <w:sz w:val="20"/>
                <w:szCs w:val="20"/>
              </w:rPr>
              <w:t>1,821,566,738</w:t>
            </w:r>
          </w:p>
        </w:tc>
      </w:tr>
      <w:tr w:rsidR="00D277B8" w:rsidTr="00D90389">
        <w:trPr>
          <w:trHeight w:val="315"/>
        </w:trPr>
        <w:tc>
          <w:tcPr>
            <w:tcW w:w="5369" w:type="dxa"/>
            <w:tcBorders>
              <w:top w:val="nil"/>
              <w:left w:val="double" w:sz="6" w:space="0" w:color="auto"/>
              <w:bottom w:val="double" w:sz="6" w:space="0" w:color="auto"/>
              <w:right w:val="double" w:sz="6" w:space="0" w:color="auto"/>
            </w:tcBorders>
            <w:shd w:val="clear" w:color="000000" w:fill="FFFFFF"/>
            <w:noWrap/>
            <w:vAlign w:val="bottom"/>
            <w:hideMark/>
          </w:tcPr>
          <w:p w:rsidR="00D277B8" w:rsidRDefault="00D277B8">
            <w:pPr>
              <w:rPr>
                <w:rFonts w:ascii="Arial" w:hAnsi="Arial" w:cs="Arial"/>
                <w:sz w:val="20"/>
                <w:szCs w:val="20"/>
              </w:rPr>
            </w:pPr>
            <w:r>
              <w:rPr>
                <w:rFonts w:ascii="Arial" w:hAnsi="Arial" w:cs="Arial"/>
                <w:sz w:val="20"/>
                <w:szCs w:val="20"/>
              </w:rPr>
              <w:t>PROVISIONES, DEPRECIACIONES Y AMORTIZACIONES</w:t>
            </w:r>
          </w:p>
        </w:tc>
        <w:tc>
          <w:tcPr>
            <w:tcW w:w="1531" w:type="dxa"/>
            <w:tcBorders>
              <w:top w:val="nil"/>
              <w:left w:val="nil"/>
              <w:bottom w:val="double" w:sz="6" w:space="0" w:color="auto"/>
              <w:right w:val="double" w:sz="6" w:space="0" w:color="auto"/>
            </w:tcBorders>
            <w:shd w:val="clear" w:color="000000" w:fill="FFFFFF"/>
            <w:noWrap/>
            <w:vAlign w:val="bottom"/>
            <w:hideMark/>
          </w:tcPr>
          <w:p w:rsidR="00D277B8" w:rsidRDefault="00D277B8">
            <w:pPr>
              <w:jc w:val="right"/>
              <w:rPr>
                <w:rFonts w:ascii="Arial" w:hAnsi="Arial" w:cs="Arial"/>
                <w:sz w:val="20"/>
                <w:szCs w:val="20"/>
              </w:rPr>
            </w:pPr>
            <w:r>
              <w:rPr>
                <w:rFonts w:ascii="Arial" w:hAnsi="Arial" w:cs="Arial"/>
                <w:sz w:val="20"/>
                <w:szCs w:val="20"/>
              </w:rPr>
              <w:t>-1,827,834</w:t>
            </w:r>
          </w:p>
        </w:tc>
        <w:tc>
          <w:tcPr>
            <w:tcW w:w="1531" w:type="dxa"/>
            <w:tcBorders>
              <w:top w:val="nil"/>
              <w:left w:val="nil"/>
              <w:bottom w:val="double" w:sz="6" w:space="0" w:color="auto"/>
              <w:right w:val="double" w:sz="6" w:space="0" w:color="auto"/>
            </w:tcBorders>
            <w:shd w:val="clear" w:color="000000" w:fill="FFFFFF"/>
            <w:noWrap/>
            <w:vAlign w:val="bottom"/>
            <w:hideMark/>
          </w:tcPr>
          <w:p w:rsidR="00D277B8" w:rsidRDefault="00D277B8">
            <w:pPr>
              <w:jc w:val="right"/>
              <w:rPr>
                <w:rFonts w:ascii="Arial" w:hAnsi="Arial" w:cs="Arial"/>
                <w:sz w:val="20"/>
                <w:szCs w:val="20"/>
              </w:rPr>
            </w:pPr>
            <w:r>
              <w:rPr>
                <w:rFonts w:ascii="Arial" w:hAnsi="Arial" w:cs="Arial"/>
                <w:sz w:val="20"/>
                <w:szCs w:val="20"/>
              </w:rPr>
              <w:t>-1,287,953</w:t>
            </w:r>
          </w:p>
        </w:tc>
      </w:tr>
      <w:tr w:rsidR="00D277B8" w:rsidTr="00D90389">
        <w:trPr>
          <w:trHeight w:val="330"/>
        </w:trPr>
        <w:tc>
          <w:tcPr>
            <w:tcW w:w="5369" w:type="dxa"/>
            <w:tcBorders>
              <w:top w:val="nil"/>
              <w:left w:val="double" w:sz="6" w:space="0" w:color="auto"/>
              <w:bottom w:val="double" w:sz="6" w:space="0" w:color="auto"/>
              <w:right w:val="double" w:sz="6" w:space="0" w:color="auto"/>
            </w:tcBorders>
            <w:shd w:val="clear" w:color="000000" w:fill="FFFFFF"/>
            <w:vAlign w:val="center"/>
            <w:hideMark/>
          </w:tcPr>
          <w:p w:rsidR="00D277B8" w:rsidRDefault="00D277B8">
            <w:pPr>
              <w:jc w:val="center"/>
              <w:rPr>
                <w:rFonts w:ascii="Arial" w:hAnsi="Arial" w:cs="Arial"/>
                <w:b/>
                <w:bCs/>
                <w:sz w:val="20"/>
                <w:szCs w:val="20"/>
              </w:rPr>
            </w:pPr>
            <w:r>
              <w:rPr>
                <w:rFonts w:ascii="Arial" w:hAnsi="Arial" w:cs="Arial"/>
                <w:b/>
                <w:bCs/>
                <w:sz w:val="20"/>
                <w:szCs w:val="20"/>
              </w:rPr>
              <w:t>TOTAL</w:t>
            </w:r>
          </w:p>
        </w:tc>
        <w:tc>
          <w:tcPr>
            <w:tcW w:w="1531" w:type="dxa"/>
            <w:tcBorders>
              <w:top w:val="nil"/>
              <w:left w:val="nil"/>
              <w:bottom w:val="double" w:sz="6" w:space="0" w:color="auto"/>
              <w:right w:val="double" w:sz="6" w:space="0" w:color="auto"/>
            </w:tcBorders>
            <w:shd w:val="clear" w:color="000000" w:fill="FFFFFF"/>
            <w:noWrap/>
            <w:vAlign w:val="bottom"/>
            <w:hideMark/>
          </w:tcPr>
          <w:p w:rsidR="00D277B8" w:rsidRDefault="00D277B8">
            <w:pPr>
              <w:jc w:val="right"/>
              <w:rPr>
                <w:rFonts w:ascii="Arial" w:hAnsi="Arial" w:cs="Arial"/>
                <w:b/>
                <w:bCs/>
                <w:color w:val="000000"/>
                <w:sz w:val="20"/>
                <w:szCs w:val="20"/>
              </w:rPr>
            </w:pPr>
            <w:r>
              <w:rPr>
                <w:rFonts w:ascii="Arial" w:hAnsi="Arial" w:cs="Arial"/>
                <w:b/>
                <w:bCs/>
                <w:color w:val="000000"/>
                <w:sz w:val="20"/>
                <w:szCs w:val="20"/>
              </w:rPr>
              <w:t>32,470,936,094</w:t>
            </w:r>
          </w:p>
        </w:tc>
        <w:tc>
          <w:tcPr>
            <w:tcW w:w="1531" w:type="dxa"/>
            <w:tcBorders>
              <w:top w:val="nil"/>
              <w:left w:val="nil"/>
              <w:bottom w:val="double" w:sz="6" w:space="0" w:color="auto"/>
              <w:right w:val="double" w:sz="6" w:space="0" w:color="auto"/>
            </w:tcBorders>
            <w:shd w:val="clear" w:color="000000" w:fill="FFFFFF"/>
            <w:noWrap/>
            <w:vAlign w:val="bottom"/>
            <w:hideMark/>
          </w:tcPr>
          <w:p w:rsidR="00D277B8" w:rsidRDefault="00D277B8">
            <w:pPr>
              <w:jc w:val="right"/>
              <w:rPr>
                <w:rFonts w:ascii="Arial" w:hAnsi="Arial" w:cs="Arial"/>
                <w:b/>
                <w:bCs/>
                <w:color w:val="000000"/>
                <w:sz w:val="20"/>
                <w:szCs w:val="20"/>
              </w:rPr>
            </w:pPr>
            <w:r>
              <w:rPr>
                <w:rFonts w:ascii="Arial" w:hAnsi="Arial" w:cs="Arial"/>
                <w:b/>
                <w:bCs/>
                <w:color w:val="000000"/>
                <w:sz w:val="20"/>
                <w:szCs w:val="20"/>
              </w:rPr>
              <w:t>23,677,459,567</w:t>
            </w:r>
          </w:p>
        </w:tc>
      </w:tr>
    </w:tbl>
    <w:p w:rsidR="00D277B8" w:rsidRPr="00F2614D" w:rsidRDefault="00D277B8" w:rsidP="00C35B7C">
      <w:pPr>
        <w:pStyle w:val="Textoindependiente3"/>
        <w:rPr>
          <w:rFonts w:ascii="Arial Narrow" w:hAnsi="Arial Narrow" w:cs="Gisha"/>
          <w:color w:val="auto"/>
          <w:sz w:val="22"/>
          <w:szCs w:val="22"/>
        </w:rPr>
      </w:pPr>
    </w:p>
    <w:p w:rsidR="00C35B7C" w:rsidRPr="0034697E" w:rsidRDefault="00C35B7C" w:rsidP="00C35B7C">
      <w:pPr>
        <w:rPr>
          <w:rFonts w:ascii="Arial Narrow" w:hAnsi="Arial Narrow" w:cs="Gisha"/>
          <w:sz w:val="22"/>
          <w:szCs w:val="22"/>
          <w:lang w:val="es-MX"/>
        </w:rPr>
      </w:pPr>
      <w:r w:rsidRPr="0034697E">
        <w:rPr>
          <w:rFonts w:ascii="Arial Narrow" w:hAnsi="Arial Narrow" w:cs="Gisha"/>
          <w:sz w:val="22"/>
          <w:szCs w:val="22"/>
          <w:lang w:val="es-MX"/>
        </w:rPr>
        <w:t>El patrimonio presenta las siguientes variaciones, durante la vigencia 201</w:t>
      </w:r>
      <w:r w:rsidR="00D277B8">
        <w:rPr>
          <w:rFonts w:ascii="Arial Narrow" w:hAnsi="Arial Narrow" w:cs="Gisha"/>
          <w:sz w:val="22"/>
          <w:szCs w:val="22"/>
          <w:lang w:val="es-MX"/>
        </w:rPr>
        <w:t>5</w:t>
      </w:r>
      <w:r w:rsidRPr="0034697E">
        <w:rPr>
          <w:rFonts w:ascii="Arial Narrow" w:hAnsi="Arial Narrow" w:cs="Gisha"/>
          <w:sz w:val="22"/>
          <w:szCs w:val="22"/>
          <w:lang w:val="es-MX"/>
        </w:rPr>
        <w:t>:</w:t>
      </w:r>
    </w:p>
    <w:p w:rsidR="00C35B7C" w:rsidRPr="00540DF8" w:rsidRDefault="00C35B7C" w:rsidP="00C35B7C">
      <w:pPr>
        <w:pStyle w:val="Ttulo3"/>
        <w:jc w:val="both"/>
        <w:rPr>
          <w:rFonts w:ascii="Arial Narrow" w:hAnsi="Arial Narrow" w:cs="Gisha"/>
          <w:b w:val="0"/>
          <w:bCs w:val="0"/>
          <w:color w:val="auto"/>
          <w:sz w:val="22"/>
          <w:szCs w:val="22"/>
          <w:lang w:val="es-MX"/>
        </w:rPr>
      </w:pPr>
    </w:p>
    <w:p w:rsidR="00C35B7C" w:rsidRPr="00540DF8" w:rsidRDefault="00C35B7C" w:rsidP="00C35B7C">
      <w:pPr>
        <w:pStyle w:val="Ttulo3"/>
        <w:jc w:val="both"/>
        <w:rPr>
          <w:rFonts w:ascii="Arial Narrow" w:hAnsi="Arial Narrow" w:cs="Gisha"/>
          <w:color w:val="auto"/>
          <w:sz w:val="22"/>
          <w:szCs w:val="22"/>
          <w:lang w:val="es-MX"/>
        </w:rPr>
      </w:pPr>
      <w:r w:rsidRPr="00540DF8">
        <w:rPr>
          <w:rFonts w:ascii="Arial Narrow" w:hAnsi="Arial Narrow" w:cs="Gisha"/>
          <w:color w:val="auto"/>
          <w:sz w:val="22"/>
          <w:szCs w:val="22"/>
          <w:lang w:val="es-MX"/>
        </w:rPr>
        <w:t>Resultado del Ejercicio</w:t>
      </w:r>
    </w:p>
    <w:p w:rsidR="00C35B7C" w:rsidRPr="00540DF8" w:rsidRDefault="00C35B7C" w:rsidP="00C35B7C">
      <w:pPr>
        <w:rPr>
          <w:b/>
          <w:sz w:val="22"/>
          <w:szCs w:val="22"/>
          <w:lang w:val="es-MX"/>
        </w:rPr>
      </w:pPr>
    </w:p>
    <w:p w:rsidR="00C35B7C" w:rsidRDefault="00D277B8" w:rsidP="00C35B7C">
      <w:pPr>
        <w:pStyle w:val="Textoindependiente3"/>
        <w:rPr>
          <w:rFonts w:ascii="Arial Narrow" w:hAnsi="Arial Narrow" w:cs="Gisha"/>
          <w:color w:val="auto"/>
          <w:sz w:val="22"/>
          <w:szCs w:val="22"/>
          <w:lang w:val="es-MX"/>
        </w:rPr>
      </w:pPr>
      <w:r w:rsidRPr="00D277B8">
        <w:rPr>
          <w:rFonts w:ascii="Arial Narrow" w:hAnsi="Arial Narrow" w:cs="Gisha"/>
          <w:color w:val="auto"/>
          <w:sz w:val="22"/>
          <w:szCs w:val="22"/>
          <w:lang w:val="es-MX"/>
        </w:rPr>
        <w:t>En esta cuenta se presenta el resultado obtenido por la Agencia durante la vigencia de 2015 como consecuencia de las operaciones realizadas durante el periodo comprendido entre el 1 de enero al 31 de diciembre  por valor de $ 5.812.673.545 miles.</w:t>
      </w:r>
    </w:p>
    <w:p w:rsidR="00D277B8" w:rsidRPr="00E43D05" w:rsidRDefault="00D277B8" w:rsidP="00C35B7C">
      <w:pPr>
        <w:pStyle w:val="Textoindependiente3"/>
        <w:rPr>
          <w:rFonts w:ascii="Arial Narrow" w:hAnsi="Arial Narrow" w:cs="Gisha"/>
          <w:b/>
          <w:color w:val="auto"/>
          <w:sz w:val="22"/>
          <w:szCs w:val="22"/>
          <w:highlight w:val="yellow"/>
          <w:lang w:val="es-ES_tradnl"/>
        </w:rPr>
      </w:pPr>
    </w:p>
    <w:p w:rsidR="00C35B7C" w:rsidRPr="00AB3E02" w:rsidRDefault="00C35B7C" w:rsidP="00C35B7C">
      <w:pPr>
        <w:pStyle w:val="Textoindependiente3"/>
        <w:rPr>
          <w:rFonts w:ascii="Arial Narrow" w:hAnsi="Arial Narrow" w:cs="Gisha"/>
          <w:b/>
          <w:color w:val="auto"/>
          <w:sz w:val="22"/>
          <w:szCs w:val="22"/>
          <w:lang w:val="es-ES_tradnl"/>
        </w:rPr>
      </w:pPr>
      <w:r w:rsidRPr="00AB3E02">
        <w:rPr>
          <w:rFonts w:ascii="Arial Narrow" w:hAnsi="Arial Narrow" w:cs="Gisha"/>
          <w:b/>
          <w:color w:val="auto"/>
          <w:sz w:val="22"/>
          <w:szCs w:val="22"/>
          <w:lang w:val="es-ES_tradnl"/>
        </w:rPr>
        <w:t>Patrimonio Institucional Incorporado</w:t>
      </w:r>
    </w:p>
    <w:p w:rsidR="00C35B7C" w:rsidRPr="00E43D05" w:rsidRDefault="00C35B7C" w:rsidP="00C35B7C">
      <w:pPr>
        <w:pStyle w:val="Textoindependiente3"/>
        <w:rPr>
          <w:rFonts w:ascii="Arial Narrow" w:hAnsi="Arial Narrow" w:cs="Gisha"/>
          <w:color w:val="auto"/>
          <w:sz w:val="22"/>
          <w:szCs w:val="22"/>
          <w:highlight w:val="yellow"/>
          <w:lang w:val="es-ES_tradnl"/>
        </w:rPr>
      </w:pPr>
    </w:p>
    <w:p w:rsidR="00C35B7C" w:rsidRPr="00E43D05" w:rsidRDefault="00D277B8" w:rsidP="00C35B7C">
      <w:pPr>
        <w:jc w:val="both"/>
        <w:rPr>
          <w:rFonts w:ascii="Arial Narrow" w:hAnsi="Arial Narrow" w:cs="Gisha"/>
          <w:sz w:val="22"/>
          <w:szCs w:val="22"/>
          <w:highlight w:val="yellow"/>
          <w:lang w:val="es-ES_tradnl"/>
        </w:rPr>
      </w:pPr>
      <w:r w:rsidRPr="00D277B8">
        <w:rPr>
          <w:rFonts w:ascii="Arial Narrow" w:hAnsi="Arial Narrow" w:cs="Gisha"/>
          <w:sz w:val="22"/>
          <w:szCs w:val="22"/>
          <w:lang w:val="es-ES_tradnl"/>
        </w:rPr>
        <w:t>Representa los valores reportados por los concesionarios e interventorías en los formatos GCSP-F 008, GCSP-F 010, GCSP-F-011, GCSP-F-051; Inversión capital privado modo carretero, férreo, portuario y aeroportuario respectivamente,  producto de la actualización a diciembre 31 de 2015 por valor total de $2.982.630.817 miles, en las concesiones gestionadas por INVIAS y AEROCIVIL.</w:t>
      </w:r>
    </w:p>
    <w:p w:rsidR="006C7F4C" w:rsidRDefault="006C7F4C" w:rsidP="00C35B7C">
      <w:pPr>
        <w:pStyle w:val="Textoindependiente3"/>
        <w:rPr>
          <w:rFonts w:ascii="Arial Narrow" w:hAnsi="Arial Narrow" w:cs="Gisha"/>
          <w:b/>
          <w:color w:val="auto"/>
          <w:sz w:val="22"/>
          <w:szCs w:val="22"/>
          <w:lang w:val="es-ES_tradnl"/>
        </w:rPr>
      </w:pPr>
    </w:p>
    <w:p w:rsidR="00C35B7C" w:rsidRPr="00594AF3" w:rsidRDefault="00C35B7C" w:rsidP="00C35B7C">
      <w:pPr>
        <w:pStyle w:val="Textoindependiente3"/>
        <w:rPr>
          <w:rFonts w:ascii="Arial Narrow" w:hAnsi="Arial Narrow" w:cs="Gisha"/>
          <w:b/>
          <w:color w:val="auto"/>
          <w:sz w:val="22"/>
          <w:szCs w:val="22"/>
          <w:lang w:val="es-ES_tradnl"/>
        </w:rPr>
      </w:pPr>
      <w:r w:rsidRPr="00594AF3">
        <w:rPr>
          <w:rFonts w:ascii="Arial Narrow" w:hAnsi="Arial Narrow" w:cs="Gisha"/>
          <w:b/>
          <w:color w:val="auto"/>
          <w:sz w:val="22"/>
          <w:szCs w:val="22"/>
          <w:lang w:val="es-ES_tradnl"/>
        </w:rPr>
        <w:t>Provisiones, Depreciaciones y Amortizaciones</w:t>
      </w:r>
    </w:p>
    <w:p w:rsidR="00C35B7C" w:rsidRPr="00E43D05" w:rsidRDefault="00C35B7C" w:rsidP="00C35B7C">
      <w:pPr>
        <w:pStyle w:val="Textoindependiente3"/>
        <w:rPr>
          <w:rFonts w:ascii="Arial Narrow" w:hAnsi="Arial Narrow" w:cs="Gisha"/>
          <w:color w:val="auto"/>
          <w:sz w:val="22"/>
          <w:szCs w:val="22"/>
          <w:highlight w:val="yellow"/>
          <w:lang w:val="es-ES_tradnl"/>
        </w:rPr>
      </w:pPr>
    </w:p>
    <w:p w:rsidR="00C35B7C" w:rsidRPr="00594AF3" w:rsidRDefault="00C35B7C" w:rsidP="00C35B7C">
      <w:pPr>
        <w:pStyle w:val="Textoindependiente3"/>
        <w:rPr>
          <w:rFonts w:ascii="Arial Narrow" w:hAnsi="Arial Narrow" w:cs="Gisha"/>
          <w:color w:val="auto"/>
          <w:sz w:val="22"/>
          <w:szCs w:val="22"/>
          <w:lang w:val="es-ES_tradnl"/>
        </w:rPr>
      </w:pPr>
      <w:r w:rsidRPr="00594AF3">
        <w:rPr>
          <w:rFonts w:ascii="Arial Narrow" w:hAnsi="Arial Narrow" w:cs="Gisha"/>
          <w:color w:val="auto"/>
          <w:sz w:val="22"/>
          <w:szCs w:val="22"/>
          <w:lang w:val="es-ES_tradnl"/>
        </w:rPr>
        <w:t xml:space="preserve">Esta cuenta presenta disminución en el patrimonio por valor de -$ </w:t>
      </w:r>
      <w:r>
        <w:rPr>
          <w:rFonts w:ascii="Arial Narrow" w:hAnsi="Arial Narrow" w:cs="Gisha"/>
          <w:color w:val="auto"/>
          <w:sz w:val="22"/>
          <w:szCs w:val="22"/>
          <w:lang w:val="es-ES_tradnl"/>
        </w:rPr>
        <w:t>1.</w:t>
      </w:r>
      <w:r w:rsidR="00D277B8">
        <w:rPr>
          <w:rFonts w:ascii="Arial Narrow" w:hAnsi="Arial Narrow" w:cs="Gisha"/>
          <w:color w:val="auto"/>
          <w:sz w:val="22"/>
          <w:szCs w:val="22"/>
          <w:lang w:val="es-ES_tradnl"/>
        </w:rPr>
        <w:t>827.834</w:t>
      </w:r>
      <w:r w:rsidRPr="00594AF3">
        <w:rPr>
          <w:rFonts w:ascii="Arial Narrow" w:hAnsi="Arial Narrow" w:cs="Gisha"/>
          <w:color w:val="auto"/>
          <w:sz w:val="22"/>
          <w:szCs w:val="22"/>
          <w:lang w:val="es-ES_tradnl"/>
        </w:rPr>
        <w:t xml:space="preserve"> Miles, por su dinámica es de naturaleza débito y refleja la provisión para propiedad planta y equipo, producto de la actualización de los bienes muebles de la Entidad, la depreciación de la Propiedad Planta y Equipo, y la amortización de los intangibles.</w:t>
      </w:r>
    </w:p>
    <w:p w:rsidR="00171722" w:rsidRDefault="00171722" w:rsidP="003F1473">
      <w:pPr>
        <w:pStyle w:val="Textoindependiente3"/>
        <w:rPr>
          <w:rFonts w:ascii="Arial Narrow" w:hAnsi="Arial Narrow" w:cs="Gisha"/>
          <w:b/>
          <w:color w:val="auto"/>
          <w:sz w:val="22"/>
          <w:szCs w:val="22"/>
        </w:rPr>
      </w:pPr>
    </w:p>
    <w:p w:rsidR="003F1473" w:rsidRPr="00603355" w:rsidRDefault="003F1473" w:rsidP="003F1473">
      <w:pPr>
        <w:pStyle w:val="Textoindependiente3"/>
        <w:rPr>
          <w:rFonts w:ascii="Arial Narrow" w:hAnsi="Arial Narrow" w:cs="Gisha"/>
          <w:b/>
          <w:color w:val="auto"/>
          <w:sz w:val="22"/>
          <w:szCs w:val="22"/>
        </w:rPr>
      </w:pPr>
      <w:r w:rsidRPr="00603355">
        <w:rPr>
          <w:rFonts w:ascii="Arial Narrow" w:hAnsi="Arial Narrow" w:cs="Gisha"/>
          <w:b/>
          <w:color w:val="auto"/>
          <w:sz w:val="22"/>
          <w:szCs w:val="22"/>
        </w:rPr>
        <w:t>NOTA 1</w:t>
      </w:r>
      <w:r>
        <w:rPr>
          <w:rFonts w:ascii="Arial Narrow" w:hAnsi="Arial Narrow" w:cs="Gisha"/>
          <w:b/>
          <w:color w:val="auto"/>
          <w:sz w:val="22"/>
          <w:szCs w:val="22"/>
        </w:rPr>
        <w:t>2</w:t>
      </w:r>
      <w:r w:rsidRPr="00603355">
        <w:rPr>
          <w:rFonts w:ascii="Arial Narrow" w:hAnsi="Arial Narrow" w:cs="Gisha"/>
          <w:b/>
          <w:color w:val="auto"/>
          <w:sz w:val="22"/>
          <w:szCs w:val="22"/>
        </w:rPr>
        <w:t>.   INGRESOS.</w:t>
      </w:r>
    </w:p>
    <w:p w:rsidR="003F1473" w:rsidRPr="00460393" w:rsidRDefault="003F1473" w:rsidP="003F1473">
      <w:pPr>
        <w:jc w:val="both"/>
        <w:rPr>
          <w:rFonts w:ascii="Arial Narrow" w:hAnsi="Arial Narrow" w:cs="Gisha"/>
          <w:sz w:val="22"/>
          <w:szCs w:val="22"/>
        </w:rPr>
      </w:pPr>
    </w:p>
    <w:p w:rsidR="003F1473" w:rsidRPr="00460393" w:rsidRDefault="003F1473" w:rsidP="003F1473">
      <w:pPr>
        <w:jc w:val="both"/>
        <w:rPr>
          <w:rFonts w:ascii="Arial Narrow" w:hAnsi="Arial Narrow" w:cs="Gisha"/>
          <w:sz w:val="22"/>
          <w:szCs w:val="22"/>
        </w:rPr>
      </w:pPr>
      <w:r>
        <w:rPr>
          <w:rFonts w:ascii="Arial Narrow" w:hAnsi="Arial Narrow" w:cs="Gisha"/>
          <w:sz w:val="22"/>
          <w:szCs w:val="22"/>
        </w:rPr>
        <w:t xml:space="preserve">A 31 de diciembre de 2015, el valor de  </w:t>
      </w:r>
      <w:r w:rsidRPr="00460393">
        <w:rPr>
          <w:rFonts w:ascii="Arial Narrow" w:hAnsi="Arial Narrow" w:cs="Gisha"/>
          <w:sz w:val="22"/>
          <w:szCs w:val="22"/>
        </w:rPr>
        <w:t>$7.727.213.891 miles</w:t>
      </w:r>
      <w:r>
        <w:rPr>
          <w:rFonts w:ascii="Arial Narrow" w:hAnsi="Arial Narrow" w:cs="Gisha"/>
          <w:sz w:val="22"/>
          <w:szCs w:val="22"/>
        </w:rPr>
        <w:t xml:space="preserve"> corresponden a </w:t>
      </w:r>
      <w:r w:rsidRPr="00460393">
        <w:rPr>
          <w:rFonts w:ascii="Arial Narrow" w:hAnsi="Arial Narrow" w:cs="Gisha"/>
          <w:sz w:val="22"/>
          <w:szCs w:val="22"/>
        </w:rPr>
        <w:t xml:space="preserve">los recursos recibidos por la Agencia, a través de los </w:t>
      </w:r>
      <w:r>
        <w:rPr>
          <w:rFonts w:ascii="Arial Narrow" w:hAnsi="Arial Narrow" w:cs="Gisha"/>
          <w:sz w:val="22"/>
          <w:szCs w:val="22"/>
        </w:rPr>
        <w:t xml:space="preserve">recursos </w:t>
      </w:r>
      <w:r w:rsidRPr="00460393">
        <w:rPr>
          <w:rFonts w:ascii="Arial Narrow" w:hAnsi="Arial Narrow" w:cs="Gisha"/>
          <w:sz w:val="22"/>
          <w:szCs w:val="22"/>
        </w:rPr>
        <w:t xml:space="preserve">propios, los recursos transferidos del Presupuesto General de la Nación, destinados a cumplir su cometido estatal, entre otros, </w:t>
      </w:r>
      <w:r>
        <w:rPr>
          <w:rFonts w:ascii="Arial Narrow" w:hAnsi="Arial Narrow" w:cs="Gisha"/>
          <w:sz w:val="22"/>
          <w:szCs w:val="22"/>
        </w:rPr>
        <w:t>el</w:t>
      </w:r>
      <w:r w:rsidRPr="00460393">
        <w:rPr>
          <w:rFonts w:ascii="Arial Narrow" w:hAnsi="Arial Narrow" w:cs="Gisha"/>
          <w:sz w:val="22"/>
          <w:szCs w:val="22"/>
        </w:rPr>
        <w:t xml:space="preserve"> saldo comparativo (2015 - 2014) está conformado así:</w:t>
      </w:r>
    </w:p>
    <w:p w:rsidR="003F1473" w:rsidRPr="00460393" w:rsidRDefault="003F1473" w:rsidP="003F1473">
      <w:pPr>
        <w:jc w:val="both"/>
        <w:rPr>
          <w:rFonts w:ascii="Arial Narrow" w:hAnsi="Arial Narrow" w:cs="Gisha"/>
          <w:sz w:val="22"/>
          <w:szCs w:val="22"/>
        </w:rPr>
      </w:pPr>
    </w:p>
    <w:p w:rsidR="003F1473" w:rsidRPr="00460393" w:rsidRDefault="003F1473" w:rsidP="003F1473">
      <w:pPr>
        <w:jc w:val="center"/>
        <w:rPr>
          <w:rFonts w:ascii="Arial Narrow" w:hAnsi="Arial Narrow" w:cs="Gisha"/>
          <w:sz w:val="22"/>
          <w:szCs w:val="22"/>
        </w:rPr>
      </w:pPr>
      <w:r w:rsidRPr="00D52F99">
        <w:rPr>
          <w:noProof/>
          <w:lang w:val="es-CO" w:eastAsia="es-CO"/>
        </w:rPr>
        <w:drawing>
          <wp:inline distT="0" distB="0" distL="0" distR="0">
            <wp:extent cx="4740249" cy="2565416"/>
            <wp:effectExtent l="0" t="0" r="3810" b="635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55575" cy="2573710"/>
                    </a:xfrm>
                    <a:prstGeom prst="rect">
                      <a:avLst/>
                    </a:prstGeom>
                    <a:noFill/>
                    <a:ln>
                      <a:noFill/>
                    </a:ln>
                  </pic:spPr>
                </pic:pic>
              </a:graphicData>
            </a:graphic>
          </wp:inline>
        </w:drawing>
      </w:r>
    </w:p>
    <w:p w:rsidR="003F1473" w:rsidRPr="00460393" w:rsidRDefault="003F1473" w:rsidP="003F1473">
      <w:pPr>
        <w:pStyle w:val="Encabezado"/>
        <w:tabs>
          <w:tab w:val="left" w:pos="708"/>
        </w:tabs>
        <w:jc w:val="both"/>
        <w:rPr>
          <w:rFonts w:ascii="Arial Narrow" w:hAnsi="Arial Narrow" w:cs="Gisha"/>
          <w:color w:val="auto"/>
          <w:sz w:val="22"/>
          <w:szCs w:val="22"/>
        </w:rPr>
      </w:pPr>
      <w:r w:rsidRPr="00460393">
        <w:rPr>
          <w:rFonts w:ascii="Arial Narrow" w:hAnsi="Arial Narrow" w:cs="Gisha"/>
          <w:color w:val="auto"/>
          <w:sz w:val="22"/>
          <w:szCs w:val="22"/>
        </w:rPr>
        <w:lastRenderedPageBreak/>
        <w:t>Durante la vigencia se registraron Ingresos Fiscales – No Tributarios por valor de $5.101.224.209 miles, así:</w:t>
      </w:r>
    </w:p>
    <w:p w:rsidR="003F1473" w:rsidRPr="00460393" w:rsidRDefault="003F1473" w:rsidP="003F1473">
      <w:pPr>
        <w:pStyle w:val="Encabezado"/>
        <w:tabs>
          <w:tab w:val="left" w:pos="708"/>
        </w:tabs>
        <w:jc w:val="both"/>
        <w:rPr>
          <w:rFonts w:ascii="Arial Narrow" w:hAnsi="Arial Narrow" w:cs="Gisha"/>
          <w:color w:val="auto"/>
          <w:sz w:val="22"/>
          <w:szCs w:val="22"/>
        </w:rPr>
      </w:pPr>
    </w:p>
    <w:p w:rsidR="003F1473" w:rsidRPr="00460393" w:rsidRDefault="003F1473" w:rsidP="00853B3A">
      <w:pPr>
        <w:pStyle w:val="Prrafodelista"/>
        <w:numPr>
          <w:ilvl w:val="0"/>
          <w:numId w:val="29"/>
        </w:numPr>
        <w:jc w:val="both"/>
        <w:rPr>
          <w:rFonts w:cs="Gisha"/>
          <w:sz w:val="22"/>
          <w:szCs w:val="22"/>
        </w:rPr>
      </w:pPr>
      <w:r w:rsidRPr="00460393">
        <w:rPr>
          <w:rFonts w:cs="Gisha"/>
          <w:sz w:val="22"/>
          <w:szCs w:val="22"/>
        </w:rPr>
        <w:t>En la subcuenta multas se registra $589.500 correspondiente al reconocimiento de costas procesales a favor de la Agencia en proceso arbitral con Tren de Occidente ordenado por el Tribunal de Arbitramento de la cámara de Comercio de Bogotá.</w:t>
      </w:r>
    </w:p>
    <w:p w:rsidR="003F1473" w:rsidRDefault="003F1473" w:rsidP="003F1473">
      <w:pPr>
        <w:pStyle w:val="Encabezado"/>
        <w:tabs>
          <w:tab w:val="left" w:pos="708"/>
        </w:tabs>
        <w:ind w:left="720"/>
        <w:jc w:val="both"/>
        <w:rPr>
          <w:rFonts w:ascii="Arial Narrow" w:hAnsi="Arial Narrow" w:cs="Gisha"/>
          <w:color w:val="auto"/>
          <w:sz w:val="22"/>
          <w:szCs w:val="22"/>
        </w:rPr>
      </w:pPr>
    </w:p>
    <w:p w:rsidR="003F1473" w:rsidRPr="00460393" w:rsidRDefault="003F1473" w:rsidP="00853B3A">
      <w:pPr>
        <w:pStyle w:val="Encabezado"/>
        <w:numPr>
          <w:ilvl w:val="0"/>
          <w:numId w:val="29"/>
        </w:numPr>
        <w:tabs>
          <w:tab w:val="left" w:pos="708"/>
        </w:tabs>
        <w:jc w:val="both"/>
        <w:rPr>
          <w:rFonts w:ascii="Arial Narrow" w:hAnsi="Arial Narrow" w:cs="Gisha"/>
          <w:color w:val="auto"/>
          <w:sz w:val="22"/>
          <w:szCs w:val="22"/>
        </w:rPr>
      </w:pPr>
      <w:r w:rsidRPr="00460393">
        <w:rPr>
          <w:rFonts w:ascii="Arial Narrow" w:hAnsi="Arial Narrow" w:cs="Gisha"/>
          <w:color w:val="auto"/>
          <w:sz w:val="22"/>
          <w:szCs w:val="22"/>
        </w:rPr>
        <w:t>En la subcuenta peajes se registró el valor recaudado por peajes de la vigencia 2015 correspondiente a las concesiones viales gestionadas por el INVIAS, por valor total de $1.309.917.418  miles</w:t>
      </w:r>
      <w:r>
        <w:rPr>
          <w:rFonts w:ascii="Arial Narrow" w:hAnsi="Arial Narrow" w:cs="Gisha"/>
          <w:color w:val="auto"/>
          <w:sz w:val="22"/>
          <w:szCs w:val="22"/>
        </w:rPr>
        <w:t xml:space="preserve">, valores registrados de acuerdo al formato GCSP-F-009, </w:t>
      </w:r>
      <w:r w:rsidRPr="001A2AC2">
        <w:rPr>
          <w:rFonts w:ascii="Arial Narrow" w:hAnsi="Arial Narrow" w:cs="Gisha"/>
          <w:color w:val="auto"/>
          <w:sz w:val="22"/>
          <w:szCs w:val="22"/>
        </w:rPr>
        <w:t>certificada por los concesionarios</w:t>
      </w:r>
      <w:r w:rsidRPr="00460393">
        <w:rPr>
          <w:rFonts w:ascii="Arial Narrow" w:hAnsi="Arial Narrow" w:cs="Gisha"/>
          <w:color w:val="auto"/>
          <w:sz w:val="22"/>
          <w:szCs w:val="22"/>
        </w:rPr>
        <w:t>. (</w:t>
      </w:r>
      <w:r w:rsidR="000376B6" w:rsidRPr="00B95E48">
        <w:rPr>
          <w:rFonts w:ascii="Arial Narrow" w:hAnsi="Arial Narrow" w:cs="Gisha"/>
          <w:color w:val="auto"/>
          <w:sz w:val="22"/>
          <w:szCs w:val="22"/>
        </w:rPr>
        <w:t>V</w:t>
      </w:r>
      <w:r w:rsidRPr="00B95E48">
        <w:rPr>
          <w:rFonts w:ascii="Arial Narrow" w:hAnsi="Arial Narrow" w:cs="Gisha"/>
          <w:color w:val="auto"/>
          <w:sz w:val="22"/>
          <w:szCs w:val="22"/>
        </w:rPr>
        <w:t>er anexo 8)</w:t>
      </w:r>
      <w:r w:rsidR="000376B6" w:rsidRPr="00B95E48">
        <w:rPr>
          <w:rFonts w:ascii="Arial Narrow" w:hAnsi="Arial Narrow" w:cs="Gisha"/>
          <w:color w:val="auto"/>
          <w:sz w:val="22"/>
          <w:szCs w:val="22"/>
        </w:rPr>
        <w:t>.</w:t>
      </w:r>
    </w:p>
    <w:p w:rsidR="003F1473" w:rsidRPr="00460393" w:rsidRDefault="003F1473" w:rsidP="003F1473">
      <w:pPr>
        <w:pStyle w:val="Encabezado"/>
        <w:tabs>
          <w:tab w:val="left" w:pos="708"/>
        </w:tabs>
        <w:ind w:left="786"/>
        <w:jc w:val="both"/>
        <w:rPr>
          <w:rFonts w:ascii="Arial Narrow" w:hAnsi="Arial Narrow" w:cs="Gisha"/>
          <w:color w:val="auto"/>
          <w:sz w:val="22"/>
          <w:szCs w:val="22"/>
        </w:rPr>
      </w:pPr>
    </w:p>
    <w:p w:rsidR="003F1473" w:rsidRDefault="003F1473" w:rsidP="00853B3A">
      <w:pPr>
        <w:pStyle w:val="Prrafodelista"/>
        <w:numPr>
          <w:ilvl w:val="0"/>
          <w:numId w:val="29"/>
        </w:numPr>
        <w:jc w:val="both"/>
        <w:rPr>
          <w:rFonts w:cs="Gisha"/>
          <w:sz w:val="22"/>
          <w:szCs w:val="22"/>
          <w:lang w:val="es-ES"/>
        </w:rPr>
      </w:pPr>
      <w:r w:rsidRPr="00460393">
        <w:rPr>
          <w:rFonts w:cs="Gisha"/>
          <w:sz w:val="22"/>
          <w:szCs w:val="22"/>
          <w:lang w:val="es-ES"/>
        </w:rPr>
        <w:t>En la subcuenta de Concesiones se registran los recaudos por peajes a 31 de diciembre de 2015 por valor de $3.790.717.291 miles, correspondiente al valor recaudado a diciembre 31 de 2015 de la estaciones de peaje</w:t>
      </w:r>
      <w:r>
        <w:rPr>
          <w:rFonts w:cs="Gisha"/>
          <w:sz w:val="22"/>
          <w:szCs w:val="22"/>
          <w:lang w:val="es-ES"/>
        </w:rPr>
        <w:t xml:space="preserve"> de los Proyectos de Concesión adjudicadas por la Agencia Nacional de Infraestructura, atendiendo lo indicado por la Contaduría General de la Nación,</w:t>
      </w:r>
      <w:r w:rsidR="00CD6D55">
        <w:rPr>
          <w:rFonts w:cs="Gisha"/>
          <w:sz w:val="22"/>
          <w:szCs w:val="22"/>
          <w:lang w:val="es-ES"/>
        </w:rPr>
        <w:t xml:space="preserve"> se estableció el</w:t>
      </w:r>
      <w:r>
        <w:rPr>
          <w:rFonts w:cs="Gisha"/>
          <w:sz w:val="22"/>
          <w:szCs w:val="22"/>
          <w:lang w:val="es-ES"/>
        </w:rPr>
        <w:t xml:space="preserve"> </w:t>
      </w:r>
      <w:r>
        <w:rPr>
          <w:rFonts w:cs="Gisha"/>
          <w:sz w:val="22"/>
          <w:szCs w:val="22"/>
        </w:rPr>
        <w:t>formato GCSP-F-009</w:t>
      </w:r>
      <w:r w:rsidR="00CD6D55">
        <w:rPr>
          <w:rFonts w:cs="Gisha"/>
          <w:sz w:val="22"/>
          <w:szCs w:val="22"/>
        </w:rPr>
        <w:t xml:space="preserve"> para la remisión de la información</w:t>
      </w:r>
      <w:r>
        <w:rPr>
          <w:rFonts w:cs="Gisha"/>
          <w:sz w:val="22"/>
          <w:szCs w:val="22"/>
        </w:rPr>
        <w:t>,</w:t>
      </w:r>
      <w:r w:rsidR="00CD6D55">
        <w:rPr>
          <w:rFonts w:cs="Gisha"/>
          <w:sz w:val="22"/>
          <w:szCs w:val="22"/>
        </w:rPr>
        <w:t xml:space="preserve"> los valores registrados corresponden a </w:t>
      </w:r>
      <w:r>
        <w:rPr>
          <w:rFonts w:cs="Gisha"/>
          <w:sz w:val="22"/>
          <w:szCs w:val="22"/>
        </w:rPr>
        <w:t>las siguientes concesiones</w:t>
      </w:r>
      <w:r w:rsidR="0085338B">
        <w:rPr>
          <w:rFonts w:cs="Gisha"/>
          <w:sz w:val="22"/>
          <w:szCs w:val="22"/>
        </w:rPr>
        <w:t xml:space="preserve"> (Ver anexo 7).</w:t>
      </w:r>
    </w:p>
    <w:p w:rsidR="003F1473" w:rsidRDefault="003F1473" w:rsidP="003F1473">
      <w:pPr>
        <w:pStyle w:val="Prrafodelista"/>
        <w:rPr>
          <w:rFonts w:cs="Gisha"/>
          <w:sz w:val="22"/>
          <w:szCs w:val="22"/>
          <w:lang w:val="es-ES"/>
        </w:rPr>
      </w:pPr>
    </w:p>
    <w:p w:rsidR="003F1473" w:rsidRDefault="003F1473" w:rsidP="003F1473">
      <w:pPr>
        <w:pStyle w:val="Prrafodelista"/>
        <w:ind w:left="1146"/>
        <w:jc w:val="both"/>
        <w:rPr>
          <w:rFonts w:cs="Gisha"/>
          <w:sz w:val="22"/>
          <w:szCs w:val="22"/>
          <w:lang w:val="es-ES"/>
        </w:rPr>
      </w:pPr>
      <w:r w:rsidRPr="00460393">
        <w:rPr>
          <w:rFonts w:cs="Gisha"/>
          <w:sz w:val="22"/>
          <w:szCs w:val="22"/>
          <w:lang w:val="es-ES"/>
        </w:rPr>
        <w:t>1.</w:t>
      </w:r>
      <w:r>
        <w:rPr>
          <w:rFonts w:cs="Gisha"/>
          <w:sz w:val="22"/>
          <w:szCs w:val="22"/>
          <w:lang w:val="es-ES"/>
        </w:rPr>
        <w:t xml:space="preserve"> </w:t>
      </w:r>
      <w:r w:rsidRPr="00460393">
        <w:rPr>
          <w:rFonts w:cs="Gisha"/>
          <w:sz w:val="22"/>
          <w:szCs w:val="22"/>
          <w:lang w:val="es-ES"/>
        </w:rPr>
        <w:t xml:space="preserve">Autopista Bogotá - Girardot, </w:t>
      </w:r>
    </w:p>
    <w:p w:rsidR="003F1473" w:rsidRDefault="003F1473" w:rsidP="003F1473">
      <w:pPr>
        <w:pStyle w:val="Prrafodelista"/>
        <w:ind w:left="1146"/>
        <w:jc w:val="both"/>
        <w:rPr>
          <w:rFonts w:cs="Gisha"/>
          <w:sz w:val="22"/>
          <w:szCs w:val="22"/>
          <w:lang w:val="es-ES"/>
        </w:rPr>
      </w:pPr>
      <w:r w:rsidRPr="00460393">
        <w:rPr>
          <w:rFonts w:cs="Gisha"/>
          <w:sz w:val="22"/>
          <w:szCs w:val="22"/>
          <w:lang w:val="es-ES"/>
        </w:rPr>
        <w:t>2.</w:t>
      </w:r>
      <w:r>
        <w:rPr>
          <w:rFonts w:cs="Gisha"/>
          <w:sz w:val="22"/>
          <w:szCs w:val="22"/>
          <w:lang w:val="es-ES"/>
        </w:rPr>
        <w:t xml:space="preserve"> </w:t>
      </w:r>
      <w:r w:rsidRPr="00460393">
        <w:rPr>
          <w:rFonts w:cs="Gisha"/>
          <w:sz w:val="22"/>
          <w:szCs w:val="22"/>
          <w:lang w:val="es-ES"/>
        </w:rPr>
        <w:t xml:space="preserve">Área Metropolitana de Cúcuta y Norte de Santander, </w:t>
      </w:r>
    </w:p>
    <w:p w:rsidR="003F1473" w:rsidRDefault="003F1473" w:rsidP="003F1473">
      <w:pPr>
        <w:pStyle w:val="Prrafodelista"/>
        <w:ind w:left="1146"/>
        <w:jc w:val="both"/>
        <w:rPr>
          <w:rFonts w:cs="Gisha"/>
          <w:sz w:val="22"/>
          <w:szCs w:val="22"/>
          <w:lang w:val="es-ES"/>
        </w:rPr>
      </w:pPr>
      <w:r w:rsidRPr="00460393">
        <w:rPr>
          <w:rFonts w:cs="Gisha"/>
          <w:sz w:val="22"/>
          <w:szCs w:val="22"/>
          <w:lang w:val="es-ES"/>
        </w:rPr>
        <w:t>3.</w:t>
      </w:r>
      <w:r>
        <w:rPr>
          <w:rFonts w:cs="Gisha"/>
          <w:sz w:val="22"/>
          <w:szCs w:val="22"/>
          <w:lang w:val="es-ES"/>
        </w:rPr>
        <w:t xml:space="preserve"> </w:t>
      </w:r>
      <w:r w:rsidRPr="00460393">
        <w:rPr>
          <w:rFonts w:cs="Gisha"/>
          <w:sz w:val="22"/>
          <w:szCs w:val="22"/>
          <w:lang w:val="es-ES"/>
        </w:rPr>
        <w:t xml:space="preserve">Concesión Vial Córdoba - Sucre, </w:t>
      </w:r>
    </w:p>
    <w:p w:rsidR="003F1473" w:rsidRDefault="003F1473" w:rsidP="003F1473">
      <w:pPr>
        <w:pStyle w:val="Prrafodelista"/>
        <w:ind w:left="1146"/>
        <w:jc w:val="both"/>
        <w:rPr>
          <w:rFonts w:cs="Gisha"/>
          <w:sz w:val="22"/>
          <w:szCs w:val="22"/>
          <w:lang w:val="es-ES"/>
        </w:rPr>
      </w:pPr>
      <w:r w:rsidRPr="00460393">
        <w:rPr>
          <w:rFonts w:cs="Gisha"/>
          <w:sz w:val="22"/>
          <w:szCs w:val="22"/>
          <w:lang w:val="es-ES"/>
        </w:rPr>
        <w:t>4.</w:t>
      </w:r>
      <w:r>
        <w:rPr>
          <w:rFonts w:cs="Gisha"/>
          <w:sz w:val="22"/>
          <w:szCs w:val="22"/>
          <w:lang w:val="es-ES"/>
        </w:rPr>
        <w:t xml:space="preserve"> </w:t>
      </w:r>
      <w:r w:rsidRPr="00460393">
        <w:rPr>
          <w:rFonts w:cs="Gisha"/>
          <w:sz w:val="22"/>
          <w:szCs w:val="22"/>
          <w:lang w:val="es-ES"/>
        </w:rPr>
        <w:t xml:space="preserve">Concesión Vial Ruta Caribe, </w:t>
      </w:r>
    </w:p>
    <w:p w:rsidR="003F1473" w:rsidRDefault="003F1473" w:rsidP="003F1473">
      <w:pPr>
        <w:pStyle w:val="Prrafodelista"/>
        <w:ind w:left="1146"/>
        <w:jc w:val="both"/>
        <w:rPr>
          <w:rFonts w:cs="Gisha"/>
          <w:sz w:val="22"/>
          <w:szCs w:val="22"/>
          <w:lang w:val="es-ES"/>
        </w:rPr>
      </w:pPr>
      <w:r w:rsidRPr="00460393">
        <w:rPr>
          <w:rFonts w:cs="Gisha"/>
          <w:sz w:val="22"/>
          <w:szCs w:val="22"/>
          <w:lang w:val="es-ES"/>
        </w:rPr>
        <w:t>5.</w:t>
      </w:r>
      <w:r>
        <w:rPr>
          <w:rFonts w:cs="Gisha"/>
          <w:sz w:val="22"/>
          <w:szCs w:val="22"/>
          <w:lang w:val="es-ES"/>
        </w:rPr>
        <w:t xml:space="preserve"> </w:t>
      </w:r>
      <w:r w:rsidRPr="00460393">
        <w:rPr>
          <w:rFonts w:cs="Gisha"/>
          <w:sz w:val="22"/>
          <w:szCs w:val="22"/>
          <w:lang w:val="es-ES"/>
        </w:rPr>
        <w:t xml:space="preserve">Concesión Vial Zona Metropolitana de Bucaramanga, </w:t>
      </w:r>
    </w:p>
    <w:p w:rsidR="003F1473" w:rsidRDefault="003F1473" w:rsidP="003F1473">
      <w:pPr>
        <w:pStyle w:val="Prrafodelista"/>
        <w:ind w:left="1146"/>
        <w:jc w:val="both"/>
        <w:rPr>
          <w:rFonts w:cs="Gisha"/>
          <w:sz w:val="22"/>
          <w:szCs w:val="22"/>
          <w:lang w:val="es-ES"/>
        </w:rPr>
      </w:pPr>
      <w:r w:rsidRPr="00460393">
        <w:rPr>
          <w:rFonts w:cs="Gisha"/>
          <w:sz w:val="22"/>
          <w:szCs w:val="22"/>
          <w:lang w:val="es-ES"/>
        </w:rPr>
        <w:t>6.</w:t>
      </w:r>
      <w:r>
        <w:rPr>
          <w:rFonts w:cs="Gisha"/>
          <w:sz w:val="22"/>
          <w:szCs w:val="22"/>
          <w:lang w:val="es-ES"/>
        </w:rPr>
        <w:t xml:space="preserve"> </w:t>
      </w:r>
      <w:r w:rsidRPr="00460393">
        <w:rPr>
          <w:rFonts w:cs="Gisha"/>
          <w:sz w:val="22"/>
          <w:szCs w:val="22"/>
          <w:lang w:val="es-ES"/>
        </w:rPr>
        <w:t xml:space="preserve">Ibagué - Girardot- Cajamarca, </w:t>
      </w:r>
    </w:p>
    <w:p w:rsidR="003F1473" w:rsidRDefault="003F1473" w:rsidP="003F1473">
      <w:pPr>
        <w:pStyle w:val="Prrafodelista"/>
        <w:ind w:left="1146"/>
        <w:jc w:val="both"/>
        <w:rPr>
          <w:rFonts w:cs="Gisha"/>
          <w:sz w:val="22"/>
          <w:szCs w:val="22"/>
          <w:lang w:val="es-ES"/>
        </w:rPr>
      </w:pPr>
      <w:r w:rsidRPr="00460393">
        <w:rPr>
          <w:rFonts w:cs="Gisha"/>
          <w:sz w:val="22"/>
          <w:szCs w:val="22"/>
          <w:lang w:val="es-ES"/>
        </w:rPr>
        <w:t>7.</w:t>
      </w:r>
      <w:r>
        <w:rPr>
          <w:rFonts w:cs="Gisha"/>
          <w:sz w:val="22"/>
          <w:szCs w:val="22"/>
          <w:lang w:val="es-ES"/>
        </w:rPr>
        <w:t xml:space="preserve"> </w:t>
      </w:r>
      <w:r w:rsidRPr="00460393">
        <w:rPr>
          <w:rFonts w:cs="Gisha"/>
          <w:sz w:val="22"/>
          <w:szCs w:val="22"/>
          <w:lang w:val="es-ES"/>
        </w:rPr>
        <w:t xml:space="preserve">Pereira - La Victoria, </w:t>
      </w:r>
    </w:p>
    <w:p w:rsidR="003F1473" w:rsidRDefault="003F1473" w:rsidP="003F1473">
      <w:pPr>
        <w:pStyle w:val="Prrafodelista"/>
        <w:ind w:left="1146"/>
        <w:jc w:val="both"/>
        <w:rPr>
          <w:rFonts w:cs="Gisha"/>
          <w:sz w:val="22"/>
          <w:szCs w:val="22"/>
          <w:lang w:val="es-ES"/>
        </w:rPr>
      </w:pPr>
      <w:r w:rsidRPr="00460393">
        <w:rPr>
          <w:rFonts w:cs="Gisha"/>
          <w:sz w:val="22"/>
          <w:szCs w:val="22"/>
          <w:lang w:val="es-ES"/>
        </w:rPr>
        <w:t>8.</w:t>
      </w:r>
      <w:r>
        <w:rPr>
          <w:rFonts w:cs="Gisha"/>
          <w:sz w:val="22"/>
          <w:szCs w:val="22"/>
          <w:lang w:val="es-ES"/>
        </w:rPr>
        <w:t xml:space="preserve"> </w:t>
      </w:r>
      <w:r w:rsidRPr="00460393">
        <w:rPr>
          <w:rFonts w:cs="Gisha"/>
          <w:sz w:val="22"/>
          <w:szCs w:val="22"/>
          <w:lang w:val="es-ES"/>
        </w:rPr>
        <w:t xml:space="preserve">Ruta del Sol Sector 1, </w:t>
      </w:r>
    </w:p>
    <w:p w:rsidR="003F1473" w:rsidRDefault="003F1473" w:rsidP="003F1473">
      <w:pPr>
        <w:pStyle w:val="Prrafodelista"/>
        <w:ind w:left="1146"/>
        <w:jc w:val="both"/>
        <w:rPr>
          <w:rFonts w:cs="Gisha"/>
          <w:sz w:val="22"/>
          <w:szCs w:val="22"/>
          <w:lang w:val="es-ES"/>
        </w:rPr>
      </w:pPr>
      <w:r w:rsidRPr="00460393">
        <w:rPr>
          <w:rFonts w:cs="Gisha"/>
          <w:sz w:val="22"/>
          <w:szCs w:val="22"/>
          <w:lang w:val="es-ES"/>
        </w:rPr>
        <w:t xml:space="preserve">9. Ruta del Sol Sector 2, </w:t>
      </w:r>
    </w:p>
    <w:p w:rsidR="003F1473" w:rsidRDefault="003F1473" w:rsidP="003F1473">
      <w:pPr>
        <w:pStyle w:val="Prrafodelista"/>
        <w:ind w:left="1146"/>
        <w:jc w:val="both"/>
        <w:rPr>
          <w:rFonts w:cs="Gisha"/>
          <w:sz w:val="22"/>
          <w:szCs w:val="22"/>
          <w:lang w:val="es-ES"/>
        </w:rPr>
      </w:pPr>
      <w:r w:rsidRPr="00460393">
        <w:rPr>
          <w:rFonts w:cs="Gisha"/>
          <w:sz w:val="22"/>
          <w:szCs w:val="22"/>
          <w:lang w:val="es-ES"/>
        </w:rPr>
        <w:t>10.</w:t>
      </w:r>
      <w:r w:rsidR="000376B6">
        <w:rPr>
          <w:rFonts w:cs="Gisha"/>
          <w:sz w:val="22"/>
          <w:szCs w:val="22"/>
          <w:lang w:val="es-ES"/>
        </w:rPr>
        <w:t xml:space="preserve"> </w:t>
      </w:r>
      <w:r w:rsidRPr="00460393">
        <w:rPr>
          <w:rFonts w:cs="Gisha"/>
          <w:sz w:val="22"/>
          <w:szCs w:val="22"/>
          <w:lang w:val="es-ES"/>
        </w:rPr>
        <w:t xml:space="preserve">Ruta del Sol Sector 3, y </w:t>
      </w:r>
    </w:p>
    <w:p w:rsidR="003F1473" w:rsidRDefault="003F1473" w:rsidP="003F1473">
      <w:pPr>
        <w:pStyle w:val="Prrafodelista"/>
        <w:ind w:left="1146"/>
        <w:jc w:val="both"/>
        <w:rPr>
          <w:rFonts w:cs="Gisha"/>
          <w:sz w:val="22"/>
          <w:szCs w:val="22"/>
          <w:lang w:val="es-ES"/>
        </w:rPr>
      </w:pPr>
      <w:r w:rsidRPr="00460393">
        <w:rPr>
          <w:rFonts w:cs="Gisha"/>
          <w:sz w:val="22"/>
          <w:szCs w:val="22"/>
          <w:lang w:val="es-ES"/>
        </w:rPr>
        <w:t>11.</w:t>
      </w:r>
      <w:r w:rsidR="000376B6">
        <w:rPr>
          <w:rFonts w:cs="Gisha"/>
          <w:sz w:val="22"/>
          <w:szCs w:val="22"/>
          <w:lang w:val="es-ES"/>
        </w:rPr>
        <w:t xml:space="preserve"> </w:t>
      </w:r>
      <w:r w:rsidRPr="00460393">
        <w:rPr>
          <w:rFonts w:cs="Gisha"/>
          <w:sz w:val="22"/>
          <w:szCs w:val="22"/>
          <w:lang w:val="es-ES"/>
        </w:rPr>
        <w:t xml:space="preserve">Transversal De Las Américas. </w:t>
      </w:r>
    </w:p>
    <w:p w:rsidR="003F1473" w:rsidRDefault="003F1473" w:rsidP="003F1473">
      <w:pPr>
        <w:pStyle w:val="Prrafodelista"/>
        <w:ind w:left="1146"/>
        <w:jc w:val="both"/>
        <w:rPr>
          <w:rFonts w:cs="Gisha"/>
          <w:sz w:val="22"/>
          <w:szCs w:val="22"/>
          <w:lang w:val="es-ES"/>
        </w:rPr>
      </w:pPr>
    </w:p>
    <w:p w:rsidR="003F1473" w:rsidRDefault="003F1473" w:rsidP="003F1473">
      <w:pPr>
        <w:pStyle w:val="Prrafodelista"/>
        <w:ind w:left="1146"/>
        <w:jc w:val="both"/>
        <w:rPr>
          <w:rFonts w:cs="Gisha"/>
          <w:sz w:val="22"/>
          <w:szCs w:val="22"/>
          <w:lang w:val="es-ES"/>
        </w:rPr>
      </w:pPr>
      <w:r w:rsidRPr="00460393">
        <w:rPr>
          <w:rFonts w:cs="Gisha"/>
          <w:sz w:val="22"/>
          <w:szCs w:val="22"/>
          <w:lang w:val="es-ES"/>
        </w:rPr>
        <w:t xml:space="preserve">Así mismo se registran los recaudos por peajes a 31 de diciembre de 2015, de los Proyectos de Concesión de 4 Generación: </w:t>
      </w:r>
    </w:p>
    <w:p w:rsidR="003F1473" w:rsidRDefault="003F1473" w:rsidP="003F1473">
      <w:pPr>
        <w:pStyle w:val="Prrafodelista"/>
        <w:ind w:left="1146"/>
        <w:jc w:val="both"/>
        <w:rPr>
          <w:rFonts w:cs="Gisha"/>
          <w:sz w:val="22"/>
          <w:szCs w:val="22"/>
          <w:lang w:val="es-ES"/>
        </w:rPr>
      </w:pPr>
    </w:p>
    <w:p w:rsidR="003F1473" w:rsidRDefault="003F1473" w:rsidP="003F1473">
      <w:pPr>
        <w:pStyle w:val="Prrafodelista"/>
        <w:ind w:left="1146"/>
        <w:jc w:val="both"/>
        <w:rPr>
          <w:rFonts w:cs="Gisha"/>
          <w:sz w:val="22"/>
          <w:szCs w:val="22"/>
          <w:lang w:val="es-ES"/>
        </w:rPr>
      </w:pPr>
      <w:r w:rsidRPr="00460393">
        <w:rPr>
          <w:rFonts w:cs="Gisha"/>
          <w:sz w:val="22"/>
          <w:szCs w:val="22"/>
          <w:lang w:val="es-ES"/>
        </w:rPr>
        <w:t xml:space="preserve">1. (4G) Loboguerrero-Buga Contrato 211 del 2013, </w:t>
      </w:r>
    </w:p>
    <w:p w:rsidR="003F1473" w:rsidRDefault="003F1473" w:rsidP="003F1473">
      <w:pPr>
        <w:pStyle w:val="Prrafodelista"/>
        <w:ind w:left="1146"/>
        <w:jc w:val="both"/>
        <w:rPr>
          <w:rFonts w:cs="Gisha"/>
          <w:sz w:val="22"/>
          <w:szCs w:val="22"/>
          <w:lang w:val="es-ES"/>
        </w:rPr>
      </w:pPr>
      <w:r w:rsidRPr="00460393">
        <w:rPr>
          <w:rFonts w:cs="Gisha"/>
          <w:sz w:val="22"/>
          <w:szCs w:val="22"/>
          <w:lang w:val="es-ES"/>
        </w:rPr>
        <w:t xml:space="preserve">2. (4G) Autopista Conexión Pacifico 2. (APP) 006 de 2014, </w:t>
      </w:r>
    </w:p>
    <w:p w:rsidR="003F1473" w:rsidRDefault="003F1473" w:rsidP="003F1473">
      <w:pPr>
        <w:pStyle w:val="Prrafodelista"/>
        <w:ind w:left="1146"/>
        <w:jc w:val="both"/>
        <w:rPr>
          <w:rFonts w:cs="Gisha"/>
          <w:sz w:val="22"/>
          <w:szCs w:val="22"/>
          <w:lang w:val="es-ES"/>
        </w:rPr>
      </w:pPr>
      <w:r w:rsidRPr="00460393">
        <w:rPr>
          <w:rFonts w:cs="Gisha"/>
          <w:sz w:val="22"/>
          <w:szCs w:val="22"/>
          <w:lang w:val="es-ES"/>
        </w:rPr>
        <w:t xml:space="preserve">3 (APP) Autopista Conexión Pacifico 1 Contrato 007 del 2014, </w:t>
      </w:r>
    </w:p>
    <w:p w:rsidR="003F1473" w:rsidRDefault="003F1473" w:rsidP="003F1473">
      <w:pPr>
        <w:pStyle w:val="Prrafodelista"/>
        <w:ind w:left="1146"/>
        <w:jc w:val="both"/>
        <w:rPr>
          <w:rFonts w:cs="Gisha"/>
          <w:sz w:val="22"/>
          <w:szCs w:val="22"/>
          <w:lang w:val="es-ES"/>
        </w:rPr>
      </w:pPr>
      <w:r w:rsidRPr="00460393">
        <w:rPr>
          <w:rFonts w:cs="Gisha"/>
          <w:sz w:val="22"/>
          <w:szCs w:val="22"/>
          <w:lang w:val="es-ES"/>
        </w:rPr>
        <w:t xml:space="preserve">4 (APP) Autopista Conexión Pacifico 3 Contrato 005 de 2014, </w:t>
      </w:r>
    </w:p>
    <w:p w:rsidR="003F1473" w:rsidRDefault="003F1473" w:rsidP="003F1473">
      <w:pPr>
        <w:pStyle w:val="Prrafodelista"/>
        <w:ind w:left="1146"/>
        <w:jc w:val="both"/>
        <w:rPr>
          <w:rFonts w:cs="Gisha"/>
          <w:sz w:val="22"/>
          <w:szCs w:val="22"/>
          <w:lang w:val="es-ES"/>
        </w:rPr>
      </w:pPr>
      <w:r w:rsidRPr="00460393">
        <w:rPr>
          <w:rFonts w:cs="Gisha"/>
          <w:sz w:val="22"/>
          <w:szCs w:val="22"/>
          <w:lang w:val="es-ES"/>
        </w:rPr>
        <w:t xml:space="preserve">5 (APP) Corredor Perimetral del Oriente de Cundinamarca Contrato 002 del 2014, </w:t>
      </w:r>
    </w:p>
    <w:p w:rsidR="003F1473" w:rsidRDefault="003F1473" w:rsidP="003F1473">
      <w:pPr>
        <w:pStyle w:val="Prrafodelista"/>
        <w:ind w:left="1146"/>
        <w:jc w:val="both"/>
        <w:rPr>
          <w:rFonts w:cs="Gisha"/>
          <w:sz w:val="22"/>
          <w:szCs w:val="22"/>
          <w:lang w:val="es-ES"/>
        </w:rPr>
      </w:pPr>
      <w:r w:rsidRPr="00460393">
        <w:rPr>
          <w:rFonts w:cs="Gisha"/>
          <w:sz w:val="22"/>
          <w:szCs w:val="22"/>
          <w:lang w:val="es-ES"/>
        </w:rPr>
        <w:t xml:space="preserve">6 (APP) Meta Contrato 4 de 2015, </w:t>
      </w:r>
    </w:p>
    <w:p w:rsidR="003F1473" w:rsidRDefault="003F1473" w:rsidP="003F1473">
      <w:pPr>
        <w:pStyle w:val="Prrafodelista"/>
        <w:ind w:left="1146"/>
        <w:jc w:val="both"/>
        <w:rPr>
          <w:rFonts w:cs="Gisha"/>
          <w:sz w:val="22"/>
          <w:szCs w:val="22"/>
          <w:lang w:val="es-ES"/>
        </w:rPr>
      </w:pPr>
      <w:r w:rsidRPr="00460393">
        <w:rPr>
          <w:rFonts w:cs="Gisha"/>
          <w:sz w:val="22"/>
          <w:szCs w:val="22"/>
          <w:lang w:val="es-ES"/>
        </w:rPr>
        <w:t>7 (APP) Autopista Rio Magdalena 2 Contrato 008 de 2014,</w:t>
      </w:r>
    </w:p>
    <w:p w:rsidR="003F1473" w:rsidRDefault="003F1473" w:rsidP="003F1473">
      <w:pPr>
        <w:pStyle w:val="Prrafodelista"/>
        <w:ind w:left="1146"/>
        <w:jc w:val="both"/>
        <w:rPr>
          <w:rFonts w:cs="Gisha"/>
          <w:sz w:val="22"/>
          <w:szCs w:val="22"/>
          <w:lang w:val="es-ES"/>
        </w:rPr>
      </w:pPr>
      <w:r w:rsidRPr="00460393">
        <w:rPr>
          <w:rFonts w:cs="Gisha"/>
          <w:sz w:val="22"/>
          <w:szCs w:val="22"/>
          <w:lang w:val="es-ES"/>
        </w:rPr>
        <w:t xml:space="preserve">8 (APP) Puerta del Hierro - Palmar de Varela y Carreto - Cruz del Viso Contrato 007 de 2015 </w:t>
      </w:r>
    </w:p>
    <w:p w:rsidR="003F1473" w:rsidRDefault="003F1473" w:rsidP="003F1473">
      <w:pPr>
        <w:pStyle w:val="Prrafodelista"/>
        <w:ind w:left="1146"/>
        <w:jc w:val="both"/>
        <w:rPr>
          <w:rFonts w:cs="Gisha"/>
          <w:sz w:val="22"/>
          <w:szCs w:val="22"/>
          <w:lang w:val="es-ES"/>
        </w:rPr>
      </w:pPr>
      <w:r w:rsidRPr="00460393">
        <w:rPr>
          <w:rFonts w:cs="Gisha"/>
          <w:sz w:val="22"/>
          <w:szCs w:val="22"/>
          <w:lang w:val="es-ES"/>
        </w:rPr>
        <w:t>9.</w:t>
      </w:r>
      <w:r>
        <w:rPr>
          <w:rFonts w:cs="Gisha"/>
          <w:sz w:val="22"/>
          <w:szCs w:val="22"/>
          <w:lang w:val="es-ES"/>
        </w:rPr>
        <w:t xml:space="preserve"> </w:t>
      </w:r>
      <w:r w:rsidRPr="00460393">
        <w:rPr>
          <w:rFonts w:cs="Gisha"/>
          <w:sz w:val="22"/>
          <w:szCs w:val="22"/>
          <w:lang w:val="es-ES"/>
        </w:rPr>
        <w:t>Cesar Guajira Contrato 006 del 30 de Junio de 2015,</w:t>
      </w:r>
    </w:p>
    <w:p w:rsidR="003F1473" w:rsidRDefault="003F1473" w:rsidP="003F1473">
      <w:pPr>
        <w:pStyle w:val="Prrafodelista"/>
        <w:ind w:left="1146"/>
        <w:jc w:val="both"/>
        <w:rPr>
          <w:rFonts w:cs="Gisha"/>
          <w:sz w:val="22"/>
          <w:szCs w:val="22"/>
          <w:lang w:val="es-ES"/>
        </w:rPr>
      </w:pPr>
      <w:r>
        <w:rPr>
          <w:rFonts w:cs="Gisha"/>
          <w:sz w:val="22"/>
          <w:szCs w:val="22"/>
          <w:lang w:val="es-ES"/>
        </w:rPr>
        <w:t>10.</w:t>
      </w:r>
      <w:r w:rsidR="000376B6">
        <w:rPr>
          <w:rFonts w:cs="Gisha"/>
          <w:sz w:val="22"/>
          <w:szCs w:val="22"/>
          <w:lang w:val="es-ES"/>
        </w:rPr>
        <w:t xml:space="preserve"> </w:t>
      </w:r>
      <w:r w:rsidRPr="00460393">
        <w:rPr>
          <w:rFonts w:cs="Gisha"/>
          <w:sz w:val="22"/>
          <w:szCs w:val="22"/>
          <w:lang w:val="es-ES"/>
        </w:rPr>
        <w:t xml:space="preserve">APP Transversal del Sisga No 009 del 10 de Julio de 2015, </w:t>
      </w:r>
    </w:p>
    <w:p w:rsidR="003F1473" w:rsidRDefault="003F1473" w:rsidP="003F1473">
      <w:pPr>
        <w:pStyle w:val="Prrafodelista"/>
        <w:ind w:left="1146"/>
        <w:jc w:val="both"/>
        <w:rPr>
          <w:rFonts w:cs="Gisha"/>
          <w:sz w:val="22"/>
          <w:szCs w:val="22"/>
          <w:lang w:val="es-ES"/>
        </w:rPr>
      </w:pPr>
      <w:r w:rsidRPr="00460393">
        <w:rPr>
          <w:rFonts w:cs="Gisha"/>
          <w:sz w:val="22"/>
          <w:szCs w:val="22"/>
          <w:lang w:val="es-ES"/>
        </w:rPr>
        <w:t xml:space="preserve">11 Bucaramanga - Barrancabermeja - Yondo Contrato 013 de 2015, </w:t>
      </w:r>
    </w:p>
    <w:p w:rsidR="003F1473" w:rsidRDefault="003F1473" w:rsidP="003F1473">
      <w:pPr>
        <w:pStyle w:val="Prrafodelista"/>
        <w:ind w:left="1146"/>
        <w:jc w:val="both"/>
        <w:rPr>
          <w:rFonts w:cs="Gisha"/>
          <w:sz w:val="22"/>
          <w:szCs w:val="22"/>
          <w:lang w:val="es-ES"/>
        </w:rPr>
      </w:pPr>
      <w:r w:rsidRPr="00460393">
        <w:rPr>
          <w:rFonts w:cs="Gisha"/>
          <w:sz w:val="22"/>
          <w:szCs w:val="22"/>
          <w:lang w:val="es-ES"/>
        </w:rPr>
        <w:t>12.</w:t>
      </w:r>
      <w:r w:rsidR="000376B6">
        <w:rPr>
          <w:rFonts w:cs="Gisha"/>
          <w:sz w:val="22"/>
          <w:szCs w:val="22"/>
          <w:lang w:val="es-ES"/>
        </w:rPr>
        <w:t xml:space="preserve"> </w:t>
      </w:r>
      <w:r w:rsidRPr="00460393">
        <w:rPr>
          <w:rFonts w:cs="Gisha"/>
          <w:sz w:val="22"/>
          <w:szCs w:val="22"/>
          <w:lang w:val="es-ES"/>
        </w:rPr>
        <w:t xml:space="preserve">Sector Villavicencio - Yopal Contrato 010 de 2015, </w:t>
      </w:r>
    </w:p>
    <w:p w:rsidR="003F1473" w:rsidRDefault="003F1473" w:rsidP="003F1473">
      <w:pPr>
        <w:pStyle w:val="Prrafodelista"/>
        <w:ind w:left="1146"/>
        <w:jc w:val="both"/>
        <w:rPr>
          <w:rFonts w:cs="Gisha"/>
          <w:sz w:val="22"/>
          <w:szCs w:val="22"/>
          <w:lang w:val="es-ES"/>
        </w:rPr>
      </w:pPr>
      <w:r w:rsidRPr="00460393">
        <w:rPr>
          <w:rFonts w:cs="Gisha"/>
          <w:sz w:val="22"/>
          <w:szCs w:val="22"/>
          <w:lang w:val="es-ES"/>
        </w:rPr>
        <w:t>13. Cambao - La Esperanza - Ibagué - Honda Contrato 008 de 2015,</w:t>
      </w:r>
    </w:p>
    <w:p w:rsidR="003F1473" w:rsidRDefault="003F1473" w:rsidP="003F1473">
      <w:pPr>
        <w:pStyle w:val="Prrafodelista"/>
        <w:ind w:left="1146"/>
        <w:jc w:val="both"/>
        <w:rPr>
          <w:rFonts w:cs="Gisha"/>
          <w:sz w:val="22"/>
          <w:szCs w:val="22"/>
          <w:lang w:val="es-ES"/>
        </w:rPr>
      </w:pPr>
      <w:r w:rsidRPr="00460393">
        <w:rPr>
          <w:rFonts w:cs="Gisha"/>
          <w:sz w:val="22"/>
          <w:szCs w:val="22"/>
          <w:lang w:val="es-ES"/>
        </w:rPr>
        <w:t xml:space="preserve">14. Santana - Mocoa - Neiva Contrato 12 de 2015, </w:t>
      </w:r>
    </w:p>
    <w:p w:rsidR="003F1473" w:rsidRDefault="003F1473" w:rsidP="003F1473">
      <w:pPr>
        <w:pStyle w:val="Prrafodelista"/>
        <w:ind w:left="1146"/>
        <w:jc w:val="both"/>
        <w:rPr>
          <w:rFonts w:cs="Gisha"/>
          <w:sz w:val="22"/>
          <w:szCs w:val="22"/>
          <w:lang w:val="es-ES"/>
        </w:rPr>
      </w:pPr>
      <w:r w:rsidRPr="00460393">
        <w:rPr>
          <w:rFonts w:cs="Gisha"/>
          <w:sz w:val="22"/>
          <w:szCs w:val="22"/>
          <w:lang w:val="es-ES"/>
        </w:rPr>
        <w:t xml:space="preserve">15. Rumichaca - Pasto Contrato App 015 De 2015, </w:t>
      </w:r>
    </w:p>
    <w:p w:rsidR="003F1473" w:rsidRDefault="003F1473" w:rsidP="003F1473">
      <w:pPr>
        <w:pStyle w:val="Prrafodelista"/>
        <w:ind w:left="1146"/>
        <w:jc w:val="both"/>
        <w:rPr>
          <w:rFonts w:cs="Gisha"/>
          <w:sz w:val="22"/>
          <w:szCs w:val="22"/>
          <w:lang w:val="es-ES"/>
        </w:rPr>
      </w:pPr>
      <w:r w:rsidRPr="00460393">
        <w:rPr>
          <w:rFonts w:cs="Gisha"/>
          <w:sz w:val="22"/>
          <w:szCs w:val="22"/>
          <w:lang w:val="es-ES"/>
        </w:rPr>
        <w:t xml:space="preserve">16. IO Antioquia - Bolívar Contrato 16 De 2015, </w:t>
      </w:r>
    </w:p>
    <w:p w:rsidR="003F1473" w:rsidRPr="00460393" w:rsidRDefault="003F1473" w:rsidP="003F1473">
      <w:pPr>
        <w:pStyle w:val="Prrafodelista"/>
        <w:ind w:left="1146"/>
        <w:jc w:val="both"/>
        <w:rPr>
          <w:rFonts w:cs="Gisha"/>
          <w:sz w:val="22"/>
          <w:szCs w:val="22"/>
          <w:lang w:val="es-ES"/>
        </w:rPr>
      </w:pPr>
      <w:r w:rsidRPr="00460393">
        <w:rPr>
          <w:rFonts w:cs="Gisha"/>
          <w:sz w:val="22"/>
          <w:szCs w:val="22"/>
          <w:lang w:val="es-ES"/>
        </w:rPr>
        <w:t>17 Zipaquirá - Bucaramanga (Palenque) Contrato No 517 De 2013</w:t>
      </w:r>
    </w:p>
    <w:p w:rsidR="003F1473" w:rsidRPr="00460393" w:rsidRDefault="003F1473" w:rsidP="003F1473">
      <w:pPr>
        <w:pStyle w:val="Prrafodelista"/>
        <w:ind w:left="1146"/>
        <w:jc w:val="both"/>
        <w:rPr>
          <w:rFonts w:cs="Gisha"/>
          <w:color w:val="FF0000"/>
          <w:sz w:val="22"/>
          <w:szCs w:val="22"/>
          <w:lang w:val="es-ES"/>
        </w:rPr>
      </w:pPr>
      <w:r w:rsidRPr="00460393">
        <w:rPr>
          <w:rFonts w:cs="Gisha"/>
          <w:color w:val="FF0000"/>
          <w:sz w:val="22"/>
          <w:szCs w:val="22"/>
          <w:lang w:val="es-ES"/>
        </w:rPr>
        <w:t xml:space="preserve"> </w:t>
      </w:r>
    </w:p>
    <w:p w:rsidR="003F1473" w:rsidRDefault="003F1473" w:rsidP="003F1473">
      <w:pPr>
        <w:pStyle w:val="Encabezado"/>
        <w:tabs>
          <w:tab w:val="left" w:pos="708"/>
        </w:tabs>
        <w:jc w:val="both"/>
        <w:rPr>
          <w:rFonts w:ascii="Arial Narrow" w:hAnsi="Arial Narrow" w:cs="Gisha"/>
          <w:color w:val="auto"/>
          <w:sz w:val="22"/>
          <w:szCs w:val="22"/>
        </w:rPr>
      </w:pPr>
      <w:r>
        <w:rPr>
          <w:rFonts w:ascii="Arial Narrow" w:hAnsi="Arial Narrow" w:cs="Gisha"/>
          <w:color w:val="auto"/>
          <w:sz w:val="22"/>
          <w:szCs w:val="22"/>
        </w:rPr>
        <w:lastRenderedPageBreak/>
        <w:t>El valor de $</w:t>
      </w:r>
      <w:r w:rsidRPr="004870C7">
        <w:t xml:space="preserve"> </w:t>
      </w:r>
      <w:r w:rsidRPr="004870C7">
        <w:rPr>
          <w:rFonts w:ascii="Arial Narrow" w:hAnsi="Arial Narrow" w:cs="Gisha"/>
          <w:color w:val="auto"/>
          <w:sz w:val="22"/>
          <w:szCs w:val="22"/>
        </w:rPr>
        <w:t>2.015.149.897</w:t>
      </w:r>
      <w:r>
        <w:rPr>
          <w:rFonts w:ascii="Arial Narrow" w:hAnsi="Arial Narrow" w:cs="Gisha"/>
          <w:color w:val="auto"/>
          <w:sz w:val="22"/>
          <w:szCs w:val="22"/>
        </w:rPr>
        <w:t xml:space="preserve"> miles en la cuenta </w:t>
      </w:r>
      <w:r w:rsidRPr="00460393">
        <w:rPr>
          <w:rFonts w:ascii="Arial Narrow" w:hAnsi="Arial Narrow" w:cs="Gisha"/>
          <w:color w:val="auto"/>
          <w:sz w:val="22"/>
          <w:szCs w:val="22"/>
        </w:rPr>
        <w:t xml:space="preserve">Operaciones Interinstitucionales corresponde a ingresos de Fondos Recibidos de la Dirección del Tesoro Nacional, por concepto de Funcionamiento $687.793 miles, por servicio de deuda </w:t>
      </w:r>
      <w:r>
        <w:rPr>
          <w:rFonts w:ascii="Arial Narrow" w:hAnsi="Arial Narrow" w:cs="Gisha"/>
          <w:color w:val="auto"/>
          <w:sz w:val="22"/>
          <w:szCs w:val="22"/>
        </w:rPr>
        <w:t xml:space="preserve">el  valor de </w:t>
      </w:r>
      <w:r w:rsidRPr="00460393">
        <w:rPr>
          <w:rFonts w:ascii="Arial Narrow" w:hAnsi="Arial Narrow" w:cs="Gisha"/>
          <w:color w:val="auto"/>
          <w:sz w:val="22"/>
          <w:szCs w:val="22"/>
        </w:rPr>
        <w:t>$192.062.946 Miles</w:t>
      </w:r>
      <w:r>
        <w:rPr>
          <w:rFonts w:ascii="Arial Narrow" w:hAnsi="Arial Narrow" w:cs="Gisha"/>
          <w:color w:val="auto"/>
          <w:sz w:val="22"/>
          <w:szCs w:val="22"/>
        </w:rPr>
        <w:t xml:space="preserve"> y por </w:t>
      </w:r>
      <w:r w:rsidRPr="00460393">
        <w:rPr>
          <w:rFonts w:ascii="Arial Narrow" w:hAnsi="Arial Narrow" w:cs="Gisha"/>
          <w:color w:val="auto"/>
          <w:sz w:val="22"/>
          <w:szCs w:val="22"/>
        </w:rPr>
        <w:t xml:space="preserve">Inversión </w:t>
      </w:r>
      <w:r>
        <w:rPr>
          <w:rFonts w:ascii="Arial Narrow" w:hAnsi="Arial Narrow" w:cs="Gisha"/>
          <w:color w:val="auto"/>
          <w:sz w:val="22"/>
          <w:szCs w:val="22"/>
        </w:rPr>
        <w:t xml:space="preserve">el valor de </w:t>
      </w:r>
      <w:r w:rsidRPr="00460393">
        <w:rPr>
          <w:rFonts w:ascii="Arial Narrow" w:hAnsi="Arial Narrow" w:cs="Gisha"/>
          <w:color w:val="auto"/>
          <w:sz w:val="22"/>
          <w:szCs w:val="22"/>
        </w:rPr>
        <w:t>$1.771.419.488 Miles,</w:t>
      </w:r>
    </w:p>
    <w:p w:rsidR="003F1473" w:rsidRDefault="003F1473" w:rsidP="003F1473">
      <w:pPr>
        <w:pStyle w:val="Encabezado"/>
        <w:tabs>
          <w:tab w:val="left" w:pos="708"/>
        </w:tabs>
        <w:jc w:val="both"/>
        <w:rPr>
          <w:rFonts w:ascii="Arial Narrow" w:hAnsi="Arial Narrow" w:cs="Gisha"/>
          <w:color w:val="auto"/>
          <w:sz w:val="22"/>
          <w:szCs w:val="22"/>
        </w:rPr>
      </w:pPr>
    </w:p>
    <w:p w:rsidR="003F1473" w:rsidRPr="00460393" w:rsidRDefault="003F1473" w:rsidP="003F1473">
      <w:pPr>
        <w:pStyle w:val="Encabezado"/>
        <w:tabs>
          <w:tab w:val="left" w:pos="708"/>
        </w:tabs>
        <w:jc w:val="both"/>
        <w:rPr>
          <w:rFonts w:ascii="Arial Narrow" w:hAnsi="Arial Narrow" w:cs="Gisha"/>
          <w:color w:val="auto"/>
          <w:sz w:val="22"/>
          <w:szCs w:val="22"/>
        </w:rPr>
      </w:pPr>
      <w:r w:rsidRPr="00460393">
        <w:rPr>
          <w:rFonts w:ascii="Arial Narrow" w:hAnsi="Arial Narrow" w:cs="Gisha"/>
          <w:color w:val="auto"/>
          <w:sz w:val="22"/>
          <w:szCs w:val="22"/>
        </w:rPr>
        <w:t xml:space="preserve">Durante la vigencia 2015 </w:t>
      </w:r>
      <w:r>
        <w:rPr>
          <w:rFonts w:ascii="Arial Narrow" w:hAnsi="Arial Narrow" w:cs="Gisha"/>
          <w:color w:val="auto"/>
          <w:sz w:val="22"/>
          <w:szCs w:val="22"/>
        </w:rPr>
        <w:t>en la cuenta Operaciones Interinstitucionales presentó</w:t>
      </w:r>
      <w:r w:rsidRPr="00460393">
        <w:rPr>
          <w:rFonts w:ascii="Arial Narrow" w:hAnsi="Arial Narrow" w:cs="Gisha"/>
          <w:color w:val="auto"/>
          <w:sz w:val="22"/>
          <w:szCs w:val="22"/>
        </w:rPr>
        <w:t xml:space="preserve"> una disminución</w:t>
      </w:r>
      <w:r>
        <w:rPr>
          <w:rFonts w:ascii="Arial Narrow" w:hAnsi="Arial Narrow" w:cs="Gisha"/>
          <w:color w:val="auto"/>
          <w:sz w:val="22"/>
          <w:szCs w:val="22"/>
        </w:rPr>
        <w:t xml:space="preserve"> por valor de </w:t>
      </w:r>
      <w:r w:rsidRPr="00460393">
        <w:rPr>
          <w:rFonts w:ascii="Arial Narrow" w:hAnsi="Arial Narrow" w:cs="Gisha"/>
          <w:color w:val="auto"/>
          <w:sz w:val="22"/>
          <w:szCs w:val="22"/>
        </w:rPr>
        <w:t>$-376.874.466 miles</w:t>
      </w:r>
      <w:r>
        <w:rPr>
          <w:rFonts w:ascii="Arial Narrow" w:hAnsi="Arial Narrow" w:cs="Gisha"/>
          <w:color w:val="auto"/>
          <w:sz w:val="22"/>
          <w:szCs w:val="22"/>
        </w:rPr>
        <w:t xml:space="preserve"> debido a las medidas preventivas adoptadas por el Gobierno Nacional ante la inestabilidad de los precios del petróleo, su tendencia a la baja y el impacto fiscal que esto generó en las finanzas  públicas del país.</w:t>
      </w:r>
      <w:r w:rsidRPr="00460393">
        <w:rPr>
          <w:rFonts w:ascii="Arial Narrow" w:hAnsi="Arial Narrow" w:cs="Gisha"/>
          <w:color w:val="auto"/>
          <w:sz w:val="22"/>
          <w:szCs w:val="22"/>
        </w:rPr>
        <w:t xml:space="preserve"> </w:t>
      </w:r>
    </w:p>
    <w:p w:rsidR="003F1473" w:rsidRPr="00460393" w:rsidRDefault="003F1473" w:rsidP="003F1473">
      <w:pPr>
        <w:pStyle w:val="Encabezado"/>
        <w:tabs>
          <w:tab w:val="left" w:pos="708"/>
        </w:tabs>
        <w:jc w:val="both"/>
        <w:rPr>
          <w:rFonts w:ascii="Arial Narrow" w:hAnsi="Arial Narrow" w:cs="Gisha"/>
          <w:color w:val="auto"/>
          <w:sz w:val="22"/>
          <w:szCs w:val="22"/>
        </w:rPr>
      </w:pPr>
    </w:p>
    <w:p w:rsidR="003F1473" w:rsidRPr="00460393" w:rsidRDefault="003F1473" w:rsidP="003F1473">
      <w:pPr>
        <w:pStyle w:val="Encabezado"/>
        <w:tabs>
          <w:tab w:val="left" w:pos="708"/>
        </w:tabs>
        <w:jc w:val="both"/>
        <w:rPr>
          <w:rFonts w:ascii="Arial Narrow" w:hAnsi="Arial Narrow" w:cs="Gisha"/>
          <w:color w:val="auto"/>
          <w:sz w:val="22"/>
          <w:szCs w:val="22"/>
        </w:rPr>
      </w:pPr>
      <w:r>
        <w:rPr>
          <w:rFonts w:ascii="Arial Narrow" w:hAnsi="Arial Narrow" w:cs="Gisha"/>
          <w:color w:val="auto"/>
          <w:sz w:val="22"/>
          <w:szCs w:val="22"/>
        </w:rPr>
        <w:t>El valor de $</w:t>
      </w:r>
      <w:r w:rsidRPr="00CA3344">
        <w:t xml:space="preserve"> </w:t>
      </w:r>
      <w:r w:rsidRPr="00CA3344">
        <w:rPr>
          <w:rFonts w:ascii="Arial Narrow" w:hAnsi="Arial Narrow" w:cs="Gisha"/>
          <w:color w:val="auto"/>
          <w:sz w:val="22"/>
          <w:szCs w:val="22"/>
        </w:rPr>
        <w:t>50.979.670</w:t>
      </w:r>
      <w:r>
        <w:rPr>
          <w:rFonts w:ascii="Arial Narrow" w:hAnsi="Arial Narrow" w:cs="Gisha"/>
          <w:color w:val="auto"/>
          <w:sz w:val="22"/>
          <w:szCs w:val="22"/>
        </w:rPr>
        <w:t xml:space="preserve"> miles en la cuenta operaciones sin flujo de efectivo se presentó por  </w:t>
      </w:r>
      <w:r w:rsidRPr="00460393">
        <w:rPr>
          <w:rFonts w:ascii="Arial Narrow" w:hAnsi="Arial Narrow" w:cs="Gisha"/>
          <w:color w:val="auto"/>
          <w:sz w:val="22"/>
          <w:szCs w:val="22"/>
        </w:rPr>
        <w:t>el ingreso</w:t>
      </w:r>
      <w:r>
        <w:rPr>
          <w:rFonts w:ascii="Arial Narrow" w:hAnsi="Arial Narrow" w:cs="Gisha"/>
          <w:color w:val="auto"/>
          <w:sz w:val="22"/>
          <w:szCs w:val="22"/>
        </w:rPr>
        <w:t xml:space="preserve"> sin situación de fondos para </w:t>
      </w:r>
      <w:r w:rsidRPr="00460393">
        <w:rPr>
          <w:rFonts w:ascii="Arial Narrow" w:hAnsi="Arial Narrow" w:cs="Gisha"/>
          <w:color w:val="auto"/>
          <w:sz w:val="22"/>
          <w:szCs w:val="22"/>
        </w:rPr>
        <w:t xml:space="preserve">el pago de la cuota de auditaje, a </w:t>
      </w:r>
      <w:r>
        <w:rPr>
          <w:rFonts w:ascii="Arial Narrow" w:hAnsi="Arial Narrow" w:cs="Gisha"/>
          <w:color w:val="auto"/>
          <w:sz w:val="22"/>
          <w:szCs w:val="22"/>
        </w:rPr>
        <w:t xml:space="preserve">favor de </w:t>
      </w:r>
      <w:r w:rsidRPr="00460393">
        <w:rPr>
          <w:rFonts w:ascii="Arial Narrow" w:hAnsi="Arial Narrow" w:cs="Gisha"/>
          <w:color w:val="auto"/>
          <w:sz w:val="22"/>
          <w:szCs w:val="22"/>
        </w:rPr>
        <w:t xml:space="preserve">la Contraloría General de la República, </w:t>
      </w:r>
      <w:r>
        <w:rPr>
          <w:rFonts w:ascii="Arial Narrow" w:hAnsi="Arial Narrow" w:cs="Gisha"/>
          <w:color w:val="auto"/>
          <w:sz w:val="22"/>
          <w:szCs w:val="22"/>
        </w:rPr>
        <w:t xml:space="preserve">para la vigencia 2015 </w:t>
      </w:r>
      <w:r w:rsidRPr="00460393">
        <w:rPr>
          <w:rFonts w:ascii="Arial Narrow" w:hAnsi="Arial Narrow" w:cs="Gisha"/>
          <w:color w:val="auto"/>
          <w:sz w:val="22"/>
          <w:szCs w:val="22"/>
        </w:rPr>
        <w:t>por valor de $2.963.934 miles.</w:t>
      </w:r>
      <w:r>
        <w:rPr>
          <w:rFonts w:ascii="Arial Narrow" w:hAnsi="Arial Narrow" w:cs="Gisha"/>
          <w:color w:val="auto"/>
          <w:sz w:val="22"/>
          <w:szCs w:val="22"/>
        </w:rPr>
        <w:t xml:space="preserve"> Igualmente e</w:t>
      </w:r>
      <w:r w:rsidRPr="00460393">
        <w:rPr>
          <w:rFonts w:ascii="Arial Narrow" w:hAnsi="Arial Narrow" w:cs="Gisha"/>
          <w:color w:val="auto"/>
          <w:sz w:val="22"/>
          <w:szCs w:val="22"/>
        </w:rPr>
        <w:t>l valor del ingreso por $48.015.736 miles correspond</w:t>
      </w:r>
      <w:r>
        <w:rPr>
          <w:rFonts w:ascii="Arial Narrow" w:hAnsi="Arial Narrow" w:cs="Gisha"/>
          <w:color w:val="auto"/>
          <w:sz w:val="22"/>
          <w:szCs w:val="22"/>
        </w:rPr>
        <w:t>i</w:t>
      </w:r>
      <w:r w:rsidRPr="00460393">
        <w:rPr>
          <w:rFonts w:ascii="Arial Narrow" w:hAnsi="Arial Narrow" w:cs="Gisha"/>
          <w:color w:val="auto"/>
          <w:sz w:val="22"/>
          <w:szCs w:val="22"/>
        </w:rPr>
        <w:t>e</w:t>
      </w:r>
      <w:r>
        <w:rPr>
          <w:rFonts w:ascii="Arial Narrow" w:hAnsi="Arial Narrow" w:cs="Gisha"/>
          <w:color w:val="auto"/>
          <w:sz w:val="22"/>
          <w:szCs w:val="22"/>
        </w:rPr>
        <w:t xml:space="preserve">nte </w:t>
      </w:r>
      <w:r w:rsidRPr="00460393">
        <w:rPr>
          <w:rFonts w:ascii="Arial Narrow" w:hAnsi="Arial Narrow" w:cs="Gisha"/>
          <w:color w:val="auto"/>
          <w:sz w:val="22"/>
          <w:szCs w:val="22"/>
        </w:rPr>
        <w:t xml:space="preserve">a operaciones sin Flujo de Efectivo, efectuado </w:t>
      </w:r>
      <w:r>
        <w:rPr>
          <w:rFonts w:ascii="Arial Narrow" w:hAnsi="Arial Narrow" w:cs="Gisha"/>
          <w:color w:val="auto"/>
          <w:sz w:val="22"/>
          <w:szCs w:val="22"/>
        </w:rPr>
        <w:t xml:space="preserve">con </w:t>
      </w:r>
      <w:r w:rsidRPr="00460393">
        <w:rPr>
          <w:rFonts w:ascii="Arial Narrow" w:hAnsi="Arial Narrow" w:cs="Gisha"/>
          <w:color w:val="auto"/>
          <w:sz w:val="22"/>
          <w:szCs w:val="22"/>
        </w:rPr>
        <w:t xml:space="preserve">la Dirección de Crédito Público y del Tesoro Nacional en la vigencia 2015 para </w:t>
      </w:r>
      <w:r>
        <w:rPr>
          <w:rFonts w:ascii="Arial Narrow" w:hAnsi="Arial Narrow" w:cs="Gisha"/>
          <w:color w:val="auto"/>
          <w:sz w:val="22"/>
          <w:szCs w:val="22"/>
        </w:rPr>
        <w:t>amortización de la deuda con el</w:t>
      </w:r>
      <w:r w:rsidRPr="00460393">
        <w:rPr>
          <w:rFonts w:ascii="Arial Narrow" w:hAnsi="Arial Narrow" w:cs="Gisha"/>
          <w:color w:val="auto"/>
          <w:sz w:val="22"/>
          <w:szCs w:val="22"/>
        </w:rPr>
        <w:t xml:space="preserve"> Ministerio de Hacienda atendiendo lo establecido  en los acuerdos de pago suscritos, este valor que se encuentra conciliado con Deuda Pública Nación a 31 de diciembre </w:t>
      </w:r>
      <w:r>
        <w:rPr>
          <w:rFonts w:ascii="Arial Narrow" w:hAnsi="Arial Narrow" w:cs="Gisha"/>
          <w:color w:val="auto"/>
          <w:sz w:val="22"/>
          <w:szCs w:val="22"/>
        </w:rPr>
        <w:t>de 2015.</w:t>
      </w:r>
    </w:p>
    <w:p w:rsidR="003F1473" w:rsidRPr="00460393" w:rsidRDefault="003F1473" w:rsidP="003F1473">
      <w:pPr>
        <w:pStyle w:val="Encabezado"/>
        <w:tabs>
          <w:tab w:val="left" w:pos="708"/>
        </w:tabs>
        <w:jc w:val="both"/>
        <w:rPr>
          <w:rFonts w:ascii="Arial Narrow" w:hAnsi="Arial Narrow" w:cs="Gisha"/>
          <w:color w:val="auto"/>
          <w:sz w:val="22"/>
          <w:szCs w:val="22"/>
        </w:rPr>
      </w:pPr>
    </w:p>
    <w:p w:rsidR="003F1473" w:rsidRDefault="003F1473" w:rsidP="003F1473">
      <w:pPr>
        <w:pStyle w:val="Encabezado"/>
        <w:tabs>
          <w:tab w:val="left" w:pos="708"/>
        </w:tabs>
        <w:jc w:val="both"/>
        <w:rPr>
          <w:rFonts w:ascii="Arial Narrow" w:hAnsi="Arial Narrow" w:cs="Gisha"/>
          <w:color w:val="auto"/>
          <w:sz w:val="22"/>
          <w:szCs w:val="22"/>
        </w:rPr>
      </w:pPr>
      <w:r w:rsidRPr="00460393">
        <w:rPr>
          <w:rFonts w:ascii="Arial Narrow" w:hAnsi="Arial Narrow" w:cs="Gisha"/>
          <w:color w:val="auto"/>
          <w:sz w:val="22"/>
          <w:szCs w:val="22"/>
        </w:rPr>
        <w:t xml:space="preserve">En Otros Ingresos </w:t>
      </w:r>
      <w:r>
        <w:rPr>
          <w:rFonts w:ascii="Arial Narrow" w:hAnsi="Arial Narrow" w:cs="Gisha"/>
          <w:color w:val="auto"/>
          <w:sz w:val="22"/>
          <w:szCs w:val="22"/>
        </w:rPr>
        <w:t>por valor de $</w:t>
      </w:r>
      <w:r w:rsidRPr="00502313">
        <w:t xml:space="preserve"> </w:t>
      </w:r>
      <w:r w:rsidRPr="00502313">
        <w:rPr>
          <w:rFonts w:ascii="Arial Narrow" w:hAnsi="Arial Narrow" w:cs="Gisha"/>
          <w:color w:val="auto"/>
          <w:sz w:val="22"/>
          <w:szCs w:val="22"/>
        </w:rPr>
        <w:t>610.839.785</w:t>
      </w:r>
      <w:r>
        <w:rPr>
          <w:rFonts w:ascii="Arial Narrow" w:hAnsi="Arial Narrow" w:cs="Gisha"/>
          <w:color w:val="auto"/>
          <w:sz w:val="22"/>
          <w:szCs w:val="22"/>
        </w:rPr>
        <w:t xml:space="preserve"> miles, a 31 de diciembre de 2015 </w:t>
      </w:r>
      <w:r w:rsidRPr="00460393">
        <w:rPr>
          <w:rFonts w:ascii="Arial Narrow" w:hAnsi="Arial Narrow" w:cs="Gisha"/>
          <w:color w:val="auto"/>
          <w:sz w:val="22"/>
          <w:szCs w:val="22"/>
        </w:rPr>
        <w:t>se registró</w:t>
      </w:r>
      <w:r>
        <w:rPr>
          <w:rFonts w:ascii="Arial Narrow" w:hAnsi="Arial Narrow" w:cs="Gisha"/>
          <w:color w:val="auto"/>
          <w:sz w:val="22"/>
          <w:szCs w:val="22"/>
        </w:rPr>
        <w:t xml:space="preserve"> en la cuenta –I</w:t>
      </w:r>
      <w:r w:rsidRPr="00460393">
        <w:rPr>
          <w:rFonts w:ascii="Arial Narrow" w:hAnsi="Arial Narrow" w:cs="Gisha"/>
          <w:color w:val="auto"/>
          <w:sz w:val="22"/>
          <w:szCs w:val="22"/>
        </w:rPr>
        <w:t>ntereses</w:t>
      </w:r>
      <w:r>
        <w:rPr>
          <w:rFonts w:ascii="Arial Narrow" w:hAnsi="Arial Narrow" w:cs="Gisha"/>
          <w:color w:val="auto"/>
          <w:sz w:val="22"/>
          <w:szCs w:val="22"/>
        </w:rPr>
        <w:t xml:space="preserve"> </w:t>
      </w:r>
      <w:r w:rsidRPr="00460393">
        <w:rPr>
          <w:rFonts w:ascii="Arial Narrow" w:hAnsi="Arial Narrow" w:cs="Gisha"/>
          <w:color w:val="auto"/>
          <w:sz w:val="22"/>
          <w:szCs w:val="22"/>
        </w:rPr>
        <w:t>de deudores</w:t>
      </w:r>
      <w:r>
        <w:rPr>
          <w:rFonts w:ascii="Arial Narrow" w:hAnsi="Arial Narrow" w:cs="Gisha"/>
          <w:color w:val="auto"/>
          <w:sz w:val="22"/>
          <w:szCs w:val="22"/>
        </w:rPr>
        <w:t xml:space="preserve"> por valor de $</w:t>
      </w:r>
      <w:r w:rsidRPr="00502313">
        <w:t xml:space="preserve"> </w:t>
      </w:r>
      <w:r w:rsidRPr="00502313">
        <w:rPr>
          <w:rFonts w:ascii="Arial Narrow" w:hAnsi="Arial Narrow" w:cs="Gisha"/>
          <w:color w:val="auto"/>
          <w:sz w:val="22"/>
          <w:szCs w:val="22"/>
        </w:rPr>
        <w:t>13.177.553</w:t>
      </w:r>
      <w:r>
        <w:rPr>
          <w:rFonts w:ascii="Arial Narrow" w:hAnsi="Arial Narrow" w:cs="Gisha"/>
          <w:color w:val="auto"/>
          <w:sz w:val="22"/>
          <w:szCs w:val="22"/>
        </w:rPr>
        <w:t xml:space="preserve"> miles, discriminados de la siguiente manera:</w:t>
      </w:r>
    </w:p>
    <w:p w:rsidR="003F1473" w:rsidRDefault="003F1473" w:rsidP="003F1473">
      <w:pPr>
        <w:pStyle w:val="Encabezado"/>
        <w:tabs>
          <w:tab w:val="left" w:pos="708"/>
        </w:tabs>
        <w:jc w:val="both"/>
        <w:rPr>
          <w:rFonts w:ascii="Arial Narrow" w:hAnsi="Arial Narrow" w:cs="Gisha"/>
          <w:color w:val="auto"/>
          <w:sz w:val="22"/>
          <w:szCs w:val="22"/>
        </w:rPr>
      </w:pPr>
    </w:p>
    <w:p w:rsidR="003F1473" w:rsidRDefault="003F1473" w:rsidP="003F1473">
      <w:pPr>
        <w:pStyle w:val="Encabezado"/>
        <w:tabs>
          <w:tab w:val="left" w:pos="708"/>
        </w:tabs>
        <w:jc w:val="both"/>
        <w:rPr>
          <w:rFonts w:ascii="Arial Narrow" w:hAnsi="Arial Narrow" w:cs="Gisha"/>
          <w:color w:val="auto"/>
          <w:sz w:val="22"/>
          <w:szCs w:val="22"/>
        </w:rPr>
      </w:pPr>
      <w:r>
        <w:rPr>
          <w:rFonts w:ascii="Arial Narrow" w:hAnsi="Arial Narrow" w:cs="Gisha"/>
          <w:color w:val="auto"/>
          <w:sz w:val="22"/>
          <w:szCs w:val="22"/>
        </w:rPr>
        <w:t>R</w:t>
      </w:r>
      <w:r w:rsidRPr="00460393">
        <w:rPr>
          <w:rFonts w:ascii="Arial Narrow" w:hAnsi="Arial Narrow" w:cs="Gisha"/>
          <w:color w:val="auto"/>
          <w:sz w:val="22"/>
          <w:szCs w:val="22"/>
        </w:rPr>
        <w:t xml:space="preserve">endimientos financieros generados en los patrimonios autónomos de la cuenta </w:t>
      </w:r>
      <w:r>
        <w:rPr>
          <w:rFonts w:ascii="Arial Narrow" w:hAnsi="Arial Narrow" w:cs="Gisha"/>
          <w:color w:val="auto"/>
          <w:sz w:val="22"/>
          <w:szCs w:val="22"/>
        </w:rPr>
        <w:t>–</w:t>
      </w:r>
      <w:r w:rsidRPr="00460393">
        <w:rPr>
          <w:rFonts w:ascii="Arial Narrow" w:hAnsi="Arial Narrow" w:cs="Gisha"/>
          <w:color w:val="auto"/>
          <w:sz w:val="22"/>
          <w:szCs w:val="22"/>
        </w:rPr>
        <w:t>ANI</w:t>
      </w:r>
      <w:r>
        <w:rPr>
          <w:rFonts w:ascii="Arial Narrow" w:hAnsi="Arial Narrow" w:cs="Gisha"/>
          <w:color w:val="auto"/>
          <w:sz w:val="22"/>
          <w:szCs w:val="22"/>
        </w:rPr>
        <w:t xml:space="preserve"> </w:t>
      </w:r>
      <w:r w:rsidRPr="00460393">
        <w:rPr>
          <w:rFonts w:ascii="Arial Narrow" w:hAnsi="Arial Narrow" w:cs="Gisha"/>
          <w:color w:val="auto"/>
          <w:sz w:val="22"/>
          <w:szCs w:val="22"/>
        </w:rPr>
        <w:t>de los proyectos carreteros de cuarta generación bajo el esquema de Asociaciones Publico Privadas APP</w:t>
      </w:r>
      <w:r>
        <w:rPr>
          <w:rFonts w:ascii="Arial Narrow" w:hAnsi="Arial Narrow" w:cs="Gisha"/>
          <w:color w:val="auto"/>
          <w:sz w:val="22"/>
          <w:szCs w:val="22"/>
        </w:rPr>
        <w:t xml:space="preserve"> durante </w:t>
      </w:r>
      <w:r w:rsidRPr="00460393">
        <w:rPr>
          <w:rFonts w:ascii="Arial Narrow" w:hAnsi="Arial Narrow" w:cs="Gisha"/>
          <w:color w:val="auto"/>
          <w:sz w:val="22"/>
          <w:szCs w:val="22"/>
        </w:rPr>
        <w:t xml:space="preserve">la vigencia 2015 por </w:t>
      </w:r>
      <w:r>
        <w:rPr>
          <w:rFonts w:ascii="Arial Narrow" w:hAnsi="Arial Narrow" w:cs="Gisha"/>
          <w:color w:val="auto"/>
          <w:sz w:val="22"/>
          <w:szCs w:val="22"/>
        </w:rPr>
        <w:t>valor de $10.911.851 miles de la</w:t>
      </w:r>
      <w:r w:rsidRPr="00460393">
        <w:rPr>
          <w:rFonts w:ascii="Arial Narrow" w:hAnsi="Arial Narrow" w:cs="Gisha"/>
          <w:color w:val="auto"/>
          <w:sz w:val="22"/>
          <w:szCs w:val="22"/>
        </w:rPr>
        <w:t xml:space="preserve">s </w:t>
      </w:r>
      <w:r>
        <w:rPr>
          <w:rFonts w:ascii="Arial Narrow" w:hAnsi="Arial Narrow" w:cs="Gisha"/>
          <w:color w:val="auto"/>
          <w:sz w:val="22"/>
          <w:szCs w:val="22"/>
        </w:rPr>
        <w:t>siguientes concesiones</w:t>
      </w:r>
      <w:r w:rsidRPr="00460393">
        <w:rPr>
          <w:rFonts w:ascii="Arial Narrow" w:hAnsi="Arial Narrow" w:cs="Gisha"/>
          <w:color w:val="auto"/>
          <w:sz w:val="22"/>
          <w:szCs w:val="22"/>
        </w:rPr>
        <w:t>:</w:t>
      </w:r>
    </w:p>
    <w:p w:rsidR="003F1473" w:rsidRDefault="003F1473" w:rsidP="003F1473">
      <w:pPr>
        <w:pStyle w:val="Encabezado"/>
        <w:tabs>
          <w:tab w:val="left" w:pos="708"/>
        </w:tabs>
        <w:jc w:val="both"/>
        <w:rPr>
          <w:rFonts w:ascii="Arial Narrow" w:hAnsi="Arial Narrow" w:cs="Gisha"/>
          <w:color w:val="auto"/>
          <w:sz w:val="22"/>
          <w:szCs w:val="22"/>
        </w:rPr>
      </w:pPr>
    </w:p>
    <w:p w:rsidR="003F1473" w:rsidRDefault="003F1473" w:rsidP="00853B3A">
      <w:pPr>
        <w:pStyle w:val="Encabezado"/>
        <w:numPr>
          <w:ilvl w:val="0"/>
          <w:numId w:val="30"/>
        </w:numPr>
        <w:tabs>
          <w:tab w:val="left" w:pos="708"/>
        </w:tabs>
        <w:jc w:val="both"/>
        <w:rPr>
          <w:rFonts w:ascii="Arial Narrow" w:hAnsi="Arial Narrow" w:cs="Gisha"/>
          <w:color w:val="auto"/>
          <w:sz w:val="22"/>
          <w:szCs w:val="22"/>
        </w:rPr>
      </w:pPr>
      <w:r>
        <w:rPr>
          <w:rFonts w:ascii="Arial Narrow" w:hAnsi="Arial Narrow" w:cs="Gisha"/>
          <w:color w:val="auto"/>
          <w:sz w:val="22"/>
          <w:szCs w:val="22"/>
        </w:rPr>
        <w:t>Neiva – Espinal - Girardot</w:t>
      </w:r>
    </w:p>
    <w:p w:rsidR="003F1473" w:rsidRDefault="003F1473" w:rsidP="00853B3A">
      <w:pPr>
        <w:pStyle w:val="Encabezado"/>
        <w:numPr>
          <w:ilvl w:val="0"/>
          <w:numId w:val="30"/>
        </w:numPr>
        <w:tabs>
          <w:tab w:val="left" w:pos="708"/>
        </w:tabs>
        <w:jc w:val="both"/>
        <w:rPr>
          <w:rFonts w:ascii="Arial Narrow" w:hAnsi="Arial Narrow" w:cs="Gisha"/>
          <w:color w:val="auto"/>
          <w:sz w:val="22"/>
          <w:szCs w:val="22"/>
        </w:rPr>
      </w:pPr>
      <w:r w:rsidRPr="00460393">
        <w:rPr>
          <w:rFonts w:ascii="Arial Narrow" w:hAnsi="Arial Narrow" w:cs="Gisha"/>
          <w:color w:val="auto"/>
          <w:sz w:val="22"/>
          <w:szCs w:val="22"/>
        </w:rPr>
        <w:t xml:space="preserve">Loboguerrero-Buga, </w:t>
      </w:r>
    </w:p>
    <w:p w:rsidR="003F1473" w:rsidRDefault="003F1473" w:rsidP="00853B3A">
      <w:pPr>
        <w:pStyle w:val="Encabezado"/>
        <w:numPr>
          <w:ilvl w:val="0"/>
          <w:numId w:val="30"/>
        </w:numPr>
        <w:tabs>
          <w:tab w:val="left" w:pos="708"/>
        </w:tabs>
        <w:jc w:val="both"/>
        <w:rPr>
          <w:rFonts w:ascii="Arial Narrow" w:hAnsi="Arial Narrow" w:cs="Gisha"/>
          <w:color w:val="auto"/>
          <w:sz w:val="22"/>
          <w:szCs w:val="22"/>
        </w:rPr>
      </w:pPr>
      <w:r w:rsidRPr="00460393">
        <w:rPr>
          <w:rFonts w:ascii="Arial Narrow" w:hAnsi="Arial Narrow" w:cs="Gisha"/>
          <w:color w:val="auto"/>
          <w:sz w:val="22"/>
          <w:szCs w:val="22"/>
        </w:rPr>
        <w:t xml:space="preserve">Zipaquirá – Bucaramanga – Palenque, </w:t>
      </w:r>
    </w:p>
    <w:p w:rsidR="003F1473" w:rsidRDefault="003F1473" w:rsidP="00853B3A">
      <w:pPr>
        <w:pStyle w:val="Encabezado"/>
        <w:numPr>
          <w:ilvl w:val="0"/>
          <w:numId w:val="30"/>
        </w:numPr>
        <w:tabs>
          <w:tab w:val="left" w:pos="708"/>
        </w:tabs>
        <w:jc w:val="both"/>
        <w:rPr>
          <w:rFonts w:ascii="Arial Narrow" w:hAnsi="Arial Narrow" w:cs="Gisha"/>
          <w:color w:val="auto"/>
          <w:sz w:val="22"/>
          <w:szCs w:val="22"/>
        </w:rPr>
      </w:pPr>
      <w:r w:rsidRPr="00460393">
        <w:rPr>
          <w:rFonts w:ascii="Arial Narrow" w:hAnsi="Arial Narrow" w:cs="Gisha"/>
          <w:color w:val="auto"/>
          <w:sz w:val="22"/>
          <w:szCs w:val="22"/>
        </w:rPr>
        <w:t xml:space="preserve">Autopista Conexión Pacifico 2, </w:t>
      </w:r>
    </w:p>
    <w:p w:rsidR="003F1473" w:rsidRDefault="003F1473" w:rsidP="00853B3A">
      <w:pPr>
        <w:pStyle w:val="Encabezado"/>
        <w:numPr>
          <w:ilvl w:val="0"/>
          <w:numId w:val="30"/>
        </w:numPr>
        <w:tabs>
          <w:tab w:val="left" w:pos="708"/>
        </w:tabs>
        <w:jc w:val="both"/>
        <w:rPr>
          <w:rFonts w:ascii="Arial Narrow" w:hAnsi="Arial Narrow" w:cs="Gisha"/>
          <w:color w:val="auto"/>
          <w:sz w:val="22"/>
          <w:szCs w:val="22"/>
        </w:rPr>
      </w:pPr>
      <w:r w:rsidRPr="00460393">
        <w:rPr>
          <w:rFonts w:ascii="Arial Narrow" w:hAnsi="Arial Narrow" w:cs="Gisha"/>
          <w:color w:val="auto"/>
          <w:sz w:val="22"/>
          <w:szCs w:val="22"/>
        </w:rPr>
        <w:t xml:space="preserve">Pacifico 1, </w:t>
      </w:r>
    </w:p>
    <w:p w:rsidR="003F1473" w:rsidRDefault="003F1473" w:rsidP="00853B3A">
      <w:pPr>
        <w:pStyle w:val="Encabezado"/>
        <w:numPr>
          <w:ilvl w:val="0"/>
          <w:numId w:val="30"/>
        </w:numPr>
        <w:tabs>
          <w:tab w:val="left" w:pos="708"/>
        </w:tabs>
        <w:jc w:val="both"/>
        <w:rPr>
          <w:rFonts w:ascii="Arial Narrow" w:hAnsi="Arial Narrow" w:cs="Gisha"/>
          <w:color w:val="auto"/>
          <w:sz w:val="22"/>
          <w:szCs w:val="22"/>
        </w:rPr>
      </w:pPr>
      <w:r w:rsidRPr="00460393">
        <w:rPr>
          <w:rFonts w:ascii="Arial Narrow" w:hAnsi="Arial Narrow" w:cs="Gisha"/>
          <w:color w:val="auto"/>
          <w:sz w:val="22"/>
          <w:szCs w:val="22"/>
        </w:rPr>
        <w:t xml:space="preserve">Girardot – Honda – Puerto Salgar, </w:t>
      </w:r>
    </w:p>
    <w:p w:rsidR="003F1473" w:rsidRDefault="003F1473" w:rsidP="00853B3A">
      <w:pPr>
        <w:pStyle w:val="Encabezado"/>
        <w:numPr>
          <w:ilvl w:val="0"/>
          <w:numId w:val="30"/>
        </w:numPr>
        <w:tabs>
          <w:tab w:val="left" w:pos="708"/>
        </w:tabs>
        <w:jc w:val="both"/>
        <w:rPr>
          <w:rFonts w:ascii="Arial Narrow" w:hAnsi="Arial Narrow" w:cs="Gisha"/>
          <w:color w:val="auto"/>
          <w:sz w:val="22"/>
          <w:szCs w:val="22"/>
        </w:rPr>
      </w:pPr>
      <w:r w:rsidRPr="00460393">
        <w:rPr>
          <w:rFonts w:ascii="Arial Narrow" w:hAnsi="Arial Narrow" w:cs="Gisha"/>
          <w:color w:val="auto"/>
          <w:sz w:val="22"/>
          <w:szCs w:val="22"/>
        </w:rPr>
        <w:t xml:space="preserve">Corredor Perimetral de Cundinamarca, </w:t>
      </w:r>
    </w:p>
    <w:p w:rsidR="003F1473" w:rsidRDefault="003F1473" w:rsidP="00853B3A">
      <w:pPr>
        <w:pStyle w:val="Encabezado"/>
        <w:numPr>
          <w:ilvl w:val="0"/>
          <w:numId w:val="30"/>
        </w:numPr>
        <w:tabs>
          <w:tab w:val="left" w:pos="708"/>
        </w:tabs>
        <w:jc w:val="both"/>
        <w:rPr>
          <w:rFonts w:ascii="Arial Narrow" w:hAnsi="Arial Narrow" w:cs="Gisha"/>
          <w:color w:val="auto"/>
          <w:sz w:val="22"/>
          <w:szCs w:val="22"/>
        </w:rPr>
      </w:pPr>
      <w:r w:rsidRPr="00460393">
        <w:rPr>
          <w:rFonts w:ascii="Arial Narrow" w:hAnsi="Arial Narrow" w:cs="Gisha"/>
          <w:color w:val="auto"/>
          <w:sz w:val="22"/>
          <w:szCs w:val="22"/>
        </w:rPr>
        <w:t xml:space="preserve">Circunvalar Cartagena – Barranquilla, </w:t>
      </w:r>
    </w:p>
    <w:p w:rsidR="003F1473" w:rsidRDefault="003F1473" w:rsidP="00853B3A">
      <w:pPr>
        <w:pStyle w:val="Encabezado"/>
        <w:numPr>
          <w:ilvl w:val="0"/>
          <w:numId w:val="30"/>
        </w:numPr>
        <w:tabs>
          <w:tab w:val="left" w:pos="708"/>
        </w:tabs>
        <w:jc w:val="both"/>
        <w:rPr>
          <w:rFonts w:ascii="Arial Narrow" w:hAnsi="Arial Narrow" w:cs="Gisha"/>
          <w:color w:val="auto"/>
          <w:sz w:val="22"/>
          <w:szCs w:val="22"/>
        </w:rPr>
      </w:pPr>
      <w:r w:rsidRPr="00460393">
        <w:rPr>
          <w:rFonts w:ascii="Arial Narrow" w:hAnsi="Arial Narrow" w:cs="Gisha"/>
          <w:color w:val="auto"/>
          <w:sz w:val="22"/>
          <w:szCs w:val="22"/>
        </w:rPr>
        <w:t xml:space="preserve">Pacifico 3, </w:t>
      </w:r>
    </w:p>
    <w:p w:rsidR="003F1473" w:rsidRDefault="003F1473" w:rsidP="00853B3A">
      <w:pPr>
        <w:pStyle w:val="Encabezado"/>
        <w:numPr>
          <w:ilvl w:val="0"/>
          <w:numId w:val="30"/>
        </w:numPr>
        <w:tabs>
          <w:tab w:val="left" w:pos="708"/>
        </w:tabs>
        <w:jc w:val="both"/>
        <w:rPr>
          <w:rFonts w:ascii="Arial Narrow" w:hAnsi="Arial Narrow" w:cs="Gisha"/>
          <w:color w:val="auto"/>
          <w:sz w:val="22"/>
          <w:szCs w:val="22"/>
        </w:rPr>
      </w:pPr>
      <w:r w:rsidRPr="00460393">
        <w:rPr>
          <w:rFonts w:ascii="Arial Narrow" w:hAnsi="Arial Narrow" w:cs="Gisha"/>
          <w:color w:val="auto"/>
          <w:sz w:val="22"/>
          <w:szCs w:val="22"/>
        </w:rPr>
        <w:t xml:space="preserve">Rio Magdalena 2, </w:t>
      </w:r>
    </w:p>
    <w:p w:rsidR="003F1473" w:rsidRDefault="003F1473" w:rsidP="00853B3A">
      <w:pPr>
        <w:pStyle w:val="Encabezado"/>
        <w:numPr>
          <w:ilvl w:val="0"/>
          <w:numId w:val="30"/>
        </w:numPr>
        <w:tabs>
          <w:tab w:val="left" w:pos="708"/>
        </w:tabs>
        <w:jc w:val="both"/>
        <w:rPr>
          <w:rFonts w:ascii="Arial Narrow" w:hAnsi="Arial Narrow" w:cs="Gisha"/>
          <w:color w:val="auto"/>
          <w:sz w:val="22"/>
          <w:szCs w:val="22"/>
        </w:rPr>
      </w:pPr>
      <w:r w:rsidRPr="00460393">
        <w:rPr>
          <w:rFonts w:ascii="Arial Narrow" w:hAnsi="Arial Narrow" w:cs="Gisha"/>
          <w:color w:val="auto"/>
          <w:sz w:val="22"/>
          <w:szCs w:val="22"/>
        </w:rPr>
        <w:t xml:space="preserve">Autopista Conexión Norte, </w:t>
      </w:r>
    </w:p>
    <w:p w:rsidR="003F1473" w:rsidRDefault="003F1473" w:rsidP="00853B3A">
      <w:pPr>
        <w:pStyle w:val="Encabezado"/>
        <w:numPr>
          <w:ilvl w:val="0"/>
          <w:numId w:val="30"/>
        </w:numPr>
        <w:tabs>
          <w:tab w:val="left" w:pos="708"/>
        </w:tabs>
        <w:jc w:val="both"/>
        <w:rPr>
          <w:rFonts w:ascii="Arial Narrow" w:hAnsi="Arial Narrow" w:cs="Gisha"/>
          <w:color w:val="auto"/>
          <w:sz w:val="22"/>
          <w:szCs w:val="22"/>
        </w:rPr>
      </w:pPr>
      <w:r w:rsidRPr="00460393">
        <w:rPr>
          <w:rFonts w:ascii="Arial Narrow" w:hAnsi="Arial Narrow" w:cs="Gisha"/>
          <w:color w:val="auto"/>
          <w:sz w:val="22"/>
          <w:szCs w:val="22"/>
        </w:rPr>
        <w:t xml:space="preserve">Mulaló – Loboguerrero, </w:t>
      </w:r>
    </w:p>
    <w:p w:rsidR="003F1473" w:rsidRDefault="003F1473" w:rsidP="00853B3A">
      <w:pPr>
        <w:pStyle w:val="Encabezado"/>
        <w:numPr>
          <w:ilvl w:val="0"/>
          <w:numId w:val="30"/>
        </w:numPr>
        <w:tabs>
          <w:tab w:val="left" w:pos="708"/>
        </w:tabs>
        <w:jc w:val="both"/>
      </w:pPr>
      <w:r w:rsidRPr="00460393">
        <w:rPr>
          <w:rFonts w:ascii="Arial Narrow" w:hAnsi="Arial Narrow" w:cs="Gisha"/>
          <w:color w:val="auto"/>
          <w:sz w:val="22"/>
          <w:szCs w:val="22"/>
        </w:rPr>
        <w:t>Segunda Calzada – Ibagué – Cajamarca,</w:t>
      </w:r>
      <w:r w:rsidRPr="00460393">
        <w:t xml:space="preserve"> </w:t>
      </w:r>
    </w:p>
    <w:p w:rsidR="003F1473" w:rsidRDefault="003F1473" w:rsidP="00853B3A">
      <w:pPr>
        <w:pStyle w:val="Encabezado"/>
        <w:numPr>
          <w:ilvl w:val="0"/>
          <w:numId w:val="30"/>
        </w:numPr>
        <w:tabs>
          <w:tab w:val="left" w:pos="708"/>
        </w:tabs>
        <w:jc w:val="both"/>
        <w:rPr>
          <w:rFonts w:ascii="Arial Narrow" w:hAnsi="Arial Narrow" w:cs="Gisha"/>
          <w:color w:val="auto"/>
          <w:sz w:val="22"/>
          <w:szCs w:val="22"/>
        </w:rPr>
      </w:pPr>
      <w:r w:rsidRPr="00460393">
        <w:rPr>
          <w:rFonts w:ascii="Arial Narrow" w:hAnsi="Arial Narrow" w:cs="Gisha"/>
          <w:color w:val="auto"/>
          <w:sz w:val="22"/>
          <w:szCs w:val="22"/>
        </w:rPr>
        <w:t xml:space="preserve">APP meta, Chirajara </w:t>
      </w:r>
    </w:p>
    <w:p w:rsidR="003F1473" w:rsidRDefault="003F1473" w:rsidP="00853B3A">
      <w:pPr>
        <w:pStyle w:val="Encabezado"/>
        <w:numPr>
          <w:ilvl w:val="0"/>
          <w:numId w:val="30"/>
        </w:numPr>
        <w:tabs>
          <w:tab w:val="left" w:pos="708"/>
        </w:tabs>
        <w:jc w:val="both"/>
        <w:rPr>
          <w:rFonts w:ascii="Arial Narrow" w:hAnsi="Arial Narrow" w:cs="Gisha"/>
          <w:color w:val="auto"/>
          <w:sz w:val="22"/>
          <w:szCs w:val="22"/>
        </w:rPr>
      </w:pPr>
      <w:r w:rsidRPr="00460393">
        <w:rPr>
          <w:rFonts w:ascii="Arial Narrow" w:hAnsi="Arial Narrow" w:cs="Gisha"/>
          <w:color w:val="auto"/>
          <w:sz w:val="22"/>
          <w:szCs w:val="22"/>
        </w:rPr>
        <w:t xml:space="preserve">Intercesión Fundadores, </w:t>
      </w:r>
    </w:p>
    <w:p w:rsidR="003F1473" w:rsidRDefault="003F1473" w:rsidP="00853B3A">
      <w:pPr>
        <w:pStyle w:val="Encabezado"/>
        <w:numPr>
          <w:ilvl w:val="0"/>
          <w:numId w:val="30"/>
        </w:numPr>
        <w:tabs>
          <w:tab w:val="left" w:pos="708"/>
        </w:tabs>
        <w:jc w:val="both"/>
        <w:rPr>
          <w:rFonts w:ascii="Arial Narrow" w:hAnsi="Arial Narrow" w:cs="Gisha"/>
          <w:color w:val="auto"/>
          <w:sz w:val="22"/>
          <w:szCs w:val="22"/>
        </w:rPr>
      </w:pPr>
      <w:r w:rsidRPr="00460393">
        <w:rPr>
          <w:rFonts w:ascii="Arial Narrow" w:hAnsi="Arial Narrow" w:cs="Gisha"/>
          <w:color w:val="auto"/>
          <w:sz w:val="22"/>
          <w:szCs w:val="22"/>
        </w:rPr>
        <w:t xml:space="preserve">Puerta del Hierro – Cruz del Viso, </w:t>
      </w:r>
    </w:p>
    <w:p w:rsidR="003F1473" w:rsidRDefault="003F1473" w:rsidP="00853B3A">
      <w:pPr>
        <w:pStyle w:val="Encabezado"/>
        <w:numPr>
          <w:ilvl w:val="0"/>
          <w:numId w:val="30"/>
        </w:numPr>
        <w:tabs>
          <w:tab w:val="left" w:pos="708"/>
        </w:tabs>
        <w:jc w:val="both"/>
        <w:rPr>
          <w:rFonts w:ascii="Arial Narrow" w:hAnsi="Arial Narrow" w:cs="Gisha"/>
          <w:color w:val="auto"/>
          <w:sz w:val="22"/>
          <w:szCs w:val="22"/>
        </w:rPr>
      </w:pPr>
      <w:r w:rsidRPr="00460393">
        <w:rPr>
          <w:rFonts w:ascii="Arial Narrow" w:hAnsi="Arial Narrow" w:cs="Gisha"/>
          <w:color w:val="auto"/>
          <w:sz w:val="22"/>
          <w:szCs w:val="22"/>
        </w:rPr>
        <w:t xml:space="preserve">Transversal del Sisga, </w:t>
      </w:r>
    </w:p>
    <w:p w:rsidR="003F1473" w:rsidRDefault="003F1473" w:rsidP="00853B3A">
      <w:pPr>
        <w:pStyle w:val="Encabezado"/>
        <w:numPr>
          <w:ilvl w:val="0"/>
          <w:numId w:val="30"/>
        </w:numPr>
        <w:tabs>
          <w:tab w:val="left" w:pos="708"/>
        </w:tabs>
        <w:jc w:val="both"/>
        <w:rPr>
          <w:rFonts w:ascii="Arial Narrow" w:hAnsi="Arial Narrow" w:cs="Gisha"/>
          <w:color w:val="auto"/>
          <w:sz w:val="22"/>
          <w:szCs w:val="22"/>
        </w:rPr>
      </w:pPr>
      <w:r w:rsidRPr="00460393">
        <w:rPr>
          <w:rFonts w:ascii="Arial Narrow" w:hAnsi="Arial Narrow" w:cs="Gisha"/>
          <w:color w:val="auto"/>
          <w:sz w:val="22"/>
          <w:szCs w:val="22"/>
        </w:rPr>
        <w:t xml:space="preserve">Cesar – Guajira, </w:t>
      </w:r>
    </w:p>
    <w:p w:rsidR="003F1473" w:rsidRDefault="003F1473" w:rsidP="00853B3A">
      <w:pPr>
        <w:pStyle w:val="Encabezado"/>
        <w:numPr>
          <w:ilvl w:val="0"/>
          <w:numId w:val="30"/>
        </w:numPr>
        <w:tabs>
          <w:tab w:val="left" w:pos="708"/>
        </w:tabs>
        <w:jc w:val="both"/>
        <w:rPr>
          <w:rFonts w:ascii="Arial Narrow" w:hAnsi="Arial Narrow" w:cs="Gisha"/>
          <w:color w:val="auto"/>
          <w:sz w:val="22"/>
          <w:szCs w:val="22"/>
        </w:rPr>
      </w:pPr>
      <w:r w:rsidRPr="00460393">
        <w:rPr>
          <w:rFonts w:ascii="Arial Narrow" w:hAnsi="Arial Narrow" w:cs="Gisha"/>
          <w:color w:val="auto"/>
          <w:sz w:val="22"/>
          <w:szCs w:val="22"/>
        </w:rPr>
        <w:t xml:space="preserve">Cambao – La Esperanza – </w:t>
      </w:r>
      <w:r w:rsidR="000F3139" w:rsidRPr="00460393">
        <w:rPr>
          <w:rFonts w:ascii="Arial Narrow" w:hAnsi="Arial Narrow" w:cs="Gisha"/>
          <w:color w:val="auto"/>
          <w:sz w:val="22"/>
          <w:szCs w:val="22"/>
        </w:rPr>
        <w:t>Ibagué</w:t>
      </w:r>
      <w:r w:rsidRPr="00460393">
        <w:rPr>
          <w:rFonts w:ascii="Arial Narrow" w:hAnsi="Arial Narrow" w:cs="Gisha"/>
          <w:color w:val="auto"/>
          <w:sz w:val="22"/>
          <w:szCs w:val="22"/>
        </w:rPr>
        <w:t xml:space="preserve"> Honda, </w:t>
      </w:r>
    </w:p>
    <w:p w:rsidR="003F1473" w:rsidRDefault="003F1473" w:rsidP="00853B3A">
      <w:pPr>
        <w:pStyle w:val="Encabezado"/>
        <w:numPr>
          <w:ilvl w:val="0"/>
          <w:numId w:val="30"/>
        </w:numPr>
        <w:tabs>
          <w:tab w:val="left" w:pos="708"/>
        </w:tabs>
        <w:jc w:val="both"/>
        <w:rPr>
          <w:rFonts w:ascii="Arial Narrow" w:hAnsi="Arial Narrow" w:cs="Gisha"/>
          <w:color w:val="auto"/>
          <w:sz w:val="22"/>
          <w:szCs w:val="22"/>
        </w:rPr>
      </w:pPr>
      <w:r w:rsidRPr="00460393">
        <w:rPr>
          <w:rFonts w:ascii="Arial Narrow" w:hAnsi="Arial Narrow" w:cs="Gisha"/>
          <w:color w:val="auto"/>
          <w:sz w:val="22"/>
          <w:szCs w:val="22"/>
        </w:rPr>
        <w:t xml:space="preserve">Popayán – Santander de Quilichao, </w:t>
      </w:r>
    </w:p>
    <w:p w:rsidR="003F1473" w:rsidRDefault="003F1473" w:rsidP="00853B3A">
      <w:pPr>
        <w:pStyle w:val="Encabezado"/>
        <w:numPr>
          <w:ilvl w:val="0"/>
          <w:numId w:val="30"/>
        </w:numPr>
        <w:tabs>
          <w:tab w:val="left" w:pos="708"/>
        </w:tabs>
        <w:jc w:val="both"/>
        <w:rPr>
          <w:rFonts w:ascii="Arial Narrow" w:hAnsi="Arial Narrow" w:cs="Gisha"/>
          <w:color w:val="auto"/>
          <w:sz w:val="22"/>
          <w:szCs w:val="22"/>
        </w:rPr>
      </w:pPr>
      <w:r w:rsidRPr="00460393">
        <w:rPr>
          <w:rFonts w:ascii="Arial Narrow" w:hAnsi="Arial Narrow" w:cs="Gisha"/>
          <w:color w:val="auto"/>
          <w:sz w:val="22"/>
          <w:szCs w:val="22"/>
        </w:rPr>
        <w:t xml:space="preserve">Santana – Mocoa, </w:t>
      </w:r>
    </w:p>
    <w:p w:rsidR="003F1473" w:rsidRDefault="003F1473" w:rsidP="00853B3A">
      <w:pPr>
        <w:pStyle w:val="Encabezado"/>
        <w:numPr>
          <w:ilvl w:val="0"/>
          <w:numId w:val="30"/>
        </w:numPr>
        <w:tabs>
          <w:tab w:val="left" w:pos="708"/>
        </w:tabs>
        <w:jc w:val="both"/>
        <w:rPr>
          <w:rFonts w:ascii="Arial Narrow" w:hAnsi="Arial Narrow" w:cs="Gisha"/>
          <w:color w:val="auto"/>
          <w:sz w:val="22"/>
          <w:szCs w:val="22"/>
        </w:rPr>
      </w:pPr>
      <w:r w:rsidRPr="00460393">
        <w:rPr>
          <w:rFonts w:ascii="Arial Narrow" w:hAnsi="Arial Narrow" w:cs="Gisha"/>
          <w:color w:val="auto"/>
          <w:sz w:val="22"/>
          <w:szCs w:val="22"/>
        </w:rPr>
        <w:t xml:space="preserve">Mar 1, </w:t>
      </w:r>
    </w:p>
    <w:p w:rsidR="003F1473" w:rsidRDefault="003F1473" w:rsidP="00853B3A">
      <w:pPr>
        <w:pStyle w:val="Encabezado"/>
        <w:numPr>
          <w:ilvl w:val="0"/>
          <w:numId w:val="30"/>
        </w:numPr>
        <w:tabs>
          <w:tab w:val="left" w:pos="708"/>
        </w:tabs>
        <w:jc w:val="both"/>
        <w:rPr>
          <w:rFonts w:ascii="Arial Narrow" w:hAnsi="Arial Narrow" w:cs="Gisha"/>
          <w:color w:val="auto"/>
          <w:sz w:val="22"/>
          <w:szCs w:val="22"/>
        </w:rPr>
      </w:pPr>
      <w:r w:rsidRPr="00460393">
        <w:rPr>
          <w:rFonts w:ascii="Arial Narrow" w:hAnsi="Arial Narrow" w:cs="Gisha"/>
          <w:color w:val="auto"/>
          <w:sz w:val="22"/>
          <w:szCs w:val="22"/>
        </w:rPr>
        <w:t xml:space="preserve">Bucaramanga – Barrancabermeja – </w:t>
      </w:r>
      <w:r w:rsidR="000F3139" w:rsidRPr="00460393">
        <w:rPr>
          <w:rFonts w:ascii="Arial Narrow" w:hAnsi="Arial Narrow" w:cs="Gisha"/>
          <w:color w:val="auto"/>
          <w:sz w:val="22"/>
          <w:szCs w:val="22"/>
        </w:rPr>
        <w:t>Yondo</w:t>
      </w:r>
      <w:r w:rsidRPr="00460393">
        <w:rPr>
          <w:rFonts w:ascii="Arial Narrow" w:hAnsi="Arial Narrow" w:cs="Gisha"/>
          <w:color w:val="auto"/>
          <w:sz w:val="22"/>
          <w:szCs w:val="22"/>
        </w:rPr>
        <w:t xml:space="preserve">, </w:t>
      </w:r>
    </w:p>
    <w:p w:rsidR="003F1473" w:rsidRDefault="003F1473" w:rsidP="00853B3A">
      <w:pPr>
        <w:pStyle w:val="Encabezado"/>
        <w:numPr>
          <w:ilvl w:val="0"/>
          <w:numId w:val="30"/>
        </w:numPr>
        <w:tabs>
          <w:tab w:val="left" w:pos="708"/>
        </w:tabs>
        <w:jc w:val="both"/>
        <w:rPr>
          <w:rFonts w:ascii="Arial Narrow" w:hAnsi="Arial Narrow" w:cs="Gisha"/>
          <w:color w:val="auto"/>
          <w:sz w:val="22"/>
          <w:szCs w:val="22"/>
        </w:rPr>
      </w:pPr>
      <w:r w:rsidRPr="00460393">
        <w:rPr>
          <w:rFonts w:ascii="Arial Narrow" w:hAnsi="Arial Narrow" w:cs="Gisha"/>
          <w:color w:val="auto"/>
          <w:sz w:val="22"/>
          <w:szCs w:val="22"/>
        </w:rPr>
        <w:t xml:space="preserve">Rumichaca – Pasto, </w:t>
      </w:r>
    </w:p>
    <w:p w:rsidR="003F1473" w:rsidRDefault="003F1473" w:rsidP="00853B3A">
      <w:pPr>
        <w:pStyle w:val="Encabezado"/>
        <w:numPr>
          <w:ilvl w:val="0"/>
          <w:numId w:val="30"/>
        </w:numPr>
        <w:tabs>
          <w:tab w:val="left" w:pos="708"/>
        </w:tabs>
        <w:jc w:val="both"/>
        <w:rPr>
          <w:rFonts w:ascii="Arial Narrow" w:hAnsi="Arial Narrow" w:cs="Gisha"/>
          <w:color w:val="auto"/>
          <w:sz w:val="22"/>
          <w:szCs w:val="22"/>
        </w:rPr>
      </w:pPr>
      <w:r w:rsidRPr="00460393">
        <w:rPr>
          <w:rFonts w:ascii="Arial Narrow" w:hAnsi="Arial Narrow" w:cs="Gisha"/>
          <w:color w:val="auto"/>
          <w:sz w:val="22"/>
          <w:szCs w:val="22"/>
        </w:rPr>
        <w:t xml:space="preserve">IP Antioquia – Bolívar y </w:t>
      </w:r>
    </w:p>
    <w:p w:rsidR="003F1473" w:rsidRDefault="003F1473" w:rsidP="00853B3A">
      <w:pPr>
        <w:pStyle w:val="Encabezado"/>
        <w:numPr>
          <w:ilvl w:val="0"/>
          <w:numId w:val="30"/>
        </w:numPr>
        <w:tabs>
          <w:tab w:val="left" w:pos="708"/>
        </w:tabs>
        <w:jc w:val="both"/>
        <w:rPr>
          <w:rFonts w:ascii="Arial Narrow" w:hAnsi="Arial Narrow" w:cs="Gisha"/>
          <w:color w:val="auto"/>
          <w:sz w:val="22"/>
          <w:szCs w:val="22"/>
        </w:rPr>
      </w:pPr>
      <w:r w:rsidRPr="00460393">
        <w:rPr>
          <w:rFonts w:ascii="Arial Narrow" w:hAnsi="Arial Narrow" w:cs="Gisha"/>
          <w:color w:val="auto"/>
          <w:sz w:val="22"/>
          <w:szCs w:val="22"/>
        </w:rPr>
        <w:lastRenderedPageBreak/>
        <w:t xml:space="preserve">Autovía Neiva – Girardot. </w:t>
      </w:r>
    </w:p>
    <w:p w:rsidR="003F1473" w:rsidRDefault="003F1473" w:rsidP="003F1473">
      <w:pPr>
        <w:pStyle w:val="Encabezado"/>
        <w:tabs>
          <w:tab w:val="left" w:pos="708"/>
        </w:tabs>
        <w:jc w:val="both"/>
        <w:rPr>
          <w:rFonts w:ascii="Arial Narrow" w:hAnsi="Arial Narrow" w:cs="Gisha"/>
          <w:color w:val="auto"/>
          <w:sz w:val="22"/>
          <w:szCs w:val="22"/>
        </w:rPr>
      </w:pPr>
    </w:p>
    <w:p w:rsidR="003F1473" w:rsidRDefault="003F1473" w:rsidP="003F1473">
      <w:pPr>
        <w:pStyle w:val="Encabezado"/>
        <w:tabs>
          <w:tab w:val="left" w:pos="708"/>
        </w:tabs>
        <w:jc w:val="both"/>
        <w:rPr>
          <w:rFonts w:ascii="Arial Narrow" w:hAnsi="Arial Narrow" w:cs="Gisha"/>
          <w:color w:val="auto"/>
          <w:sz w:val="22"/>
          <w:szCs w:val="22"/>
        </w:rPr>
      </w:pPr>
      <w:r>
        <w:rPr>
          <w:rFonts w:ascii="Arial Narrow" w:hAnsi="Arial Narrow" w:cs="Gisha"/>
          <w:color w:val="auto"/>
          <w:sz w:val="22"/>
          <w:szCs w:val="22"/>
        </w:rPr>
        <w:t xml:space="preserve">El registro de los rendimientos se efectuaron atendiendo a lo indicado en el </w:t>
      </w:r>
      <w:r w:rsidRPr="00460393">
        <w:rPr>
          <w:rFonts w:ascii="Arial Narrow" w:hAnsi="Arial Narrow" w:cs="Gisha"/>
          <w:color w:val="auto"/>
          <w:sz w:val="22"/>
          <w:szCs w:val="22"/>
        </w:rPr>
        <w:t xml:space="preserve">concepto 2014-2300008981 de 11 de abril de 2014 emitido por la Contaduría General de la Nación. </w:t>
      </w:r>
    </w:p>
    <w:p w:rsidR="003F1473" w:rsidRDefault="003F1473" w:rsidP="003F1473">
      <w:pPr>
        <w:pStyle w:val="Encabezado"/>
        <w:tabs>
          <w:tab w:val="left" w:pos="708"/>
        </w:tabs>
        <w:jc w:val="both"/>
        <w:rPr>
          <w:rFonts w:ascii="Arial Narrow" w:hAnsi="Arial Narrow" w:cs="Gisha"/>
          <w:color w:val="auto"/>
          <w:sz w:val="22"/>
          <w:szCs w:val="22"/>
        </w:rPr>
      </w:pPr>
    </w:p>
    <w:p w:rsidR="003F1473" w:rsidRDefault="003F1473" w:rsidP="003F1473">
      <w:pPr>
        <w:pStyle w:val="Encabezado"/>
        <w:tabs>
          <w:tab w:val="left" w:pos="708"/>
        </w:tabs>
        <w:jc w:val="both"/>
        <w:rPr>
          <w:rFonts w:ascii="Arial Narrow" w:hAnsi="Arial Narrow" w:cs="Gisha"/>
          <w:color w:val="auto"/>
          <w:sz w:val="22"/>
          <w:szCs w:val="22"/>
        </w:rPr>
      </w:pPr>
      <w:r w:rsidRPr="00460393">
        <w:rPr>
          <w:rFonts w:ascii="Arial Narrow" w:hAnsi="Arial Narrow" w:cs="Gisha"/>
          <w:color w:val="auto"/>
          <w:sz w:val="22"/>
          <w:szCs w:val="22"/>
        </w:rPr>
        <w:t xml:space="preserve">También </w:t>
      </w:r>
      <w:r>
        <w:rPr>
          <w:rFonts w:ascii="Arial Narrow" w:hAnsi="Arial Narrow" w:cs="Gisha"/>
          <w:color w:val="auto"/>
          <w:sz w:val="22"/>
          <w:szCs w:val="22"/>
        </w:rPr>
        <w:t xml:space="preserve">en Otros ingresos </w:t>
      </w:r>
      <w:r w:rsidRPr="00460393">
        <w:rPr>
          <w:rFonts w:ascii="Arial Narrow" w:hAnsi="Arial Narrow" w:cs="Gisha"/>
          <w:color w:val="auto"/>
          <w:sz w:val="22"/>
          <w:szCs w:val="22"/>
        </w:rPr>
        <w:t xml:space="preserve">se registran, los ingresos por concepto de rendimientos </w:t>
      </w:r>
      <w:r>
        <w:rPr>
          <w:rFonts w:ascii="Arial Narrow" w:hAnsi="Arial Narrow" w:cs="Gisha"/>
          <w:color w:val="auto"/>
          <w:sz w:val="22"/>
          <w:szCs w:val="22"/>
        </w:rPr>
        <w:t xml:space="preserve">generados por el </w:t>
      </w:r>
      <w:r w:rsidRPr="00460393">
        <w:rPr>
          <w:rFonts w:ascii="Arial Narrow" w:hAnsi="Arial Narrow" w:cs="Gisha"/>
          <w:color w:val="auto"/>
          <w:sz w:val="22"/>
          <w:szCs w:val="22"/>
        </w:rPr>
        <w:t>patrimonio autónomo</w:t>
      </w:r>
      <w:r>
        <w:rPr>
          <w:rFonts w:ascii="Arial Narrow" w:hAnsi="Arial Narrow" w:cs="Gisha"/>
          <w:color w:val="auto"/>
          <w:sz w:val="22"/>
          <w:szCs w:val="22"/>
        </w:rPr>
        <w:t xml:space="preserve"> de la concesión Transversal de las Américas</w:t>
      </w:r>
      <w:r w:rsidRPr="00460393">
        <w:rPr>
          <w:rFonts w:ascii="Arial Narrow" w:hAnsi="Arial Narrow" w:cs="Gisha"/>
          <w:color w:val="auto"/>
          <w:sz w:val="22"/>
          <w:szCs w:val="22"/>
        </w:rPr>
        <w:t xml:space="preserve">, </w:t>
      </w:r>
      <w:r>
        <w:rPr>
          <w:rFonts w:ascii="Arial Narrow" w:hAnsi="Arial Narrow" w:cs="Gisha"/>
          <w:color w:val="auto"/>
          <w:sz w:val="22"/>
          <w:szCs w:val="22"/>
        </w:rPr>
        <w:t>cuy</w:t>
      </w:r>
      <w:r w:rsidR="00633E0B">
        <w:rPr>
          <w:rFonts w:ascii="Arial Narrow" w:hAnsi="Arial Narrow" w:cs="Gisha"/>
          <w:color w:val="auto"/>
          <w:sz w:val="22"/>
          <w:szCs w:val="22"/>
        </w:rPr>
        <w:t>a destinación es específica</w:t>
      </w:r>
      <w:r>
        <w:rPr>
          <w:rFonts w:ascii="Arial Narrow" w:hAnsi="Arial Narrow" w:cs="Gisha"/>
          <w:color w:val="auto"/>
          <w:sz w:val="22"/>
          <w:szCs w:val="22"/>
        </w:rPr>
        <w:t xml:space="preserve"> </w:t>
      </w:r>
      <w:r w:rsidRPr="00460393">
        <w:rPr>
          <w:rFonts w:ascii="Arial Narrow" w:hAnsi="Arial Narrow" w:cs="Gisha"/>
          <w:color w:val="auto"/>
          <w:sz w:val="22"/>
          <w:szCs w:val="22"/>
        </w:rPr>
        <w:t>para el pago de la interventoría al Consorcio interventoría de las Américas, por valor de $2.169.350 miles</w:t>
      </w:r>
      <w:r>
        <w:rPr>
          <w:rFonts w:ascii="Arial Narrow" w:hAnsi="Arial Narrow" w:cs="Gisha"/>
          <w:color w:val="auto"/>
          <w:sz w:val="22"/>
          <w:szCs w:val="22"/>
        </w:rPr>
        <w:t xml:space="preserve">. </w:t>
      </w:r>
    </w:p>
    <w:p w:rsidR="003F1473" w:rsidRDefault="003F1473" w:rsidP="003F1473">
      <w:pPr>
        <w:pStyle w:val="Encabezado"/>
        <w:tabs>
          <w:tab w:val="left" w:pos="708"/>
        </w:tabs>
        <w:jc w:val="both"/>
        <w:rPr>
          <w:rFonts w:ascii="Arial Narrow" w:hAnsi="Arial Narrow" w:cs="Gisha"/>
          <w:color w:val="auto"/>
          <w:sz w:val="22"/>
          <w:szCs w:val="22"/>
        </w:rPr>
      </w:pPr>
    </w:p>
    <w:p w:rsidR="003F1473" w:rsidRPr="00460393" w:rsidRDefault="003F1473" w:rsidP="003F1473">
      <w:pPr>
        <w:pStyle w:val="Encabezado"/>
        <w:tabs>
          <w:tab w:val="left" w:pos="708"/>
        </w:tabs>
        <w:jc w:val="both"/>
        <w:rPr>
          <w:rFonts w:ascii="Arial Narrow" w:hAnsi="Arial Narrow" w:cs="Gisha"/>
          <w:color w:val="auto"/>
          <w:sz w:val="22"/>
          <w:szCs w:val="22"/>
        </w:rPr>
      </w:pPr>
      <w:r>
        <w:rPr>
          <w:rFonts w:ascii="Arial Narrow" w:hAnsi="Arial Narrow" w:cs="Gisha"/>
          <w:color w:val="auto"/>
          <w:sz w:val="22"/>
          <w:szCs w:val="22"/>
        </w:rPr>
        <w:t>Por otra parte</w:t>
      </w:r>
      <w:r w:rsidR="00633E0B">
        <w:rPr>
          <w:rFonts w:ascii="Arial Narrow" w:hAnsi="Arial Narrow" w:cs="Gisha"/>
          <w:color w:val="auto"/>
          <w:sz w:val="22"/>
          <w:szCs w:val="22"/>
        </w:rPr>
        <w:t>,</w:t>
      </w:r>
      <w:r>
        <w:rPr>
          <w:rFonts w:ascii="Arial Narrow" w:hAnsi="Arial Narrow" w:cs="Gisha"/>
          <w:color w:val="auto"/>
          <w:sz w:val="22"/>
          <w:szCs w:val="22"/>
        </w:rPr>
        <w:t xml:space="preserve"> s</w:t>
      </w:r>
      <w:r w:rsidRPr="00460393">
        <w:rPr>
          <w:rFonts w:ascii="Arial Narrow" w:hAnsi="Arial Narrow" w:cs="Gisha"/>
          <w:color w:val="auto"/>
          <w:sz w:val="22"/>
          <w:szCs w:val="22"/>
        </w:rPr>
        <w:t>e registró</w:t>
      </w:r>
      <w:r>
        <w:rPr>
          <w:rFonts w:ascii="Arial Narrow" w:hAnsi="Arial Narrow" w:cs="Gisha"/>
          <w:color w:val="auto"/>
          <w:sz w:val="22"/>
          <w:szCs w:val="22"/>
        </w:rPr>
        <w:t xml:space="preserve"> en otros ingresos, </w:t>
      </w:r>
      <w:r w:rsidRPr="00460393">
        <w:rPr>
          <w:rFonts w:ascii="Arial Narrow" w:hAnsi="Arial Narrow" w:cs="Gisha"/>
          <w:color w:val="auto"/>
          <w:sz w:val="22"/>
          <w:szCs w:val="22"/>
        </w:rPr>
        <w:t>la actualización de intereses a 31 de enero de 2015  por valor de $96.352 miles correspondientes a deuda de la Sociedad Portuaria de la Península S.A:, Pens</w:t>
      </w:r>
      <w:r w:rsidR="00F62061">
        <w:rPr>
          <w:rFonts w:ascii="Arial Narrow" w:hAnsi="Arial Narrow" w:cs="Gisha"/>
          <w:color w:val="auto"/>
          <w:sz w:val="22"/>
          <w:szCs w:val="22"/>
        </w:rPr>
        <w:t>a</w:t>
      </w:r>
      <w:r w:rsidRPr="00460393">
        <w:rPr>
          <w:rFonts w:ascii="Arial Narrow" w:hAnsi="Arial Narrow" w:cs="Gisha"/>
          <w:color w:val="auto"/>
          <w:sz w:val="22"/>
          <w:szCs w:val="22"/>
        </w:rPr>
        <w:t>port S.A., Resolución ANI No. 545 de 2011 se impuso multa por valor  (US$27.500) ...por incumplimiento total de su obligación contractual relacionada con el plan de inversiones establecido para el primer año, esto es noviembre 2009 a noviembre 2010 Intereses a 31 de enero de 2015 (US$39.472,17) se actualiza a la TRM 31 diciembre de 2015.</w:t>
      </w:r>
    </w:p>
    <w:p w:rsidR="003F1473" w:rsidRPr="00460393" w:rsidRDefault="003F1473" w:rsidP="003F1473">
      <w:pPr>
        <w:pStyle w:val="Encabezado"/>
        <w:tabs>
          <w:tab w:val="left" w:pos="708"/>
        </w:tabs>
        <w:jc w:val="both"/>
        <w:rPr>
          <w:rFonts w:ascii="Arial Narrow" w:hAnsi="Arial Narrow" w:cs="Gisha"/>
          <w:color w:val="auto"/>
          <w:sz w:val="22"/>
          <w:szCs w:val="22"/>
        </w:rPr>
      </w:pPr>
    </w:p>
    <w:p w:rsidR="003F1473" w:rsidRDefault="003F1473" w:rsidP="003F1473">
      <w:pPr>
        <w:pStyle w:val="Encabezado"/>
        <w:tabs>
          <w:tab w:val="left" w:pos="708"/>
        </w:tabs>
        <w:jc w:val="both"/>
        <w:rPr>
          <w:rFonts w:ascii="Arial Narrow" w:hAnsi="Arial Narrow" w:cs="Gisha"/>
          <w:color w:val="auto"/>
          <w:sz w:val="22"/>
          <w:szCs w:val="22"/>
        </w:rPr>
      </w:pPr>
      <w:r>
        <w:rPr>
          <w:rFonts w:ascii="Arial Narrow" w:hAnsi="Arial Narrow" w:cs="Gisha"/>
          <w:color w:val="auto"/>
          <w:sz w:val="22"/>
          <w:szCs w:val="22"/>
        </w:rPr>
        <w:t>El valor de $</w:t>
      </w:r>
      <w:r w:rsidRPr="00CC456E">
        <w:t xml:space="preserve"> </w:t>
      </w:r>
      <w:r w:rsidRPr="00CC456E">
        <w:rPr>
          <w:rFonts w:ascii="Arial Narrow" w:hAnsi="Arial Narrow" w:cs="Gisha"/>
          <w:color w:val="auto"/>
          <w:sz w:val="22"/>
          <w:szCs w:val="22"/>
        </w:rPr>
        <w:t>112.256.575</w:t>
      </w:r>
      <w:r>
        <w:rPr>
          <w:rFonts w:ascii="Arial Narrow" w:hAnsi="Arial Narrow" w:cs="Gisha"/>
          <w:color w:val="auto"/>
          <w:sz w:val="22"/>
          <w:szCs w:val="22"/>
        </w:rPr>
        <w:t xml:space="preserve"> miles, registrado en la cuenta,</w:t>
      </w:r>
      <w:r w:rsidRPr="00CC456E">
        <w:t xml:space="preserve"> </w:t>
      </w:r>
      <w:r w:rsidRPr="00CC456E">
        <w:rPr>
          <w:rFonts w:ascii="Arial Narrow" w:hAnsi="Arial Narrow" w:cs="Gisha"/>
          <w:color w:val="auto"/>
          <w:sz w:val="22"/>
          <w:szCs w:val="22"/>
        </w:rPr>
        <w:t>Intereses sobre Depósitos en Instit</w:t>
      </w:r>
      <w:r>
        <w:rPr>
          <w:rFonts w:ascii="Arial Narrow" w:hAnsi="Arial Narrow" w:cs="Gisha"/>
          <w:color w:val="auto"/>
          <w:sz w:val="22"/>
          <w:szCs w:val="22"/>
        </w:rPr>
        <w:t xml:space="preserve">uciones </w:t>
      </w:r>
      <w:r w:rsidRPr="00CC456E">
        <w:rPr>
          <w:rFonts w:ascii="Arial Narrow" w:hAnsi="Arial Narrow" w:cs="Gisha"/>
          <w:color w:val="auto"/>
          <w:sz w:val="22"/>
          <w:szCs w:val="22"/>
        </w:rPr>
        <w:t>Fina</w:t>
      </w:r>
      <w:r>
        <w:rPr>
          <w:rFonts w:ascii="Arial Narrow" w:hAnsi="Arial Narrow" w:cs="Gisha"/>
          <w:color w:val="auto"/>
          <w:sz w:val="22"/>
          <w:szCs w:val="22"/>
        </w:rPr>
        <w:t>ncieras, corresponde a</w:t>
      </w:r>
      <w:r w:rsidR="00F46D46">
        <w:rPr>
          <w:rFonts w:ascii="Arial Narrow" w:hAnsi="Arial Narrow" w:cs="Gisha"/>
          <w:color w:val="auto"/>
          <w:sz w:val="22"/>
          <w:szCs w:val="22"/>
        </w:rPr>
        <w:t>: 1)</w:t>
      </w:r>
      <w:r w:rsidR="006829FC">
        <w:rPr>
          <w:rFonts w:ascii="Arial Narrow" w:hAnsi="Arial Narrow" w:cs="Gisha"/>
          <w:color w:val="auto"/>
          <w:sz w:val="22"/>
          <w:szCs w:val="22"/>
        </w:rPr>
        <w:t xml:space="preserve"> </w:t>
      </w:r>
      <w:r w:rsidR="00F46D46">
        <w:rPr>
          <w:rFonts w:ascii="Arial Narrow" w:hAnsi="Arial Narrow" w:cs="Gisha"/>
          <w:color w:val="auto"/>
          <w:sz w:val="22"/>
          <w:szCs w:val="22"/>
        </w:rPr>
        <w:t>L</w:t>
      </w:r>
      <w:r w:rsidRPr="00460393">
        <w:rPr>
          <w:rFonts w:ascii="Arial Narrow" w:hAnsi="Arial Narrow" w:cs="Gisha"/>
          <w:color w:val="auto"/>
          <w:sz w:val="22"/>
          <w:szCs w:val="22"/>
        </w:rPr>
        <w:t>os</w:t>
      </w:r>
      <w:r>
        <w:rPr>
          <w:rFonts w:ascii="Arial Narrow" w:hAnsi="Arial Narrow" w:cs="Gisha"/>
          <w:color w:val="auto"/>
          <w:sz w:val="22"/>
          <w:szCs w:val="22"/>
        </w:rPr>
        <w:t xml:space="preserve"> rendimientos generados en virtud del contrato de concesión Transversal de las Américas sin situación de fondos </w:t>
      </w:r>
      <w:r w:rsidRPr="00460393">
        <w:rPr>
          <w:rFonts w:ascii="Arial Narrow" w:hAnsi="Arial Narrow" w:cs="Gisha"/>
          <w:color w:val="auto"/>
          <w:sz w:val="22"/>
          <w:szCs w:val="22"/>
        </w:rPr>
        <w:t>por va</w:t>
      </w:r>
      <w:r>
        <w:rPr>
          <w:rFonts w:ascii="Arial Narrow" w:hAnsi="Arial Narrow" w:cs="Gisha"/>
          <w:color w:val="auto"/>
          <w:sz w:val="22"/>
          <w:szCs w:val="22"/>
        </w:rPr>
        <w:t xml:space="preserve">lor de $40.000.000 miles por concepto de </w:t>
      </w:r>
      <w:r w:rsidRPr="00460393">
        <w:rPr>
          <w:rFonts w:ascii="Arial Narrow" w:hAnsi="Arial Narrow" w:cs="Gisha"/>
          <w:color w:val="auto"/>
          <w:sz w:val="22"/>
          <w:szCs w:val="22"/>
        </w:rPr>
        <w:t>aportes al Fondo de Contingencias Entidades Estatales</w:t>
      </w:r>
      <w:r w:rsidR="00F46D46">
        <w:rPr>
          <w:rFonts w:ascii="Arial Narrow" w:hAnsi="Arial Narrow" w:cs="Gisha"/>
          <w:color w:val="auto"/>
          <w:sz w:val="22"/>
          <w:szCs w:val="22"/>
        </w:rPr>
        <w:t>. 2)</w:t>
      </w:r>
      <w:r w:rsidRPr="00460393">
        <w:rPr>
          <w:rFonts w:ascii="Arial Narrow" w:hAnsi="Arial Narrow" w:cs="Gisha"/>
          <w:color w:val="auto"/>
          <w:sz w:val="22"/>
          <w:szCs w:val="22"/>
        </w:rPr>
        <w:t xml:space="preserve">  </w:t>
      </w:r>
      <w:r w:rsidR="00F46D46">
        <w:rPr>
          <w:rFonts w:ascii="Arial Narrow" w:hAnsi="Arial Narrow" w:cs="Gisha"/>
          <w:color w:val="auto"/>
          <w:sz w:val="22"/>
          <w:szCs w:val="22"/>
        </w:rPr>
        <w:t>A</w:t>
      </w:r>
      <w:r w:rsidRPr="00460393">
        <w:rPr>
          <w:rFonts w:ascii="Arial Narrow" w:hAnsi="Arial Narrow" w:cs="Gisha"/>
          <w:color w:val="auto"/>
          <w:sz w:val="22"/>
          <w:szCs w:val="22"/>
        </w:rPr>
        <w:t>l</w:t>
      </w:r>
      <w:r>
        <w:rPr>
          <w:rFonts w:ascii="Arial Narrow" w:hAnsi="Arial Narrow" w:cs="Gisha"/>
          <w:color w:val="auto"/>
          <w:sz w:val="22"/>
          <w:szCs w:val="22"/>
        </w:rPr>
        <w:t xml:space="preserve"> aporte de recursos nación sin situación de fondos por</w:t>
      </w:r>
      <w:r w:rsidRPr="00460393">
        <w:rPr>
          <w:rFonts w:ascii="Arial Narrow" w:hAnsi="Arial Narrow" w:cs="Gisha"/>
          <w:color w:val="auto"/>
          <w:sz w:val="22"/>
          <w:szCs w:val="22"/>
        </w:rPr>
        <w:t xml:space="preserve"> valor de $57.830.650 miles corresponde a Otros sí No.12 al contrato de Concesión No. 008 de 2010</w:t>
      </w:r>
      <w:r w:rsidR="00F46D46">
        <w:rPr>
          <w:rFonts w:ascii="Arial Narrow" w:hAnsi="Arial Narrow" w:cs="Gisha"/>
          <w:color w:val="auto"/>
          <w:sz w:val="22"/>
          <w:szCs w:val="22"/>
        </w:rPr>
        <w:t xml:space="preserve"> de Transversal de las Américas</w:t>
      </w:r>
      <w:r w:rsidRPr="00460393">
        <w:rPr>
          <w:rFonts w:ascii="Arial Narrow" w:hAnsi="Arial Narrow" w:cs="Gisha"/>
          <w:color w:val="auto"/>
          <w:sz w:val="22"/>
          <w:szCs w:val="22"/>
        </w:rPr>
        <w:t xml:space="preserve">, Aporte Estatal sin situación de fondos. </w:t>
      </w:r>
      <w:r w:rsidR="00F46D46">
        <w:rPr>
          <w:rFonts w:ascii="Arial Narrow" w:hAnsi="Arial Narrow" w:cs="Gisha"/>
          <w:color w:val="auto"/>
          <w:sz w:val="22"/>
          <w:szCs w:val="22"/>
        </w:rPr>
        <w:t xml:space="preserve">3) </w:t>
      </w:r>
      <w:r>
        <w:rPr>
          <w:rFonts w:ascii="Arial Narrow" w:hAnsi="Arial Narrow" w:cs="Gisha"/>
          <w:color w:val="auto"/>
          <w:sz w:val="22"/>
          <w:szCs w:val="22"/>
        </w:rPr>
        <w:t xml:space="preserve">El valor de $ 14.381.041 miles de </w:t>
      </w:r>
      <w:r w:rsidRPr="00460393">
        <w:rPr>
          <w:rFonts w:ascii="Arial Narrow" w:hAnsi="Arial Narrow" w:cs="Gisha"/>
          <w:color w:val="auto"/>
          <w:sz w:val="22"/>
          <w:szCs w:val="22"/>
        </w:rPr>
        <w:t>los rendimientos financieros generados en los patrimonios autónomos</w:t>
      </w:r>
      <w:r>
        <w:rPr>
          <w:rFonts w:ascii="Arial Narrow" w:hAnsi="Arial Narrow" w:cs="Gisha"/>
          <w:color w:val="auto"/>
          <w:sz w:val="22"/>
          <w:szCs w:val="22"/>
        </w:rPr>
        <w:t xml:space="preserve"> de las diferentes concesiones, consignados a la Dirección del Tesoro,</w:t>
      </w:r>
      <w:r w:rsidRPr="00460393">
        <w:rPr>
          <w:rFonts w:ascii="Arial Narrow" w:hAnsi="Arial Narrow" w:cs="Gisha"/>
          <w:color w:val="auto"/>
          <w:sz w:val="22"/>
          <w:szCs w:val="22"/>
        </w:rPr>
        <w:t xml:space="preserve"> </w:t>
      </w:r>
      <w:r>
        <w:rPr>
          <w:rFonts w:ascii="Arial Narrow" w:hAnsi="Arial Narrow" w:cs="Gisha"/>
          <w:color w:val="auto"/>
          <w:sz w:val="22"/>
          <w:szCs w:val="22"/>
        </w:rPr>
        <w:t xml:space="preserve"> y registradas en la vigencia 2015 con </w:t>
      </w:r>
      <w:r w:rsidRPr="00460393">
        <w:rPr>
          <w:rFonts w:ascii="Arial Narrow" w:hAnsi="Arial Narrow" w:cs="Gisha"/>
          <w:color w:val="auto"/>
          <w:sz w:val="22"/>
          <w:szCs w:val="22"/>
        </w:rPr>
        <w:t>las notas crédito publicado en la página del Ministerio de Hacienda</w:t>
      </w:r>
      <w:r>
        <w:rPr>
          <w:rFonts w:ascii="Arial Narrow" w:hAnsi="Arial Narrow" w:cs="Gisha"/>
          <w:color w:val="auto"/>
          <w:sz w:val="22"/>
          <w:szCs w:val="22"/>
        </w:rPr>
        <w:t xml:space="preserve">. </w:t>
      </w:r>
      <w:r w:rsidR="00F46D46">
        <w:rPr>
          <w:rFonts w:ascii="Arial Narrow" w:hAnsi="Arial Narrow" w:cs="Gisha"/>
          <w:color w:val="auto"/>
          <w:sz w:val="22"/>
          <w:szCs w:val="22"/>
        </w:rPr>
        <w:t>4)</w:t>
      </w:r>
      <w:r>
        <w:rPr>
          <w:rFonts w:ascii="Arial Narrow" w:hAnsi="Arial Narrow" w:cs="Gisha"/>
          <w:color w:val="auto"/>
          <w:sz w:val="22"/>
          <w:szCs w:val="22"/>
        </w:rPr>
        <w:t xml:space="preserve"> </w:t>
      </w:r>
      <w:r w:rsidR="00F46D46">
        <w:rPr>
          <w:rFonts w:ascii="Arial Narrow" w:hAnsi="Arial Narrow" w:cs="Gisha"/>
          <w:color w:val="auto"/>
          <w:sz w:val="22"/>
          <w:szCs w:val="22"/>
        </w:rPr>
        <w:t>E</w:t>
      </w:r>
      <w:r>
        <w:rPr>
          <w:rFonts w:ascii="Arial Narrow" w:hAnsi="Arial Narrow" w:cs="Gisha"/>
          <w:color w:val="auto"/>
          <w:sz w:val="22"/>
          <w:szCs w:val="22"/>
        </w:rPr>
        <w:t>l valor de $44.884 miles correspondiente a los rendimientos financieros generados en la vigencia 2015 de la cuenta de ahorros de la entidad.</w:t>
      </w:r>
    </w:p>
    <w:p w:rsidR="003F1473" w:rsidRDefault="003F1473" w:rsidP="003F1473">
      <w:pPr>
        <w:pStyle w:val="Encabezado"/>
        <w:tabs>
          <w:tab w:val="left" w:pos="708"/>
        </w:tabs>
        <w:jc w:val="both"/>
        <w:rPr>
          <w:rFonts w:ascii="Arial Narrow" w:hAnsi="Arial Narrow" w:cs="Gisha"/>
          <w:color w:val="auto"/>
          <w:sz w:val="22"/>
          <w:szCs w:val="22"/>
        </w:rPr>
      </w:pPr>
    </w:p>
    <w:p w:rsidR="003F1473" w:rsidRDefault="003F1473" w:rsidP="003F1473">
      <w:pPr>
        <w:pStyle w:val="Encabezado"/>
        <w:tabs>
          <w:tab w:val="left" w:pos="708"/>
        </w:tabs>
        <w:jc w:val="both"/>
        <w:rPr>
          <w:rFonts w:ascii="Arial Narrow" w:hAnsi="Arial Narrow" w:cs="Gisha"/>
          <w:color w:val="auto"/>
          <w:sz w:val="22"/>
          <w:szCs w:val="22"/>
        </w:rPr>
      </w:pPr>
      <w:r>
        <w:rPr>
          <w:rFonts w:ascii="Arial Narrow" w:hAnsi="Arial Narrow" w:cs="Gisha"/>
          <w:color w:val="auto"/>
          <w:sz w:val="22"/>
          <w:szCs w:val="22"/>
        </w:rPr>
        <w:t>El valor de $</w:t>
      </w:r>
      <w:r w:rsidRPr="00E17326">
        <w:t xml:space="preserve"> </w:t>
      </w:r>
      <w:r w:rsidRPr="00E17326">
        <w:rPr>
          <w:rFonts w:ascii="Arial Narrow" w:hAnsi="Arial Narrow" w:cs="Gisha"/>
          <w:color w:val="auto"/>
          <w:sz w:val="22"/>
          <w:szCs w:val="22"/>
        </w:rPr>
        <w:t>111.046.207</w:t>
      </w:r>
      <w:r>
        <w:rPr>
          <w:rFonts w:ascii="Arial Narrow" w:hAnsi="Arial Narrow" w:cs="Gisha"/>
          <w:color w:val="auto"/>
          <w:sz w:val="22"/>
          <w:szCs w:val="22"/>
        </w:rPr>
        <w:t xml:space="preserve"> miles</w:t>
      </w:r>
      <w:r w:rsidR="00F46D46">
        <w:rPr>
          <w:rFonts w:ascii="Arial Narrow" w:hAnsi="Arial Narrow" w:cs="Gisha"/>
          <w:color w:val="auto"/>
          <w:sz w:val="22"/>
          <w:szCs w:val="22"/>
        </w:rPr>
        <w:t>, registrados</w:t>
      </w:r>
      <w:r>
        <w:rPr>
          <w:rFonts w:ascii="Arial Narrow" w:hAnsi="Arial Narrow" w:cs="Gisha"/>
          <w:color w:val="auto"/>
          <w:sz w:val="22"/>
          <w:szCs w:val="22"/>
        </w:rPr>
        <w:t xml:space="preserve"> e</w:t>
      </w:r>
      <w:r w:rsidRPr="00460393">
        <w:rPr>
          <w:rFonts w:ascii="Arial Narrow" w:hAnsi="Arial Narrow" w:cs="Gisha"/>
          <w:color w:val="auto"/>
          <w:sz w:val="22"/>
          <w:szCs w:val="22"/>
        </w:rPr>
        <w:t xml:space="preserve">n </w:t>
      </w:r>
      <w:r>
        <w:rPr>
          <w:rFonts w:ascii="Arial Narrow" w:hAnsi="Arial Narrow" w:cs="Gisha"/>
          <w:color w:val="auto"/>
          <w:sz w:val="22"/>
          <w:szCs w:val="22"/>
        </w:rPr>
        <w:t xml:space="preserve">la cuenta </w:t>
      </w:r>
      <w:r w:rsidRPr="00460393">
        <w:rPr>
          <w:rFonts w:ascii="Arial Narrow" w:hAnsi="Arial Narrow" w:cs="Gisha"/>
          <w:color w:val="auto"/>
          <w:sz w:val="22"/>
          <w:szCs w:val="22"/>
        </w:rPr>
        <w:t xml:space="preserve">Rendimientos sobre Depósitos en Administración, </w:t>
      </w:r>
      <w:r w:rsidR="00F46D46">
        <w:rPr>
          <w:rFonts w:ascii="Arial Narrow" w:hAnsi="Arial Narrow" w:cs="Gisha"/>
          <w:color w:val="auto"/>
          <w:sz w:val="22"/>
          <w:szCs w:val="22"/>
        </w:rPr>
        <w:t>corresponde a</w:t>
      </w:r>
      <w:r w:rsidRPr="00460393">
        <w:rPr>
          <w:rFonts w:ascii="Arial Narrow" w:hAnsi="Arial Narrow" w:cs="Gisha"/>
          <w:color w:val="auto"/>
          <w:sz w:val="22"/>
          <w:szCs w:val="22"/>
        </w:rPr>
        <w:t xml:space="preserve"> los rendimientos netos generados de la cuenta CUN</w:t>
      </w:r>
      <w:r>
        <w:rPr>
          <w:rFonts w:ascii="Arial Narrow" w:hAnsi="Arial Narrow" w:cs="Gisha"/>
          <w:color w:val="auto"/>
          <w:sz w:val="22"/>
          <w:szCs w:val="22"/>
        </w:rPr>
        <w:t xml:space="preserve"> por valor de $ 3.354.791 miles</w:t>
      </w:r>
      <w:r w:rsidRPr="00460393">
        <w:rPr>
          <w:rFonts w:ascii="Arial Narrow" w:hAnsi="Arial Narrow" w:cs="Gisha"/>
          <w:color w:val="auto"/>
          <w:sz w:val="22"/>
          <w:szCs w:val="22"/>
        </w:rPr>
        <w:t xml:space="preserve">, de acuerdo con la circular emitida por la Contaduría General de la Nación. Valores Conciliados a 31 de diciembre de 2015 con Tesoro Nacional y Deuda Pública. </w:t>
      </w:r>
    </w:p>
    <w:p w:rsidR="003F1473" w:rsidRDefault="003F1473" w:rsidP="003F1473">
      <w:pPr>
        <w:pStyle w:val="Encabezado"/>
        <w:tabs>
          <w:tab w:val="left" w:pos="708"/>
        </w:tabs>
        <w:jc w:val="both"/>
        <w:rPr>
          <w:rFonts w:ascii="Arial Narrow" w:hAnsi="Arial Narrow" w:cs="Gisha"/>
          <w:color w:val="auto"/>
          <w:sz w:val="22"/>
          <w:szCs w:val="22"/>
        </w:rPr>
      </w:pPr>
    </w:p>
    <w:p w:rsidR="003F1473" w:rsidRPr="00460393" w:rsidRDefault="00F46D46" w:rsidP="003F1473">
      <w:pPr>
        <w:pStyle w:val="Encabezado"/>
        <w:tabs>
          <w:tab w:val="left" w:pos="708"/>
        </w:tabs>
        <w:jc w:val="both"/>
        <w:rPr>
          <w:rFonts w:ascii="Arial Narrow" w:hAnsi="Arial Narrow" w:cs="Gisha"/>
          <w:color w:val="auto"/>
          <w:sz w:val="22"/>
          <w:szCs w:val="22"/>
        </w:rPr>
      </w:pPr>
      <w:r>
        <w:rPr>
          <w:rFonts w:ascii="Arial Narrow" w:hAnsi="Arial Narrow" w:cs="Gisha"/>
          <w:color w:val="auto"/>
          <w:sz w:val="22"/>
          <w:szCs w:val="22"/>
        </w:rPr>
        <w:t>También, se registraron en esta subcuenta</w:t>
      </w:r>
      <w:r w:rsidR="003F1473" w:rsidRPr="00460393">
        <w:rPr>
          <w:rFonts w:ascii="Arial Narrow" w:hAnsi="Arial Narrow" w:cs="Gisha"/>
          <w:color w:val="auto"/>
          <w:sz w:val="22"/>
          <w:szCs w:val="22"/>
        </w:rPr>
        <w:t xml:space="preserve"> los rendimientos financieros netos generados durante la vigencia 2015, por los aportes entregados al Fondo de Contingencia</w:t>
      </w:r>
      <w:r w:rsidR="003F1473">
        <w:rPr>
          <w:rFonts w:ascii="Arial Narrow" w:hAnsi="Arial Narrow" w:cs="Gisha"/>
          <w:color w:val="auto"/>
          <w:sz w:val="22"/>
          <w:szCs w:val="22"/>
        </w:rPr>
        <w:t xml:space="preserve">s de las Entidades Estatales, </w:t>
      </w:r>
      <w:r w:rsidR="003F1473" w:rsidRPr="00460393">
        <w:rPr>
          <w:rFonts w:ascii="Arial Narrow" w:hAnsi="Arial Narrow" w:cs="Gisha"/>
          <w:color w:val="auto"/>
          <w:sz w:val="22"/>
          <w:szCs w:val="22"/>
        </w:rPr>
        <w:t>de las Concesiones: Bogotá - Girar</w:t>
      </w:r>
      <w:r w:rsidR="000376B6">
        <w:rPr>
          <w:rFonts w:ascii="Arial Narrow" w:hAnsi="Arial Narrow" w:cs="Gisha"/>
          <w:color w:val="auto"/>
          <w:sz w:val="22"/>
          <w:szCs w:val="22"/>
        </w:rPr>
        <w:t xml:space="preserve">dot, Rumichaca- Pasto - </w:t>
      </w:r>
      <w:r w:rsidR="006829FC">
        <w:rPr>
          <w:rFonts w:ascii="Arial Narrow" w:hAnsi="Arial Narrow" w:cs="Gisha"/>
          <w:color w:val="auto"/>
          <w:sz w:val="22"/>
          <w:szCs w:val="22"/>
        </w:rPr>
        <w:t>Chachagu</w:t>
      </w:r>
      <w:r w:rsidR="006829FC" w:rsidRPr="00460393">
        <w:rPr>
          <w:rFonts w:ascii="Arial Narrow" w:hAnsi="Arial Narrow" w:cs="Gisha"/>
          <w:color w:val="auto"/>
          <w:sz w:val="22"/>
          <w:szCs w:val="22"/>
        </w:rPr>
        <w:t>i</w:t>
      </w:r>
      <w:r w:rsidR="003F1473" w:rsidRPr="00460393">
        <w:rPr>
          <w:rFonts w:ascii="Arial Narrow" w:hAnsi="Arial Narrow" w:cs="Gisha"/>
          <w:color w:val="auto"/>
          <w:sz w:val="22"/>
          <w:szCs w:val="22"/>
        </w:rPr>
        <w:t>, Zona Metropolitana de Bucaramanga, Área Metropolitana de Cúcuta y Norte de Santander, Ruta- Caribe, Córdoba -Sucre, Girardot - Ibagué - Cajamarca, Bogotá - Villavicencio, Ruta del Sol sector 1-2 y 3 , Transversal de las Américas, Armenia - Pereira - Manizales, Siberia la Punta del Vino, Malla Vial del Cauca, Zipaquirá - Palenque  y que son administrados por la Fiduciaria La Previsora</w:t>
      </w:r>
      <w:r w:rsidR="003F1473">
        <w:rPr>
          <w:rFonts w:ascii="Arial Narrow" w:hAnsi="Arial Narrow" w:cs="Gisha"/>
          <w:color w:val="auto"/>
          <w:sz w:val="22"/>
          <w:szCs w:val="22"/>
        </w:rPr>
        <w:t xml:space="preserve"> por valor de $ 107.616.688 miles</w:t>
      </w:r>
      <w:r w:rsidR="003F1473" w:rsidRPr="00460393">
        <w:rPr>
          <w:rFonts w:ascii="Arial Narrow" w:hAnsi="Arial Narrow" w:cs="Gisha"/>
          <w:color w:val="auto"/>
          <w:sz w:val="22"/>
          <w:szCs w:val="22"/>
        </w:rPr>
        <w:t>.</w:t>
      </w:r>
    </w:p>
    <w:p w:rsidR="003F1473" w:rsidRPr="00460393" w:rsidRDefault="003F1473" w:rsidP="003F1473">
      <w:pPr>
        <w:pStyle w:val="Encabezado"/>
        <w:tabs>
          <w:tab w:val="left" w:pos="708"/>
        </w:tabs>
        <w:jc w:val="both"/>
        <w:rPr>
          <w:rFonts w:ascii="Arial Narrow" w:hAnsi="Arial Narrow" w:cs="Gisha"/>
          <w:color w:val="auto"/>
          <w:sz w:val="22"/>
          <w:szCs w:val="22"/>
        </w:rPr>
      </w:pPr>
      <w:r w:rsidRPr="00460393">
        <w:rPr>
          <w:rFonts w:ascii="Arial Narrow" w:hAnsi="Arial Narrow" w:cs="Gisha"/>
          <w:color w:val="auto"/>
          <w:sz w:val="22"/>
          <w:szCs w:val="22"/>
        </w:rPr>
        <w:t xml:space="preserve">  </w:t>
      </w:r>
    </w:p>
    <w:p w:rsidR="003F1473" w:rsidRPr="00460393" w:rsidRDefault="003F1473" w:rsidP="003F1473">
      <w:pPr>
        <w:pStyle w:val="Encabezado"/>
        <w:tabs>
          <w:tab w:val="left" w:pos="708"/>
        </w:tabs>
        <w:jc w:val="both"/>
        <w:rPr>
          <w:rFonts w:ascii="Arial Narrow" w:hAnsi="Arial Narrow" w:cs="Gisha"/>
          <w:color w:val="auto"/>
          <w:sz w:val="22"/>
          <w:szCs w:val="22"/>
        </w:rPr>
      </w:pPr>
      <w:r w:rsidRPr="00460393">
        <w:rPr>
          <w:rFonts w:ascii="Arial Narrow" w:hAnsi="Arial Narrow" w:cs="Gisha"/>
          <w:color w:val="auto"/>
          <w:sz w:val="22"/>
          <w:szCs w:val="22"/>
        </w:rPr>
        <w:t>En otros ingresos financieros se registró la actualización del portafolio del año 2015 de los aportes entregados al Fondo de Adaptación de los Convenios Interadministrativos No. 8 de 2011, 003 de 2012 y 092 de 2012, por valor de $666.559 miles.</w:t>
      </w:r>
    </w:p>
    <w:p w:rsidR="003F1473" w:rsidRPr="00460393" w:rsidRDefault="003F1473" w:rsidP="003F1473">
      <w:pPr>
        <w:pStyle w:val="Encabezado"/>
        <w:tabs>
          <w:tab w:val="left" w:pos="708"/>
        </w:tabs>
        <w:jc w:val="both"/>
        <w:rPr>
          <w:rFonts w:ascii="Arial Narrow" w:hAnsi="Arial Narrow" w:cs="Gisha"/>
          <w:color w:val="auto"/>
          <w:sz w:val="22"/>
          <w:szCs w:val="22"/>
        </w:rPr>
      </w:pPr>
      <w:r w:rsidRPr="00460393">
        <w:rPr>
          <w:rFonts w:ascii="Arial Narrow" w:hAnsi="Arial Narrow" w:cs="Gisha"/>
          <w:color w:val="auto"/>
          <w:sz w:val="22"/>
          <w:szCs w:val="22"/>
        </w:rPr>
        <w:t xml:space="preserve"> </w:t>
      </w:r>
    </w:p>
    <w:p w:rsidR="003F1473" w:rsidRDefault="003F1473" w:rsidP="003F1473">
      <w:pPr>
        <w:pStyle w:val="Encabezado"/>
        <w:tabs>
          <w:tab w:val="left" w:pos="708"/>
        </w:tabs>
        <w:jc w:val="both"/>
        <w:rPr>
          <w:rFonts w:ascii="Arial Narrow" w:hAnsi="Arial Narrow" w:cs="Gisha"/>
          <w:color w:val="auto"/>
          <w:sz w:val="22"/>
          <w:szCs w:val="22"/>
        </w:rPr>
      </w:pPr>
      <w:r w:rsidRPr="00460393">
        <w:rPr>
          <w:rFonts w:ascii="Arial Narrow" w:hAnsi="Arial Narrow" w:cs="Gisha"/>
          <w:color w:val="auto"/>
          <w:sz w:val="22"/>
          <w:szCs w:val="22"/>
        </w:rPr>
        <w:t>E</w:t>
      </w:r>
      <w:r>
        <w:rPr>
          <w:rFonts w:ascii="Arial Narrow" w:hAnsi="Arial Narrow" w:cs="Gisha"/>
          <w:color w:val="auto"/>
          <w:sz w:val="22"/>
          <w:szCs w:val="22"/>
        </w:rPr>
        <w:t>l valor de $</w:t>
      </w:r>
      <w:r w:rsidRPr="00C45D2A">
        <w:t xml:space="preserve"> </w:t>
      </w:r>
      <w:r w:rsidRPr="00C45D2A">
        <w:rPr>
          <w:rFonts w:ascii="Arial Narrow" w:hAnsi="Arial Narrow" w:cs="Gisha"/>
          <w:color w:val="auto"/>
          <w:sz w:val="22"/>
          <w:szCs w:val="22"/>
        </w:rPr>
        <w:t>48.783</w:t>
      </w:r>
      <w:r>
        <w:rPr>
          <w:rFonts w:ascii="Arial Narrow" w:hAnsi="Arial Narrow" w:cs="Gisha"/>
          <w:color w:val="auto"/>
          <w:sz w:val="22"/>
          <w:szCs w:val="22"/>
        </w:rPr>
        <w:t xml:space="preserve"> miles de la cuenta A</w:t>
      </w:r>
      <w:r w:rsidRPr="00460393">
        <w:rPr>
          <w:rFonts w:ascii="Arial Narrow" w:hAnsi="Arial Narrow" w:cs="Gisha"/>
          <w:color w:val="auto"/>
          <w:sz w:val="22"/>
          <w:szCs w:val="22"/>
        </w:rPr>
        <w:t xml:space="preserve">juste por diferencia en cambio </w:t>
      </w:r>
      <w:r>
        <w:rPr>
          <w:rFonts w:ascii="Arial Narrow" w:hAnsi="Arial Narrow" w:cs="Gisha"/>
          <w:color w:val="auto"/>
          <w:sz w:val="22"/>
          <w:szCs w:val="22"/>
        </w:rPr>
        <w:t>corresponde a</w:t>
      </w:r>
      <w:r w:rsidRPr="00C45D2A">
        <w:rPr>
          <w:rFonts w:ascii="Arial Narrow" w:hAnsi="Arial Narrow" w:cs="Gisha"/>
          <w:color w:val="auto"/>
          <w:sz w:val="22"/>
          <w:szCs w:val="22"/>
        </w:rPr>
        <w:t>l efecto de la variación de la T</w:t>
      </w:r>
      <w:r>
        <w:rPr>
          <w:rFonts w:ascii="Arial Narrow" w:hAnsi="Arial Narrow" w:cs="Gisha"/>
          <w:color w:val="auto"/>
          <w:sz w:val="22"/>
          <w:szCs w:val="22"/>
        </w:rPr>
        <w:t>asa Representativa del Mercado</w:t>
      </w:r>
      <w:r w:rsidRPr="00C45D2A">
        <w:rPr>
          <w:rFonts w:ascii="Arial Narrow" w:hAnsi="Arial Narrow" w:cs="Gisha"/>
          <w:color w:val="auto"/>
          <w:sz w:val="22"/>
          <w:szCs w:val="22"/>
        </w:rPr>
        <w:t xml:space="preserve"> de la cuenta por cobrar en dólares a la Sociedad Portuaria de la Península S.A. </w:t>
      </w:r>
      <w:r>
        <w:rPr>
          <w:rFonts w:ascii="Arial Narrow" w:hAnsi="Arial Narrow" w:cs="Gisha"/>
          <w:color w:val="auto"/>
          <w:sz w:val="22"/>
          <w:szCs w:val="22"/>
        </w:rPr>
        <w:t xml:space="preserve">por el </w:t>
      </w:r>
      <w:r w:rsidRPr="00C45D2A">
        <w:rPr>
          <w:rFonts w:ascii="Arial Narrow" w:hAnsi="Arial Narrow" w:cs="Gisha"/>
          <w:color w:val="auto"/>
          <w:sz w:val="22"/>
          <w:szCs w:val="22"/>
        </w:rPr>
        <w:t xml:space="preserve">incumplimiento total de las obligaciones contractuales relacionada con el plan de inversiones Resolución 545 del 2011. </w:t>
      </w:r>
      <w:r>
        <w:rPr>
          <w:rFonts w:ascii="Arial Narrow" w:hAnsi="Arial Narrow" w:cs="Gisha"/>
          <w:color w:val="auto"/>
          <w:sz w:val="22"/>
          <w:szCs w:val="22"/>
        </w:rPr>
        <w:t>O</w:t>
      </w:r>
      <w:r w:rsidRPr="00C45D2A">
        <w:rPr>
          <w:rFonts w:ascii="Arial Narrow" w:hAnsi="Arial Narrow" w:cs="Gisha"/>
          <w:color w:val="auto"/>
          <w:sz w:val="22"/>
          <w:szCs w:val="22"/>
        </w:rPr>
        <w:t>bligación principal. TRM 31</w:t>
      </w:r>
      <w:r>
        <w:rPr>
          <w:rFonts w:ascii="Arial Narrow" w:hAnsi="Arial Narrow" w:cs="Gisha"/>
          <w:color w:val="auto"/>
          <w:sz w:val="22"/>
          <w:szCs w:val="22"/>
        </w:rPr>
        <w:t xml:space="preserve"> de diciembre de </w:t>
      </w:r>
      <w:r w:rsidRPr="00C45D2A">
        <w:rPr>
          <w:rFonts w:ascii="Arial Narrow" w:hAnsi="Arial Narrow" w:cs="Gisha"/>
          <w:color w:val="auto"/>
          <w:sz w:val="22"/>
          <w:szCs w:val="22"/>
        </w:rPr>
        <w:t>2015 $3.149,47.  Intereses a 31</w:t>
      </w:r>
      <w:r>
        <w:rPr>
          <w:rFonts w:ascii="Arial Narrow" w:hAnsi="Arial Narrow" w:cs="Gisha"/>
          <w:color w:val="auto"/>
          <w:sz w:val="22"/>
          <w:szCs w:val="22"/>
        </w:rPr>
        <w:t xml:space="preserve"> de enero de 2</w:t>
      </w:r>
      <w:r w:rsidRPr="00C45D2A">
        <w:rPr>
          <w:rFonts w:ascii="Arial Narrow" w:hAnsi="Arial Narrow" w:cs="Gisha"/>
          <w:color w:val="auto"/>
          <w:sz w:val="22"/>
          <w:szCs w:val="22"/>
        </w:rPr>
        <w:t>015 (US$39.472,17) TRM $2.441,10. Se actualiza  a TRM 31 dic</w:t>
      </w:r>
      <w:r>
        <w:rPr>
          <w:rFonts w:ascii="Arial Narrow" w:hAnsi="Arial Narrow" w:cs="Gisha"/>
          <w:color w:val="auto"/>
          <w:sz w:val="22"/>
          <w:szCs w:val="22"/>
        </w:rPr>
        <w:t>iembre de</w:t>
      </w:r>
      <w:r w:rsidRPr="00C45D2A">
        <w:rPr>
          <w:rFonts w:ascii="Arial Narrow" w:hAnsi="Arial Narrow" w:cs="Gisha"/>
          <w:color w:val="auto"/>
          <w:sz w:val="22"/>
          <w:szCs w:val="22"/>
        </w:rPr>
        <w:t xml:space="preserve"> 2015</w:t>
      </w:r>
      <w:r>
        <w:rPr>
          <w:rFonts w:ascii="Arial Narrow" w:hAnsi="Arial Narrow" w:cs="Gisha"/>
          <w:color w:val="auto"/>
          <w:sz w:val="22"/>
          <w:szCs w:val="22"/>
        </w:rPr>
        <w:t>.</w:t>
      </w:r>
      <w:r w:rsidRPr="00C45D2A">
        <w:rPr>
          <w:rFonts w:ascii="Arial Narrow" w:hAnsi="Arial Narrow" w:cs="Gisha"/>
          <w:color w:val="auto"/>
          <w:sz w:val="22"/>
          <w:szCs w:val="22"/>
        </w:rPr>
        <w:t xml:space="preserve">  </w:t>
      </w:r>
    </w:p>
    <w:p w:rsidR="003F1473" w:rsidRPr="00460393" w:rsidRDefault="003F1473" w:rsidP="003F1473">
      <w:pPr>
        <w:pStyle w:val="Encabezado"/>
        <w:tabs>
          <w:tab w:val="left" w:pos="708"/>
        </w:tabs>
        <w:jc w:val="both"/>
        <w:rPr>
          <w:rFonts w:ascii="Arial Narrow" w:hAnsi="Arial Narrow" w:cs="Gisha"/>
          <w:color w:val="auto"/>
          <w:sz w:val="22"/>
          <w:szCs w:val="22"/>
        </w:rPr>
      </w:pPr>
    </w:p>
    <w:p w:rsidR="003F1473" w:rsidRPr="00460393" w:rsidRDefault="003F1473" w:rsidP="003F1473">
      <w:pPr>
        <w:pStyle w:val="Encabezado"/>
        <w:tabs>
          <w:tab w:val="left" w:pos="708"/>
        </w:tabs>
        <w:jc w:val="both"/>
        <w:rPr>
          <w:rFonts w:ascii="Arial Narrow" w:hAnsi="Arial Narrow" w:cs="Gisha"/>
          <w:color w:val="auto"/>
          <w:sz w:val="22"/>
          <w:szCs w:val="22"/>
        </w:rPr>
      </w:pPr>
      <w:r w:rsidRPr="00460393">
        <w:rPr>
          <w:rFonts w:ascii="Arial Narrow" w:hAnsi="Arial Narrow" w:cs="Gisha"/>
          <w:color w:val="auto"/>
          <w:sz w:val="22"/>
          <w:szCs w:val="22"/>
        </w:rPr>
        <w:t>E</w:t>
      </w:r>
      <w:r>
        <w:rPr>
          <w:rFonts w:ascii="Arial Narrow" w:hAnsi="Arial Narrow" w:cs="Gisha"/>
          <w:color w:val="auto"/>
          <w:sz w:val="22"/>
          <w:szCs w:val="22"/>
        </w:rPr>
        <w:t>l valor de $</w:t>
      </w:r>
      <w:r w:rsidRPr="00121BB9">
        <w:t xml:space="preserve"> </w:t>
      </w:r>
      <w:r w:rsidRPr="00121BB9">
        <w:rPr>
          <w:rFonts w:ascii="Arial Narrow" w:hAnsi="Arial Narrow" w:cs="Gisha"/>
          <w:color w:val="auto"/>
          <w:sz w:val="22"/>
          <w:szCs w:val="22"/>
        </w:rPr>
        <w:t>163.518.498</w:t>
      </w:r>
      <w:r>
        <w:rPr>
          <w:rFonts w:ascii="Arial Narrow" w:hAnsi="Arial Narrow" w:cs="Gisha"/>
          <w:color w:val="auto"/>
          <w:sz w:val="22"/>
          <w:szCs w:val="22"/>
        </w:rPr>
        <w:t xml:space="preserve"> miles a 31 de diciembre de 2015 en la cuenta </w:t>
      </w:r>
      <w:r w:rsidRPr="00460393">
        <w:rPr>
          <w:rFonts w:ascii="Arial Narrow" w:hAnsi="Arial Narrow" w:cs="Gisha"/>
          <w:color w:val="auto"/>
          <w:sz w:val="22"/>
          <w:szCs w:val="22"/>
        </w:rPr>
        <w:t>Otros Ingresos Ordinarios</w:t>
      </w:r>
      <w:r>
        <w:rPr>
          <w:rFonts w:ascii="Arial Narrow" w:hAnsi="Arial Narrow" w:cs="Gisha"/>
          <w:color w:val="auto"/>
          <w:sz w:val="22"/>
          <w:szCs w:val="22"/>
        </w:rPr>
        <w:t>, comprende:</w:t>
      </w:r>
      <w:r w:rsidRPr="00460393">
        <w:rPr>
          <w:rFonts w:ascii="Arial Narrow" w:hAnsi="Arial Narrow" w:cs="Gisha"/>
          <w:color w:val="auto"/>
          <w:sz w:val="22"/>
          <w:szCs w:val="22"/>
        </w:rPr>
        <w:t xml:space="preserve"> </w:t>
      </w:r>
    </w:p>
    <w:p w:rsidR="003F1473" w:rsidRDefault="003F1473" w:rsidP="003F1473">
      <w:pPr>
        <w:pStyle w:val="Encabezado"/>
        <w:tabs>
          <w:tab w:val="left" w:pos="708"/>
        </w:tabs>
        <w:jc w:val="both"/>
        <w:rPr>
          <w:rFonts w:ascii="Arial Narrow" w:hAnsi="Arial Narrow" w:cs="Gisha"/>
          <w:color w:val="auto"/>
          <w:sz w:val="22"/>
          <w:szCs w:val="22"/>
        </w:rPr>
      </w:pPr>
    </w:p>
    <w:p w:rsidR="001F3EE3" w:rsidRDefault="001F3EE3" w:rsidP="001F3EE3">
      <w:pPr>
        <w:pStyle w:val="Encabezado"/>
        <w:tabs>
          <w:tab w:val="left" w:pos="708"/>
        </w:tabs>
        <w:jc w:val="both"/>
        <w:rPr>
          <w:rFonts w:ascii="Arial Narrow" w:hAnsi="Arial Narrow" w:cs="Gisha"/>
          <w:color w:val="auto"/>
          <w:sz w:val="22"/>
          <w:szCs w:val="22"/>
        </w:rPr>
      </w:pPr>
      <w:r>
        <w:rPr>
          <w:rFonts w:ascii="Arial Narrow" w:hAnsi="Arial Narrow" w:cs="Gisha"/>
          <w:color w:val="auto"/>
          <w:sz w:val="22"/>
          <w:szCs w:val="22"/>
        </w:rPr>
        <w:lastRenderedPageBreak/>
        <w:t>$</w:t>
      </w:r>
      <w:r w:rsidRPr="00B371CB">
        <w:t xml:space="preserve"> </w:t>
      </w:r>
      <w:r w:rsidRPr="00B371CB">
        <w:rPr>
          <w:rFonts w:ascii="Arial Narrow" w:hAnsi="Arial Narrow" w:cs="Gisha"/>
          <w:color w:val="auto"/>
          <w:sz w:val="22"/>
          <w:szCs w:val="22"/>
        </w:rPr>
        <w:t>162.340.091</w:t>
      </w:r>
      <w:r>
        <w:rPr>
          <w:rFonts w:ascii="Arial Narrow" w:hAnsi="Arial Narrow" w:cs="Gisha"/>
          <w:color w:val="auto"/>
          <w:sz w:val="22"/>
          <w:szCs w:val="22"/>
        </w:rPr>
        <w:t xml:space="preserve"> miles en la cuenta C</w:t>
      </w:r>
      <w:r w:rsidRPr="00460393">
        <w:rPr>
          <w:rFonts w:ascii="Arial Narrow" w:hAnsi="Arial Narrow" w:cs="Gisha"/>
          <w:color w:val="auto"/>
          <w:sz w:val="22"/>
          <w:szCs w:val="22"/>
        </w:rPr>
        <w:t>omisiones,</w:t>
      </w:r>
      <w:r>
        <w:rPr>
          <w:rFonts w:ascii="Arial Narrow" w:hAnsi="Arial Narrow" w:cs="Gisha"/>
          <w:color w:val="auto"/>
          <w:sz w:val="22"/>
          <w:szCs w:val="22"/>
        </w:rPr>
        <w:t xml:space="preserve"> corresponde a</w:t>
      </w:r>
      <w:r w:rsidRPr="00C80D76">
        <w:rPr>
          <w:rFonts w:ascii="Arial Narrow" w:hAnsi="Arial Narrow" w:cs="Gisha"/>
          <w:color w:val="auto"/>
          <w:sz w:val="22"/>
          <w:szCs w:val="22"/>
        </w:rPr>
        <w:t xml:space="preserve"> los Ingresos facturados por CI PRODECO,  DRUMMOND  LTD y CI Colombian Natural Resources SAS Operadores de FENOCO por concepto de tonelada transportada, de conformidad con lo establecido en el </w:t>
      </w:r>
      <w:r w:rsidR="00A12259" w:rsidRPr="00C80D76">
        <w:rPr>
          <w:rFonts w:ascii="Arial Narrow" w:hAnsi="Arial Narrow" w:cs="Gisha"/>
          <w:color w:val="auto"/>
          <w:sz w:val="22"/>
          <w:szCs w:val="22"/>
        </w:rPr>
        <w:t>Otrosí</w:t>
      </w:r>
      <w:r w:rsidRPr="00C80D76">
        <w:rPr>
          <w:rFonts w:ascii="Arial Narrow" w:hAnsi="Arial Narrow" w:cs="Gisha"/>
          <w:color w:val="auto"/>
          <w:sz w:val="22"/>
          <w:szCs w:val="22"/>
        </w:rPr>
        <w:t xml:space="preserve"> 12 de 2006 suscrito con Fenoco S.A</w:t>
      </w:r>
    </w:p>
    <w:p w:rsidR="001F3EE3" w:rsidRPr="00460393" w:rsidRDefault="001F3EE3" w:rsidP="001F3EE3">
      <w:pPr>
        <w:pStyle w:val="Encabezado"/>
        <w:tabs>
          <w:tab w:val="left" w:pos="708"/>
        </w:tabs>
        <w:jc w:val="both"/>
        <w:rPr>
          <w:rFonts w:ascii="Arial Narrow" w:hAnsi="Arial Narrow" w:cs="Gisha"/>
          <w:color w:val="auto"/>
          <w:sz w:val="22"/>
          <w:szCs w:val="22"/>
        </w:rPr>
      </w:pPr>
    </w:p>
    <w:p w:rsidR="001F3EE3" w:rsidRPr="00460393" w:rsidRDefault="001F3EE3" w:rsidP="001F3EE3">
      <w:pPr>
        <w:pStyle w:val="Encabezado"/>
        <w:tabs>
          <w:tab w:val="left" w:pos="708"/>
        </w:tabs>
        <w:jc w:val="both"/>
        <w:rPr>
          <w:rFonts w:ascii="Arial Narrow" w:hAnsi="Arial Narrow" w:cs="Gisha"/>
          <w:color w:val="auto"/>
          <w:sz w:val="22"/>
          <w:szCs w:val="22"/>
        </w:rPr>
      </w:pPr>
      <w:r>
        <w:rPr>
          <w:rFonts w:ascii="Arial Narrow" w:hAnsi="Arial Narrow" w:cs="Gisha"/>
          <w:color w:val="auto"/>
          <w:sz w:val="22"/>
          <w:szCs w:val="22"/>
        </w:rPr>
        <w:t>El valor de $</w:t>
      </w:r>
      <w:r w:rsidRPr="00622263">
        <w:t xml:space="preserve"> </w:t>
      </w:r>
      <w:r w:rsidRPr="00622263">
        <w:rPr>
          <w:rFonts w:ascii="Arial Narrow" w:hAnsi="Arial Narrow" w:cs="Gisha"/>
          <w:color w:val="auto"/>
          <w:sz w:val="22"/>
          <w:szCs w:val="22"/>
        </w:rPr>
        <w:t>1.178.407</w:t>
      </w:r>
      <w:r>
        <w:rPr>
          <w:rFonts w:ascii="Arial Narrow" w:hAnsi="Arial Narrow" w:cs="Gisha"/>
          <w:color w:val="auto"/>
          <w:sz w:val="22"/>
          <w:szCs w:val="22"/>
        </w:rPr>
        <w:t xml:space="preserve"> miles registrado en </w:t>
      </w:r>
      <w:r w:rsidRPr="00460393">
        <w:rPr>
          <w:rFonts w:ascii="Arial Narrow" w:hAnsi="Arial Narrow" w:cs="Gisha"/>
          <w:color w:val="auto"/>
          <w:sz w:val="22"/>
          <w:szCs w:val="22"/>
        </w:rPr>
        <w:t>otros ingresos</w:t>
      </w:r>
      <w:r>
        <w:rPr>
          <w:rFonts w:ascii="Arial Narrow" w:hAnsi="Arial Narrow" w:cs="Gisha"/>
          <w:color w:val="auto"/>
          <w:sz w:val="22"/>
          <w:szCs w:val="22"/>
        </w:rPr>
        <w:t xml:space="preserve"> ordinarios corresponde a </w:t>
      </w:r>
      <w:r w:rsidRPr="00460393">
        <w:rPr>
          <w:rFonts w:ascii="Arial Narrow" w:hAnsi="Arial Narrow" w:cs="Gisha"/>
          <w:color w:val="auto"/>
          <w:sz w:val="22"/>
          <w:szCs w:val="22"/>
        </w:rPr>
        <w:t xml:space="preserve">los rendimientos financieros </w:t>
      </w:r>
      <w:r>
        <w:rPr>
          <w:rFonts w:ascii="Arial Narrow" w:hAnsi="Arial Narrow" w:cs="Gisha"/>
          <w:color w:val="auto"/>
          <w:sz w:val="22"/>
          <w:szCs w:val="22"/>
        </w:rPr>
        <w:t xml:space="preserve">generados en la vigencia 2015 por la cuenta ANI de </w:t>
      </w:r>
      <w:r w:rsidRPr="00460393">
        <w:rPr>
          <w:rFonts w:ascii="Arial Narrow" w:hAnsi="Arial Narrow" w:cs="Gisha"/>
          <w:color w:val="auto"/>
          <w:sz w:val="22"/>
          <w:szCs w:val="22"/>
        </w:rPr>
        <w:t xml:space="preserve">los Patrimonios Autónomos de la Concesiones Loboguerrero Buga </w:t>
      </w:r>
      <w:r>
        <w:rPr>
          <w:rFonts w:ascii="Arial Narrow" w:hAnsi="Arial Narrow" w:cs="Gisha"/>
          <w:color w:val="auto"/>
          <w:sz w:val="22"/>
          <w:szCs w:val="22"/>
        </w:rPr>
        <w:t xml:space="preserve">por valor de </w:t>
      </w:r>
      <w:r w:rsidRPr="00460393">
        <w:rPr>
          <w:rFonts w:ascii="Arial Narrow" w:hAnsi="Arial Narrow" w:cs="Gisha"/>
          <w:color w:val="auto"/>
          <w:sz w:val="22"/>
          <w:szCs w:val="22"/>
        </w:rPr>
        <w:t xml:space="preserve">$278.982 </w:t>
      </w:r>
      <w:r w:rsidR="000D61A5">
        <w:rPr>
          <w:rFonts w:ascii="Arial Narrow" w:hAnsi="Arial Narrow" w:cs="Gisha"/>
          <w:color w:val="auto"/>
          <w:sz w:val="22"/>
          <w:szCs w:val="22"/>
        </w:rPr>
        <w:t xml:space="preserve">miles </w:t>
      </w:r>
      <w:r w:rsidRPr="00460393">
        <w:rPr>
          <w:rFonts w:ascii="Arial Narrow" w:hAnsi="Arial Narrow" w:cs="Gisha"/>
          <w:color w:val="auto"/>
          <w:sz w:val="22"/>
          <w:szCs w:val="22"/>
        </w:rPr>
        <w:t>y Zipaquirá Bucaramanga Palenque por valor de $899.425 miles</w:t>
      </w:r>
      <w:r>
        <w:rPr>
          <w:rFonts w:ascii="Arial Narrow" w:hAnsi="Arial Narrow" w:cs="Gisha"/>
          <w:color w:val="auto"/>
          <w:sz w:val="22"/>
          <w:szCs w:val="22"/>
        </w:rPr>
        <w:t>.</w:t>
      </w:r>
    </w:p>
    <w:p w:rsidR="001F3EE3" w:rsidRPr="00460393" w:rsidRDefault="001F3EE3" w:rsidP="001F3EE3">
      <w:pPr>
        <w:pStyle w:val="Encabezado"/>
        <w:tabs>
          <w:tab w:val="left" w:pos="708"/>
        </w:tabs>
        <w:jc w:val="both"/>
        <w:rPr>
          <w:rFonts w:ascii="Arial Narrow" w:hAnsi="Arial Narrow" w:cs="Gisha"/>
          <w:color w:val="auto"/>
          <w:sz w:val="22"/>
          <w:szCs w:val="22"/>
        </w:rPr>
      </w:pPr>
    </w:p>
    <w:p w:rsidR="001F3EE3" w:rsidRPr="00460393" w:rsidRDefault="001F3EE3" w:rsidP="001F3EE3">
      <w:pPr>
        <w:pStyle w:val="Encabezado"/>
        <w:tabs>
          <w:tab w:val="left" w:pos="708"/>
        </w:tabs>
        <w:jc w:val="both"/>
        <w:rPr>
          <w:rFonts w:ascii="Arial Narrow" w:hAnsi="Arial Narrow" w:cs="Gisha"/>
          <w:color w:val="auto"/>
          <w:sz w:val="22"/>
          <w:szCs w:val="22"/>
        </w:rPr>
      </w:pPr>
      <w:r w:rsidRPr="00460393">
        <w:rPr>
          <w:rFonts w:ascii="Arial Narrow" w:hAnsi="Arial Narrow" w:cs="Gisha"/>
          <w:color w:val="auto"/>
          <w:sz w:val="22"/>
          <w:szCs w:val="22"/>
        </w:rPr>
        <w:t>En Ingresos Extraordinarios Recuperaciones, las partidas más representativas corresponden a:</w:t>
      </w:r>
    </w:p>
    <w:p w:rsidR="001F3EE3" w:rsidRPr="00460393" w:rsidRDefault="001F3EE3" w:rsidP="001F3EE3">
      <w:pPr>
        <w:pStyle w:val="Encabezado"/>
        <w:tabs>
          <w:tab w:val="left" w:pos="708"/>
        </w:tabs>
        <w:jc w:val="both"/>
        <w:rPr>
          <w:rFonts w:ascii="Arial Narrow" w:hAnsi="Arial Narrow" w:cs="Gisha"/>
          <w:color w:val="auto"/>
          <w:sz w:val="22"/>
          <w:szCs w:val="22"/>
        </w:rPr>
      </w:pPr>
    </w:p>
    <w:p w:rsidR="001F3EE3" w:rsidRPr="00460393" w:rsidRDefault="001F3EE3" w:rsidP="00853B3A">
      <w:pPr>
        <w:numPr>
          <w:ilvl w:val="0"/>
          <w:numId w:val="32"/>
        </w:numPr>
        <w:jc w:val="both"/>
        <w:rPr>
          <w:rFonts w:ascii="Arial Narrow" w:hAnsi="Arial Narrow" w:cs="Gisha"/>
          <w:sz w:val="22"/>
          <w:szCs w:val="22"/>
        </w:rPr>
      </w:pPr>
      <w:r w:rsidRPr="00460393">
        <w:rPr>
          <w:rFonts w:ascii="Arial Narrow" w:hAnsi="Arial Narrow" w:cs="Gisha"/>
          <w:sz w:val="22"/>
          <w:szCs w:val="22"/>
        </w:rPr>
        <w:t>Devolución de recursos por $1.247.910 entregados al tribunal interpuesto por controversia que surgió con Tren de Occidente y mediante Laudo Arbitral se falló en contra de Tren De Occidente.</w:t>
      </w:r>
    </w:p>
    <w:p w:rsidR="001F3EE3" w:rsidRPr="00460393" w:rsidRDefault="001F3EE3" w:rsidP="001F3EE3">
      <w:pPr>
        <w:jc w:val="both"/>
        <w:rPr>
          <w:rFonts w:ascii="Arial Narrow" w:hAnsi="Arial Narrow" w:cs="Gisha"/>
          <w:sz w:val="22"/>
          <w:szCs w:val="22"/>
        </w:rPr>
      </w:pPr>
    </w:p>
    <w:p w:rsidR="001F3EE3" w:rsidRPr="00460393" w:rsidRDefault="001F3EE3" w:rsidP="00853B3A">
      <w:pPr>
        <w:numPr>
          <w:ilvl w:val="0"/>
          <w:numId w:val="32"/>
        </w:numPr>
        <w:jc w:val="both"/>
        <w:rPr>
          <w:rFonts w:ascii="Arial Narrow" w:hAnsi="Arial Narrow" w:cs="Gisha"/>
          <w:sz w:val="22"/>
          <w:szCs w:val="22"/>
        </w:rPr>
      </w:pPr>
      <w:r w:rsidRPr="00460393">
        <w:rPr>
          <w:rFonts w:ascii="Arial Narrow" w:hAnsi="Arial Narrow" w:cs="Gisha"/>
          <w:sz w:val="22"/>
          <w:szCs w:val="22"/>
        </w:rPr>
        <w:t>Recuperación de provisión para contingencias por desistimiento de demandas arbitrales formuladas por Autopista de la Sabana S.A., Desarrollo Vial de Nariño S.A. en contra de la Agencia y desistimiento mutuo de las partes en el Tribunal Arbitral de Yuma Concesionaria S.A.</w:t>
      </w:r>
      <w:r w:rsidR="000D61A5">
        <w:rPr>
          <w:rFonts w:ascii="Arial Narrow" w:hAnsi="Arial Narrow" w:cs="Gisha"/>
          <w:sz w:val="22"/>
          <w:szCs w:val="22"/>
        </w:rPr>
        <w:t>, por valor total de</w:t>
      </w:r>
      <w:r w:rsidRPr="00460393">
        <w:rPr>
          <w:rFonts w:ascii="Arial Narrow" w:hAnsi="Arial Narrow" w:cs="Gisha"/>
          <w:sz w:val="22"/>
          <w:szCs w:val="22"/>
        </w:rPr>
        <w:t xml:space="preserve"> $120.002.698 miles de pesos.</w:t>
      </w:r>
    </w:p>
    <w:p w:rsidR="001F3EE3" w:rsidRPr="00460393" w:rsidRDefault="001F3EE3" w:rsidP="001F3EE3">
      <w:pPr>
        <w:jc w:val="both"/>
        <w:rPr>
          <w:rFonts w:ascii="Arial Narrow" w:hAnsi="Arial Narrow" w:cs="Gisha"/>
          <w:sz w:val="22"/>
          <w:szCs w:val="22"/>
        </w:rPr>
      </w:pPr>
    </w:p>
    <w:p w:rsidR="001F3EE3" w:rsidRPr="00460393" w:rsidRDefault="001F3EE3" w:rsidP="00853B3A">
      <w:pPr>
        <w:numPr>
          <w:ilvl w:val="0"/>
          <w:numId w:val="32"/>
        </w:numPr>
        <w:jc w:val="both"/>
        <w:rPr>
          <w:rFonts w:ascii="Arial Narrow" w:hAnsi="Arial Narrow" w:cs="Gisha"/>
          <w:sz w:val="22"/>
          <w:szCs w:val="22"/>
        </w:rPr>
      </w:pPr>
      <w:r w:rsidRPr="00460393">
        <w:rPr>
          <w:rFonts w:ascii="Arial Narrow" w:hAnsi="Arial Narrow" w:cs="Gisha"/>
          <w:sz w:val="22"/>
          <w:szCs w:val="22"/>
        </w:rPr>
        <w:t>Modificación de la evaluación del riesgo de Tribunales de Arbitramento, de riesgo 2 (Probabilidad Alta de Fracaso) a riesgo 1 (Probabilidad Alta de Éxito), en atención al sentido del fallo de primera instancia del Tribunal de COVIANDES y por acuerdo conciliatorio con Concesionaria San Simón se prevé que no habrá condena</w:t>
      </w:r>
      <w:r w:rsidR="000D61A5">
        <w:rPr>
          <w:rFonts w:ascii="Arial Narrow" w:hAnsi="Arial Narrow" w:cs="Gisha"/>
          <w:sz w:val="22"/>
          <w:szCs w:val="22"/>
        </w:rPr>
        <w:t>, por valor de</w:t>
      </w:r>
      <w:r w:rsidRPr="00460393">
        <w:rPr>
          <w:rFonts w:ascii="Arial Narrow" w:hAnsi="Arial Narrow" w:cs="Gisha"/>
          <w:sz w:val="22"/>
          <w:szCs w:val="22"/>
        </w:rPr>
        <w:t xml:space="preserve"> $35.574.042 miles. </w:t>
      </w:r>
    </w:p>
    <w:p w:rsidR="001F3EE3" w:rsidRPr="00460393" w:rsidRDefault="001F3EE3" w:rsidP="001F3EE3">
      <w:pPr>
        <w:jc w:val="both"/>
        <w:rPr>
          <w:rFonts w:ascii="Arial Narrow" w:hAnsi="Arial Narrow" w:cs="Gisha"/>
          <w:sz w:val="22"/>
          <w:szCs w:val="22"/>
        </w:rPr>
      </w:pPr>
    </w:p>
    <w:p w:rsidR="001F3EE3" w:rsidRPr="00460393" w:rsidRDefault="001F3EE3" w:rsidP="00853B3A">
      <w:pPr>
        <w:numPr>
          <w:ilvl w:val="0"/>
          <w:numId w:val="32"/>
        </w:numPr>
        <w:jc w:val="both"/>
        <w:rPr>
          <w:rFonts w:ascii="Arial Narrow" w:hAnsi="Arial Narrow" w:cs="Gisha"/>
          <w:sz w:val="22"/>
          <w:szCs w:val="22"/>
        </w:rPr>
      </w:pPr>
      <w:r w:rsidRPr="00460393">
        <w:rPr>
          <w:rFonts w:ascii="Arial Narrow" w:hAnsi="Arial Narrow" w:cs="Gisha"/>
          <w:sz w:val="22"/>
          <w:szCs w:val="22"/>
        </w:rPr>
        <w:t xml:space="preserve">Recuperación de provisión de años anteriores de las provisiones para contingencias en reparaciones directas por ser favorables para la Entidad y de la reparación directa formuladas por la señora Amalia Jaramillo de Zapata y Otros al proferirse la sentencia por menor valor del estimado $4.911.802 miles. </w:t>
      </w:r>
    </w:p>
    <w:p w:rsidR="001F3EE3" w:rsidRPr="00460393" w:rsidRDefault="001F3EE3" w:rsidP="001F3EE3">
      <w:pPr>
        <w:jc w:val="both"/>
        <w:rPr>
          <w:rFonts w:ascii="Arial Narrow" w:hAnsi="Arial Narrow" w:cs="Gisha"/>
          <w:sz w:val="22"/>
          <w:szCs w:val="22"/>
        </w:rPr>
      </w:pPr>
    </w:p>
    <w:p w:rsidR="001F3EE3" w:rsidRPr="00460393" w:rsidRDefault="001F3EE3" w:rsidP="00853B3A">
      <w:pPr>
        <w:numPr>
          <w:ilvl w:val="0"/>
          <w:numId w:val="32"/>
        </w:numPr>
        <w:jc w:val="both"/>
        <w:rPr>
          <w:rFonts w:ascii="Arial Narrow" w:hAnsi="Arial Narrow" w:cs="Gisha"/>
          <w:sz w:val="22"/>
          <w:szCs w:val="22"/>
        </w:rPr>
      </w:pPr>
      <w:r w:rsidRPr="00460393">
        <w:rPr>
          <w:rFonts w:ascii="Arial Narrow" w:hAnsi="Arial Narrow" w:cs="Gisha"/>
          <w:sz w:val="22"/>
          <w:szCs w:val="22"/>
        </w:rPr>
        <w:t>Devoluciones de gastos de tribunales arbitrales, Devinar 1 y 2, Tren de Occidente, Concesionaria San Simón $14.060.095 miles</w:t>
      </w:r>
      <w:r w:rsidR="000D61A5">
        <w:rPr>
          <w:rFonts w:ascii="Arial Narrow" w:hAnsi="Arial Narrow" w:cs="Gisha"/>
          <w:sz w:val="22"/>
          <w:szCs w:val="22"/>
        </w:rPr>
        <w:t>.</w:t>
      </w:r>
    </w:p>
    <w:p w:rsidR="001F3EE3" w:rsidRPr="00460393" w:rsidRDefault="001F3EE3" w:rsidP="001F3EE3">
      <w:pPr>
        <w:jc w:val="both"/>
        <w:rPr>
          <w:rFonts w:ascii="Arial Narrow" w:hAnsi="Arial Narrow" w:cs="Gisha"/>
          <w:sz w:val="22"/>
          <w:szCs w:val="22"/>
        </w:rPr>
      </w:pPr>
    </w:p>
    <w:p w:rsidR="001F3EE3" w:rsidRPr="00460393" w:rsidRDefault="001F3EE3" w:rsidP="001F3EE3">
      <w:pPr>
        <w:pStyle w:val="Encabezado"/>
        <w:tabs>
          <w:tab w:val="left" w:pos="708"/>
        </w:tabs>
        <w:jc w:val="both"/>
        <w:rPr>
          <w:rFonts w:ascii="Arial Narrow" w:hAnsi="Arial Narrow" w:cs="Gisha"/>
          <w:color w:val="auto"/>
          <w:sz w:val="22"/>
          <w:szCs w:val="22"/>
        </w:rPr>
      </w:pPr>
      <w:r w:rsidRPr="00460393">
        <w:rPr>
          <w:rFonts w:ascii="Arial Narrow" w:hAnsi="Arial Narrow" w:cs="Gisha"/>
          <w:color w:val="auto"/>
          <w:sz w:val="22"/>
          <w:szCs w:val="22"/>
        </w:rPr>
        <w:t>En Aprovechamientos se registraron:</w:t>
      </w:r>
    </w:p>
    <w:p w:rsidR="001F3EE3" w:rsidRPr="00460393" w:rsidRDefault="001F3EE3" w:rsidP="001F3EE3">
      <w:pPr>
        <w:pStyle w:val="Encabezado"/>
        <w:tabs>
          <w:tab w:val="left" w:pos="708"/>
        </w:tabs>
        <w:jc w:val="both"/>
        <w:rPr>
          <w:rFonts w:ascii="Arial Narrow" w:hAnsi="Arial Narrow" w:cs="Gisha"/>
          <w:color w:val="auto"/>
          <w:sz w:val="22"/>
          <w:szCs w:val="22"/>
        </w:rPr>
      </w:pPr>
    </w:p>
    <w:p w:rsidR="001F3EE3" w:rsidRPr="00460393" w:rsidRDefault="001F3EE3" w:rsidP="00853B3A">
      <w:pPr>
        <w:pStyle w:val="Encabezado"/>
        <w:numPr>
          <w:ilvl w:val="0"/>
          <w:numId w:val="33"/>
        </w:numPr>
        <w:tabs>
          <w:tab w:val="left" w:pos="708"/>
        </w:tabs>
        <w:jc w:val="both"/>
        <w:rPr>
          <w:rFonts w:ascii="Arial Narrow" w:hAnsi="Arial Narrow" w:cs="Gisha"/>
          <w:color w:val="auto"/>
          <w:sz w:val="22"/>
          <w:szCs w:val="22"/>
        </w:rPr>
      </w:pPr>
      <w:r w:rsidRPr="00460393">
        <w:rPr>
          <w:rFonts w:ascii="Arial Narrow" w:hAnsi="Arial Narrow" w:cs="Gisha"/>
          <w:color w:val="auto"/>
          <w:sz w:val="22"/>
          <w:szCs w:val="22"/>
        </w:rPr>
        <w:t>Los ingresos recibidos por concepto de la subcuenta de interventoría de las concesionarias Ruta   Del Sol   S.A.S. $ 841.290 miles,  Yuma Concesionaria S.A. $566.098 miles y Consorcio Vial Helios $331.967</w:t>
      </w:r>
      <w:r>
        <w:rPr>
          <w:rFonts w:ascii="Arial Narrow" w:hAnsi="Arial Narrow" w:cs="Gisha"/>
          <w:color w:val="auto"/>
          <w:sz w:val="22"/>
          <w:szCs w:val="22"/>
        </w:rPr>
        <w:t xml:space="preserve"> miles</w:t>
      </w:r>
      <w:r w:rsidRPr="00460393">
        <w:rPr>
          <w:rFonts w:ascii="Arial Narrow" w:hAnsi="Arial Narrow" w:cs="Gisha"/>
          <w:color w:val="auto"/>
          <w:sz w:val="22"/>
          <w:szCs w:val="22"/>
        </w:rPr>
        <w:t xml:space="preserve">. </w:t>
      </w:r>
    </w:p>
    <w:p w:rsidR="001F3EE3" w:rsidRPr="00460393" w:rsidRDefault="001F3EE3" w:rsidP="001F3EE3">
      <w:pPr>
        <w:pStyle w:val="Encabezado"/>
        <w:tabs>
          <w:tab w:val="left" w:pos="708"/>
        </w:tabs>
        <w:jc w:val="both"/>
        <w:rPr>
          <w:rFonts w:ascii="Arial Narrow" w:hAnsi="Arial Narrow" w:cs="Gisha"/>
          <w:color w:val="auto"/>
          <w:sz w:val="22"/>
          <w:szCs w:val="22"/>
        </w:rPr>
      </w:pPr>
    </w:p>
    <w:p w:rsidR="001F3EE3" w:rsidRPr="00460393" w:rsidRDefault="001F3EE3" w:rsidP="00853B3A">
      <w:pPr>
        <w:pStyle w:val="Encabezado"/>
        <w:numPr>
          <w:ilvl w:val="0"/>
          <w:numId w:val="33"/>
        </w:numPr>
        <w:tabs>
          <w:tab w:val="left" w:pos="708"/>
        </w:tabs>
        <w:jc w:val="both"/>
        <w:rPr>
          <w:rFonts w:ascii="Arial Narrow" w:hAnsi="Arial Narrow" w:cs="Gisha"/>
          <w:color w:val="auto"/>
          <w:sz w:val="22"/>
          <w:szCs w:val="22"/>
        </w:rPr>
      </w:pPr>
      <w:r w:rsidRPr="00460393">
        <w:rPr>
          <w:rFonts w:ascii="Arial Narrow" w:hAnsi="Arial Narrow" w:cs="Gisha"/>
          <w:color w:val="auto"/>
          <w:sz w:val="22"/>
          <w:szCs w:val="22"/>
        </w:rPr>
        <w:t xml:space="preserve">Los ingresos recibidos por arriendo de bodegas y usos de vías de Dracol $651.591 miles que se encuentran ubicadas en el km 5 y las de Unión Temporal Ferroviaria $ 39.686 miles ubicada en Barrancabermeja y La Dorada. </w:t>
      </w:r>
    </w:p>
    <w:p w:rsidR="001F3EE3" w:rsidRPr="00460393" w:rsidRDefault="001F3EE3" w:rsidP="001F3EE3">
      <w:pPr>
        <w:pStyle w:val="Encabezado"/>
        <w:tabs>
          <w:tab w:val="left" w:pos="708"/>
        </w:tabs>
        <w:jc w:val="both"/>
        <w:rPr>
          <w:rFonts w:ascii="Arial Narrow" w:hAnsi="Arial Narrow" w:cs="Gisha"/>
          <w:color w:val="auto"/>
          <w:sz w:val="22"/>
          <w:szCs w:val="22"/>
        </w:rPr>
      </w:pPr>
    </w:p>
    <w:p w:rsidR="001F3EE3" w:rsidRPr="00460393" w:rsidRDefault="001F3EE3" w:rsidP="00853B3A">
      <w:pPr>
        <w:pStyle w:val="Encabezado"/>
        <w:numPr>
          <w:ilvl w:val="0"/>
          <w:numId w:val="33"/>
        </w:numPr>
        <w:tabs>
          <w:tab w:val="left" w:pos="708"/>
        </w:tabs>
        <w:jc w:val="both"/>
        <w:rPr>
          <w:rFonts w:ascii="Arial Narrow" w:hAnsi="Arial Narrow" w:cs="Gisha"/>
          <w:color w:val="auto"/>
          <w:sz w:val="22"/>
          <w:szCs w:val="22"/>
        </w:rPr>
      </w:pPr>
      <w:r w:rsidRPr="00460393">
        <w:rPr>
          <w:rFonts w:ascii="Arial Narrow" w:hAnsi="Arial Narrow" w:cs="Gisha"/>
          <w:color w:val="auto"/>
          <w:sz w:val="22"/>
          <w:szCs w:val="22"/>
        </w:rPr>
        <w:t>Los rendimientos generados de la cuenta de</w:t>
      </w:r>
      <w:r>
        <w:rPr>
          <w:rFonts w:ascii="Arial Narrow" w:hAnsi="Arial Narrow" w:cs="Gisha"/>
          <w:color w:val="auto"/>
          <w:sz w:val="22"/>
          <w:szCs w:val="22"/>
        </w:rPr>
        <w:t xml:space="preserve"> recaudo de la Fiducia $ 21.685</w:t>
      </w:r>
      <w:r w:rsidRPr="00460393">
        <w:rPr>
          <w:rFonts w:ascii="Arial Narrow" w:hAnsi="Arial Narrow" w:cs="Gisha"/>
          <w:color w:val="auto"/>
          <w:sz w:val="22"/>
          <w:szCs w:val="22"/>
        </w:rPr>
        <w:t xml:space="preserve"> miles</w:t>
      </w:r>
    </w:p>
    <w:p w:rsidR="001F3EE3" w:rsidRPr="00460393" w:rsidRDefault="001F3EE3" w:rsidP="001F3EE3">
      <w:pPr>
        <w:pStyle w:val="Encabezado"/>
        <w:tabs>
          <w:tab w:val="left" w:pos="708"/>
        </w:tabs>
        <w:jc w:val="both"/>
        <w:rPr>
          <w:rFonts w:ascii="Arial Narrow" w:hAnsi="Arial Narrow" w:cs="Gisha"/>
          <w:color w:val="auto"/>
          <w:sz w:val="22"/>
          <w:szCs w:val="22"/>
        </w:rPr>
      </w:pPr>
    </w:p>
    <w:p w:rsidR="001F3EE3" w:rsidRPr="00460393" w:rsidRDefault="001F3EE3" w:rsidP="00853B3A">
      <w:pPr>
        <w:pStyle w:val="Encabezado"/>
        <w:numPr>
          <w:ilvl w:val="0"/>
          <w:numId w:val="33"/>
        </w:numPr>
        <w:tabs>
          <w:tab w:val="left" w:pos="708"/>
        </w:tabs>
        <w:jc w:val="both"/>
        <w:rPr>
          <w:rFonts w:ascii="Arial Narrow" w:hAnsi="Arial Narrow" w:cs="Gisha"/>
          <w:color w:val="auto"/>
          <w:sz w:val="22"/>
          <w:szCs w:val="22"/>
        </w:rPr>
      </w:pPr>
      <w:r w:rsidRPr="00460393">
        <w:rPr>
          <w:rFonts w:ascii="Arial Narrow" w:hAnsi="Arial Narrow" w:cs="Gisha"/>
          <w:color w:val="auto"/>
          <w:sz w:val="22"/>
          <w:szCs w:val="22"/>
        </w:rPr>
        <w:t>Ingresos por pagos en exceso de incapacidades de acuerdo con la liquidación que realiza el área de talento Humano.</w:t>
      </w:r>
    </w:p>
    <w:p w:rsidR="001F3EE3" w:rsidRPr="00460393" w:rsidRDefault="001F3EE3" w:rsidP="001F3EE3">
      <w:pPr>
        <w:pStyle w:val="Encabezado"/>
        <w:tabs>
          <w:tab w:val="left" w:pos="708"/>
        </w:tabs>
        <w:jc w:val="both"/>
        <w:rPr>
          <w:rFonts w:ascii="Arial Narrow" w:hAnsi="Arial Narrow" w:cs="Gisha"/>
          <w:color w:val="auto"/>
          <w:sz w:val="22"/>
          <w:szCs w:val="22"/>
        </w:rPr>
      </w:pPr>
    </w:p>
    <w:p w:rsidR="001F3EE3" w:rsidRDefault="001F3EE3" w:rsidP="001F3EE3">
      <w:pPr>
        <w:jc w:val="both"/>
        <w:rPr>
          <w:rFonts w:ascii="Arial Narrow" w:hAnsi="Arial Narrow" w:cs="Gisha"/>
          <w:sz w:val="22"/>
          <w:szCs w:val="22"/>
        </w:rPr>
      </w:pPr>
      <w:r w:rsidRPr="00460393">
        <w:rPr>
          <w:rFonts w:ascii="Arial Narrow" w:hAnsi="Arial Narrow" w:cs="Gisha"/>
          <w:sz w:val="22"/>
          <w:szCs w:val="22"/>
        </w:rPr>
        <w:t>En Otros Ingresos Extraordinarios se registraron Ingresos por sobrantes de aproximaciones al peso en el registro contable de los pagos de retención en la Fuente e Industria y Comercio.</w:t>
      </w:r>
    </w:p>
    <w:p w:rsidR="001F3EE3" w:rsidRDefault="001F3EE3" w:rsidP="001F3EE3">
      <w:pPr>
        <w:jc w:val="both"/>
        <w:rPr>
          <w:rFonts w:ascii="Arial Narrow" w:hAnsi="Arial Narrow" w:cs="Gisha"/>
          <w:sz w:val="22"/>
          <w:szCs w:val="22"/>
        </w:rPr>
      </w:pPr>
    </w:p>
    <w:p w:rsidR="001F3EE3" w:rsidRDefault="001F3EE3" w:rsidP="001F3EE3">
      <w:pPr>
        <w:jc w:val="both"/>
        <w:rPr>
          <w:rFonts w:ascii="Arial Narrow" w:hAnsi="Arial Narrow" w:cs="Gisha"/>
          <w:sz w:val="22"/>
          <w:szCs w:val="22"/>
        </w:rPr>
      </w:pPr>
      <w:r w:rsidRPr="007303B7">
        <w:rPr>
          <w:rFonts w:ascii="Arial Narrow" w:hAnsi="Arial Narrow" w:cs="Gisha"/>
          <w:sz w:val="22"/>
          <w:szCs w:val="22"/>
        </w:rPr>
        <w:t xml:space="preserve">En </w:t>
      </w:r>
      <w:r w:rsidRPr="00E10A62">
        <w:rPr>
          <w:rFonts w:ascii="Arial Narrow" w:hAnsi="Arial Narrow" w:cs="Gisha"/>
          <w:sz w:val="22"/>
          <w:szCs w:val="22"/>
        </w:rPr>
        <w:t>Ajustes de Ejercicios</w:t>
      </w:r>
      <w:r>
        <w:rPr>
          <w:rFonts w:ascii="Arial Narrow" w:hAnsi="Arial Narrow" w:cs="Gisha"/>
          <w:sz w:val="22"/>
          <w:szCs w:val="22"/>
        </w:rPr>
        <w:t xml:space="preserve"> anteriores, se realizaron los siguientes registros que </w:t>
      </w:r>
      <w:r w:rsidRPr="001F5DC2">
        <w:rPr>
          <w:rFonts w:ascii="Arial Narrow" w:hAnsi="Arial Narrow" w:cs="Gisha"/>
          <w:sz w:val="22"/>
          <w:szCs w:val="22"/>
        </w:rPr>
        <w:t xml:space="preserve">corresponden específicamente a: </w:t>
      </w:r>
    </w:p>
    <w:p w:rsidR="001F3EE3" w:rsidRDefault="001F3EE3" w:rsidP="001F3EE3">
      <w:pPr>
        <w:jc w:val="both"/>
        <w:rPr>
          <w:rFonts w:ascii="Arial Narrow" w:hAnsi="Arial Narrow" w:cs="Gisha"/>
          <w:sz w:val="22"/>
          <w:szCs w:val="22"/>
        </w:rPr>
      </w:pPr>
    </w:p>
    <w:p w:rsidR="001F3EE3" w:rsidRDefault="001F3EE3" w:rsidP="00853B3A">
      <w:pPr>
        <w:numPr>
          <w:ilvl w:val="0"/>
          <w:numId w:val="34"/>
        </w:numPr>
        <w:jc w:val="both"/>
        <w:rPr>
          <w:rFonts w:ascii="Arial Narrow" w:hAnsi="Arial Narrow" w:cs="Gisha"/>
          <w:sz w:val="22"/>
          <w:szCs w:val="22"/>
        </w:rPr>
      </w:pPr>
      <w:r w:rsidRPr="001F5DC2">
        <w:rPr>
          <w:rFonts w:ascii="Arial Narrow" w:hAnsi="Arial Narrow" w:cs="Gisha"/>
          <w:sz w:val="22"/>
          <w:szCs w:val="22"/>
        </w:rPr>
        <w:t>$53.034 miles Rad 2015-308-002496-3 del 26 de febrero de 2015 se dio alcance a la información reportada de peajes en el mes de diciembre, aclarando que:</w:t>
      </w:r>
    </w:p>
    <w:p w:rsidR="001F3EE3" w:rsidRDefault="001F3EE3" w:rsidP="001F3EE3">
      <w:pPr>
        <w:jc w:val="both"/>
        <w:rPr>
          <w:rFonts w:ascii="Arial Narrow" w:hAnsi="Arial Narrow" w:cs="Gisha"/>
          <w:sz w:val="22"/>
          <w:szCs w:val="22"/>
        </w:rPr>
      </w:pPr>
    </w:p>
    <w:p w:rsidR="001F3EE3" w:rsidRDefault="001F3EE3" w:rsidP="00853B3A">
      <w:pPr>
        <w:pStyle w:val="Prrafodelista"/>
        <w:numPr>
          <w:ilvl w:val="0"/>
          <w:numId w:val="31"/>
        </w:numPr>
        <w:jc w:val="both"/>
        <w:rPr>
          <w:rFonts w:cs="Gisha"/>
          <w:sz w:val="22"/>
          <w:szCs w:val="22"/>
        </w:rPr>
      </w:pPr>
      <w:r w:rsidRPr="00EA06DC">
        <w:rPr>
          <w:rFonts w:cs="Gisha"/>
          <w:sz w:val="22"/>
          <w:szCs w:val="22"/>
        </w:rPr>
        <w:lastRenderedPageBreak/>
        <w:t xml:space="preserve">Se presentó diferencia en el certificado de recaudo de diciembre de 2014. </w:t>
      </w:r>
    </w:p>
    <w:p w:rsidR="001F3EE3" w:rsidRDefault="001F3EE3" w:rsidP="00853B3A">
      <w:pPr>
        <w:pStyle w:val="Prrafodelista"/>
        <w:numPr>
          <w:ilvl w:val="0"/>
          <w:numId w:val="31"/>
        </w:numPr>
        <w:jc w:val="both"/>
        <w:rPr>
          <w:rFonts w:cs="Gisha"/>
          <w:sz w:val="22"/>
          <w:szCs w:val="22"/>
        </w:rPr>
      </w:pPr>
      <w:r w:rsidRPr="00EA06DC">
        <w:rPr>
          <w:rFonts w:cs="Gisha"/>
          <w:sz w:val="22"/>
          <w:szCs w:val="22"/>
        </w:rPr>
        <w:t xml:space="preserve">Se incluyó erradamente el valor de $53,034 miles que no corresponde a peajes de la Concesión la Pintada. </w:t>
      </w:r>
    </w:p>
    <w:p w:rsidR="001F3EE3" w:rsidRPr="00EA06DC" w:rsidRDefault="001F3EE3" w:rsidP="00853B3A">
      <w:pPr>
        <w:pStyle w:val="Prrafodelista"/>
        <w:numPr>
          <w:ilvl w:val="0"/>
          <w:numId w:val="31"/>
        </w:numPr>
        <w:jc w:val="both"/>
        <w:rPr>
          <w:rFonts w:cs="Gisha"/>
          <w:sz w:val="22"/>
          <w:szCs w:val="22"/>
        </w:rPr>
      </w:pPr>
      <w:r w:rsidRPr="00EA06DC">
        <w:rPr>
          <w:rFonts w:cs="Gisha"/>
          <w:sz w:val="22"/>
          <w:szCs w:val="22"/>
        </w:rPr>
        <w:t xml:space="preserve">Así las cosas el valor certificado por el mes de diciembre de 2014 es de $1.397.711 miles Concesión Autopista Conexión Pacifico. </w:t>
      </w:r>
    </w:p>
    <w:p w:rsidR="001F3EE3" w:rsidRDefault="001F3EE3" w:rsidP="001F3EE3">
      <w:pPr>
        <w:jc w:val="both"/>
        <w:rPr>
          <w:rFonts w:ascii="Arial Narrow" w:hAnsi="Arial Narrow" w:cs="Gisha"/>
          <w:sz w:val="22"/>
          <w:szCs w:val="22"/>
        </w:rPr>
      </w:pPr>
    </w:p>
    <w:p w:rsidR="001F3EE3" w:rsidRDefault="001F3EE3" w:rsidP="00853B3A">
      <w:pPr>
        <w:numPr>
          <w:ilvl w:val="0"/>
          <w:numId w:val="34"/>
        </w:numPr>
        <w:jc w:val="both"/>
        <w:rPr>
          <w:rFonts w:ascii="Arial Narrow" w:hAnsi="Arial Narrow" w:cs="Gisha"/>
          <w:sz w:val="22"/>
          <w:szCs w:val="22"/>
        </w:rPr>
      </w:pPr>
      <w:r w:rsidRPr="001F5DC2">
        <w:rPr>
          <w:rFonts w:ascii="Arial Narrow" w:hAnsi="Arial Narrow" w:cs="Gisha"/>
          <w:sz w:val="22"/>
          <w:szCs w:val="22"/>
        </w:rPr>
        <w:t xml:space="preserve">Rad 2015-308-003833-3 del 24 de marzo de 2015 se dio alcance a la información de recaudo de peajes del mes de diciembre de 2014 de la Autopista Conexión Pacifico Tres informando que se debe adicionar la suma de $29,269 miles por ajustes solicitados por la interventoría. </w:t>
      </w:r>
    </w:p>
    <w:p w:rsidR="001F3EE3" w:rsidRDefault="001F3EE3" w:rsidP="001F3EE3">
      <w:pPr>
        <w:jc w:val="both"/>
        <w:rPr>
          <w:rFonts w:ascii="Arial Narrow" w:hAnsi="Arial Narrow" w:cs="Gisha"/>
          <w:sz w:val="22"/>
          <w:szCs w:val="22"/>
        </w:rPr>
      </w:pPr>
    </w:p>
    <w:p w:rsidR="001F3EE3" w:rsidRDefault="001F3EE3" w:rsidP="00853B3A">
      <w:pPr>
        <w:numPr>
          <w:ilvl w:val="0"/>
          <w:numId w:val="34"/>
        </w:numPr>
        <w:jc w:val="both"/>
        <w:rPr>
          <w:rFonts w:ascii="Arial Narrow" w:hAnsi="Arial Narrow" w:cs="Gisha"/>
          <w:sz w:val="22"/>
          <w:szCs w:val="22"/>
        </w:rPr>
      </w:pPr>
      <w:r w:rsidRPr="001F5DC2">
        <w:rPr>
          <w:rFonts w:ascii="Arial Narrow" w:hAnsi="Arial Narrow" w:cs="Gisha"/>
          <w:sz w:val="22"/>
          <w:szCs w:val="22"/>
        </w:rPr>
        <w:t xml:space="preserve">Registro del pago correspondiente a las cuentas por pagar constituidas a diciembre de 2014 por concepto de Gravamen a los Movimientos Financieros (4xMil Presupuestal). </w:t>
      </w:r>
    </w:p>
    <w:p w:rsidR="001F3EE3" w:rsidRDefault="001F3EE3" w:rsidP="001F3EE3">
      <w:pPr>
        <w:jc w:val="both"/>
        <w:rPr>
          <w:rFonts w:ascii="Arial Narrow" w:hAnsi="Arial Narrow" w:cs="Gisha"/>
          <w:sz w:val="22"/>
          <w:szCs w:val="22"/>
        </w:rPr>
      </w:pPr>
    </w:p>
    <w:p w:rsidR="001F3EE3" w:rsidRDefault="001F3EE3" w:rsidP="00853B3A">
      <w:pPr>
        <w:numPr>
          <w:ilvl w:val="0"/>
          <w:numId w:val="34"/>
        </w:numPr>
        <w:jc w:val="both"/>
        <w:rPr>
          <w:rFonts w:ascii="Arial Narrow" w:hAnsi="Arial Narrow" w:cs="Gisha"/>
          <w:sz w:val="22"/>
          <w:szCs w:val="22"/>
        </w:rPr>
      </w:pPr>
      <w:r w:rsidRPr="001F5DC2">
        <w:rPr>
          <w:rFonts w:ascii="Arial Narrow" w:hAnsi="Arial Narrow" w:cs="Gisha"/>
          <w:sz w:val="22"/>
          <w:szCs w:val="22"/>
        </w:rPr>
        <w:t xml:space="preserve">Ajuste al recaudo de peajes de los meses de noviembre y diciembre de 2014 de acuerdo a certificación emitida por parte de la Fiduciaria de los recaudos de peajes, de la concesión Autopista Conexión Pacifico II. </w:t>
      </w:r>
    </w:p>
    <w:p w:rsidR="001F3EE3" w:rsidRDefault="001F3EE3" w:rsidP="001F3EE3">
      <w:pPr>
        <w:jc w:val="both"/>
        <w:rPr>
          <w:rFonts w:ascii="Arial Narrow" w:hAnsi="Arial Narrow" w:cs="Gisha"/>
          <w:sz w:val="22"/>
          <w:szCs w:val="22"/>
        </w:rPr>
      </w:pPr>
    </w:p>
    <w:p w:rsidR="001F3EE3" w:rsidRDefault="001F3EE3" w:rsidP="00853B3A">
      <w:pPr>
        <w:numPr>
          <w:ilvl w:val="0"/>
          <w:numId w:val="34"/>
        </w:numPr>
        <w:jc w:val="both"/>
        <w:rPr>
          <w:rFonts w:ascii="Arial Narrow" w:hAnsi="Arial Narrow" w:cs="Gisha"/>
          <w:sz w:val="22"/>
          <w:szCs w:val="22"/>
        </w:rPr>
      </w:pPr>
      <w:r w:rsidRPr="001F5DC2">
        <w:rPr>
          <w:rFonts w:ascii="Arial Narrow" w:hAnsi="Arial Narrow" w:cs="Gisha"/>
          <w:sz w:val="22"/>
          <w:szCs w:val="22"/>
        </w:rPr>
        <w:t>Ajuste a los rendimientos registrados en el mes de noviembre y diciembre de 2014, corregidos mediante memorando 2015-308-009758-3 del 21 de agosto de 2015.</w:t>
      </w:r>
    </w:p>
    <w:p w:rsidR="00FA11D4" w:rsidRPr="005B2A57" w:rsidRDefault="00FA11D4" w:rsidP="00ED6C1E">
      <w:pPr>
        <w:pStyle w:val="Textoindependiente3"/>
        <w:rPr>
          <w:rFonts w:ascii="Arial Narrow" w:hAnsi="Arial Narrow" w:cs="Gisha"/>
          <w:i/>
          <w:iCs/>
          <w:vanish/>
          <w:color w:val="auto"/>
          <w:sz w:val="22"/>
          <w:szCs w:val="22"/>
          <w:lang w:val="es-ES_tradnl"/>
        </w:rPr>
      </w:pPr>
    </w:p>
    <w:p w:rsidR="00931EAC" w:rsidRDefault="00931EAC" w:rsidP="00931EAC">
      <w:pPr>
        <w:pStyle w:val="Ttulo3"/>
        <w:rPr>
          <w:rFonts w:ascii="Arial Narrow" w:hAnsi="Arial Narrow" w:cs="Gisha"/>
          <w:color w:val="auto"/>
          <w:sz w:val="22"/>
          <w:szCs w:val="22"/>
        </w:rPr>
      </w:pPr>
    </w:p>
    <w:p w:rsidR="00931EAC" w:rsidRPr="005B2A57" w:rsidRDefault="00931EAC" w:rsidP="00931EAC">
      <w:pPr>
        <w:pStyle w:val="Ttulo3"/>
        <w:rPr>
          <w:rFonts w:ascii="Arial Narrow" w:hAnsi="Arial Narrow" w:cs="Gisha"/>
          <w:color w:val="auto"/>
          <w:sz w:val="22"/>
          <w:szCs w:val="22"/>
        </w:rPr>
      </w:pPr>
      <w:r w:rsidRPr="005B2A57">
        <w:rPr>
          <w:rFonts w:ascii="Arial Narrow" w:hAnsi="Arial Narrow" w:cs="Gisha"/>
          <w:color w:val="auto"/>
          <w:sz w:val="22"/>
          <w:szCs w:val="22"/>
        </w:rPr>
        <w:t>NOTA 1</w:t>
      </w:r>
      <w:r w:rsidR="00634F3F">
        <w:rPr>
          <w:rFonts w:ascii="Arial Narrow" w:hAnsi="Arial Narrow" w:cs="Gisha"/>
          <w:color w:val="auto"/>
          <w:sz w:val="22"/>
          <w:szCs w:val="22"/>
        </w:rPr>
        <w:t>3</w:t>
      </w:r>
      <w:r w:rsidRPr="005B2A57">
        <w:rPr>
          <w:rFonts w:ascii="Arial Narrow" w:hAnsi="Arial Narrow" w:cs="Gisha"/>
          <w:color w:val="auto"/>
          <w:sz w:val="22"/>
          <w:szCs w:val="22"/>
        </w:rPr>
        <w:t xml:space="preserve">.   GASTOS </w:t>
      </w:r>
    </w:p>
    <w:p w:rsidR="00931EAC" w:rsidRDefault="00931EAC" w:rsidP="00931EAC">
      <w:pPr>
        <w:jc w:val="both"/>
        <w:rPr>
          <w:rFonts w:ascii="Arial Narrow" w:hAnsi="Arial Narrow" w:cs="Gisha"/>
          <w:sz w:val="22"/>
          <w:szCs w:val="22"/>
        </w:rPr>
      </w:pPr>
    </w:p>
    <w:p w:rsidR="002A48B8" w:rsidRDefault="002A48B8" w:rsidP="002A48B8">
      <w:pPr>
        <w:jc w:val="both"/>
        <w:rPr>
          <w:rFonts w:ascii="Arial Narrow" w:hAnsi="Arial Narrow" w:cs="Gisha"/>
          <w:sz w:val="22"/>
          <w:szCs w:val="22"/>
        </w:rPr>
      </w:pPr>
      <w:r>
        <w:rPr>
          <w:rFonts w:ascii="Arial Narrow" w:hAnsi="Arial Narrow" w:cs="Gisha"/>
          <w:sz w:val="22"/>
          <w:szCs w:val="22"/>
        </w:rPr>
        <w:t>El valor de los gastos en la vigencia 2015 ascienden a la suma de $ 1.914.540.346 miles generados por la Entidad en desarrollo de su actividad administrativa y operativa así como gastos de origen extraordinario, el saldo comparativo (2015 – 2014)  se representa así:</w:t>
      </w:r>
    </w:p>
    <w:p w:rsidR="002A48B8" w:rsidRDefault="002A48B8" w:rsidP="002A48B8">
      <w:pPr>
        <w:jc w:val="both"/>
        <w:rPr>
          <w:rFonts w:ascii="Arial Narrow" w:hAnsi="Arial Narrow" w:cs="Gisha"/>
          <w:sz w:val="22"/>
          <w:szCs w:val="22"/>
        </w:rPr>
      </w:pPr>
    </w:p>
    <w:p w:rsidR="002A48B8" w:rsidRDefault="002A48B8" w:rsidP="002A48B8">
      <w:pPr>
        <w:jc w:val="center"/>
        <w:rPr>
          <w:rFonts w:ascii="Arial Narrow" w:hAnsi="Arial Narrow" w:cs="Gisha"/>
          <w:sz w:val="22"/>
          <w:szCs w:val="22"/>
        </w:rPr>
      </w:pPr>
      <w:r w:rsidRPr="00D52F99">
        <w:rPr>
          <w:noProof/>
          <w:lang w:val="es-CO" w:eastAsia="es-CO"/>
        </w:rPr>
        <w:drawing>
          <wp:inline distT="0" distB="0" distL="0" distR="0">
            <wp:extent cx="5346065" cy="3950208"/>
            <wp:effectExtent l="0" t="0" r="698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12220" cy="3999090"/>
                    </a:xfrm>
                    <a:prstGeom prst="rect">
                      <a:avLst/>
                    </a:prstGeom>
                    <a:noFill/>
                    <a:ln>
                      <a:noFill/>
                    </a:ln>
                  </pic:spPr>
                </pic:pic>
              </a:graphicData>
            </a:graphic>
          </wp:inline>
        </w:drawing>
      </w:r>
    </w:p>
    <w:p w:rsidR="002A48B8" w:rsidRDefault="002A48B8" w:rsidP="002A48B8">
      <w:pPr>
        <w:pStyle w:val="Textoindependiente3"/>
        <w:rPr>
          <w:rFonts w:ascii="Arial Narrow" w:hAnsi="Arial Narrow" w:cs="Gisha"/>
          <w:sz w:val="22"/>
          <w:szCs w:val="22"/>
        </w:rPr>
      </w:pPr>
      <w:r>
        <w:rPr>
          <w:rFonts w:ascii="Arial Narrow" w:hAnsi="Arial Narrow" w:cs="Gisha"/>
          <w:sz w:val="22"/>
          <w:szCs w:val="22"/>
        </w:rPr>
        <w:lastRenderedPageBreak/>
        <w:t>En gastos administrativos; Sueldos y Salarios, Contribuciones Efectivas y Aportes sobre la nómina se presenta un aumento de  $2.306.343 miles, debido a que se ocuparon las vacantes disponibles en la planta de personal y al incremento del 4.66% en las asignaciones básicas mensuales para la vigencia 2015, conforme a lo establecido en el Decreto 1099 de 2015 del Departamento Administrativo de la Función Pública “</w:t>
      </w:r>
      <w:r>
        <w:rPr>
          <w:rFonts w:ascii="Arial Narrow" w:hAnsi="Arial Narrow" w:cs="Gisha"/>
          <w:i/>
          <w:sz w:val="22"/>
          <w:szCs w:val="22"/>
        </w:rPr>
        <w:t>Por el cual se establece la escala salarial de los empleos públicos de las Agencias Estatales de Naturaleza Especial, del sector descentralizado de la Rama Ejecutiva del Orden Nacional</w:t>
      </w:r>
      <w:r>
        <w:rPr>
          <w:rFonts w:ascii="Arial Narrow" w:hAnsi="Arial Narrow" w:cs="Gisha"/>
          <w:sz w:val="22"/>
          <w:szCs w:val="22"/>
        </w:rPr>
        <w:t>”.</w:t>
      </w:r>
    </w:p>
    <w:p w:rsidR="002A48B8" w:rsidRDefault="002A48B8" w:rsidP="002A48B8">
      <w:pPr>
        <w:pStyle w:val="Textoindependiente3"/>
        <w:rPr>
          <w:rFonts w:ascii="Arial Narrow" w:hAnsi="Arial Narrow"/>
          <w:sz w:val="22"/>
          <w:szCs w:val="22"/>
        </w:rPr>
      </w:pPr>
    </w:p>
    <w:p w:rsidR="002A48B8" w:rsidRDefault="002A48B8" w:rsidP="002A48B8">
      <w:pPr>
        <w:pStyle w:val="Textoindependiente3"/>
        <w:rPr>
          <w:rFonts w:ascii="Arial Narrow" w:hAnsi="Arial Narrow"/>
          <w:sz w:val="22"/>
          <w:szCs w:val="22"/>
        </w:rPr>
      </w:pPr>
      <w:r>
        <w:rPr>
          <w:rFonts w:ascii="Arial Narrow" w:hAnsi="Arial Narrow"/>
          <w:sz w:val="22"/>
          <w:szCs w:val="22"/>
        </w:rPr>
        <w:t xml:space="preserve">En Gastos Administrativos, Gastos Generales, refleja </w:t>
      </w:r>
      <w:r>
        <w:rPr>
          <w:rFonts w:ascii="Arial Narrow" w:hAnsi="Arial Narrow" w:cs="Gisha"/>
          <w:color w:val="auto"/>
          <w:sz w:val="22"/>
          <w:szCs w:val="22"/>
        </w:rPr>
        <w:t>las erogaciones efectuadas al personal técnico especializado en las diferentes áreas,</w:t>
      </w:r>
      <w:r>
        <w:rPr>
          <w:rFonts w:ascii="Arial Narrow" w:hAnsi="Arial Narrow"/>
          <w:sz w:val="22"/>
          <w:szCs w:val="22"/>
        </w:rPr>
        <w:t xml:space="preserve"> el arrendamiento de las instalaciones de la Entidad y los anticipos entregados a los presidentes de los tribunales de arbitramentos para pago de peritos, secretario y demás gastos que se generen en dichos Tribunales y honorarios en cumplimiento a lo estipulado en el concepto 20132000069151 del 20 de diciembre de 2013 emitido por la Contaduría General de la Nación, en el que precisa el manejo contable originado en la instalación de los tribunales de arbitramento. El incremento  en el 2015 en ésta cuenta de gasto obedeció en mayor parte por gastos de instalación de tribunales de arbitramento y trámites de amigable composición, gastos  de arrendamiento de las oficinas del piso 8, la amortización de los gastos efectuados para su adecuación y la adquisición de licencias de software de base, clientes, desarrollo y ofimática para la plataforma de Microsoft.</w:t>
      </w:r>
    </w:p>
    <w:p w:rsidR="002A48B8" w:rsidRDefault="002A48B8" w:rsidP="002A48B8">
      <w:pPr>
        <w:pStyle w:val="Textoindependiente3"/>
        <w:rPr>
          <w:rFonts w:ascii="Arial Narrow" w:hAnsi="Arial Narrow" w:cs="Gisha"/>
          <w:color w:val="auto"/>
          <w:sz w:val="22"/>
          <w:szCs w:val="22"/>
        </w:rPr>
      </w:pPr>
    </w:p>
    <w:p w:rsidR="002A48B8" w:rsidRDefault="002A48B8" w:rsidP="002A48B8">
      <w:pPr>
        <w:jc w:val="both"/>
        <w:rPr>
          <w:rFonts w:ascii="Arial Narrow" w:hAnsi="Arial Narrow" w:cs="Gisha"/>
          <w:sz w:val="22"/>
          <w:szCs w:val="22"/>
        </w:rPr>
      </w:pPr>
      <w:r>
        <w:rPr>
          <w:rFonts w:ascii="Arial Narrow" w:hAnsi="Arial Narrow" w:cs="Gisha"/>
          <w:sz w:val="22"/>
          <w:szCs w:val="22"/>
        </w:rPr>
        <w:t xml:space="preserve">En los Gastos Generales de Operación se </w:t>
      </w:r>
      <w:r>
        <w:rPr>
          <w:rFonts w:ascii="Arial Narrow" w:hAnsi="Arial Narrow"/>
          <w:sz w:val="22"/>
          <w:szCs w:val="22"/>
        </w:rPr>
        <w:t xml:space="preserve">presenta </w:t>
      </w:r>
      <w:r>
        <w:rPr>
          <w:rFonts w:ascii="Arial Narrow" w:hAnsi="Arial Narrow" w:cs="Gisha"/>
          <w:sz w:val="22"/>
          <w:szCs w:val="22"/>
        </w:rPr>
        <w:t>las erogaciones efectuadas al personal técnico especializado en las diferentes áreas misionales, los pagos efectuados por Interventoría del modo aeroportuario, las asesorías técnicas por parte de entidades especializadas; la ejecución de los pagos efectuados a FONADE y  al Fondo de Adaptación y al valor recaudado por peajes en la vigencia 2015 de las concesiones viales gestionadas por el INVIAS, dando cumplimiento a lo indicado por la Contaduría General de la Nación.</w:t>
      </w:r>
    </w:p>
    <w:p w:rsidR="002A48B8" w:rsidRDefault="002A48B8" w:rsidP="002A48B8">
      <w:pPr>
        <w:jc w:val="both"/>
        <w:rPr>
          <w:rFonts w:ascii="Arial Narrow" w:hAnsi="Arial Narrow" w:cs="Gisha"/>
          <w:sz w:val="22"/>
          <w:szCs w:val="22"/>
        </w:rPr>
      </w:pPr>
    </w:p>
    <w:p w:rsidR="002A48B8" w:rsidRDefault="002A48B8" w:rsidP="002A48B8">
      <w:pPr>
        <w:jc w:val="both"/>
        <w:rPr>
          <w:rFonts w:ascii="Arial Narrow" w:hAnsi="Arial Narrow" w:cs="Gisha"/>
          <w:sz w:val="22"/>
          <w:szCs w:val="22"/>
        </w:rPr>
      </w:pPr>
      <w:r>
        <w:rPr>
          <w:rFonts w:ascii="Arial Narrow" w:hAnsi="Arial Narrow" w:cs="Gisha"/>
          <w:sz w:val="22"/>
          <w:szCs w:val="22"/>
        </w:rPr>
        <w:t>La cuenta de Gastos Generales de Operación presenta incrementos principalmente en los siguientes conceptos:</w:t>
      </w:r>
    </w:p>
    <w:p w:rsidR="002A48B8" w:rsidRDefault="002A48B8" w:rsidP="002A48B8">
      <w:pPr>
        <w:jc w:val="both"/>
        <w:rPr>
          <w:rFonts w:ascii="Arial Narrow" w:hAnsi="Arial Narrow" w:cs="Gisha"/>
          <w:sz w:val="22"/>
          <w:szCs w:val="22"/>
        </w:rPr>
      </w:pPr>
    </w:p>
    <w:p w:rsidR="002A48B8" w:rsidRDefault="002A48B8" w:rsidP="00853B3A">
      <w:pPr>
        <w:pStyle w:val="Prrafodelista"/>
        <w:numPr>
          <w:ilvl w:val="0"/>
          <w:numId w:val="35"/>
        </w:numPr>
        <w:jc w:val="both"/>
        <w:rPr>
          <w:rFonts w:cs="Gisha"/>
          <w:sz w:val="22"/>
          <w:szCs w:val="22"/>
        </w:rPr>
      </w:pPr>
      <w:r>
        <w:rPr>
          <w:rFonts w:cs="Gisha"/>
          <w:sz w:val="22"/>
          <w:szCs w:val="22"/>
        </w:rPr>
        <w:t xml:space="preserve">$ 33.006.487 miles por pago por concepto de Comisiones, honorarios y servicios suscritos en la vigencia 2015, especialmente contratación </w:t>
      </w:r>
      <w:r w:rsidR="00C10814">
        <w:rPr>
          <w:rFonts w:cs="Gisha"/>
          <w:sz w:val="22"/>
          <w:szCs w:val="22"/>
        </w:rPr>
        <w:t xml:space="preserve">para el manejo y apoyo a los diversos proyectos de Concesión para el logro del cumplimiento de las obligaciones legales de la Vicepresidencia de Gestión Contractual a su cargo, de proyectos carreteros de APP y los demás proyectos concesionarios de los modos portuario y aeroportuario adjudicados en la vigencia 2015, debe contratar con profesionales calificados, que puedan hacer seguimiento del orden técnico y administrativo, al cumplimiento de las obligaciones de los concesionarios e interventorías de los contratos de concesión.  </w:t>
      </w:r>
    </w:p>
    <w:p w:rsidR="002A48B8" w:rsidRDefault="002A48B8" w:rsidP="002A48B8">
      <w:pPr>
        <w:pStyle w:val="Prrafodelista"/>
        <w:rPr>
          <w:rFonts w:cs="Gisha"/>
          <w:sz w:val="22"/>
          <w:szCs w:val="22"/>
        </w:rPr>
      </w:pPr>
    </w:p>
    <w:p w:rsidR="002A48B8" w:rsidRDefault="002A48B8" w:rsidP="00853B3A">
      <w:pPr>
        <w:pStyle w:val="Prrafodelista"/>
        <w:numPr>
          <w:ilvl w:val="0"/>
          <w:numId w:val="35"/>
        </w:numPr>
        <w:jc w:val="both"/>
        <w:rPr>
          <w:rFonts w:cs="Gisha"/>
          <w:sz w:val="22"/>
          <w:szCs w:val="22"/>
        </w:rPr>
      </w:pPr>
      <w:r>
        <w:rPr>
          <w:rFonts w:cs="Gisha"/>
          <w:sz w:val="22"/>
          <w:szCs w:val="22"/>
        </w:rPr>
        <w:t>$27.053.534 miles por concepto de mantenimiento rutinario efectuado en la vigencia 2015 de las concesiones de cuarta generación así: Loboguerrero, Zipaquirá-Bucaramanga, Autopistas Conexión Pacífico 1, 2 y 3, Girardot-Honda-Puerto Salgar, Corredor Perimetral del Oriente de Cundinamarca, Circunvalar-Cartagena-Barranquilla, Autopista al Río Magdalena 2, Autopista Conexión Norte, Malla Vial del Meta IP, Transversal del Sisga, Proyecto Cesar - Guajira, Proyecto Villavicencio - Yopal, Proyecto IP Cambao Manizales, Proyecto Neiva - Mocoa - Santana - Puerto Asís, Autopista al Mar 1, Rumichaca - Pasto.</w:t>
      </w:r>
    </w:p>
    <w:p w:rsidR="002A48B8" w:rsidRDefault="002A48B8" w:rsidP="002A48B8">
      <w:pPr>
        <w:pStyle w:val="Prrafodelista"/>
        <w:ind w:left="720"/>
        <w:jc w:val="both"/>
        <w:rPr>
          <w:rFonts w:cs="Gisha"/>
          <w:sz w:val="22"/>
          <w:szCs w:val="22"/>
        </w:rPr>
      </w:pPr>
    </w:p>
    <w:p w:rsidR="002A48B8" w:rsidRDefault="002A48B8" w:rsidP="00853B3A">
      <w:pPr>
        <w:pStyle w:val="Prrafodelista"/>
        <w:numPr>
          <w:ilvl w:val="0"/>
          <w:numId w:val="35"/>
        </w:numPr>
        <w:jc w:val="both"/>
        <w:rPr>
          <w:rFonts w:cs="Gisha"/>
          <w:sz w:val="22"/>
          <w:szCs w:val="22"/>
        </w:rPr>
      </w:pPr>
      <w:r>
        <w:rPr>
          <w:rFonts w:cs="Gisha"/>
          <w:sz w:val="22"/>
          <w:szCs w:val="22"/>
        </w:rPr>
        <w:t>$ 103.044.893 miles por concepto de peajes de las  concesiones viales subrogadas a la Agencia por el INVIAS; proyectos: Consorcio Vía al Mar Cartagena – Barranquilla, Desarrollo Malla Vial Valle del Cauca y Cauca, Concesión Santa Marta - Riohacha – Paraguachón, Desarrollo Vial del Norte de Bogotá, Concesión Sabana de Occidente S.A, Fontibón - Facatativá - Los Alpes, Bogotá -  Villavicencio, Desarrollo Vial del Oriente de Medellín, Armenia – Pereira – Manizales, Girardot – Espinal – Neiva, Briceño – Tunja – Sogamoso, atendiendo a lo indicado por la Contaduría General de la Nación.</w:t>
      </w:r>
    </w:p>
    <w:p w:rsidR="002A48B8" w:rsidRDefault="002A48B8" w:rsidP="002A48B8">
      <w:pPr>
        <w:pStyle w:val="Prrafodelista"/>
        <w:ind w:left="720"/>
        <w:jc w:val="both"/>
        <w:rPr>
          <w:rFonts w:cs="Gisha"/>
          <w:sz w:val="22"/>
          <w:szCs w:val="22"/>
        </w:rPr>
      </w:pPr>
    </w:p>
    <w:p w:rsidR="002A48B8" w:rsidRDefault="002A48B8" w:rsidP="002A48B8">
      <w:pPr>
        <w:pStyle w:val="Textoindependiente3"/>
        <w:rPr>
          <w:rFonts w:ascii="Arial Narrow" w:hAnsi="Arial Narrow" w:cs="Gisha"/>
          <w:color w:val="FF0000"/>
          <w:sz w:val="22"/>
          <w:szCs w:val="22"/>
        </w:rPr>
      </w:pPr>
      <w:r>
        <w:rPr>
          <w:rFonts w:ascii="Arial Narrow" w:hAnsi="Arial Narrow" w:cs="Gisha"/>
          <w:color w:val="auto"/>
          <w:sz w:val="22"/>
          <w:szCs w:val="22"/>
        </w:rPr>
        <w:t>El valor de $</w:t>
      </w:r>
      <w:r>
        <w:t xml:space="preserve"> </w:t>
      </w:r>
      <w:r>
        <w:rPr>
          <w:rFonts w:ascii="Arial Narrow" w:hAnsi="Arial Narrow" w:cs="Gisha"/>
          <w:color w:val="auto"/>
          <w:sz w:val="22"/>
          <w:szCs w:val="22"/>
        </w:rPr>
        <w:t>342.941.737 miles registrado en la subcuenta Provisión para Contingencias -Garantías Contractuales se refleja el valor reportado como deuda probable o en revisión, por las Vicepresidencias de Gestión Contractual y Ejecutiva - Grupos Internos de Trabajo Financiero,  correspondiente a las deudas con los concesionarios.</w:t>
      </w:r>
      <w:r>
        <w:rPr>
          <w:rFonts w:ascii="Arial Narrow" w:hAnsi="Arial Narrow" w:cs="Gisha"/>
          <w:color w:val="FF0000"/>
          <w:sz w:val="22"/>
          <w:szCs w:val="22"/>
        </w:rPr>
        <w:t xml:space="preserve">  </w:t>
      </w:r>
    </w:p>
    <w:p w:rsidR="002A48B8" w:rsidRDefault="002A48B8" w:rsidP="002A48B8">
      <w:pPr>
        <w:pStyle w:val="Textoindependiente3"/>
        <w:rPr>
          <w:rFonts w:ascii="Arial Narrow" w:hAnsi="Arial Narrow" w:cs="Gisha"/>
          <w:color w:val="auto"/>
          <w:sz w:val="22"/>
          <w:szCs w:val="22"/>
        </w:rPr>
      </w:pPr>
      <w:r>
        <w:rPr>
          <w:rFonts w:ascii="Arial Narrow" w:hAnsi="Arial Narrow" w:cs="Gisha"/>
          <w:color w:val="auto"/>
          <w:sz w:val="22"/>
          <w:szCs w:val="22"/>
        </w:rPr>
        <w:lastRenderedPageBreak/>
        <w:t>El valor de $</w:t>
      </w:r>
      <w:r>
        <w:t xml:space="preserve"> </w:t>
      </w:r>
      <w:r>
        <w:rPr>
          <w:rFonts w:ascii="Arial Narrow" w:hAnsi="Arial Narrow" w:cs="Gisha"/>
          <w:color w:val="auto"/>
          <w:sz w:val="22"/>
          <w:szCs w:val="22"/>
        </w:rPr>
        <w:t>7.375.219 miles registrado en la subcuenta Mecanismos Alternativos de Solución de conflictos, se refleja el valor reportado a la vigencia 2015 como riesgos probable de ocurrencia de la contingencia en procesos en contra de la Entidad, por la Vicepresidencia Jurídica - Grupo Interno de Trabajo de Defensa Judicial.</w:t>
      </w:r>
      <w:r>
        <w:rPr>
          <w:rFonts w:ascii="Arial Narrow" w:hAnsi="Arial Narrow" w:cs="Gisha"/>
          <w:color w:val="FF0000"/>
          <w:sz w:val="22"/>
          <w:szCs w:val="22"/>
        </w:rPr>
        <w:t xml:space="preserve">  </w:t>
      </w:r>
    </w:p>
    <w:p w:rsidR="002A48B8" w:rsidRDefault="002A48B8" w:rsidP="002A48B8">
      <w:pPr>
        <w:pStyle w:val="Textoindependiente3"/>
        <w:rPr>
          <w:rFonts w:ascii="Arial Narrow" w:hAnsi="Arial Narrow" w:cs="Gisha"/>
          <w:color w:val="auto"/>
          <w:sz w:val="22"/>
          <w:szCs w:val="22"/>
        </w:rPr>
      </w:pPr>
    </w:p>
    <w:p w:rsidR="002A48B8" w:rsidRDefault="002A48B8" w:rsidP="002A48B8">
      <w:pPr>
        <w:pStyle w:val="Textoindependiente3"/>
        <w:rPr>
          <w:rFonts w:ascii="Arial Narrow" w:hAnsi="Arial Narrow" w:cs="Gisha"/>
          <w:color w:val="auto"/>
          <w:sz w:val="22"/>
          <w:szCs w:val="22"/>
        </w:rPr>
      </w:pPr>
      <w:r>
        <w:rPr>
          <w:rFonts w:ascii="Arial Narrow" w:hAnsi="Arial Narrow" w:cs="Gisha"/>
          <w:color w:val="auto"/>
          <w:sz w:val="22"/>
          <w:szCs w:val="22"/>
        </w:rPr>
        <w:t>En la cuenta de Otras Transferencias por valor de $</w:t>
      </w:r>
      <w:r>
        <w:t xml:space="preserve"> </w:t>
      </w:r>
      <w:r>
        <w:rPr>
          <w:rFonts w:ascii="Arial Narrow" w:hAnsi="Arial Narrow" w:cs="Gisha"/>
          <w:color w:val="auto"/>
          <w:sz w:val="22"/>
          <w:szCs w:val="22"/>
        </w:rPr>
        <w:t>31.208.048 miles se registró: 1) El Convenio Interadministrativo de Cooperación con el Departamento del Magdalena, cuyo objeto es aunar esfuerzos mediante los mecanismos y actividades necesarias para la revisión y evaluación en las etapas de pre factibilidad y de factibilidad según se consagra en el artículo 24 del decreto 1467 de 2012 de los  proyectos de asociación público privada de iniciativa privada presentadas a la Gobernación del Magdalena sobre el corredor Barranquilla – Santa Marta, por valor de $20.000.000 miles. 2) Los aportes entregados al Departamento de Boyacá, en el marco de colaboración, en la unión, articulación y coordinación de esfuerzos humanos, técnicos, tecnológicos y logísticos entre la Agencia y el Departamento de Boyacá para la construcción de obras en cumplimiento de la Acción Popular Briceño - Tunja - Sogamoso - Glorieta de Tunja, por valor de $11.208.048 miles.</w:t>
      </w:r>
    </w:p>
    <w:p w:rsidR="002A48B8" w:rsidRDefault="002A48B8" w:rsidP="002A48B8">
      <w:pPr>
        <w:pStyle w:val="Textoindependiente3"/>
        <w:rPr>
          <w:rFonts w:ascii="Arial Narrow" w:hAnsi="Arial Narrow" w:cs="Gisha"/>
          <w:color w:val="auto"/>
          <w:sz w:val="22"/>
          <w:szCs w:val="22"/>
        </w:rPr>
      </w:pPr>
    </w:p>
    <w:p w:rsidR="002A48B8" w:rsidRDefault="002A48B8" w:rsidP="002A48B8">
      <w:pPr>
        <w:pStyle w:val="Textoindependiente3"/>
        <w:rPr>
          <w:rFonts w:ascii="Arial Narrow" w:hAnsi="Arial Narrow" w:cs="Gisha"/>
          <w:color w:val="auto"/>
          <w:sz w:val="22"/>
          <w:szCs w:val="22"/>
        </w:rPr>
      </w:pPr>
      <w:r>
        <w:rPr>
          <w:rFonts w:ascii="Arial Narrow" w:hAnsi="Arial Narrow" w:cs="Gisha"/>
          <w:color w:val="auto"/>
          <w:sz w:val="22"/>
          <w:szCs w:val="22"/>
        </w:rPr>
        <w:t>En la cuenta Fondos Entregados por valor de $1.261.159 miles, se registra los valores reintegrados directamente por la Agencia a la Dirección de Crédito Publico y del Tesoro Nacional en la vigencia 2015 por devolución de recursos por parte de Tren de Occidente ordenado por tribunal de arbitramento de la Cámara de Comercio y el valor de $13.248 miles por concepto devolución efectuada por el señor Guillermo Orozco.</w:t>
      </w:r>
    </w:p>
    <w:p w:rsidR="002A48B8" w:rsidRDefault="002A48B8" w:rsidP="002A48B8">
      <w:pPr>
        <w:pStyle w:val="Textoindependiente3"/>
        <w:rPr>
          <w:rFonts w:ascii="Arial Narrow" w:hAnsi="Arial Narrow" w:cs="Gisha"/>
          <w:color w:val="auto"/>
          <w:sz w:val="22"/>
          <w:szCs w:val="22"/>
        </w:rPr>
      </w:pPr>
    </w:p>
    <w:p w:rsidR="002A48B8" w:rsidRDefault="002A48B8" w:rsidP="002A48B8">
      <w:pPr>
        <w:pStyle w:val="Textoindependiente3"/>
        <w:rPr>
          <w:rFonts w:ascii="Arial Narrow" w:hAnsi="Arial Narrow" w:cs="Gisha"/>
          <w:color w:val="auto"/>
          <w:sz w:val="22"/>
          <w:szCs w:val="22"/>
        </w:rPr>
      </w:pPr>
      <w:r>
        <w:rPr>
          <w:rFonts w:ascii="Arial Narrow" w:hAnsi="Arial Narrow" w:cs="Gisha"/>
          <w:color w:val="auto"/>
          <w:sz w:val="22"/>
          <w:szCs w:val="22"/>
        </w:rPr>
        <w:t>La subcuenta Operaciones de enlace por $14.913.334 miles</w:t>
      </w:r>
      <w:r w:rsidR="007E20C2">
        <w:rPr>
          <w:rFonts w:ascii="Arial Narrow" w:hAnsi="Arial Narrow" w:cs="Gisha"/>
          <w:color w:val="auto"/>
          <w:sz w:val="22"/>
          <w:szCs w:val="22"/>
        </w:rPr>
        <w:t>,</w:t>
      </w:r>
      <w:r>
        <w:rPr>
          <w:rFonts w:ascii="Arial Narrow" w:hAnsi="Arial Narrow" w:cs="Gisha"/>
          <w:color w:val="auto"/>
          <w:sz w:val="22"/>
          <w:szCs w:val="22"/>
        </w:rPr>
        <w:t xml:space="preserve"> </w:t>
      </w:r>
      <w:r w:rsidR="007E20C2">
        <w:rPr>
          <w:rFonts w:ascii="Arial Narrow" w:hAnsi="Arial Narrow" w:cs="Gisha"/>
          <w:color w:val="auto"/>
          <w:sz w:val="22"/>
          <w:szCs w:val="22"/>
        </w:rPr>
        <w:t>c</w:t>
      </w:r>
      <w:r>
        <w:rPr>
          <w:rFonts w:ascii="Arial Narrow" w:hAnsi="Arial Narrow" w:cs="Gisha"/>
          <w:color w:val="auto"/>
          <w:sz w:val="22"/>
          <w:szCs w:val="22"/>
        </w:rPr>
        <w:t>orresponde a las consignaciones efectuadas a la Dirección del Tesoro Nacional, correspondiente a los  registros automáticos de recaudos y causación a las notas crédito publicadas en la página del Ministerio de Hacienda sobre los ingresos por rendimientos financieros pagados por algunos Concesionarios de los recursos entregados, a través de la Fiduciaria Bancolombia y Fiducoldex, reciproca con el Ministerio de Hacienda Dirección del Tesoro Nacional en la cuenta Recaudos Por Clasificar.  A 31 de diciembre de 2015 presenta una diferencia de $1.587 miles frente al valor reportado por Tesoro Nacional correspondiente a una Nota Crédito asignada a la ANI y que corresponde a Migración Colombia.</w:t>
      </w:r>
    </w:p>
    <w:p w:rsidR="002A48B8" w:rsidRDefault="002A48B8" w:rsidP="002A48B8">
      <w:pPr>
        <w:pStyle w:val="Textoindependiente3"/>
        <w:rPr>
          <w:rFonts w:ascii="Arial Narrow" w:hAnsi="Arial Narrow" w:cs="Gisha"/>
          <w:color w:val="auto"/>
          <w:sz w:val="22"/>
          <w:szCs w:val="22"/>
        </w:rPr>
      </w:pPr>
    </w:p>
    <w:p w:rsidR="002A48B8" w:rsidRDefault="002A48B8" w:rsidP="002A48B8">
      <w:pPr>
        <w:jc w:val="both"/>
        <w:rPr>
          <w:rFonts w:ascii="Arial Narrow" w:hAnsi="Arial Narrow" w:cs="Gisha"/>
          <w:sz w:val="22"/>
          <w:szCs w:val="22"/>
        </w:rPr>
      </w:pPr>
      <w:r>
        <w:rPr>
          <w:rFonts w:ascii="Arial Narrow" w:hAnsi="Arial Narrow" w:cs="Gisha"/>
          <w:sz w:val="22"/>
          <w:szCs w:val="22"/>
        </w:rPr>
        <w:t>En la cuenta Otros Gastos – Comisiones y otros gastos bancarios se registró se registró el valor de $ 979.044 miles de los gastos financieros incurridos por la concesión Malla Vial del Meta, de acuerdo a lo establecido en el Otro Si No. 9 del contrato de concesión, por valor de $945.593 miles. También, se registró  los gastos financieros efectuados en desarrollo de la ejecución de los convenios que tiene la Agencia con el Fondo de Adaptación por valor de $33.451  miles.</w:t>
      </w:r>
    </w:p>
    <w:p w:rsidR="002A48B8" w:rsidRDefault="002A48B8" w:rsidP="002A48B8">
      <w:pPr>
        <w:rPr>
          <w:rFonts w:ascii="Arial Narrow" w:hAnsi="Arial Narrow" w:cs="Gisha"/>
          <w:sz w:val="22"/>
          <w:szCs w:val="22"/>
        </w:rPr>
      </w:pPr>
    </w:p>
    <w:p w:rsidR="002A48B8" w:rsidRDefault="002A48B8" w:rsidP="002A48B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Pr>
          <w:rFonts w:ascii="Arial Narrow" w:hAnsi="Arial Narrow" w:cs="Gisha"/>
          <w:b w:val="0"/>
          <w:bCs w:val="0"/>
          <w:color w:val="auto"/>
          <w:sz w:val="22"/>
          <w:szCs w:val="22"/>
          <w:lang w:val="es-ES"/>
        </w:rPr>
        <w:t xml:space="preserve">Por Ajustes de Ejercicios anteriores se realizaron registros especialmente por los siguientes conceptos: </w:t>
      </w:r>
    </w:p>
    <w:p w:rsidR="002A48B8" w:rsidRDefault="002A48B8" w:rsidP="002A48B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A48B8" w:rsidRDefault="002A48B8" w:rsidP="00853B3A">
      <w:pPr>
        <w:pStyle w:val="Textoindependiente2"/>
        <w:numPr>
          <w:ilvl w:val="0"/>
          <w:numId w:val="3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cs="Gisha"/>
          <w:sz w:val="22"/>
          <w:szCs w:val="22"/>
        </w:rPr>
      </w:pPr>
      <w:r>
        <w:rPr>
          <w:rFonts w:ascii="Arial Narrow" w:hAnsi="Arial Narrow" w:cs="Times New Roman"/>
          <w:b w:val="0"/>
          <w:color w:val="auto"/>
          <w:sz w:val="22"/>
          <w:szCs w:val="22"/>
          <w:lang w:val="es-CO"/>
        </w:rPr>
        <w:t>Diferencia en el valor reportado inicialmente en los formatos de peajes de diciembre 2014 por la concesión Desarrollo Vial del Norte de Bogotá, por valor de $311.460 miles</w:t>
      </w:r>
    </w:p>
    <w:p w:rsidR="002A48B8" w:rsidRDefault="002A48B8" w:rsidP="002A48B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cs="Gisha"/>
          <w:sz w:val="22"/>
          <w:szCs w:val="22"/>
        </w:rPr>
      </w:pPr>
    </w:p>
    <w:p w:rsidR="002A48B8" w:rsidRDefault="002A48B8" w:rsidP="00853B3A">
      <w:pPr>
        <w:pStyle w:val="Textoindependiente2"/>
        <w:numPr>
          <w:ilvl w:val="0"/>
          <w:numId w:val="3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Times New Roman"/>
          <w:b w:val="0"/>
          <w:color w:val="auto"/>
          <w:sz w:val="22"/>
          <w:szCs w:val="22"/>
          <w:lang w:val="es-CO"/>
        </w:rPr>
      </w:pPr>
      <w:r>
        <w:rPr>
          <w:rFonts w:ascii="Arial Narrow" w:hAnsi="Arial Narrow" w:cs="Times New Roman"/>
          <w:b w:val="0"/>
          <w:color w:val="auto"/>
          <w:sz w:val="22"/>
          <w:szCs w:val="22"/>
          <w:lang w:val="es-CO"/>
        </w:rPr>
        <w:t>Inclusión de un mayor valor en los fondos FOSEVI en la certificación expedida por la fiduciaria de la concesión Armenia – Pereira – Manizales en el mes de octubre de 2014 por valor de $102.623 miles.  Este valor fue ajustado por el concesionario en los formatos de recaudo de peajes reportados en el año 2015.</w:t>
      </w:r>
    </w:p>
    <w:p w:rsidR="002A48B8" w:rsidRDefault="002A48B8" w:rsidP="002A48B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Arial Narrow" w:hAnsi="Arial Narrow" w:cs="Times New Roman"/>
          <w:b w:val="0"/>
          <w:color w:val="auto"/>
          <w:sz w:val="22"/>
          <w:szCs w:val="22"/>
          <w:lang w:val="es-CO"/>
        </w:rPr>
      </w:pPr>
    </w:p>
    <w:p w:rsidR="007E20C2" w:rsidRPr="00A04C54" w:rsidRDefault="007E20C2" w:rsidP="00853B3A">
      <w:pPr>
        <w:pStyle w:val="Prrafodelista"/>
        <w:numPr>
          <w:ilvl w:val="0"/>
          <w:numId w:val="8"/>
        </w:numPr>
        <w:jc w:val="both"/>
        <w:rPr>
          <w:bCs/>
          <w:sz w:val="22"/>
          <w:szCs w:val="22"/>
        </w:rPr>
      </w:pPr>
      <w:r w:rsidRPr="00A04C54">
        <w:rPr>
          <w:bCs/>
          <w:sz w:val="22"/>
          <w:szCs w:val="22"/>
        </w:rPr>
        <w:t xml:space="preserve">Se retiró de la contabilidad, la cartera pendiente  por recaudo por los contratos de arrendamientos y uso de vías para el periodo 2007 y 2008 de FENOCO, de acuerdo a lo acordado en el Acta No. 024 del Comité Técnico de Sostenibilidad del Sistema de Contabilidad Pública, por valor de $13.270 miles, teniendo en cuenta que el comité de conciliación de la Agencia determinó que: </w:t>
      </w:r>
      <w:r w:rsidRPr="00A04C54">
        <w:rPr>
          <w:bCs/>
          <w:i/>
          <w:sz w:val="22"/>
          <w:szCs w:val="22"/>
        </w:rPr>
        <w:t>“Analizada la situación y de manera unánime encuentra ajustada la posición de IMPROCEDENCIA DEL INICIO DE ACCION CAMBIARIA Y/ O PROCESO EJECUTIVO  por parte de la AGENCIA NACIONAL DE INFRAESTRUCTURA  contra FENOCO y/o CENTRAL DE INVERSIONES CISA</w:t>
      </w:r>
      <w:r w:rsidRPr="00A04C54">
        <w:rPr>
          <w:bCs/>
          <w:sz w:val="22"/>
          <w:szCs w:val="22"/>
        </w:rPr>
        <w:t>.</w:t>
      </w:r>
      <w:r>
        <w:rPr>
          <w:bCs/>
          <w:sz w:val="22"/>
          <w:szCs w:val="22"/>
        </w:rPr>
        <w:t>”</w:t>
      </w:r>
      <w:r w:rsidRPr="00A04C54">
        <w:rPr>
          <w:bCs/>
          <w:sz w:val="22"/>
          <w:szCs w:val="22"/>
        </w:rPr>
        <w:t xml:space="preserve">  </w:t>
      </w:r>
    </w:p>
    <w:p w:rsidR="00931EAC" w:rsidRDefault="00931EAC" w:rsidP="00931EA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E45B61" w:rsidRDefault="00E45B61" w:rsidP="00931EAC">
      <w:pPr>
        <w:rPr>
          <w:rFonts w:ascii="Arial Narrow" w:hAnsi="Arial Narrow" w:cs="Gisha"/>
          <w:b/>
          <w:sz w:val="22"/>
          <w:szCs w:val="22"/>
        </w:rPr>
      </w:pPr>
    </w:p>
    <w:p w:rsidR="00E45B61" w:rsidRDefault="00E45B61" w:rsidP="00931EAC">
      <w:pPr>
        <w:rPr>
          <w:rFonts w:ascii="Arial Narrow" w:hAnsi="Arial Narrow" w:cs="Gisha"/>
          <w:b/>
          <w:sz w:val="22"/>
          <w:szCs w:val="22"/>
        </w:rPr>
      </w:pPr>
    </w:p>
    <w:p w:rsidR="00931EAC" w:rsidRPr="009A6118" w:rsidRDefault="00931EAC" w:rsidP="00931EAC">
      <w:pPr>
        <w:rPr>
          <w:rFonts w:ascii="Arial Narrow" w:hAnsi="Arial Narrow" w:cs="Gisha"/>
          <w:b/>
          <w:sz w:val="22"/>
          <w:szCs w:val="22"/>
        </w:rPr>
      </w:pPr>
      <w:r w:rsidRPr="009A6118">
        <w:rPr>
          <w:rFonts w:ascii="Arial Narrow" w:hAnsi="Arial Narrow" w:cs="Gisha"/>
          <w:b/>
          <w:sz w:val="22"/>
          <w:szCs w:val="22"/>
        </w:rPr>
        <w:lastRenderedPageBreak/>
        <w:t>NOTA 1</w:t>
      </w:r>
      <w:r w:rsidR="007A4C3F">
        <w:rPr>
          <w:rFonts w:ascii="Arial Narrow" w:hAnsi="Arial Narrow" w:cs="Gisha"/>
          <w:b/>
          <w:sz w:val="22"/>
          <w:szCs w:val="22"/>
        </w:rPr>
        <w:t>4</w:t>
      </w:r>
      <w:r w:rsidRPr="009A6118">
        <w:rPr>
          <w:rFonts w:ascii="Arial Narrow" w:hAnsi="Arial Narrow" w:cs="Gisha"/>
          <w:b/>
          <w:sz w:val="22"/>
          <w:szCs w:val="22"/>
        </w:rPr>
        <w:t>.   CUENTAS DE ORDEN</w:t>
      </w:r>
    </w:p>
    <w:p w:rsidR="00931EAC" w:rsidRPr="009A6118" w:rsidRDefault="00931EAC" w:rsidP="00931EAC">
      <w:pPr>
        <w:pStyle w:val="Textoindependiente"/>
        <w:rPr>
          <w:rFonts w:ascii="Arial Narrow" w:hAnsi="Arial Narrow" w:cs="Gisha"/>
          <w:b w:val="0"/>
          <w:bCs w:val="0"/>
          <w:i w:val="0"/>
          <w:iCs w:val="0"/>
          <w:vanish w:val="0"/>
          <w:color w:val="auto"/>
          <w:sz w:val="22"/>
          <w:szCs w:val="22"/>
          <w:u w:val="none"/>
        </w:rPr>
      </w:pPr>
    </w:p>
    <w:p w:rsidR="007A1377" w:rsidRPr="007514BF" w:rsidRDefault="007A1377" w:rsidP="007A1377">
      <w:pPr>
        <w:pStyle w:val="Textoindependiente"/>
        <w:rPr>
          <w:rFonts w:ascii="Arial Narrow" w:hAnsi="Arial Narrow" w:cs="Gisha"/>
          <w:b w:val="0"/>
          <w:i w:val="0"/>
          <w:iCs w:val="0"/>
          <w:vanish w:val="0"/>
          <w:color w:val="000000"/>
          <w:sz w:val="22"/>
          <w:szCs w:val="22"/>
          <w:u w:val="none"/>
        </w:rPr>
      </w:pPr>
      <w:r>
        <w:rPr>
          <w:rFonts w:ascii="Arial Narrow" w:hAnsi="Arial Narrow" w:cs="Gisha"/>
          <w:b w:val="0"/>
          <w:i w:val="0"/>
          <w:iCs w:val="0"/>
          <w:vanish w:val="0"/>
          <w:color w:val="000000"/>
          <w:sz w:val="22"/>
          <w:szCs w:val="22"/>
          <w:u w:val="none"/>
        </w:rPr>
        <w:t>L</w:t>
      </w:r>
      <w:r w:rsidRPr="007514BF">
        <w:rPr>
          <w:rFonts w:ascii="Arial Narrow" w:hAnsi="Arial Narrow" w:cs="Gisha"/>
          <w:b w:val="0"/>
          <w:i w:val="0"/>
          <w:iCs w:val="0"/>
          <w:vanish w:val="0"/>
          <w:color w:val="000000"/>
          <w:sz w:val="22"/>
          <w:szCs w:val="22"/>
          <w:u w:val="none"/>
        </w:rPr>
        <w:t>as cuentas de orden Deudoras representa</w:t>
      </w:r>
      <w:r>
        <w:rPr>
          <w:rFonts w:ascii="Arial Narrow" w:hAnsi="Arial Narrow" w:cs="Gisha"/>
          <w:b w:val="0"/>
          <w:i w:val="0"/>
          <w:iCs w:val="0"/>
          <w:vanish w:val="0"/>
          <w:color w:val="000000"/>
          <w:sz w:val="22"/>
          <w:szCs w:val="22"/>
          <w:u w:val="none"/>
        </w:rPr>
        <w:t>n</w:t>
      </w:r>
      <w:r w:rsidRPr="007514BF">
        <w:rPr>
          <w:rFonts w:ascii="Arial Narrow" w:hAnsi="Arial Narrow" w:cs="Gisha"/>
          <w:b w:val="0"/>
          <w:i w:val="0"/>
          <w:iCs w:val="0"/>
          <w:vanish w:val="0"/>
          <w:color w:val="000000"/>
          <w:sz w:val="22"/>
          <w:szCs w:val="22"/>
          <w:u w:val="none"/>
        </w:rPr>
        <w:t xml:space="preserve"> los hechos o circunstancias de las cuales pueden generarse derechos que afecten la estructura financiera de la Agencia, se reflejan  los compromisos o contratos que se relacionan con posibles derechos para la entidad, así:</w:t>
      </w:r>
    </w:p>
    <w:p w:rsidR="007A1377" w:rsidRPr="007514BF" w:rsidRDefault="007A1377" w:rsidP="007A1377">
      <w:pPr>
        <w:pStyle w:val="Textoindependiente"/>
        <w:rPr>
          <w:rFonts w:ascii="Arial Narrow" w:hAnsi="Arial Narrow" w:cs="Gisha"/>
          <w:b w:val="0"/>
          <w:i w:val="0"/>
          <w:iCs w:val="0"/>
          <w:vanish w:val="0"/>
          <w:color w:val="auto"/>
          <w:sz w:val="22"/>
          <w:szCs w:val="22"/>
          <w:u w:val="none"/>
          <w:lang w:val="es-ES"/>
        </w:rPr>
      </w:pPr>
    </w:p>
    <w:tbl>
      <w:tblPr>
        <w:tblW w:w="6941" w:type="dxa"/>
        <w:jc w:val="center"/>
        <w:tblCellMar>
          <w:left w:w="70" w:type="dxa"/>
          <w:right w:w="70" w:type="dxa"/>
        </w:tblCellMar>
        <w:tblLook w:val="04A0" w:firstRow="1" w:lastRow="0" w:firstColumn="1" w:lastColumn="0" w:noHBand="0" w:noVBand="1"/>
      </w:tblPr>
      <w:tblGrid>
        <w:gridCol w:w="2643"/>
        <w:gridCol w:w="1990"/>
        <w:gridCol w:w="2308"/>
      </w:tblGrid>
      <w:tr w:rsidR="007A1377" w:rsidTr="00326D46">
        <w:trPr>
          <w:trHeight w:val="216"/>
          <w:tblHeader/>
          <w:jc w:val="center"/>
        </w:trPr>
        <w:tc>
          <w:tcPr>
            <w:tcW w:w="2643" w:type="dxa"/>
            <w:tcBorders>
              <w:top w:val="double" w:sz="6" w:space="0" w:color="auto"/>
              <w:left w:val="double" w:sz="6" w:space="0" w:color="auto"/>
              <w:bottom w:val="nil"/>
              <w:right w:val="double" w:sz="6" w:space="0" w:color="auto"/>
            </w:tcBorders>
            <w:shd w:val="clear" w:color="auto" w:fill="auto"/>
            <w:vAlign w:val="center"/>
            <w:hideMark/>
          </w:tcPr>
          <w:p w:rsidR="007A1377" w:rsidRDefault="007A1377" w:rsidP="00860FAA">
            <w:pPr>
              <w:jc w:val="center"/>
              <w:rPr>
                <w:rFonts w:ascii="Arial" w:hAnsi="Arial" w:cs="Arial"/>
                <w:b/>
                <w:bCs/>
                <w:sz w:val="20"/>
                <w:szCs w:val="20"/>
                <w:lang w:val="es-CO" w:eastAsia="es-CO"/>
              </w:rPr>
            </w:pPr>
            <w:r>
              <w:rPr>
                <w:rFonts w:ascii="Arial" w:hAnsi="Arial" w:cs="Arial"/>
                <w:b/>
                <w:bCs/>
                <w:sz w:val="20"/>
                <w:szCs w:val="20"/>
              </w:rPr>
              <w:t>NOMBRE DE LA CUENTA</w:t>
            </w:r>
          </w:p>
        </w:tc>
        <w:tc>
          <w:tcPr>
            <w:tcW w:w="1990" w:type="dxa"/>
            <w:tcBorders>
              <w:top w:val="nil"/>
              <w:left w:val="nil"/>
              <w:bottom w:val="nil"/>
              <w:right w:val="nil"/>
            </w:tcBorders>
            <w:shd w:val="clear" w:color="auto" w:fill="auto"/>
            <w:noWrap/>
            <w:vAlign w:val="bottom"/>
            <w:hideMark/>
          </w:tcPr>
          <w:p w:rsidR="007A1377" w:rsidRDefault="007A1377" w:rsidP="00860FAA">
            <w:pPr>
              <w:jc w:val="center"/>
              <w:rPr>
                <w:rFonts w:ascii="Arial" w:hAnsi="Arial" w:cs="Arial"/>
                <w:b/>
                <w:bCs/>
                <w:sz w:val="20"/>
                <w:szCs w:val="20"/>
              </w:rPr>
            </w:pPr>
          </w:p>
        </w:tc>
        <w:tc>
          <w:tcPr>
            <w:tcW w:w="2308" w:type="dxa"/>
            <w:tcBorders>
              <w:top w:val="nil"/>
              <w:left w:val="nil"/>
              <w:bottom w:val="nil"/>
              <w:right w:val="nil"/>
            </w:tcBorders>
            <w:shd w:val="clear" w:color="auto" w:fill="auto"/>
            <w:noWrap/>
            <w:vAlign w:val="bottom"/>
            <w:hideMark/>
          </w:tcPr>
          <w:p w:rsidR="007A1377" w:rsidRDefault="007A1377" w:rsidP="00860FAA">
            <w:pPr>
              <w:rPr>
                <w:sz w:val="20"/>
                <w:szCs w:val="20"/>
              </w:rPr>
            </w:pPr>
          </w:p>
        </w:tc>
      </w:tr>
      <w:tr w:rsidR="007A1377" w:rsidTr="00326D46">
        <w:trPr>
          <w:trHeight w:val="388"/>
          <w:tblHeader/>
          <w:jc w:val="center"/>
        </w:trPr>
        <w:tc>
          <w:tcPr>
            <w:tcW w:w="2643" w:type="dxa"/>
            <w:tcBorders>
              <w:top w:val="double" w:sz="6" w:space="0" w:color="auto"/>
              <w:left w:val="double" w:sz="6" w:space="0" w:color="auto"/>
              <w:bottom w:val="double" w:sz="6" w:space="0" w:color="auto"/>
              <w:right w:val="double" w:sz="6" w:space="0" w:color="auto"/>
            </w:tcBorders>
            <w:shd w:val="clear" w:color="auto" w:fill="auto"/>
            <w:vAlign w:val="center"/>
            <w:hideMark/>
          </w:tcPr>
          <w:p w:rsidR="007A1377" w:rsidRDefault="007A1377" w:rsidP="00860FAA">
            <w:pPr>
              <w:jc w:val="center"/>
              <w:rPr>
                <w:rFonts w:ascii="Arial" w:hAnsi="Arial" w:cs="Arial"/>
                <w:b/>
                <w:bCs/>
                <w:sz w:val="20"/>
                <w:szCs w:val="20"/>
              </w:rPr>
            </w:pPr>
            <w:r>
              <w:rPr>
                <w:rFonts w:ascii="Arial" w:hAnsi="Arial" w:cs="Arial"/>
                <w:b/>
                <w:bCs/>
                <w:sz w:val="20"/>
                <w:szCs w:val="20"/>
              </w:rPr>
              <w:t xml:space="preserve">CUENTAS DE ORDEN DEUDORAS </w:t>
            </w:r>
          </w:p>
        </w:tc>
        <w:tc>
          <w:tcPr>
            <w:tcW w:w="1990" w:type="dxa"/>
            <w:tcBorders>
              <w:top w:val="double" w:sz="6" w:space="0" w:color="auto"/>
              <w:left w:val="nil"/>
              <w:bottom w:val="double" w:sz="6" w:space="0" w:color="auto"/>
              <w:right w:val="double" w:sz="6" w:space="0" w:color="auto"/>
            </w:tcBorders>
            <w:shd w:val="clear" w:color="auto" w:fill="auto"/>
            <w:vAlign w:val="center"/>
            <w:hideMark/>
          </w:tcPr>
          <w:p w:rsidR="007A1377" w:rsidRDefault="007A1377" w:rsidP="00860FAA">
            <w:pPr>
              <w:jc w:val="center"/>
              <w:rPr>
                <w:rFonts w:ascii="Arial" w:hAnsi="Arial" w:cs="Arial"/>
                <w:b/>
                <w:bCs/>
                <w:sz w:val="20"/>
                <w:szCs w:val="20"/>
              </w:rPr>
            </w:pPr>
            <w:r>
              <w:rPr>
                <w:rFonts w:ascii="Arial" w:hAnsi="Arial" w:cs="Arial"/>
                <w:b/>
                <w:bCs/>
                <w:sz w:val="20"/>
                <w:szCs w:val="20"/>
              </w:rPr>
              <w:t>dic-15</w:t>
            </w:r>
          </w:p>
        </w:tc>
        <w:tc>
          <w:tcPr>
            <w:tcW w:w="2308" w:type="dxa"/>
            <w:tcBorders>
              <w:top w:val="double" w:sz="6" w:space="0" w:color="auto"/>
              <w:left w:val="nil"/>
              <w:bottom w:val="double" w:sz="6" w:space="0" w:color="auto"/>
              <w:right w:val="double" w:sz="6" w:space="0" w:color="auto"/>
            </w:tcBorders>
            <w:shd w:val="clear" w:color="auto" w:fill="auto"/>
            <w:vAlign w:val="center"/>
            <w:hideMark/>
          </w:tcPr>
          <w:p w:rsidR="007A1377" w:rsidRDefault="007A1377" w:rsidP="00860FAA">
            <w:pPr>
              <w:jc w:val="center"/>
              <w:rPr>
                <w:rFonts w:ascii="Arial" w:hAnsi="Arial" w:cs="Arial"/>
                <w:b/>
                <w:bCs/>
                <w:sz w:val="20"/>
                <w:szCs w:val="20"/>
              </w:rPr>
            </w:pPr>
            <w:r>
              <w:rPr>
                <w:rFonts w:ascii="Arial" w:hAnsi="Arial" w:cs="Arial"/>
                <w:b/>
                <w:bCs/>
                <w:sz w:val="20"/>
                <w:szCs w:val="20"/>
              </w:rPr>
              <w:t>dic-14</w:t>
            </w:r>
          </w:p>
        </w:tc>
      </w:tr>
      <w:tr w:rsidR="007A1377" w:rsidTr="00326D46">
        <w:trPr>
          <w:trHeight w:val="480"/>
          <w:jc w:val="center"/>
        </w:trPr>
        <w:tc>
          <w:tcPr>
            <w:tcW w:w="2643"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7A1377" w:rsidRDefault="007A1377" w:rsidP="00860FAA">
            <w:pPr>
              <w:rPr>
                <w:rFonts w:ascii="Arial Narrow" w:hAnsi="Arial Narrow" w:cs="Arial"/>
                <w:color w:val="000000"/>
                <w:sz w:val="22"/>
                <w:szCs w:val="22"/>
              </w:rPr>
            </w:pPr>
            <w:r>
              <w:rPr>
                <w:rFonts w:ascii="Arial Narrow" w:hAnsi="Arial Narrow" w:cs="Arial"/>
                <w:color w:val="000000"/>
                <w:sz w:val="22"/>
                <w:szCs w:val="22"/>
              </w:rPr>
              <w:t>Litigios y Mecanismos Alternativos de Solución de Conflictos</w:t>
            </w:r>
          </w:p>
        </w:tc>
        <w:tc>
          <w:tcPr>
            <w:tcW w:w="1990" w:type="dxa"/>
            <w:tcBorders>
              <w:top w:val="single" w:sz="4" w:space="0" w:color="auto"/>
              <w:left w:val="nil"/>
              <w:bottom w:val="single" w:sz="4" w:space="0" w:color="auto"/>
              <w:right w:val="single" w:sz="4" w:space="0" w:color="auto"/>
            </w:tcBorders>
            <w:shd w:val="clear" w:color="auto" w:fill="auto"/>
            <w:vAlign w:val="center"/>
            <w:hideMark/>
          </w:tcPr>
          <w:p w:rsidR="007A1377" w:rsidRDefault="007A1377" w:rsidP="00860FAA">
            <w:pPr>
              <w:jc w:val="right"/>
              <w:rPr>
                <w:rFonts w:ascii="Arial Narrow" w:hAnsi="Arial Narrow" w:cs="Arial"/>
                <w:color w:val="000000"/>
                <w:sz w:val="22"/>
                <w:szCs w:val="22"/>
              </w:rPr>
            </w:pPr>
            <w:r>
              <w:rPr>
                <w:rFonts w:ascii="Arial Narrow" w:hAnsi="Arial Narrow" w:cs="Arial"/>
                <w:color w:val="000000"/>
                <w:sz w:val="22"/>
                <w:szCs w:val="22"/>
              </w:rPr>
              <w:t>727.712.749</w:t>
            </w:r>
          </w:p>
        </w:tc>
        <w:tc>
          <w:tcPr>
            <w:tcW w:w="2308" w:type="dxa"/>
            <w:tcBorders>
              <w:top w:val="nil"/>
              <w:left w:val="nil"/>
              <w:bottom w:val="single" w:sz="4" w:space="0" w:color="auto"/>
              <w:right w:val="double" w:sz="6" w:space="0" w:color="auto"/>
            </w:tcBorders>
            <w:shd w:val="clear" w:color="auto" w:fill="auto"/>
            <w:vAlign w:val="center"/>
            <w:hideMark/>
          </w:tcPr>
          <w:p w:rsidR="007A1377" w:rsidRDefault="007A1377" w:rsidP="00860FAA">
            <w:pPr>
              <w:jc w:val="right"/>
              <w:rPr>
                <w:rFonts w:ascii="Arial Narrow" w:hAnsi="Arial Narrow" w:cs="Arial"/>
                <w:color w:val="000000"/>
                <w:sz w:val="22"/>
                <w:szCs w:val="22"/>
              </w:rPr>
            </w:pPr>
            <w:r>
              <w:rPr>
                <w:rFonts w:ascii="Arial Narrow" w:hAnsi="Arial Narrow" w:cs="Arial"/>
                <w:color w:val="000000"/>
                <w:sz w:val="22"/>
                <w:szCs w:val="22"/>
              </w:rPr>
              <w:t>963.902.282</w:t>
            </w:r>
          </w:p>
        </w:tc>
      </w:tr>
      <w:tr w:rsidR="007A1377" w:rsidTr="00326D46">
        <w:trPr>
          <w:trHeight w:val="480"/>
          <w:jc w:val="center"/>
        </w:trPr>
        <w:tc>
          <w:tcPr>
            <w:tcW w:w="2643" w:type="dxa"/>
            <w:tcBorders>
              <w:top w:val="nil"/>
              <w:left w:val="double" w:sz="6" w:space="0" w:color="auto"/>
              <w:bottom w:val="single" w:sz="4" w:space="0" w:color="auto"/>
              <w:right w:val="single" w:sz="4" w:space="0" w:color="auto"/>
            </w:tcBorders>
            <w:shd w:val="clear" w:color="auto" w:fill="auto"/>
            <w:vAlign w:val="center"/>
            <w:hideMark/>
          </w:tcPr>
          <w:p w:rsidR="007A1377" w:rsidRDefault="007A1377" w:rsidP="00860FAA">
            <w:pPr>
              <w:rPr>
                <w:rFonts w:ascii="Arial Narrow" w:hAnsi="Arial Narrow" w:cs="Arial"/>
                <w:color w:val="000000"/>
                <w:sz w:val="22"/>
                <w:szCs w:val="22"/>
              </w:rPr>
            </w:pPr>
            <w:r>
              <w:rPr>
                <w:rFonts w:ascii="Arial Narrow" w:hAnsi="Arial Narrow" w:cs="Arial"/>
                <w:color w:val="000000"/>
                <w:sz w:val="22"/>
                <w:szCs w:val="22"/>
              </w:rPr>
              <w:t xml:space="preserve">Otras Cuentas Deudoras de Control </w:t>
            </w:r>
          </w:p>
        </w:tc>
        <w:tc>
          <w:tcPr>
            <w:tcW w:w="1990" w:type="dxa"/>
            <w:tcBorders>
              <w:top w:val="nil"/>
              <w:left w:val="nil"/>
              <w:bottom w:val="single" w:sz="4" w:space="0" w:color="auto"/>
              <w:right w:val="single" w:sz="4" w:space="0" w:color="auto"/>
            </w:tcBorders>
            <w:shd w:val="clear" w:color="auto" w:fill="auto"/>
            <w:vAlign w:val="center"/>
            <w:hideMark/>
          </w:tcPr>
          <w:p w:rsidR="007A1377" w:rsidRDefault="007A1377" w:rsidP="00860FAA">
            <w:pPr>
              <w:jc w:val="right"/>
              <w:rPr>
                <w:rFonts w:ascii="Arial Narrow" w:hAnsi="Arial Narrow" w:cs="Arial"/>
                <w:color w:val="000000"/>
                <w:sz w:val="22"/>
                <w:szCs w:val="22"/>
              </w:rPr>
            </w:pPr>
            <w:r>
              <w:rPr>
                <w:rFonts w:ascii="Arial Narrow" w:hAnsi="Arial Narrow" w:cs="Arial"/>
                <w:color w:val="000000"/>
                <w:sz w:val="22"/>
                <w:szCs w:val="22"/>
              </w:rPr>
              <w:t>216.000.000</w:t>
            </w:r>
          </w:p>
        </w:tc>
        <w:tc>
          <w:tcPr>
            <w:tcW w:w="2308" w:type="dxa"/>
            <w:tcBorders>
              <w:top w:val="nil"/>
              <w:left w:val="nil"/>
              <w:bottom w:val="single" w:sz="4" w:space="0" w:color="auto"/>
              <w:right w:val="double" w:sz="6" w:space="0" w:color="auto"/>
            </w:tcBorders>
            <w:shd w:val="clear" w:color="auto" w:fill="auto"/>
            <w:vAlign w:val="center"/>
            <w:hideMark/>
          </w:tcPr>
          <w:p w:rsidR="007A1377" w:rsidRDefault="007A1377" w:rsidP="00860FAA">
            <w:pPr>
              <w:jc w:val="right"/>
              <w:rPr>
                <w:rFonts w:ascii="Arial Narrow" w:hAnsi="Arial Narrow" w:cs="Arial"/>
                <w:color w:val="000000"/>
                <w:sz w:val="22"/>
                <w:szCs w:val="22"/>
              </w:rPr>
            </w:pPr>
            <w:r>
              <w:rPr>
                <w:rFonts w:ascii="Arial Narrow" w:hAnsi="Arial Narrow" w:cs="Arial"/>
                <w:color w:val="000000"/>
                <w:sz w:val="22"/>
                <w:szCs w:val="22"/>
              </w:rPr>
              <w:t>0</w:t>
            </w:r>
          </w:p>
        </w:tc>
      </w:tr>
      <w:tr w:rsidR="007A1377" w:rsidTr="00326D46">
        <w:trPr>
          <w:trHeight w:val="480"/>
          <w:jc w:val="center"/>
        </w:trPr>
        <w:tc>
          <w:tcPr>
            <w:tcW w:w="2643" w:type="dxa"/>
            <w:tcBorders>
              <w:top w:val="nil"/>
              <w:left w:val="double" w:sz="6" w:space="0" w:color="auto"/>
              <w:bottom w:val="single" w:sz="4" w:space="0" w:color="auto"/>
              <w:right w:val="single" w:sz="4" w:space="0" w:color="auto"/>
            </w:tcBorders>
            <w:shd w:val="clear" w:color="auto" w:fill="auto"/>
            <w:vAlign w:val="center"/>
            <w:hideMark/>
          </w:tcPr>
          <w:p w:rsidR="007A1377" w:rsidRDefault="007A1377" w:rsidP="00860FAA">
            <w:pPr>
              <w:rPr>
                <w:rFonts w:ascii="Arial Narrow" w:hAnsi="Arial Narrow" w:cs="Arial"/>
                <w:color w:val="000000"/>
                <w:sz w:val="22"/>
                <w:szCs w:val="22"/>
              </w:rPr>
            </w:pPr>
            <w:r>
              <w:rPr>
                <w:rFonts w:ascii="Arial Narrow" w:hAnsi="Arial Narrow" w:cs="Arial"/>
                <w:color w:val="000000"/>
                <w:sz w:val="22"/>
                <w:szCs w:val="22"/>
              </w:rPr>
              <w:t>Derechos Contingentes por  Contra</w:t>
            </w:r>
          </w:p>
        </w:tc>
        <w:tc>
          <w:tcPr>
            <w:tcW w:w="1990" w:type="dxa"/>
            <w:tcBorders>
              <w:top w:val="nil"/>
              <w:left w:val="nil"/>
              <w:bottom w:val="single" w:sz="4" w:space="0" w:color="auto"/>
              <w:right w:val="single" w:sz="4" w:space="0" w:color="auto"/>
            </w:tcBorders>
            <w:shd w:val="clear" w:color="auto" w:fill="auto"/>
            <w:vAlign w:val="center"/>
            <w:hideMark/>
          </w:tcPr>
          <w:p w:rsidR="007A1377" w:rsidRDefault="007A1377" w:rsidP="00860FAA">
            <w:pPr>
              <w:jc w:val="right"/>
              <w:rPr>
                <w:rFonts w:ascii="Arial Narrow" w:hAnsi="Arial Narrow" w:cs="Arial"/>
                <w:color w:val="000000"/>
                <w:sz w:val="22"/>
                <w:szCs w:val="22"/>
              </w:rPr>
            </w:pPr>
            <w:r>
              <w:rPr>
                <w:rFonts w:ascii="Arial Narrow" w:hAnsi="Arial Narrow" w:cs="Arial"/>
                <w:color w:val="000000"/>
                <w:sz w:val="22"/>
                <w:szCs w:val="22"/>
              </w:rPr>
              <w:t>-943.712.749</w:t>
            </w:r>
          </w:p>
        </w:tc>
        <w:tc>
          <w:tcPr>
            <w:tcW w:w="2308" w:type="dxa"/>
            <w:tcBorders>
              <w:top w:val="nil"/>
              <w:left w:val="nil"/>
              <w:bottom w:val="single" w:sz="4" w:space="0" w:color="auto"/>
              <w:right w:val="double" w:sz="6" w:space="0" w:color="auto"/>
            </w:tcBorders>
            <w:shd w:val="clear" w:color="auto" w:fill="auto"/>
            <w:vAlign w:val="center"/>
            <w:hideMark/>
          </w:tcPr>
          <w:p w:rsidR="007A1377" w:rsidRDefault="007A1377" w:rsidP="00860FAA">
            <w:pPr>
              <w:jc w:val="right"/>
              <w:rPr>
                <w:rFonts w:ascii="Arial Narrow" w:hAnsi="Arial Narrow" w:cs="Arial"/>
                <w:color w:val="000000"/>
                <w:sz w:val="22"/>
                <w:szCs w:val="22"/>
              </w:rPr>
            </w:pPr>
            <w:r>
              <w:rPr>
                <w:rFonts w:ascii="Arial Narrow" w:hAnsi="Arial Narrow" w:cs="Arial"/>
                <w:color w:val="000000"/>
                <w:sz w:val="22"/>
                <w:szCs w:val="22"/>
              </w:rPr>
              <w:t>-963.902.282</w:t>
            </w:r>
          </w:p>
        </w:tc>
      </w:tr>
      <w:tr w:rsidR="007A1377" w:rsidTr="00326D46">
        <w:trPr>
          <w:trHeight w:val="480"/>
          <w:jc w:val="center"/>
        </w:trPr>
        <w:tc>
          <w:tcPr>
            <w:tcW w:w="2643" w:type="dxa"/>
            <w:tcBorders>
              <w:top w:val="nil"/>
              <w:left w:val="double" w:sz="6" w:space="0" w:color="auto"/>
              <w:bottom w:val="single" w:sz="4" w:space="0" w:color="auto"/>
              <w:right w:val="single" w:sz="4" w:space="0" w:color="auto"/>
            </w:tcBorders>
            <w:shd w:val="clear" w:color="auto" w:fill="auto"/>
            <w:vAlign w:val="center"/>
            <w:hideMark/>
          </w:tcPr>
          <w:p w:rsidR="007A1377" w:rsidRDefault="007A1377" w:rsidP="00860FAA">
            <w:pPr>
              <w:rPr>
                <w:rFonts w:ascii="Arial Narrow" w:hAnsi="Arial Narrow" w:cs="Arial"/>
                <w:color w:val="000000"/>
                <w:sz w:val="22"/>
                <w:szCs w:val="22"/>
              </w:rPr>
            </w:pPr>
            <w:r>
              <w:rPr>
                <w:rFonts w:ascii="Arial Narrow" w:hAnsi="Arial Narrow" w:cs="Arial"/>
                <w:color w:val="000000"/>
                <w:sz w:val="22"/>
                <w:szCs w:val="22"/>
              </w:rPr>
              <w:t>Deudoras de Control por Contra</w:t>
            </w:r>
          </w:p>
        </w:tc>
        <w:tc>
          <w:tcPr>
            <w:tcW w:w="1990" w:type="dxa"/>
            <w:tcBorders>
              <w:top w:val="nil"/>
              <w:left w:val="nil"/>
              <w:bottom w:val="single" w:sz="4" w:space="0" w:color="auto"/>
              <w:right w:val="single" w:sz="4" w:space="0" w:color="auto"/>
            </w:tcBorders>
            <w:shd w:val="clear" w:color="auto" w:fill="auto"/>
            <w:vAlign w:val="center"/>
            <w:hideMark/>
          </w:tcPr>
          <w:p w:rsidR="007A1377" w:rsidRDefault="007A1377" w:rsidP="00860FAA">
            <w:pPr>
              <w:jc w:val="right"/>
              <w:rPr>
                <w:rFonts w:ascii="Arial Narrow" w:hAnsi="Arial Narrow" w:cs="Arial"/>
                <w:color w:val="000000"/>
                <w:sz w:val="22"/>
                <w:szCs w:val="22"/>
              </w:rPr>
            </w:pPr>
            <w:r>
              <w:rPr>
                <w:rFonts w:ascii="Arial Narrow" w:hAnsi="Arial Narrow" w:cs="Arial"/>
                <w:color w:val="000000"/>
                <w:sz w:val="22"/>
                <w:szCs w:val="22"/>
              </w:rPr>
              <w:t>0</w:t>
            </w:r>
          </w:p>
        </w:tc>
        <w:tc>
          <w:tcPr>
            <w:tcW w:w="2308" w:type="dxa"/>
            <w:tcBorders>
              <w:top w:val="nil"/>
              <w:left w:val="nil"/>
              <w:bottom w:val="single" w:sz="4" w:space="0" w:color="auto"/>
              <w:right w:val="double" w:sz="6" w:space="0" w:color="auto"/>
            </w:tcBorders>
            <w:shd w:val="clear" w:color="auto" w:fill="auto"/>
            <w:vAlign w:val="center"/>
            <w:hideMark/>
          </w:tcPr>
          <w:p w:rsidR="007A1377" w:rsidRDefault="007A1377" w:rsidP="00860FAA">
            <w:pPr>
              <w:jc w:val="right"/>
              <w:rPr>
                <w:rFonts w:ascii="Arial Narrow" w:hAnsi="Arial Narrow" w:cs="Arial"/>
                <w:color w:val="000000"/>
                <w:sz w:val="22"/>
                <w:szCs w:val="22"/>
              </w:rPr>
            </w:pPr>
            <w:r>
              <w:rPr>
                <w:rFonts w:ascii="Arial Narrow" w:hAnsi="Arial Narrow" w:cs="Arial"/>
                <w:color w:val="000000"/>
                <w:sz w:val="22"/>
                <w:szCs w:val="22"/>
              </w:rPr>
              <w:t>0</w:t>
            </w:r>
          </w:p>
        </w:tc>
      </w:tr>
      <w:tr w:rsidR="007A1377" w:rsidTr="00326D46">
        <w:trPr>
          <w:trHeight w:val="480"/>
          <w:jc w:val="center"/>
        </w:trPr>
        <w:tc>
          <w:tcPr>
            <w:tcW w:w="2643" w:type="dxa"/>
            <w:tcBorders>
              <w:top w:val="double" w:sz="6" w:space="0" w:color="auto"/>
              <w:left w:val="double" w:sz="6" w:space="0" w:color="auto"/>
              <w:bottom w:val="nil"/>
              <w:right w:val="double" w:sz="6" w:space="0" w:color="auto"/>
            </w:tcBorders>
            <w:shd w:val="clear" w:color="auto" w:fill="auto"/>
            <w:vAlign w:val="center"/>
            <w:hideMark/>
          </w:tcPr>
          <w:p w:rsidR="007A1377" w:rsidRDefault="007A1377" w:rsidP="00860FAA">
            <w:pPr>
              <w:jc w:val="center"/>
              <w:rPr>
                <w:rFonts w:ascii="Arial" w:hAnsi="Arial" w:cs="Arial"/>
                <w:b/>
                <w:bCs/>
                <w:sz w:val="20"/>
                <w:szCs w:val="20"/>
              </w:rPr>
            </w:pPr>
            <w:r>
              <w:rPr>
                <w:rFonts w:ascii="Arial" w:hAnsi="Arial" w:cs="Arial"/>
                <w:b/>
                <w:bCs/>
                <w:sz w:val="20"/>
                <w:szCs w:val="20"/>
              </w:rPr>
              <w:t>Subtotal</w:t>
            </w:r>
          </w:p>
        </w:tc>
        <w:tc>
          <w:tcPr>
            <w:tcW w:w="1990" w:type="dxa"/>
            <w:tcBorders>
              <w:top w:val="double" w:sz="6" w:space="0" w:color="auto"/>
              <w:left w:val="nil"/>
              <w:bottom w:val="nil"/>
              <w:right w:val="double" w:sz="6" w:space="0" w:color="auto"/>
            </w:tcBorders>
            <w:shd w:val="clear" w:color="auto" w:fill="auto"/>
            <w:noWrap/>
            <w:vAlign w:val="bottom"/>
            <w:hideMark/>
          </w:tcPr>
          <w:p w:rsidR="007A1377" w:rsidRDefault="007A1377" w:rsidP="00860FAA">
            <w:pPr>
              <w:jc w:val="right"/>
              <w:rPr>
                <w:rFonts w:ascii="Arial" w:hAnsi="Arial" w:cs="Arial"/>
                <w:b/>
                <w:bCs/>
                <w:sz w:val="20"/>
                <w:szCs w:val="20"/>
              </w:rPr>
            </w:pPr>
            <w:r>
              <w:rPr>
                <w:rFonts w:ascii="Arial" w:hAnsi="Arial" w:cs="Arial"/>
                <w:b/>
                <w:bCs/>
                <w:sz w:val="20"/>
                <w:szCs w:val="20"/>
              </w:rPr>
              <w:t>0</w:t>
            </w:r>
          </w:p>
        </w:tc>
        <w:tc>
          <w:tcPr>
            <w:tcW w:w="2308" w:type="dxa"/>
            <w:tcBorders>
              <w:top w:val="double" w:sz="6" w:space="0" w:color="auto"/>
              <w:left w:val="nil"/>
              <w:bottom w:val="nil"/>
              <w:right w:val="double" w:sz="6" w:space="0" w:color="auto"/>
            </w:tcBorders>
            <w:shd w:val="clear" w:color="auto" w:fill="auto"/>
            <w:noWrap/>
            <w:vAlign w:val="bottom"/>
            <w:hideMark/>
          </w:tcPr>
          <w:p w:rsidR="007A1377" w:rsidRDefault="007A1377" w:rsidP="00860FAA">
            <w:pPr>
              <w:jc w:val="right"/>
              <w:rPr>
                <w:rFonts w:ascii="Arial" w:hAnsi="Arial" w:cs="Arial"/>
                <w:b/>
                <w:bCs/>
                <w:sz w:val="20"/>
                <w:szCs w:val="20"/>
              </w:rPr>
            </w:pPr>
            <w:r>
              <w:rPr>
                <w:rFonts w:ascii="Arial" w:hAnsi="Arial" w:cs="Arial"/>
                <w:b/>
                <w:bCs/>
                <w:sz w:val="20"/>
                <w:szCs w:val="20"/>
              </w:rPr>
              <w:t>0</w:t>
            </w:r>
          </w:p>
        </w:tc>
      </w:tr>
      <w:tr w:rsidR="007A1377" w:rsidTr="00326D46">
        <w:trPr>
          <w:trHeight w:val="480"/>
          <w:jc w:val="center"/>
        </w:trPr>
        <w:tc>
          <w:tcPr>
            <w:tcW w:w="2643" w:type="dxa"/>
            <w:tcBorders>
              <w:top w:val="double" w:sz="6" w:space="0" w:color="auto"/>
              <w:left w:val="double" w:sz="6" w:space="0" w:color="auto"/>
              <w:bottom w:val="double" w:sz="6" w:space="0" w:color="auto"/>
              <w:right w:val="double" w:sz="6" w:space="0" w:color="auto"/>
            </w:tcBorders>
            <w:shd w:val="clear" w:color="auto" w:fill="auto"/>
            <w:vAlign w:val="center"/>
            <w:hideMark/>
          </w:tcPr>
          <w:p w:rsidR="007A1377" w:rsidRDefault="007A1377" w:rsidP="00860FAA">
            <w:pPr>
              <w:jc w:val="center"/>
              <w:rPr>
                <w:rFonts w:ascii="Arial" w:hAnsi="Arial" w:cs="Arial"/>
                <w:b/>
                <w:bCs/>
                <w:sz w:val="20"/>
                <w:szCs w:val="20"/>
              </w:rPr>
            </w:pPr>
            <w:r>
              <w:rPr>
                <w:rFonts w:ascii="Arial" w:hAnsi="Arial" w:cs="Arial"/>
                <w:b/>
                <w:bCs/>
                <w:sz w:val="20"/>
                <w:szCs w:val="20"/>
              </w:rPr>
              <w:t xml:space="preserve">CUENTAS DE ORDEN ACREEDORAS </w:t>
            </w:r>
          </w:p>
        </w:tc>
        <w:tc>
          <w:tcPr>
            <w:tcW w:w="1990" w:type="dxa"/>
            <w:tcBorders>
              <w:top w:val="double" w:sz="6" w:space="0" w:color="auto"/>
              <w:left w:val="nil"/>
              <w:bottom w:val="double" w:sz="6" w:space="0" w:color="auto"/>
              <w:right w:val="double" w:sz="6" w:space="0" w:color="auto"/>
            </w:tcBorders>
            <w:shd w:val="clear" w:color="auto" w:fill="auto"/>
            <w:vAlign w:val="center"/>
            <w:hideMark/>
          </w:tcPr>
          <w:p w:rsidR="007A1377" w:rsidRDefault="007A1377" w:rsidP="00860FAA">
            <w:pPr>
              <w:jc w:val="center"/>
              <w:rPr>
                <w:rFonts w:ascii="Arial" w:hAnsi="Arial" w:cs="Arial"/>
                <w:b/>
                <w:bCs/>
                <w:sz w:val="20"/>
                <w:szCs w:val="20"/>
              </w:rPr>
            </w:pPr>
            <w:r>
              <w:rPr>
                <w:rFonts w:ascii="Arial" w:hAnsi="Arial" w:cs="Arial"/>
                <w:b/>
                <w:bCs/>
                <w:sz w:val="20"/>
                <w:szCs w:val="20"/>
              </w:rPr>
              <w:t>dic-15</w:t>
            </w:r>
          </w:p>
        </w:tc>
        <w:tc>
          <w:tcPr>
            <w:tcW w:w="2308" w:type="dxa"/>
            <w:tcBorders>
              <w:top w:val="double" w:sz="6" w:space="0" w:color="auto"/>
              <w:left w:val="nil"/>
              <w:bottom w:val="double" w:sz="6" w:space="0" w:color="auto"/>
              <w:right w:val="double" w:sz="6" w:space="0" w:color="auto"/>
            </w:tcBorders>
            <w:shd w:val="clear" w:color="auto" w:fill="auto"/>
            <w:vAlign w:val="center"/>
            <w:hideMark/>
          </w:tcPr>
          <w:p w:rsidR="007A1377" w:rsidRDefault="007A1377" w:rsidP="00860FAA">
            <w:pPr>
              <w:jc w:val="center"/>
              <w:rPr>
                <w:rFonts w:ascii="Arial" w:hAnsi="Arial" w:cs="Arial"/>
                <w:b/>
                <w:bCs/>
                <w:sz w:val="20"/>
                <w:szCs w:val="20"/>
              </w:rPr>
            </w:pPr>
            <w:r>
              <w:rPr>
                <w:rFonts w:ascii="Arial" w:hAnsi="Arial" w:cs="Arial"/>
                <w:b/>
                <w:bCs/>
                <w:sz w:val="20"/>
                <w:szCs w:val="20"/>
              </w:rPr>
              <w:t>dic-14</w:t>
            </w:r>
          </w:p>
        </w:tc>
      </w:tr>
      <w:tr w:rsidR="007A1377" w:rsidTr="00326D46">
        <w:trPr>
          <w:trHeight w:val="480"/>
          <w:jc w:val="center"/>
        </w:trPr>
        <w:tc>
          <w:tcPr>
            <w:tcW w:w="2643"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7A1377" w:rsidRDefault="007A1377" w:rsidP="00860FAA">
            <w:pPr>
              <w:rPr>
                <w:rFonts w:ascii="Arial Narrow" w:hAnsi="Arial Narrow" w:cs="Arial"/>
                <w:color w:val="000000"/>
                <w:sz w:val="22"/>
                <w:szCs w:val="22"/>
              </w:rPr>
            </w:pPr>
            <w:r>
              <w:rPr>
                <w:rFonts w:ascii="Arial Narrow" w:hAnsi="Arial Narrow" w:cs="Arial"/>
                <w:color w:val="000000"/>
                <w:sz w:val="22"/>
                <w:szCs w:val="22"/>
              </w:rPr>
              <w:t>Litigios y Mecanismos Alternativos de Solución de Conflictos</w:t>
            </w:r>
          </w:p>
        </w:tc>
        <w:tc>
          <w:tcPr>
            <w:tcW w:w="1990" w:type="dxa"/>
            <w:tcBorders>
              <w:top w:val="single" w:sz="4" w:space="0" w:color="auto"/>
              <w:left w:val="nil"/>
              <w:bottom w:val="single" w:sz="4" w:space="0" w:color="auto"/>
              <w:right w:val="single" w:sz="4" w:space="0" w:color="auto"/>
            </w:tcBorders>
            <w:shd w:val="clear" w:color="auto" w:fill="auto"/>
            <w:vAlign w:val="center"/>
            <w:hideMark/>
          </w:tcPr>
          <w:p w:rsidR="007A1377" w:rsidRDefault="007A1377" w:rsidP="00860FAA">
            <w:pPr>
              <w:jc w:val="right"/>
              <w:rPr>
                <w:rFonts w:ascii="Arial Narrow" w:hAnsi="Arial Narrow" w:cs="Arial"/>
                <w:color w:val="000000"/>
                <w:sz w:val="22"/>
                <w:szCs w:val="22"/>
              </w:rPr>
            </w:pPr>
            <w:r>
              <w:rPr>
                <w:rFonts w:ascii="Arial Narrow" w:hAnsi="Arial Narrow" w:cs="Arial"/>
                <w:color w:val="000000"/>
                <w:sz w:val="22"/>
                <w:szCs w:val="22"/>
              </w:rPr>
              <w:t>3.744.550.785</w:t>
            </w:r>
          </w:p>
        </w:tc>
        <w:tc>
          <w:tcPr>
            <w:tcW w:w="2308" w:type="dxa"/>
            <w:tcBorders>
              <w:top w:val="single" w:sz="4" w:space="0" w:color="auto"/>
              <w:left w:val="nil"/>
              <w:bottom w:val="single" w:sz="4" w:space="0" w:color="auto"/>
              <w:right w:val="double" w:sz="6" w:space="0" w:color="auto"/>
            </w:tcBorders>
            <w:shd w:val="clear" w:color="auto" w:fill="auto"/>
            <w:vAlign w:val="center"/>
            <w:hideMark/>
          </w:tcPr>
          <w:p w:rsidR="007A1377" w:rsidRDefault="007A1377" w:rsidP="00860FAA">
            <w:pPr>
              <w:jc w:val="right"/>
              <w:rPr>
                <w:rFonts w:ascii="Arial Narrow" w:hAnsi="Arial Narrow" w:cs="Arial"/>
                <w:color w:val="000000"/>
                <w:sz w:val="22"/>
                <w:szCs w:val="22"/>
              </w:rPr>
            </w:pPr>
            <w:r>
              <w:rPr>
                <w:rFonts w:ascii="Arial Narrow" w:hAnsi="Arial Narrow" w:cs="Arial"/>
                <w:color w:val="000000"/>
                <w:sz w:val="22"/>
                <w:szCs w:val="22"/>
              </w:rPr>
              <w:t>2.487.490.646</w:t>
            </w:r>
          </w:p>
        </w:tc>
      </w:tr>
      <w:tr w:rsidR="007A1377" w:rsidTr="00326D46">
        <w:trPr>
          <w:trHeight w:val="480"/>
          <w:jc w:val="center"/>
        </w:trPr>
        <w:tc>
          <w:tcPr>
            <w:tcW w:w="2643" w:type="dxa"/>
            <w:tcBorders>
              <w:top w:val="nil"/>
              <w:left w:val="double" w:sz="6" w:space="0" w:color="auto"/>
              <w:bottom w:val="single" w:sz="4" w:space="0" w:color="auto"/>
              <w:right w:val="single" w:sz="4" w:space="0" w:color="auto"/>
            </w:tcBorders>
            <w:shd w:val="clear" w:color="auto" w:fill="auto"/>
            <w:vAlign w:val="center"/>
            <w:hideMark/>
          </w:tcPr>
          <w:p w:rsidR="007A1377" w:rsidRDefault="007A1377" w:rsidP="00860FAA">
            <w:pPr>
              <w:rPr>
                <w:rFonts w:ascii="Arial Narrow" w:hAnsi="Arial Narrow" w:cs="Arial"/>
                <w:color w:val="000000"/>
                <w:sz w:val="22"/>
                <w:szCs w:val="22"/>
              </w:rPr>
            </w:pPr>
            <w:r>
              <w:rPr>
                <w:rFonts w:ascii="Arial Narrow" w:hAnsi="Arial Narrow" w:cs="Arial"/>
                <w:color w:val="000000"/>
                <w:sz w:val="22"/>
                <w:szCs w:val="22"/>
              </w:rPr>
              <w:t>Bienes Recibidos de Terceros</w:t>
            </w:r>
          </w:p>
        </w:tc>
        <w:tc>
          <w:tcPr>
            <w:tcW w:w="1990" w:type="dxa"/>
            <w:tcBorders>
              <w:top w:val="nil"/>
              <w:left w:val="nil"/>
              <w:bottom w:val="single" w:sz="4" w:space="0" w:color="auto"/>
              <w:right w:val="single" w:sz="4" w:space="0" w:color="auto"/>
            </w:tcBorders>
            <w:shd w:val="clear" w:color="auto" w:fill="auto"/>
            <w:vAlign w:val="center"/>
            <w:hideMark/>
          </w:tcPr>
          <w:p w:rsidR="007A1377" w:rsidRDefault="007A1377" w:rsidP="00860FAA">
            <w:pPr>
              <w:jc w:val="right"/>
              <w:rPr>
                <w:rFonts w:ascii="Arial Narrow" w:hAnsi="Arial Narrow" w:cs="Arial"/>
                <w:color w:val="000000"/>
                <w:sz w:val="22"/>
                <w:szCs w:val="22"/>
              </w:rPr>
            </w:pPr>
            <w:r>
              <w:rPr>
                <w:rFonts w:ascii="Arial Narrow" w:hAnsi="Arial Narrow" w:cs="Arial"/>
                <w:color w:val="000000"/>
                <w:sz w:val="22"/>
                <w:szCs w:val="22"/>
              </w:rPr>
              <w:t>6.593.814.789</w:t>
            </w:r>
          </w:p>
        </w:tc>
        <w:tc>
          <w:tcPr>
            <w:tcW w:w="2308" w:type="dxa"/>
            <w:tcBorders>
              <w:top w:val="nil"/>
              <w:left w:val="nil"/>
              <w:bottom w:val="single" w:sz="4" w:space="0" w:color="auto"/>
              <w:right w:val="double" w:sz="6" w:space="0" w:color="auto"/>
            </w:tcBorders>
            <w:shd w:val="clear" w:color="auto" w:fill="auto"/>
            <w:vAlign w:val="center"/>
            <w:hideMark/>
          </w:tcPr>
          <w:p w:rsidR="007A1377" w:rsidRDefault="007A1377" w:rsidP="00860FAA">
            <w:pPr>
              <w:jc w:val="right"/>
              <w:rPr>
                <w:rFonts w:ascii="Arial Narrow" w:hAnsi="Arial Narrow" w:cs="Arial"/>
                <w:color w:val="000000"/>
                <w:sz w:val="22"/>
                <w:szCs w:val="22"/>
              </w:rPr>
            </w:pPr>
            <w:r>
              <w:rPr>
                <w:rFonts w:ascii="Arial Narrow" w:hAnsi="Arial Narrow" w:cs="Arial"/>
                <w:color w:val="000000"/>
                <w:sz w:val="22"/>
                <w:szCs w:val="22"/>
              </w:rPr>
              <w:t>5.872.706.008</w:t>
            </w:r>
          </w:p>
        </w:tc>
      </w:tr>
      <w:tr w:rsidR="007A1377" w:rsidTr="00326D46">
        <w:trPr>
          <w:trHeight w:val="480"/>
          <w:jc w:val="center"/>
        </w:trPr>
        <w:tc>
          <w:tcPr>
            <w:tcW w:w="2643" w:type="dxa"/>
            <w:tcBorders>
              <w:top w:val="nil"/>
              <w:left w:val="double" w:sz="6" w:space="0" w:color="auto"/>
              <w:bottom w:val="single" w:sz="4" w:space="0" w:color="auto"/>
              <w:right w:val="single" w:sz="4" w:space="0" w:color="auto"/>
            </w:tcBorders>
            <w:shd w:val="clear" w:color="auto" w:fill="auto"/>
            <w:vAlign w:val="center"/>
            <w:hideMark/>
          </w:tcPr>
          <w:p w:rsidR="007A1377" w:rsidRDefault="007A1377" w:rsidP="00860FAA">
            <w:pPr>
              <w:rPr>
                <w:rFonts w:ascii="Arial Narrow" w:hAnsi="Arial Narrow" w:cs="Arial"/>
                <w:color w:val="000000"/>
                <w:sz w:val="22"/>
                <w:szCs w:val="22"/>
              </w:rPr>
            </w:pPr>
            <w:r>
              <w:rPr>
                <w:rFonts w:ascii="Arial Narrow" w:hAnsi="Arial Narrow" w:cs="Arial"/>
                <w:color w:val="000000"/>
                <w:sz w:val="22"/>
                <w:szCs w:val="22"/>
              </w:rPr>
              <w:t>Responsabilidades Contingentes</w:t>
            </w:r>
          </w:p>
        </w:tc>
        <w:tc>
          <w:tcPr>
            <w:tcW w:w="1990" w:type="dxa"/>
            <w:tcBorders>
              <w:top w:val="nil"/>
              <w:left w:val="nil"/>
              <w:bottom w:val="single" w:sz="4" w:space="0" w:color="auto"/>
              <w:right w:val="single" w:sz="4" w:space="0" w:color="auto"/>
            </w:tcBorders>
            <w:shd w:val="clear" w:color="auto" w:fill="auto"/>
            <w:vAlign w:val="center"/>
            <w:hideMark/>
          </w:tcPr>
          <w:p w:rsidR="007A1377" w:rsidRDefault="007A1377" w:rsidP="00860FAA">
            <w:pPr>
              <w:jc w:val="right"/>
              <w:rPr>
                <w:rFonts w:ascii="Arial Narrow" w:hAnsi="Arial Narrow" w:cs="Arial"/>
                <w:color w:val="000000"/>
                <w:sz w:val="22"/>
                <w:szCs w:val="22"/>
              </w:rPr>
            </w:pPr>
            <w:r>
              <w:rPr>
                <w:rFonts w:ascii="Arial Narrow" w:hAnsi="Arial Narrow" w:cs="Arial"/>
                <w:color w:val="000000"/>
                <w:sz w:val="22"/>
                <w:szCs w:val="22"/>
              </w:rPr>
              <w:t>-3.744.550.785</w:t>
            </w:r>
          </w:p>
        </w:tc>
        <w:tc>
          <w:tcPr>
            <w:tcW w:w="2308" w:type="dxa"/>
            <w:tcBorders>
              <w:top w:val="nil"/>
              <w:left w:val="nil"/>
              <w:bottom w:val="single" w:sz="4" w:space="0" w:color="auto"/>
              <w:right w:val="double" w:sz="6" w:space="0" w:color="auto"/>
            </w:tcBorders>
            <w:shd w:val="clear" w:color="auto" w:fill="auto"/>
            <w:vAlign w:val="center"/>
            <w:hideMark/>
          </w:tcPr>
          <w:p w:rsidR="007A1377" w:rsidRDefault="007A1377" w:rsidP="00860FAA">
            <w:pPr>
              <w:jc w:val="right"/>
              <w:rPr>
                <w:rFonts w:ascii="Arial Narrow" w:hAnsi="Arial Narrow" w:cs="Arial"/>
                <w:color w:val="000000"/>
                <w:sz w:val="22"/>
                <w:szCs w:val="22"/>
              </w:rPr>
            </w:pPr>
            <w:r>
              <w:rPr>
                <w:rFonts w:ascii="Arial Narrow" w:hAnsi="Arial Narrow" w:cs="Arial"/>
                <w:color w:val="000000"/>
                <w:sz w:val="22"/>
                <w:szCs w:val="22"/>
              </w:rPr>
              <w:t>-2.487.490.646</w:t>
            </w:r>
          </w:p>
        </w:tc>
      </w:tr>
      <w:tr w:rsidR="007A1377" w:rsidTr="00326D46">
        <w:trPr>
          <w:trHeight w:val="480"/>
          <w:jc w:val="center"/>
        </w:trPr>
        <w:tc>
          <w:tcPr>
            <w:tcW w:w="2643" w:type="dxa"/>
            <w:tcBorders>
              <w:top w:val="nil"/>
              <w:left w:val="double" w:sz="6" w:space="0" w:color="auto"/>
              <w:bottom w:val="single" w:sz="4" w:space="0" w:color="auto"/>
              <w:right w:val="single" w:sz="4" w:space="0" w:color="auto"/>
            </w:tcBorders>
            <w:shd w:val="clear" w:color="auto" w:fill="auto"/>
            <w:vAlign w:val="center"/>
            <w:hideMark/>
          </w:tcPr>
          <w:p w:rsidR="007A1377" w:rsidRDefault="007A1377" w:rsidP="00860FAA">
            <w:pPr>
              <w:rPr>
                <w:rFonts w:ascii="Arial Narrow" w:hAnsi="Arial Narrow" w:cs="Arial"/>
                <w:color w:val="000000"/>
                <w:sz w:val="22"/>
                <w:szCs w:val="22"/>
              </w:rPr>
            </w:pPr>
            <w:r>
              <w:rPr>
                <w:rFonts w:ascii="Arial Narrow" w:hAnsi="Arial Narrow" w:cs="Arial"/>
                <w:color w:val="000000"/>
                <w:sz w:val="22"/>
                <w:szCs w:val="22"/>
              </w:rPr>
              <w:t>Acreedoras de Control por  Contra</w:t>
            </w:r>
          </w:p>
        </w:tc>
        <w:tc>
          <w:tcPr>
            <w:tcW w:w="1990" w:type="dxa"/>
            <w:tcBorders>
              <w:top w:val="nil"/>
              <w:left w:val="nil"/>
              <w:bottom w:val="single" w:sz="4" w:space="0" w:color="auto"/>
              <w:right w:val="single" w:sz="4" w:space="0" w:color="auto"/>
            </w:tcBorders>
            <w:shd w:val="clear" w:color="auto" w:fill="auto"/>
            <w:vAlign w:val="center"/>
            <w:hideMark/>
          </w:tcPr>
          <w:p w:rsidR="007A1377" w:rsidRDefault="007A1377" w:rsidP="00860FAA">
            <w:pPr>
              <w:jc w:val="right"/>
              <w:rPr>
                <w:rFonts w:ascii="Arial Narrow" w:hAnsi="Arial Narrow" w:cs="Arial"/>
                <w:color w:val="000000"/>
                <w:sz w:val="22"/>
                <w:szCs w:val="22"/>
              </w:rPr>
            </w:pPr>
            <w:r>
              <w:rPr>
                <w:rFonts w:ascii="Arial Narrow" w:hAnsi="Arial Narrow" w:cs="Arial"/>
                <w:color w:val="000000"/>
                <w:sz w:val="22"/>
                <w:szCs w:val="22"/>
              </w:rPr>
              <w:t>-6.593.814.789</w:t>
            </w:r>
          </w:p>
        </w:tc>
        <w:tc>
          <w:tcPr>
            <w:tcW w:w="2308" w:type="dxa"/>
            <w:tcBorders>
              <w:top w:val="nil"/>
              <w:left w:val="nil"/>
              <w:bottom w:val="single" w:sz="4" w:space="0" w:color="auto"/>
              <w:right w:val="double" w:sz="6" w:space="0" w:color="auto"/>
            </w:tcBorders>
            <w:shd w:val="clear" w:color="auto" w:fill="auto"/>
            <w:vAlign w:val="center"/>
            <w:hideMark/>
          </w:tcPr>
          <w:p w:rsidR="007A1377" w:rsidRDefault="007A1377" w:rsidP="00860FAA">
            <w:pPr>
              <w:jc w:val="right"/>
              <w:rPr>
                <w:rFonts w:ascii="Arial Narrow" w:hAnsi="Arial Narrow" w:cs="Arial"/>
                <w:color w:val="000000"/>
                <w:sz w:val="22"/>
                <w:szCs w:val="22"/>
              </w:rPr>
            </w:pPr>
            <w:r>
              <w:rPr>
                <w:rFonts w:ascii="Arial Narrow" w:hAnsi="Arial Narrow" w:cs="Arial"/>
                <w:color w:val="000000"/>
                <w:sz w:val="22"/>
                <w:szCs w:val="22"/>
              </w:rPr>
              <w:t>-5.872.706.008</w:t>
            </w:r>
          </w:p>
        </w:tc>
      </w:tr>
      <w:tr w:rsidR="007A1377" w:rsidTr="00326D46">
        <w:trPr>
          <w:trHeight w:val="480"/>
          <w:jc w:val="center"/>
        </w:trPr>
        <w:tc>
          <w:tcPr>
            <w:tcW w:w="2643" w:type="dxa"/>
            <w:tcBorders>
              <w:top w:val="double" w:sz="6" w:space="0" w:color="auto"/>
              <w:left w:val="double" w:sz="6" w:space="0" w:color="auto"/>
              <w:bottom w:val="double" w:sz="6" w:space="0" w:color="auto"/>
              <w:right w:val="double" w:sz="6" w:space="0" w:color="auto"/>
            </w:tcBorders>
            <w:shd w:val="clear" w:color="auto" w:fill="auto"/>
            <w:vAlign w:val="center"/>
            <w:hideMark/>
          </w:tcPr>
          <w:p w:rsidR="007A1377" w:rsidRDefault="007A1377" w:rsidP="00860FAA">
            <w:pPr>
              <w:jc w:val="center"/>
              <w:rPr>
                <w:rFonts w:ascii="Arial" w:hAnsi="Arial" w:cs="Arial"/>
                <w:b/>
                <w:bCs/>
                <w:sz w:val="20"/>
                <w:szCs w:val="20"/>
              </w:rPr>
            </w:pPr>
            <w:r>
              <w:rPr>
                <w:rFonts w:ascii="Arial" w:hAnsi="Arial" w:cs="Arial"/>
                <w:b/>
                <w:bCs/>
                <w:sz w:val="20"/>
                <w:szCs w:val="20"/>
              </w:rPr>
              <w:t>Subtotal</w:t>
            </w:r>
          </w:p>
        </w:tc>
        <w:tc>
          <w:tcPr>
            <w:tcW w:w="1990" w:type="dxa"/>
            <w:tcBorders>
              <w:top w:val="double" w:sz="6" w:space="0" w:color="auto"/>
              <w:left w:val="nil"/>
              <w:bottom w:val="double" w:sz="6" w:space="0" w:color="auto"/>
              <w:right w:val="double" w:sz="6" w:space="0" w:color="auto"/>
            </w:tcBorders>
            <w:shd w:val="clear" w:color="auto" w:fill="auto"/>
            <w:noWrap/>
            <w:vAlign w:val="bottom"/>
            <w:hideMark/>
          </w:tcPr>
          <w:p w:rsidR="007A1377" w:rsidRDefault="007A1377" w:rsidP="00860FAA">
            <w:pPr>
              <w:jc w:val="right"/>
              <w:rPr>
                <w:rFonts w:ascii="Arial" w:hAnsi="Arial" w:cs="Arial"/>
                <w:b/>
                <w:bCs/>
                <w:sz w:val="20"/>
                <w:szCs w:val="20"/>
              </w:rPr>
            </w:pPr>
            <w:r>
              <w:rPr>
                <w:rFonts w:ascii="Arial" w:hAnsi="Arial" w:cs="Arial"/>
                <w:b/>
                <w:bCs/>
                <w:sz w:val="20"/>
                <w:szCs w:val="20"/>
              </w:rPr>
              <w:t>0</w:t>
            </w:r>
          </w:p>
        </w:tc>
        <w:tc>
          <w:tcPr>
            <w:tcW w:w="2308" w:type="dxa"/>
            <w:tcBorders>
              <w:top w:val="double" w:sz="6" w:space="0" w:color="auto"/>
              <w:left w:val="nil"/>
              <w:bottom w:val="double" w:sz="6" w:space="0" w:color="auto"/>
              <w:right w:val="double" w:sz="6" w:space="0" w:color="auto"/>
            </w:tcBorders>
            <w:shd w:val="clear" w:color="auto" w:fill="auto"/>
            <w:noWrap/>
            <w:vAlign w:val="bottom"/>
            <w:hideMark/>
          </w:tcPr>
          <w:p w:rsidR="007A1377" w:rsidRDefault="007A1377" w:rsidP="00860FAA">
            <w:pPr>
              <w:jc w:val="right"/>
              <w:rPr>
                <w:rFonts w:ascii="Arial" w:hAnsi="Arial" w:cs="Arial"/>
                <w:b/>
                <w:bCs/>
                <w:sz w:val="20"/>
                <w:szCs w:val="20"/>
              </w:rPr>
            </w:pPr>
            <w:r>
              <w:rPr>
                <w:rFonts w:ascii="Arial" w:hAnsi="Arial" w:cs="Arial"/>
                <w:b/>
                <w:bCs/>
                <w:sz w:val="20"/>
                <w:szCs w:val="20"/>
              </w:rPr>
              <w:t>0</w:t>
            </w:r>
          </w:p>
        </w:tc>
      </w:tr>
      <w:tr w:rsidR="007A1377" w:rsidTr="00326D46">
        <w:trPr>
          <w:trHeight w:val="480"/>
          <w:jc w:val="center"/>
        </w:trPr>
        <w:tc>
          <w:tcPr>
            <w:tcW w:w="2643" w:type="dxa"/>
            <w:tcBorders>
              <w:top w:val="nil"/>
              <w:left w:val="double" w:sz="6" w:space="0" w:color="auto"/>
              <w:bottom w:val="double" w:sz="6" w:space="0" w:color="auto"/>
              <w:right w:val="double" w:sz="6" w:space="0" w:color="auto"/>
            </w:tcBorders>
            <w:shd w:val="clear" w:color="auto" w:fill="auto"/>
            <w:vAlign w:val="center"/>
            <w:hideMark/>
          </w:tcPr>
          <w:p w:rsidR="007A1377" w:rsidRDefault="007A1377" w:rsidP="00860FAA">
            <w:pPr>
              <w:jc w:val="center"/>
              <w:rPr>
                <w:rFonts w:ascii="Arial" w:hAnsi="Arial" w:cs="Arial"/>
                <w:b/>
                <w:bCs/>
                <w:sz w:val="20"/>
                <w:szCs w:val="20"/>
              </w:rPr>
            </w:pPr>
            <w:r>
              <w:rPr>
                <w:rFonts w:ascii="Arial" w:hAnsi="Arial" w:cs="Arial"/>
                <w:b/>
                <w:bCs/>
                <w:sz w:val="20"/>
                <w:szCs w:val="20"/>
              </w:rPr>
              <w:t>Total</w:t>
            </w:r>
          </w:p>
        </w:tc>
        <w:tc>
          <w:tcPr>
            <w:tcW w:w="1990" w:type="dxa"/>
            <w:tcBorders>
              <w:top w:val="nil"/>
              <w:left w:val="nil"/>
              <w:bottom w:val="double" w:sz="6" w:space="0" w:color="auto"/>
              <w:right w:val="double" w:sz="6" w:space="0" w:color="auto"/>
            </w:tcBorders>
            <w:shd w:val="clear" w:color="auto" w:fill="auto"/>
            <w:noWrap/>
            <w:vAlign w:val="bottom"/>
            <w:hideMark/>
          </w:tcPr>
          <w:p w:rsidR="007A1377" w:rsidRDefault="007A1377" w:rsidP="00860FAA">
            <w:pPr>
              <w:jc w:val="right"/>
              <w:rPr>
                <w:rFonts w:ascii="Arial" w:hAnsi="Arial" w:cs="Arial"/>
                <w:b/>
                <w:bCs/>
                <w:sz w:val="20"/>
                <w:szCs w:val="20"/>
              </w:rPr>
            </w:pPr>
            <w:r>
              <w:rPr>
                <w:rFonts w:ascii="Arial" w:hAnsi="Arial" w:cs="Arial"/>
                <w:b/>
                <w:bCs/>
                <w:sz w:val="20"/>
                <w:szCs w:val="20"/>
              </w:rPr>
              <w:t>0</w:t>
            </w:r>
          </w:p>
        </w:tc>
        <w:tc>
          <w:tcPr>
            <w:tcW w:w="2308" w:type="dxa"/>
            <w:tcBorders>
              <w:top w:val="nil"/>
              <w:left w:val="nil"/>
              <w:bottom w:val="double" w:sz="6" w:space="0" w:color="auto"/>
              <w:right w:val="double" w:sz="6" w:space="0" w:color="auto"/>
            </w:tcBorders>
            <w:shd w:val="clear" w:color="auto" w:fill="auto"/>
            <w:noWrap/>
            <w:vAlign w:val="bottom"/>
            <w:hideMark/>
          </w:tcPr>
          <w:p w:rsidR="007A1377" w:rsidRDefault="007A1377" w:rsidP="00860FAA">
            <w:pPr>
              <w:jc w:val="right"/>
              <w:rPr>
                <w:rFonts w:ascii="Arial" w:hAnsi="Arial" w:cs="Arial"/>
                <w:b/>
                <w:bCs/>
                <w:sz w:val="20"/>
                <w:szCs w:val="20"/>
              </w:rPr>
            </w:pPr>
            <w:r>
              <w:rPr>
                <w:rFonts w:ascii="Arial" w:hAnsi="Arial" w:cs="Arial"/>
                <w:b/>
                <w:bCs/>
                <w:sz w:val="20"/>
                <w:szCs w:val="20"/>
              </w:rPr>
              <w:t>0</w:t>
            </w:r>
          </w:p>
        </w:tc>
      </w:tr>
    </w:tbl>
    <w:p w:rsidR="007A1377" w:rsidRDefault="007A1377" w:rsidP="007A1377">
      <w:pPr>
        <w:pStyle w:val="Textoindependiente"/>
        <w:rPr>
          <w:rFonts w:ascii="Arial Narrow" w:hAnsi="Arial Narrow" w:cs="Gisha"/>
          <w:b w:val="0"/>
          <w:i w:val="0"/>
          <w:iCs w:val="0"/>
          <w:vanish w:val="0"/>
          <w:color w:val="7030A0"/>
          <w:sz w:val="22"/>
          <w:szCs w:val="22"/>
          <w:u w:val="none"/>
          <w:lang w:val="es-ES"/>
        </w:rPr>
      </w:pPr>
    </w:p>
    <w:p w:rsidR="007A1377" w:rsidRDefault="007A1377" w:rsidP="007A1377">
      <w:pPr>
        <w:pStyle w:val="Textoindependiente"/>
        <w:rPr>
          <w:rFonts w:ascii="Arial Narrow" w:hAnsi="Arial Narrow"/>
          <w:b w:val="0"/>
          <w:bCs w:val="0"/>
          <w:i w:val="0"/>
          <w:iCs w:val="0"/>
          <w:vanish w:val="0"/>
          <w:color w:val="000000"/>
          <w:sz w:val="22"/>
          <w:szCs w:val="22"/>
          <w:u w:val="none"/>
          <w:lang w:val="es-ES"/>
        </w:rPr>
      </w:pPr>
      <w:r w:rsidRPr="007514BF">
        <w:rPr>
          <w:rFonts w:ascii="Arial Narrow" w:hAnsi="Arial Narrow"/>
          <w:b w:val="0"/>
          <w:bCs w:val="0"/>
          <w:i w:val="0"/>
          <w:iCs w:val="0"/>
          <w:vanish w:val="0"/>
          <w:color w:val="000000"/>
          <w:sz w:val="22"/>
          <w:szCs w:val="22"/>
          <w:u w:val="none"/>
          <w:lang w:val="es-ES"/>
        </w:rPr>
        <w:t>En Derecho</w:t>
      </w:r>
      <w:r>
        <w:rPr>
          <w:rFonts w:ascii="Arial Narrow" w:hAnsi="Arial Narrow"/>
          <w:b w:val="0"/>
          <w:bCs w:val="0"/>
          <w:i w:val="0"/>
          <w:iCs w:val="0"/>
          <w:vanish w:val="0"/>
          <w:color w:val="000000"/>
          <w:sz w:val="22"/>
          <w:szCs w:val="22"/>
          <w:u w:val="none"/>
          <w:lang w:val="es-ES"/>
        </w:rPr>
        <w:t>s Contingentes, se registran los</w:t>
      </w:r>
      <w:r w:rsidRPr="007514BF">
        <w:rPr>
          <w:rFonts w:ascii="Arial Narrow" w:hAnsi="Arial Narrow"/>
          <w:b w:val="0"/>
          <w:bCs w:val="0"/>
          <w:i w:val="0"/>
          <w:iCs w:val="0"/>
          <w:vanish w:val="0"/>
          <w:color w:val="000000"/>
          <w:sz w:val="22"/>
          <w:szCs w:val="22"/>
          <w:u w:val="none"/>
          <w:lang w:val="es-ES"/>
        </w:rPr>
        <w:t xml:space="preserve"> Litigios y Mecanismos Alternativos de Solución de Conflictos </w:t>
      </w:r>
      <w:r>
        <w:rPr>
          <w:rFonts w:ascii="Arial Narrow" w:hAnsi="Arial Narrow"/>
          <w:b w:val="0"/>
          <w:bCs w:val="0"/>
          <w:i w:val="0"/>
          <w:iCs w:val="0"/>
          <w:vanish w:val="0"/>
          <w:color w:val="000000"/>
          <w:sz w:val="22"/>
          <w:szCs w:val="22"/>
          <w:u w:val="none"/>
          <w:lang w:val="es-ES"/>
        </w:rPr>
        <w:t xml:space="preserve">por </w:t>
      </w:r>
      <w:r w:rsidRPr="007514BF">
        <w:rPr>
          <w:rFonts w:ascii="Arial Narrow" w:hAnsi="Arial Narrow"/>
          <w:b w:val="0"/>
          <w:bCs w:val="0"/>
          <w:i w:val="0"/>
          <w:iCs w:val="0"/>
          <w:vanish w:val="0"/>
          <w:color w:val="000000"/>
          <w:sz w:val="22"/>
          <w:szCs w:val="22"/>
          <w:u w:val="none"/>
          <w:lang w:val="es-ES"/>
        </w:rPr>
        <w:t>$</w:t>
      </w:r>
      <w:r w:rsidRPr="001177BD">
        <w:rPr>
          <w:rFonts w:ascii="Arial Narrow" w:hAnsi="Arial Narrow"/>
          <w:b w:val="0"/>
          <w:bCs w:val="0"/>
          <w:i w:val="0"/>
          <w:iCs w:val="0"/>
          <w:vanish w:val="0"/>
          <w:color w:val="000000"/>
          <w:sz w:val="22"/>
          <w:szCs w:val="22"/>
          <w:u w:val="none"/>
          <w:lang w:val="es-ES"/>
        </w:rPr>
        <w:t xml:space="preserve"> 727.712.749</w:t>
      </w:r>
      <w:r>
        <w:rPr>
          <w:rFonts w:ascii="Arial Narrow" w:hAnsi="Arial Narrow"/>
          <w:b w:val="0"/>
          <w:bCs w:val="0"/>
          <w:i w:val="0"/>
          <w:iCs w:val="0"/>
          <w:vanish w:val="0"/>
          <w:color w:val="000000"/>
          <w:sz w:val="22"/>
          <w:szCs w:val="22"/>
          <w:u w:val="none"/>
          <w:lang w:val="es-ES"/>
        </w:rPr>
        <w:t xml:space="preserve"> </w:t>
      </w:r>
      <w:r w:rsidRPr="007514BF">
        <w:rPr>
          <w:rFonts w:ascii="Arial Narrow" w:hAnsi="Arial Narrow"/>
          <w:b w:val="0"/>
          <w:bCs w:val="0"/>
          <w:i w:val="0"/>
          <w:iCs w:val="0"/>
          <w:vanish w:val="0"/>
          <w:color w:val="000000"/>
          <w:sz w:val="22"/>
          <w:szCs w:val="22"/>
          <w:u w:val="none"/>
          <w:lang w:val="es-ES"/>
        </w:rPr>
        <w:t xml:space="preserve">miles, que corresponden a demandas instauradas por la Agencia Nacional de </w:t>
      </w:r>
      <w:r>
        <w:rPr>
          <w:rFonts w:ascii="Arial Narrow" w:hAnsi="Arial Narrow"/>
          <w:b w:val="0"/>
          <w:bCs w:val="0"/>
          <w:i w:val="0"/>
          <w:iCs w:val="0"/>
          <w:vanish w:val="0"/>
          <w:color w:val="000000"/>
          <w:sz w:val="22"/>
          <w:szCs w:val="22"/>
          <w:u w:val="none"/>
          <w:lang w:val="es-ES"/>
        </w:rPr>
        <w:t xml:space="preserve">Infraestructura contra terceros.  Además, se registró en la subcuenta otras Cuentas deudoras de Control el proceso </w:t>
      </w:r>
      <w:r w:rsidRPr="001177BD">
        <w:rPr>
          <w:rFonts w:ascii="Arial Narrow" w:hAnsi="Arial Narrow"/>
          <w:b w:val="0"/>
          <w:bCs w:val="0"/>
          <w:i w:val="0"/>
          <w:iCs w:val="0"/>
          <w:vanish w:val="0"/>
          <w:color w:val="000000"/>
          <w:sz w:val="22"/>
          <w:szCs w:val="22"/>
          <w:u w:val="none"/>
          <w:lang w:val="es-ES"/>
        </w:rPr>
        <w:t>2013-1725</w:t>
      </w:r>
      <w:r>
        <w:rPr>
          <w:rFonts w:ascii="Arial Narrow" w:hAnsi="Arial Narrow"/>
          <w:b w:val="0"/>
          <w:bCs w:val="0"/>
          <w:i w:val="0"/>
          <w:iCs w:val="0"/>
          <w:vanish w:val="0"/>
          <w:color w:val="000000"/>
          <w:sz w:val="22"/>
          <w:szCs w:val="22"/>
          <w:u w:val="none"/>
          <w:lang w:val="es-ES"/>
        </w:rPr>
        <w:t xml:space="preserve"> de tipo Contractual por el cual se Aprueba Acuerdo Transaccional para s</w:t>
      </w:r>
      <w:r w:rsidRPr="001177BD">
        <w:rPr>
          <w:rFonts w:ascii="Arial Narrow" w:hAnsi="Arial Narrow"/>
          <w:b w:val="0"/>
          <w:bCs w:val="0"/>
          <w:i w:val="0"/>
          <w:iCs w:val="0"/>
          <w:vanish w:val="0"/>
          <w:color w:val="000000"/>
          <w:sz w:val="22"/>
          <w:szCs w:val="22"/>
          <w:u w:val="none"/>
          <w:lang w:val="es-ES"/>
        </w:rPr>
        <w:t xml:space="preserve">olucionar diferencias de tipo económico </w:t>
      </w:r>
      <w:r>
        <w:rPr>
          <w:rFonts w:ascii="Arial Narrow" w:hAnsi="Arial Narrow"/>
          <w:b w:val="0"/>
          <w:bCs w:val="0"/>
          <w:i w:val="0"/>
          <w:iCs w:val="0"/>
          <w:vanish w:val="0"/>
          <w:color w:val="000000"/>
          <w:sz w:val="22"/>
          <w:szCs w:val="22"/>
          <w:u w:val="none"/>
          <w:lang w:val="es-ES"/>
        </w:rPr>
        <w:t xml:space="preserve">del </w:t>
      </w:r>
      <w:r w:rsidRPr="001177BD">
        <w:rPr>
          <w:rFonts w:ascii="Arial Narrow" w:hAnsi="Arial Narrow"/>
          <w:b w:val="0"/>
          <w:bCs w:val="0"/>
          <w:i w:val="0"/>
          <w:iCs w:val="0"/>
          <w:vanish w:val="0"/>
          <w:color w:val="000000"/>
          <w:sz w:val="22"/>
          <w:szCs w:val="22"/>
          <w:u w:val="none"/>
          <w:lang w:val="es-ES"/>
        </w:rPr>
        <w:t xml:space="preserve">Convenio de Cooperación No. 012 de 2009.  En concreto </w:t>
      </w:r>
      <w:r>
        <w:rPr>
          <w:rFonts w:ascii="Arial Narrow" w:hAnsi="Arial Narrow"/>
          <w:b w:val="0"/>
          <w:bCs w:val="0"/>
          <w:i w:val="0"/>
          <w:iCs w:val="0"/>
          <w:vanish w:val="0"/>
          <w:color w:val="000000"/>
          <w:sz w:val="22"/>
          <w:szCs w:val="22"/>
          <w:u w:val="none"/>
          <w:lang w:val="es-ES"/>
        </w:rPr>
        <w:t xml:space="preserve">la </w:t>
      </w:r>
      <w:r w:rsidRPr="001177BD">
        <w:rPr>
          <w:rFonts w:ascii="Arial Narrow" w:hAnsi="Arial Narrow"/>
          <w:b w:val="0"/>
          <w:bCs w:val="0"/>
          <w:i w:val="0"/>
          <w:iCs w:val="0"/>
          <w:vanish w:val="0"/>
          <w:color w:val="000000"/>
          <w:sz w:val="22"/>
          <w:szCs w:val="22"/>
          <w:u w:val="none"/>
          <w:lang w:val="es-ES"/>
        </w:rPr>
        <w:t>obligación Departamento d</w:t>
      </w:r>
      <w:r>
        <w:rPr>
          <w:rFonts w:ascii="Arial Narrow" w:hAnsi="Arial Narrow"/>
          <w:b w:val="0"/>
          <w:bCs w:val="0"/>
          <w:i w:val="0"/>
          <w:iCs w:val="0"/>
          <w:vanish w:val="0"/>
          <w:color w:val="000000"/>
          <w:sz w:val="22"/>
          <w:szCs w:val="22"/>
          <w:u w:val="none"/>
          <w:lang w:val="es-ES"/>
        </w:rPr>
        <w:t>el Meta de aportar $2</w:t>
      </w:r>
      <w:r w:rsidR="00EA45D5">
        <w:rPr>
          <w:rFonts w:ascii="Arial Narrow" w:hAnsi="Arial Narrow"/>
          <w:b w:val="0"/>
          <w:bCs w:val="0"/>
          <w:i w:val="0"/>
          <w:iCs w:val="0"/>
          <w:vanish w:val="0"/>
          <w:color w:val="000000"/>
          <w:sz w:val="22"/>
          <w:szCs w:val="22"/>
          <w:u w:val="none"/>
          <w:lang w:val="es-ES"/>
        </w:rPr>
        <w:t>16</w:t>
      </w:r>
      <w:r>
        <w:rPr>
          <w:rFonts w:ascii="Arial Narrow" w:hAnsi="Arial Narrow"/>
          <w:b w:val="0"/>
          <w:bCs w:val="0"/>
          <w:i w:val="0"/>
          <w:iCs w:val="0"/>
          <w:vanish w:val="0"/>
          <w:color w:val="000000"/>
          <w:sz w:val="22"/>
          <w:szCs w:val="22"/>
          <w:u w:val="none"/>
          <w:lang w:val="es-ES"/>
        </w:rPr>
        <w:t>.000.000 miles d</w:t>
      </w:r>
      <w:r w:rsidRPr="001177BD">
        <w:rPr>
          <w:rFonts w:ascii="Arial Narrow" w:hAnsi="Arial Narrow"/>
          <w:b w:val="0"/>
          <w:bCs w:val="0"/>
          <w:i w:val="0"/>
          <w:iCs w:val="0"/>
          <w:vanish w:val="0"/>
          <w:color w:val="000000"/>
          <w:sz w:val="22"/>
          <w:szCs w:val="22"/>
          <w:u w:val="none"/>
          <w:lang w:val="es-ES"/>
        </w:rPr>
        <w:t xml:space="preserve">e vigencias futuras </w:t>
      </w:r>
      <w:r>
        <w:rPr>
          <w:rFonts w:ascii="Arial Narrow" w:hAnsi="Arial Narrow"/>
          <w:b w:val="0"/>
          <w:bCs w:val="0"/>
          <w:i w:val="0"/>
          <w:iCs w:val="0"/>
          <w:vanish w:val="0"/>
          <w:color w:val="000000"/>
          <w:sz w:val="22"/>
          <w:szCs w:val="22"/>
          <w:u w:val="none"/>
          <w:lang w:val="es-ES"/>
        </w:rPr>
        <w:t xml:space="preserve">cada </w:t>
      </w:r>
      <w:r w:rsidRPr="001177BD">
        <w:rPr>
          <w:rFonts w:ascii="Arial Narrow" w:hAnsi="Arial Narrow"/>
          <w:b w:val="0"/>
          <w:bCs w:val="0"/>
          <w:i w:val="0"/>
          <w:iCs w:val="0"/>
          <w:vanish w:val="0"/>
          <w:color w:val="000000"/>
          <w:sz w:val="22"/>
          <w:szCs w:val="22"/>
          <w:u w:val="none"/>
          <w:lang w:val="es-ES"/>
        </w:rPr>
        <w:t xml:space="preserve">30 </w:t>
      </w:r>
      <w:r>
        <w:rPr>
          <w:rFonts w:ascii="Arial Narrow" w:hAnsi="Arial Narrow"/>
          <w:b w:val="0"/>
          <w:bCs w:val="0"/>
          <w:i w:val="0"/>
          <w:iCs w:val="0"/>
          <w:vanish w:val="0"/>
          <w:color w:val="000000"/>
          <w:sz w:val="22"/>
          <w:szCs w:val="22"/>
          <w:u w:val="none"/>
          <w:lang w:val="es-ES"/>
        </w:rPr>
        <w:t xml:space="preserve">de </w:t>
      </w:r>
      <w:r w:rsidRPr="001177BD">
        <w:rPr>
          <w:rFonts w:ascii="Arial Narrow" w:hAnsi="Arial Narrow"/>
          <w:b w:val="0"/>
          <w:bCs w:val="0"/>
          <w:i w:val="0"/>
          <w:iCs w:val="0"/>
          <w:vanish w:val="0"/>
          <w:color w:val="000000"/>
          <w:sz w:val="22"/>
          <w:szCs w:val="22"/>
          <w:u w:val="none"/>
          <w:lang w:val="es-ES"/>
        </w:rPr>
        <w:t>sept</w:t>
      </w:r>
      <w:r>
        <w:rPr>
          <w:rFonts w:ascii="Arial Narrow" w:hAnsi="Arial Narrow"/>
          <w:b w:val="0"/>
          <w:bCs w:val="0"/>
          <w:i w:val="0"/>
          <w:iCs w:val="0"/>
          <w:vanish w:val="0"/>
          <w:color w:val="000000"/>
          <w:sz w:val="22"/>
          <w:szCs w:val="22"/>
          <w:u w:val="none"/>
          <w:lang w:val="es-ES"/>
        </w:rPr>
        <w:t>iembre iniciando</w:t>
      </w:r>
      <w:r w:rsidRPr="001177BD">
        <w:rPr>
          <w:rFonts w:ascii="Arial Narrow" w:hAnsi="Arial Narrow"/>
          <w:b w:val="0"/>
          <w:bCs w:val="0"/>
          <w:i w:val="0"/>
          <w:iCs w:val="0"/>
          <w:vanish w:val="0"/>
          <w:color w:val="000000"/>
          <w:sz w:val="22"/>
          <w:szCs w:val="22"/>
          <w:u w:val="none"/>
          <w:lang w:val="es-ES"/>
        </w:rPr>
        <w:t xml:space="preserve"> desde </w:t>
      </w:r>
      <w:r>
        <w:rPr>
          <w:rFonts w:ascii="Arial Narrow" w:hAnsi="Arial Narrow"/>
          <w:b w:val="0"/>
          <w:bCs w:val="0"/>
          <w:i w:val="0"/>
          <w:iCs w:val="0"/>
          <w:vanish w:val="0"/>
          <w:color w:val="000000"/>
          <w:sz w:val="22"/>
          <w:szCs w:val="22"/>
          <w:u w:val="none"/>
          <w:lang w:val="es-ES"/>
        </w:rPr>
        <w:t xml:space="preserve">el año </w:t>
      </w:r>
      <w:r w:rsidRPr="001177BD">
        <w:rPr>
          <w:rFonts w:ascii="Arial Narrow" w:hAnsi="Arial Narrow"/>
          <w:b w:val="0"/>
          <w:bCs w:val="0"/>
          <w:i w:val="0"/>
          <w:iCs w:val="0"/>
          <w:vanish w:val="0"/>
          <w:color w:val="000000"/>
          <w:sz w:val="22"/>
          <w:szCs w:val="22"/>
          <w:u w:val="none"/>
          <w:lang w:val="es-ES"/>
        </w:rPr>
        <w:t xml:space="preserve">2011 </w:t>
      </w:r>
      <w:r>
        <w:rPr>
          <w:rFonts w:ascii="Arial Narrow" w:hAnsi="Arial Narrow"/>
          <w:b w:val="0"/>
          <w:bCs w:val="0"/>
          <w:i w:val="0"/>
          <w:iCs w:val="0"/>
          <w:vanish w:val="0"/>
          <w:color w:val="000000"/>
          <w:sz w:val="22"/>
          <w:szCs w:val="22"/>
          <w:u w:val="none"/>
          <w:lang w:val="es-ES"/>
        </w:rPr>
        <w:t>y terminando en el año</w:t>
      </w:r>
      <w:r w:rsidRPr="001177BD">
        <w:rPr>
          <w:rFonts w:ascii="Arial Narrow" w:hAnsi="Arial Narrow"/>
          <w:b w:val="0"/>
          <w:bCs w:val="0"/>
          <w:i w:val="0"/>
          <w:iCs w:val="0"/>
          <w:vanish w:val="0"/>
          <w:color w:val="000000"/>
          <w:sz w:val="22"/>
          <w:szCs w:val="22"/>
          <w:u w:val="none"/>
          <w:lang w:val="es-ES"/>
        </w:rPr>
        <w:t>2017</w:t>
      </w:r>
      <w:r>
        <w:rPr>
          <w:rFonts w:ascii="Arial Narrow" w:hAnsi="Arial Narrow"/>
          <w:b w:val="0"/>
          <w:bCs w:val="0"/>
          <w:i w:val="0"/>
          <w:iCs w:val="0"/>
          <w:vanish w:val="0"/>
          <w:color w:val="000000"/>
          <w:sz w:val="22"/>
          <w:szCs w:val="22"/>
          <w:u w:val="none"/>
          <w:lang w:val="es-ES"/>
        </w:rPr>
        <w:t>,</w:t>
      </w:r>
      <w:r w:rsidRPr="001177BD">
        <w:rPr>
          <w:rFonts w:ascii="Arial Narrow" w:hAnsi="Arial Narrow"/>
          <w:b w:val="0"/>
          <w:bCs w:val="0"/>
          <w:i w:val="0"/>
          <w:iCs w:val="0"/>
          <w:vanish w:val="0"/>
          <w:color w:val="000000"/>
          <w:sz w:val="22"/>
          <w:szCs w:val="22"/>
          <w:u w:val="none"/>
          <w:lang w:val="es-ES"/>
        </w:rPr>
        <w:t xml:space="preserve"> para actividades proyecto doble calzada Bogotá - Villavicencio.  </w:t>
      </w:r>
      <w:r>
        <w:rPr>
          <w:rFonts w:ascii="Arial Narrow" w:hAnsi="Arial Narrow"/>
          <w:b w:val="0"/>
          <w:bCs w:val="0"/>
          <w:i w:val="0"/>
          <w:iCs w:val="0"/>
          <w:vanish w:val="0"/>
          <w:color w:val="000000"/>
          <w:sz w:val="22"/>
          <w:szCs w:val="22"/>
          <w:u w:val="none"/>
          <w:lang w:val="es-ES"/>
        </w:rPr>
        <w:t>Acordaron</w:t>
      </w:r>
      <w:r w:rsidRPr="001177BD">
        <w:rPr>
          <w:rFonts w:ascii="Arial Narrow" w:hAnsi="Arial Narrow"/>
          <w:b w:val="0"/>
          <w:bCs w:val="0"/>
          <w:i w:val="0"/>
          <w:iCs w:val="0"/>
          <w:vanish w:val="0"/>
          <w:color w:val="000000"/>
          <w:sz w:val="22"/>
          <w:szCs w:val="22"/>
          <w:u w:val="none"/>
          <w:lang w:val="es-ES"/>
        </w:rPr>
        <w:t xml:space="preserve"> el Departamento y la Agencia novar la obligación del Convenio por una obligación de hacer</w:t>
      </w:r>
      <w:r w:rsidR="00633E0B">
        <w:rPr>
          <w:rFonts w:ascii="Arial Narrow" w:hAnsi="Arial Narrow"/>
          <w:b w:val="0"/>
          <w:bCs w:val="0"/>
          <w:i w:val="0"/>
          <w:iCs w:val="0"/>
          <w:vanish w:val="0"/>
          <w:color w:val="000000"/>
          <w:sz w:val="22"/>
          <w:szCs w:val="22"/>
          <w:u w:val="none"/>
          <w:lang w:val="es-ES"/>
        </w:rPr>
        <w:t xml:space="preserve">.  El Departamento del Meta .se obligó a </w:t>
      </w:r>
      <w:r w:rsidRPr="001177BD">
        <w:rPr>
          <w:rFonts w:ascii="Arial Narrow" w:hAnsi="Arial Narrow"/>
          <w:b w:val="0"/>
          <w:bCs w:val="0"/>
          <w:i w:val="0"/>
          <w:iCs w:val="0"/>
          <w:vanish w:val="0"/>
          <w:color w:val="000000"/>
          <w:sz w:val="22"/>
          <w:szCs w:val="22"/>
          <w:u w:val="none"/>
          <w:lang w:val="es-ES"/>
        </w:rPr>
        <w:t>construir los tramos de vías correspondientes a la doble calzada en tres carriles por sentido desde los Fundadores hasta</w:t>
      </w:r>
      <w:r w:rsidR="000376B6">
        <w:rPr>
          <w:rFonts w:ascii="Arial Narrow" w:hAnsi="Arial Narrow"/>
          <w:b w:val="0"/>
          <w:bCs w:val="0"/>
          <w:i w:val="0"/>
          <w:iCs w:val="0"/>
          <w:vanish w:val="0"/>
          <w:color w:val="000000"/>
          <w:sz w:val="22"/>
          <w:szCs w:val="22"/>
          <w:u w:val="none"/>
          <w:lang w:val="es-ES"/>
        </w:rPr>
        <w:t xml:space="preserve"> la entrada a Ciudad Porfia en V</w:t>
      </w:r>
      <w:r w:rsidRPr="001177BD">
        <w:rPr>
          <w:rFonts w:ascii="Arial Narrow" w:hAnsi="Arial Narrow"/>
          <w:b w:val="0"/>
          <w:bCs w:val="0"/>
          <w:i w:val="0"/>
          <w:iCs w:val="0"/>
          <w:vanish w:val="0"/>
          <w:color w:val="000000"/>
          <w:sz w:val="22"/>
          <w:szCs w:val="22"/>
          <w:u w:val="none"/>
          <w:lang w:val="es-ES"/>
        </w:rPr>
        <w:t xml:space="preserve">illavicencio, en una extensión de - 4.450 km y la doble calzada en tres carriles  por sentido desde la Séptima Brigada hasta el Ocoa en una extensión de (2.034 Km) que incluye la construcción de la intersección vial con el Camino Ganadero y el Puente sobre el río Ocoa, con </w:t>
      </w:r>
      <w:r>
        <w:rPr>
          <w:rFonts w:ascii="Arial Narrow" w:hAnsi="Arial Narrow"/>
          <w:b w:val="0"/>
          <w:bCs w:val="0"/>
          <w:i w:val="0"/>
          <w:iCs w:val="0"/>
          <w:vanish w:val="0"/>
          <w:color w:val="000000"/>
          <w:sz w:val="22"/>
          <w:szCs w:val="22"/>
          <w:u w:val="none"/>
          <w:lang w:val="es-ES"/>
        </w:rPr>
        <w:t>un valor mínimo de $216.000.000 miles y</w:t>
      </w:r>
      <w:r w:rsidRPr="001177BD">
        <w:rPr>
          <w:rFonts w:ascii="Arial Narrow" w:hAnsi="Arial Narrow"/>
          <w:b w:val="0"/>
          <w:bCs w:val="0"/>
          <w:i w:val="0"/>
          <w:iCs w:val="0"/>
          <w:vanish w:val="0"/>
          <w:color w:val="000000"/>
          <w:sz w:val="22"/>
          <w:szCs w:val="22"/>
          <w:u w:val="none"/>
          <w:lang w:val="es-ES"/>
        </w:rPr>
        <w:t xml:space="preserve"> se </w:t>
      </w:r>
      <w:r w:rsidRPr="001177BD">
        <w:rPr>
          <w:rFonts w:ascii="Arial Narrow" w:hAnsi="Arial Narrow"/>
          <w:b w:val="0"/>
          <w:bCs w:val="0"/>
          <w:i w:val="0"/>
          <w:iCs w:val="0"/>
          <w:vanish w:val="0"/>
          <w:color w:val="000000"/>
          <w:sz w:val="22"/>
          <w:szCs w:val="22"/>
          <w:u w:val="none"/>
          <w:lang w:val="es-ES"/>
        </w:rPr>
        <w:lastRenderedPageBreak/>
        <w:t>obliga a entregar a la Agencia las obras en 49 meses para su operación y mantenimiento a partir aprobación del contrato de transacción.</w:t>
      </w:r>
    </w:p>
    <w:p w:rsidR="007A1377" w:rsidRDefault="007A1377" w:rsidP="007A1377">
      <w:pPr>
        <w:pStyle w:val="Textoindependiente"/>
        <w:rPr>
          <w:rFonts w:ascii="Arial Narrow" w:hAnsi="Arial Narrow"/>
          <w:b w:val="0"/>
          <w:bCs w:val="0"/>
          <w:i w:val="0"/>
          <w:iCs w:val="0"/>
          <w:vanish w:val="0"/>
          <w:color w:val="000000"/>
          <w:sz w:val="22"/>
          <w:szCs w:val="22"/>
          <w:u w:val="none"/>
          <w:lang w:val="es-ES"/>
        </w:rPr>
      </w:pPr>
    </w:p>
    <w:p w:rsidR="007A1377" w:rsidRPr="007514BF" w:rsidRDefault="007A1377" w:rsidP="007A1377">
      <w:pPr>
        <w:pStyle w:val="Textoindependiente"/>
        <w:rPr>
          <w:rFonts w:ascii="Arial Narrow" w:hAnsi="Arial Narrow"/>
          <w:b w:val="0"/>
          <w:bCs w:val="0"/>
          <w:i w:val="0"/>
          <w:iCs w:val="0"/>
          <w:vanish w:val="0"/>
          <w:color w:val="000000"/>
          <w:sz w:val="22"/>
          <w:szCs w:val="22"/>
          <w:u w:val="none"/>
          <w:lang w:val="es-ES"/>
        </w:rPr>
      </w:pPr>
      <w:r w:rsidRPr="007514BF">
        <w:rPr>
          <w:rFonts w:ascii="Arial Narrow" w:hAnsi="Arial Narrow"/>
          <w:b w:val="0"/>
          <w:bCs w:val="0"/>
          <w:i w:val="0"/>
          <w:iCs w:val="0"/>
          <w:vanish w:val="0"/>
          <w:color w:val="000000"/>
          <w:sz w:val="22"/>
          <w:szCs w:val="22"/>
          <w:u w:val="none"/>
          <w:lang w:val="es-ES"/>
        </w:rPr>
        <w:t>En las cuentas de Orden Acreedoras, se reflejan  los compromisos o contratos que se relacionan con posibles obligaciones que pueden llegar a afectar la estructura financiera de la entidad, así:</w:t>
      </w:r>
    </w:p>
    <w:p w:rsidR="007A1377" w:rsidRPr="007514BF" w:rsidRDefault="007A1377" w:rsidP="007A1377">
      <w:pPr>
        <w:pStyle w:val="Textoindependiente"/>
        <w:rPr>
          <w:rFonts w:ascii="Arial Narrow" w:hAnsi="Arial Narrow"/>
          <w:b w:val="0"/>
          <w:bCs w:val="0"/>
          <w:i w:val="0"/>
          <w:iCs w:val="0"/>
          <w:vanish w:val="0"/>
          <w:color w:val="000000"/>
          <w:sz w:val="22"/>
          <w:szCs w:val="22"/>
          <w:u w:val="none"/>
          <w:lang w:val="es-ES"/>
        </w:rPr>
      </w:pPr>
    </w:p>
    <w:p w:rsidR="007A1377" w:rsidRDefault="007A1377" w:rsidP="007A1377">
      <w:pPr>
        <w:pStyle w:val="Textoindependiente"/>
        <w:shd w:val="clear" w:color="auto" w:fill="FFFFFF"/>
        <w:rPr>
          <w:rFonts w:ascii="Arial Narrow" w:hAnsi="Arial Narrow"/>
          <w:b w:val="0"/>
          <w:bCs w:val="0"/>
          <w:i w:val="0"/>
          <w:iCs w:val="0"/>
          <w:vanish w:val="0"/>
          <w:color w:val="000000"/>
          <w:sz w:val="22"/>
          <w:szCs w:val="22"/>
          <w:u w:val="none"/>
          <w:lang w:val="es-ES"/>
        </w:rPr>
      </w:pPr>
      <w:r w:rsidRPr="007514BF">
        <w:rPr>
          <w:rFonts w:ascii="Arial Narrow" w:hAnsi="Arial Narrow"/>
          <w:b w:val="0"/>
          <w:bCs w:val="0"/>
          <w:i w:val="0"/>
          <w:iCs w:val="0"/>
          <w:vanish w:val="0"/>
          <w:color w:val="000000"/>
          <w:sz w:val="22"/>
          <w:szCs w:val="22"/>
          <w:u w:val="none"/>
          <w:lang w:val="es-ES"/>
        </w:rPr>
        <w:t>En Responsabilidades Contingentes por valor de $</w:t>
      </w:r>
      <w:r w:rsidRPr="00616AA0">
        <w:t xml:space="preserve"> </w:t>
      </w:r>
      <w:r w:rsidRPr="00616AA0">
        <w:rPr>
          <w:rFonts w:ascii="Arial Narrow" w:hAnsi="Arial Narrow"/>
          <w:b w:val="0"/>
          <w:bCs w:val="0"/>
          <w:i w:val="0"/>
          <w:iCs w:val="0"/>
          <w:vanish w:val="0"/>
          <w:color w:val="000000"/>
          <w:sz w:val="22"/>
          <w:szCs w:val="22"/>
          <w:u w:val="none"/>
          <w:lang w:val="es-ES"/>
        </w:rPr>
        <w:t xml:space="preserve">3.744.550.785 </w:t>
      </w:r>
      <w:r w:rsidRPr="007514BF">
        <w:rPr>
          <w:rFonts w:ascii="Arial Narrow" w:hAnsi="Arial Narrow"/>
          <w:b w:val="0"/>
          <w:bCs w:val="0"/>
          <w:i w:val="0"/>
          <w:iCs w:val="0"/>
          <w:vanish w:val="0"/>
          <w:color w:val="000000"/>
          <w:sz w:val="22"/>
          <w:szCs w:val="22"/>
          <w:u w:val="none"/>
          <w:lang w:val="es-ES"/>
        </w:rPr>
        <w:t xml:space="preserve">miles, se registra </w:t>
      </w:r>
      <w:r>
        <w:rPr>
          <w:rFonts w:ascii="Arial Narrow" w:hAnsi="Arial Narrow"/>
          <w:b w:val="0"/>
          <w:bCs w:val="0"/>
          <w:i w:val="0"/>
          <w:iCs w:val="0"/>
          <w:vanish w:val="0"/>
          <w:color w:val="000000"/>
          <w:sz w:val="22"/>
          <w:szCs w:val="22"/>
          <w:u w:val="none"/>
          <w:lang w:val="es-ES"/>
        </w:rPr>
        <w:t>506</w:t>
      </w:r>
      <w:r w:rsidRPr="007514BF">
        <w:rPr>
          <w:rFonts w:ascii="Arial Narrow" w:hAnsi="Arial Narrow"/>
          <w:b w:val="0"/>
          <w:bCs w:val="0"/>
          <w:i w:val="0"/>
          <w:iCs w:val="0"/>
          <w:vanish w:val="0"/>
          <w:color w:val="000000"/>
          <w:sz w:val="22"/>
          <w:szCs w:val="22"/>
          <w:u w:val="none"/>
          <w:lang w:val="es-ES"/>
        </w:rPr>
        <w:t xml:space="preserve"> procesos que actualmente tiene la entidad y sobre los cuales no existen ningún fallo</w:t>
      </w:r>
      <w:r>
        <w:rPr>
          <w:rFonts w:ascii="Arial Narrow" w:hAnsi="Arial Narrow"/>
          <w:b w:val="0"/>
          <w:bCs w:val="0"/>
          <w:i w:val="0"/>
          <w:iCs w:val="0"/>
          <w:vanish w:val="0"/>
          <w:color w:val="000000"/>
          <w:sz w:val="22"/>
          <w:szCs w:val="22"/>
          <w:u w:val="none"/>
          <w:lang w:val="es-ES"/>
        </w:rPr>
        <w:t>.</w:t>
      </w:r>
      <w:r w:rsidRPr="00E52E61">
        <w:rPr>
          <w:rFonts w:ascii="Arial Narrow" w:hAnsi="Arial Narrow"/>
          <w:b w:val="0"/>
          <w:bCs w:val="0"/>
          <w:i w:val="0"/>
          <w:iCs w:val="0"/>
          <w:vanish w:val="0"/>
          <w:color w:val="000000"/>
          <w:sz w:val="22"/>
          <w:szCs w:val="22"/>
          <w:u w:val="none"/>
          <w:lang w:val="es-ES"/>
        </w:rPr>
        <w:t xml:space="preserve"> (</w:t>
      </w:r>
      <w:r w:rsidR="000376B6" w:rsidRPr="00285B69">
        <w:rPr>
          <w:rFonts w:ascii="Arial Narrow" w:hAnsi="Arial Narrow"/>
          <w:b w:val="0"/>
          <w:bCs w:val="0"/>
          <w:i w:val="0"/>
          <w:iCs w:val="0"/>
          <w:vanish w:val="0"/>
          <w:color w:val="auto"/>
          <w:sz w:val="22"/>
          <w:szCs w:val="22"/>
          <w:u w:val="none"/>
          <w:lang w:val="es-ES"/>
        </w:rPr>
        <w:t>V</w:t>
      </w:r>
      <w:r w:rsidRPr="00285B69">
        <w:rPr>
          <w:rFonts w:ascii="Arial Narrow" w:hAnsi="Arial Narrow"/>
          <w:b w:val="0"/>
          <w:bCs w:val="0"/>
          <w:i w:val="0"/>
          <w:iCs w:val="0"/>
          <w:vanish w:val="0"/>
          <w:color w:val="auto"/>
          <w:sz w:val="22"/>
          <w:szCs w:val="22"/>
          <w:u w:val="none"/>
          <w:lang w:val="es-ES"/>
        </w:rPr>
        <w:t xml:space="preserve">er Anexo </w:t>
      </w:r>
      <w:r w:rsidR="00E45B61">
        <w:rPr>
          <w:rFonts w:ascii="Arial Narrow" w:hAnsi="Arial Narrow"/>
          <w:b w:val="0"/>
          <w:bCs w:val="0"/>
          <w:i w:val="0"/>
          <w:iCs w:val="0"/>
          <w:vanish w:val="0"/>
          <w:color w:val="auto"/>
          <w:sz w:val="22"/>
          <w:szCs w:val="22"/>
          <w:u w:val="none"/>
          <w:lang w:val="es-ES"/>
        </w:rPr>
        <w:t>10</w:t>
      </w:r>
      <w:r w:rsidRPr="00285B69">
        <w:rPr>
          <w:rFonts w:ascii="Arial Narrow" w:hAnsi="Arial Narrow"/>
          <w:b w:val="0"/>
          <w:bCs w:val="0"/>
          <w:i w:val="0"/>
          <w:iCs w:val="0"/>
          <w:vanish w:val="0"/>
          <w:color w:val="auto"/>
          <w:sz w:val="22"/>
          <w:szCs w:val="22"/>
          <w:u w:val="none"/>
          <w:lang w:val="es-ES"/>
        </w:rPr>
        <w:t>).</w:t>
      </w:r>
    </w:p>
    <w:p w:rsidR="007A1377" w:rsidRPr="007514BF" w:rsidRDefault="007A1377" w:rsidP="007A1377">
      <w:pPr>
        <w:pStyle w:val="Textoindependiente"/>
        <w:shd w:val="clear" w:color="auto" w:fill="FFFFFF"/>
        <w:rPr>
          <w:rFonts w:ascii="Arial Narrow" w:hAnsi="Arial Narrow"/>
          <w:b w:val="0"/>
          <w:bCs w:val="0"/>
          <w:i w:val="0"/>
          <w:iCs w:val="0"/>
          <w:vanish w:val="0"/>
          <w:color w:val="000000"/>
          <w:sz w:val="22"/>
          <w:szCs w:val="22"/>
          <w:u w:val="none"/>
          <w:lang w:val="es-ES"/>
        </w:rPr>
      </w:pPr>
    </w:p>
    <w:p w:rsidR="007A1377" w:rsidRPr="007514BF" w:rsidRDefault="007A1377" w:rsidP="007A1377">
      <w:pPr>
        <w:pStyle w:val="Textoindependiente"/>
        <w:rPr>
          <w:rFonts w:ascii="Arial Narrow" w:hAnsi="Arial Narrow"/>
          <w:b w:val="0"/>
          <w:bCs w:val="0"/>
          <w:i w:val="0"/>
          <w:iCs w:val="0"/>
          <w:vanish w:val="0"/>
          <w:color w:val="auto"/>
          <w:sz w:val="22"/>
          <w:szCs w:val="22"/>
          <w:u w:val="none"/>
          <w:lang w:val="es-ES"/>
        </w:rPr>
      </w:pPr>
      <w:r w:rsidRPr="007514BF">
        <w:rPr>
          <w:rFonts w:ascii="Arial Narrow" w:hAnsi="Arial Narrow"/>
          <w:b w:val="0"/>
          <w:bCs w:val="0"/>
          <w:i w:val="0"/>
          <w:iCs w:val="0"/>
          <w:vanish w:val="0"/>
          <w:color w:val="000000"/>
          <w:sz w:val="22"/>
          <w:szCs w:val="22"/>
          <w:u w:val="none"/>
          <w:lang w:val="es-ES"/>
        </w:rPr>
        <w:t xml:space="preserve">En las cuentas Acreedoras de Control – Bienes Recibidos de Terceros </w:t>
      </w:r>
      <w:r>
        <w:rPr>
          <w:rFonts w:ascii="Arial Narrow" w:hAnsi="Arial Narrow"/>
          <w:b w:val="0"/>
          <w:bCs w:val="0"/>
          <w:i w:val="0"/>
          <w:iCs w:val="0"/>
          <w:vanish w:val="0"/>
          <w:color w:val="000000"/>
          <w:sz w:val="22"/>
          <w:szCs w:val="22"/>
          <w:u w:val="none"/>
          <w:lang w:val="es-ES"/>
        </w:rPr>
        <w:t>está</w:t>
      </w:r>
      <w:r w:rsidRPr="007514BF">
        <w:rPr>
          <w:rFonts w:ascii="Arial Narrow" w:hAnsi="Arial Narrow"/>
          <w:b w:val="0"/>
          <w:bCs w:val="0"/>
          <w:i w:val="0"/>
          <w:iCs w:val="0"/>
          <w:vanish w:val="0"/>
          <w:color w:val="000000"/>
          <w:sz w:val="22"/>
          <w:szCs w:val="22"/>
          <w:u w:val="none"/>
          <w:lang w:val="es-ES"/>
        </w:rPr>
        <w:t xml:space="preserve"> registrada a la vigencia 201</w:t>
      </w:r>
      <w:r>
        <w:rPr>
          <w:rFonts w:ascii="Arial Narrow" w:hAnsi="Arial Narrow"/>
          <w:b w:val="0"/>
          <w:bCs w:val="0"/>
          <w:i w:val="0"/>
          <w:iCs w:val="0"/>
          <w:vanish w:val="0"/>
          <w:color w:val="000000"/>
          <w:sz w:val="22"/>
          <w:szCs w:val="22"/>
          <w:u w:val="none"/>
          <w:lang w:val="es-ES"/>
        </w:rPr>
        <w:t>5</w:t>
      </w:r>
      <w:r w:rsidRPr="007514BF">
        <w:rPr>
          <w:rFonts w:ascii="Arial Narrow" w:hAnsi="Arial Narrow"/>
          <w:b w:val="0"/>
          <w:bCs w:val="0"/>
          <w:i w:val="0"/>
          <w:iCs w:val="0"/>
          <w:vanish w:val="0"/>
          <w:color w:val="000000"/>
          <w:sz w:val="22"/>
          <w:szCs w:val="22"/>
          <w:u w:val="none"/>
          <w:lang w:val="es-ES"/>
        </w:rPr>
        <w:t xml:space="preserve"> l</w:t>
      </w:r>
      <w:r w:rsidRPr="007514BF">
        <w:rPr>
          <w:rFonts w:ascii="Arial Narrow" w:hAnsi="Arial Narrow"/>
          <w:b w:val="0"/>
          <w:bCs w:val="0"/>
          <w:i w:val="0"/>
          <w:iCs w:val="0"/>
          <w:vanish w:val="0"/>
          <w:color w:val="auto"/>
          <w:sz w:val="22"/>
          <w:szCs w:val="22"/>
          <w:u w:val="none"/>
          <w:lang w:val="es-ES"/>
        </w:rPr>
        <w:t>a suma de $</w:t>
      </w:r>
      <w:r w:rsidRPr="007514BF">
        <w:t xml:space="preserve"> </w:t>
      </w:r>
      <w:r w:rsidRPr="00B15FAB">
        <w:rPr>
          <w:rFonts w:ascii="Arial Narrow" w:hAnsi="Arial Narrow"/>
          <w:b w:val="0"/>
          <w:bCs w:val="0"/>
          <w:i w:val="0"/>
          <w:iCs w:val="0"/>
          <w:vanish w:val="0"/>
          <w:color w:val="auto"/>
          <w:sz w:val="22"/>
          <w:szCs w:val="22"/>
          <w:u w:val="none"/>
          <w:lang w:val="es-ES"/>
        </w:rPr>
        <w:t>6.593.814.789</w:t>
      </w:r>
      <w:r>
        <w:rPr>
          <w:rFonts w:ascii="Arial Narrow" w:hAnsi="Arial Narrow"/>
          <w:b w:val="0"/>
          <w:bCs w:val="0"/>
          <w:i w:val="0"/>
          <w:iCs w:val="0"/>
          <w:vanish w:val="0"/>
          <w:color w:val="auto"/>
          <w:sz w:val="22"/>
          <w:szCs w:val="22"/>
          <w:u w:val="none"/>
          <w:lang w:val="es-ES"/>
        </w:rPr>
        <w:t xml:space="preserve"> </w:t>
      </w:r>
      <w:r w:rsidRPr="007514BF">
        <w:rPr>
          <w:rFonts w:ascii="Arial Narrow" w:hAnsi="Arial Narrow"/>
          <w:b w:val="0"/>
          <w:bCs w:val="0"/>
          <w:i w:val="0"/>
          <w:iCs w:val="0"/>
          <w:vanish w:val="0"/>
          <w:color w:val="auto"/>
          <w:sz w:val="22"/>
          <w:szCs w:val="22"/>
          <w:u w:val="none"/>
          <w:lang w:val="es-ES"/>
        </w:rPr>
        <w:t>miles que corresponde a:</w:t>
      </w:r>
    </w:p>
    <w:p w:rsidR="007A1377" w:rsidRDefault="007A1377" w:rsidP="007A1377">
      <w:pPr>
        <w:pStyle w:val="Textoindependiente"/>
        <w:rPr>
          <w:rFonts w:ascii="Arial Narrow" w:hAnsi="Arial Narrow"/>
          <w:b w:val="0"/>
          <w:bCs w:val="0"/>
          <w:i w:val="0"/>
          <w:iCs w:val="0"/>
          <w:vanish w:val="0"/>
          <w:color w:val="auto"/>
          <w:sz w:val="22"/>
          <w:szCs w:val="22"/>
          <w:u w:val="none"/>
          <w:lang w:val="es-ES"/>
        </w:rPr>
      </w:pPr>
    </w:p>
    <w:p w:rsidR="007A1377" w:rsidRPr="000B4CE1" w:rsidRDefault="007A1377" w:rsidP="00853B3A">
      <w:pPr>
        <w:pStyle w:val="Textoindependiente"/>
        <w:numPr>
          <w:ilvl w:val="0"/>
          <w:numId w:val="6"/>
        </w:numPr>
        <w:rPr>
          <w:rFonts w:ascii="Arial Narrow" w:hAnsi="Arial Narrow"/>
          <w:b w:val="0"/>
          <w:bCs w:val="0"/>
          <w:i w:val="0"/>
          <w:iCs w:val="0"/>
          <w:vanish w:val="0"/>
          <w:color w:val="auto"/>
          <w:sz w:val="22"/>
          <w:szCs w:val="22"/>
          <w:u w:val="none"/>
          <w:lang w:val="es-ES"/>
        </w:rPr>
      </w:pPr>
      <w:r w:rsidRPr="000B4CE1">
        <w:rPr>
          <w:rFonts w:ascii="Arial Narrow" w:hAnsi="Arial Narrow"/>
          <w:b w:val="0"/>
          <w:bCs w:val="0"/>
          <w:i w:val="0"/>
          <w:iCs w:val="0"/>
          <w:vanish w:val="0"/>
          <w:color w:val="auto"/>
          <w:sz w:val="22"/>
          <w:szCs w:val="22"/>
          <w:u w:val="none"/>
          <w:lang w:val="es-ES"/>
        </w:rPr>
        <w:t>Los bienes de beneficio y uso público que corresponden a la infraestructura Vial, Portuaria</w:t>
      </w:r>
      <w:r w:rsidR="000B4CE1" w:rsidRPr="000B4CE1">
        <w:rPr>
          <w:rFonts w:ascii="Arial Narrow" w:hAnsi="Arial Narrow"/>
          <w:b w:val="0"/>
          <w:bCs w:val="0"/>
          <w:i w:val="0"/>
          <w:iCs w:val="0"/>
          <w:vanish w:val="0"/>
          <w:color w:val="auto"/>
          <w:sz w:val="22"/>
          <w:szCs w:val="22"/>
          <w:u w:val="none"/>
          <w:lang w:val="es-ES"/>
        </w:rPr>
        <w:t>,</w:t>
      </w:r>
      <w:r w:rsidRPr="000B4CE1">
        <w:rPr>
          <w:rFonts w:ascii="Arial Narrow" w:hAnsi="Arial Narrow"/>
          <w:b w:val="0"/>
          <w:bCs w:val="0"/>
          <w:i w:val="0"/>
          <w:iCs w:val="0"/>
          <w:vanish w:val="0"/>
          <w:color w:val="auto"/>
          <w:sz w:val="22"/>
          <w:szCs w:val="22"/>
          <w:u w:val="none"/>
          <w:lang w:val="es-ES"/>
        </w:rPr>
        <w:t xml:space="preserve"> Férrea</w:t>
      </w:r>
      <w:r w:rsidR="000B4CE1" w:rsidRPr="000B4CE1">
        <w:rPr>
          <w:rFonts w:ascii="Arial Narrow" w:hAnsi="Arial Narrow"/>
          <w:b w:val="0"/>
          <w:bCs w:val="0"/>
          <w:i w:val="0"/>
          <w:iCs w:val="0"/>
          <w:vanish w:val="0"/>
          <w:color w:val="auto"/>
          <w:sz w:val="22"/>
          <w:szCs w:val="22"/>
          <w:u w:val="none"/>
          <w:lang w:val="es-ES"/>
        </w:rPr>
        <w:t xml:space="preserve"> y Aeroportuaria</w:t>
      </w:r>
      <w:r w:rsidRPr="000B4CE1">
        <w:rPr>
          <w:rFonts w:ascii="Arial Narrow" w:hAnsi="Arial Narrow"/>
          <w:b w:val="0"/>
          <w:bCs w:val="0"/>
          <w:i w:val="0"/>
          <w:iCs w:val="0"/>
          <w:vanish w:val="0"/>
          <w:color w:val="auto"/>
          <w:sz w:val="22"/>
          <w:szCs w:val="22"/>
          <w:u w:val="none"/>
          <w:lang w:val="es-ES"/>
        </w:rPr>
        <w:t xml:space="preserve"> concesionada que administra la Agencia Nacional de Infraestructura, transferidas por el INVIAS</w:t>
      </w:r>
      <w:r w:rsidR="000B4CE1" w:rsidRPr="000B4CE1">
        <w:rPr>
          <w:rFonts w:ascii="Arial Narrow" w:hAnsi="Arial Narrow"/>
          <w:b w:val="0"/>
          <w:bCs w:val="0"/>
          <w:i w:val="0"/>
          <w:iCs w:val="0"/>
          <w:vanish w:val="0"/>
          <w:color w:val="auto"/>
          <w:sz w:val="22"/>
          <w:szCs w:val="22"/>
          <w:u w:val="none"/>
          <w:lang w:val="es-ES"/>
        </w:rPr>
        <w:t xml:space="preserve"> y la AEROCIVIL</w:t>
      </w:r>
      <w:r w:rsidRPr="000B4CE1">
        <w:rPr>
          <w:rFonts w:ascii="Arial Narrow" w:hAnsi="Arial Narrow"/>
          <w:b w:val="0"/>
          <w:bCs w:val="0"/>
          <w:i w:val="0"/>
          <w:iCs w:val="0"/>
          <w:vanish w:val="0"/>
          <w:color w:val="auto"/>
          <w:sz w:val="22"/>
          <w:szCs w:val="22"/>
          <w:u w:val="none"/>
          <w:lang w:val="es-ES"/>
        </w:rPr>
        <w:t xml:space="preserve"> a la Agencia de acuerdo con los lineamientos establecidos por la Contaduría General de la Nación. Po</w:t>
      </w:r>
      <w:r w:rsidR="000376B6">
        <w:rPr>
          <w:rFonts w:ascii="Arial Narrow" w:hAnsi="Arial Narrow"/>
          <w:b w:val="0"/>
          <w:bCs w:val="0"/>
          <w:i w:val="0"/>
          <w:iCs w:val="0"/>
          <w:vanish w:val="0"/>
          <w:color w:val="auto"/>
          <w:sz w:val="22"/>
          <w:szCs w:val="22"/>
          <w:u w:val="none"/>
          <w:lang w:val="es-ES"/>
        </w:rPr>
        <w:t>r valor de Concesiones Viales $</w:t>
      </w:r>
      <w:r w:rsidRPr="000B4CE1">
        <w:rPr>
          <w:rFonts w:ascii="Arial Narrow" w:hAnsi="Arial Narrow"/>
          <w:b w:val="0"/>
          <w:bCs w:val="0"/>
          <w:i w:val="0"/>
          <w:iCs w:val="0"/>
          <w:vanish w:val="0"/>
          <w:color w:val="auto"/>
          <w:sz w:val="22"/>
          <w:szCs w:val="22"/>
          <w:u w:val="none"/>
          <w:lang w:val="es-ES"/>
        </w:rPr>
        <w:t>2.</w:t>
      </w:r>
      <w:r w:rsidR="00EA45D5" w:rsidRPr="000B4CE1">
        <w:rPr>
          <w:rFonts w:ascii="Arial Narrow" w:hAnsi="Arial Narrow"/>
          <w:b w:val="0"/>
          <w:bCs w:val="0"/>
          <w:i w:val="0"/>
          <w:iCs w:val="0"/>
          <w:vanish w:val="0"/>
          <w:color w:val="auto"/>
          <w:sz w:val="22"/>
          <w:szCs w:val="22"/>
          <w:u w:val="none"/>
          <w:lang w:val="es-ES"/>
        </w:rPr>
        <w:t>03</w:t>
      </w:r>
      <w:r w:rsidR="00BC559A" w:rsidRPr="000B4CE1">
        <w:rPr>
          <w:rFonts w:ascii="Arial Narrow" w:hAnsi="Arial Narrow"/>
          <w:b w:val="0"/>
          <w:bCs w:val="0"/>
          <w:i w:val="0"/>
          <w:iCs w:val="0"/>
          <w:vanish w:val="0"/>
          <w:color w:val="auto"/>
          <w:sz w:val="22"/>
          <w:szCs w:val="22"/>
          <w:u w:val="none"/>
          <w:lang w:val="es-ES"/>
        </w:rPr>
        <w:t>9.760.699</w:t>
      </w:r>
      <w:r w:rsidR="00EA45D5" w:rsidRPr="000B4CE1">
        <w:rPr>
          <w:rFonts w:ascii="Arial Narrow" w:hAnsi="Arial Narrow"/>
          <w:b w:val="0"/>
          <w:bCs w:val="0"/>
          <w:i w:val="0"/>
          <w:iCs w:val="0"/>
          <w:vanish w:val="0"/>
          <w:color w:val="auto"/>
          <w:sz w:val="22"/>
          <w:szCs w:val="22"/>
          <w:u w:val="none"/>
          <w:lang w:val="es-ES"/>
        </w:rPr>
        <w:t>.</w:t>
      </w:r>
      <w:r w:rsidRPr="000B4CE1">
        <w:rPr>
          <w:rFonts w:ascii="Arial Narrow" w:hAnsi="Arial Narrow"/>
          <w:b w:val="0"/>
          <w:bCs w:val="0"/>
          <w:i w:val="0"/>
          <w:iCs w:val="0"/>
          <w:vanish w:val="0"/>
          <w:color w:val="auto"/>
          <w:sz w:val="22"/>
          <w:szCs w:val="22"/>
          <w:u w:val="none"/>
          <w:lang w:val="es-ES"/>
        </w:rPr>
        <w:t xml:space="preserve"> miles, Portuarias $279.796.910 miles, Férreas $81.932.728 miles y Aeroportuarias $4.192.324.453 miles. Estos valores fueron conciliados a 31 de diciembre de 2015 con la AEROCIVIL y el INVIAS, los anteriores valores incluyen Bienes de Beneficio y Uso Público y Propiedad planta y equipo. </w:t>
      </w:r>
    </w:p>
    <w:p w:rsidR="007A1377" w:rsidRPr="00B15FAB" w:rsidRDefault="007A1377" w:rsidP="00853B3A">
      <w:pPr>
        <w:pStyle w:val="Textoindependiente"/>
        <w:numPr>
          <w:ilvl w:val="0"/>
          <w:numId w:val="6"/>
        </w:numPr>
        <w:spacing w:line="480" w:lineRule="auto"/>
        <w:rPr>
          <w:rFonts w:ascii="Arial Narrow" w:hAnsi="Arial Narrow" w:cs="Gisha"/>
        </w:rPr>
      </w:pPr>
      <w:r w:rsidRPr="00B15FAB">
        <w:rPr>
          <w:rFonts w:ascii="Arial Narrow" w:hAnsi="Arial Narrow" w:cs="Gisha"/>
        </w:rPr>
        <w:br w:type="page"/>
      </w:r>
    </w:p>
    <w:p w:rsidR="007A1377" w:rsidRPr="003673ED" w:rsidRDefault="007A1377" w:rsidP="007A1377">
      <w:pPr>
        <w:pStyle w:val="Encabezado"/>
        <w:tabs>
          <w:tab w:val="clear" w:pos="4252"/>
          <w:tab w:val="clear" w:pos="8504"/>
        </w:tabs>
        <w:jc w:val="center"/>
        <w:rPr>
          <w:rFonts w:ascii="Arial Narrow" w:hAnsi="Arial Narrow" w:cs="Gisha"/>
          <w:b/>
          <w:bCs/>
          <w:i/>
          <w:iCs/>
          <w:vanish/>
          <w:color w:val="auto"/>
        </w:rPr>
      </w:pPr>
    </w:p>
    <w:p w:rsidR="007A1377" w:rsidRDefault="007A1377" w:rsidP="00931EAC">
      <w:pPr>
        <w:pStyle w:val="Textoindependiente"/>
        <w:rPr>
          <w:rFonts w:ascii="Arial Narrow" w:hAnsi="Arial Narrow" w:cs="Gisha"/>
          <w:b w:val="0"/>
          <w:i w:val="0"/>
          <w:iCs w:val="0"/>
          <w:vanish w:val="0"/>
          <w:color w:val="000000"/>
          <w:sz w:val="22"/>
          <w:szCs w:val="22"/>
          <w:u w:val="none"/>
        </w:rPr>
      </w:pPr>
    </w:p>
    <w:p w:rsidR="00ED6C1E" w:rsidRPr="005B2A57" w:rsidRDefault="00A6525E" w:rsidP="00ED6C1E">
      <w:pPr>
        <w:pStyle w:val="Encabezado"/>
        <w:tabs>
          <w:tab w:val="left" w:pos="708"/>
        </w:tabs>
        <w:jc w:val="both"/>
        <w:rPr>
          <w:rFonts w:ascii="Arial Narrow" w:hAnsi="Arial Narrow" w:cs="Gisha"/>
          <w:b/>
          <w:sz w:val="22"/>
          <w:szCs w:val="22"/>
        </w:rPr>
      </w:pPr>
      <w:r w:rsidRPr="005B2A57">
        <w:rPr>
          <w:rFonts w:ascii="Arial Narrow" w:hAnsi="Arial Narrow" w:cs="Gisha"/>
          <w:b/>
          <w:sz w:val="22"/>
          <w:szCs w:val="22"/>
        </w:rPr>
        <w:t>NOTA 1</w:t>
      </w:r>
      <w:r w:rsidR="007A4C3F">
        <w:rPr>
          <w:rFonts w:ascii="Arial Narrow" w:hAnsi="Arial Narrow" w:cs="Gisha"/>
          <w:b/>
          <w:sz w:val="22"/>
          <w:szCs w:val="22"/>
        </w:rPr>
        <w:t>5</w:t>
      </w:r>
      <w:r w:rsidRPr="005B2A57">
        <w:rPr>
          <w:rFonts w:ascii="Arial Narrow" w:hAnsi="Arial Narrow" w:cs="Gisha"/>
          <w:b/>
          <w:sz w:val="22"/>
          <w:szCs w:val="22"/>
        </w:rPr>
        <w:t>.</w:t>
      </w:r>
      <w:r w:rsidR="005A0F76" w:rsidRPr="005B2A57">
        <w:rPr>
          <w:rFonts w:ascii="Arial Narrow" w:hAnsi="Arial Narrow" w:cs="Gisha"/>
          <w:b/>
          <w:sz w:val="22"/>
          <w:szCs w:val="22"/>
        </w:rPr>
        <w:t xml:space="preserve"> RESERVAS PRESUPUESTALES Y CUENTAS POR PAGAR DEL 201</w:t>
      </w:r>
      <w:r w:rsidR="00B07C70">
        <w:rPr>
          <w:rFonts w:ascii="Arial Narrow" w:hAnsi="Arial Narrow" w:cs="Gisha"/>
          <w:b/>
          <w:sz w:val="22"/>
          <w:szCs w:val="22"/>
        </w:rPr>
        <w:t>5</w:t>
      </w:r>
    </w:p>
    <w:p w:rsidR="00A6525E" w:rsidRPr="005B2A57" w:rsidRDefault="00A6525E" w:rsidP="00ED6C1E">
      <w:pPr>
        <w:pStyle w:val="Encabezado"/>
        <w:tabs>
          <w:tab w:val="left" w:pos="708"/>
        </w:tabs>
        <w:jc w:val="both"/>
        <w:rPr>
          <w:rFonts w:ascii="Arial Narrow" w:hAnsi="Arial Narrow" w:cs="Gisha"/>
          <w:bCs/>
          <w:color w:val="auto"/>
          <w:sz w:val="16"/>
          <w:szCs w:val="16"/>
          <w:lang w:val="pt-BR"/>
        </w:rPr>
      </w:pPr>
    </w:p>
    <w:p w:rsidR="005A0F76" w:rsidRDefault="005A0F76" w:rsidP="005A0F76">
      <w:pPr>
        <w:jc w:val="both"/>
        <w:rPr>
          <w:rFonts w:ascii="Arial Narrow" w:hAnsi="Arial Narrow" w:cs="Gisha"/>
          <w:sz w:val="22"/>
          <w:szCs w:val="22"/>
          <w:lang w:val="es-ES_tradnl"/>
        </w:rPr>
      </w:pPr>
      <w:r w:rsidRPr="005B2A57">
        <w:rPr>
          <w:rFonts w:ascii="Arial Narrow" w:hAnsi="Arial Narrow" w:cs="Gisha"/>
          <w:sz w:val="22"/>
          <w:szCs w:val="22"/>
          <w:lang w:val="es-ES_tradnl"/>
        </w:rPr>
        <w:t>De la vigencia 201</w:t>
      </w:r>
      <w:r w:rsidR="007A4C3F">
        <w:rPr>
          <w:rFonts w:ascii="Arial Narrow" w:hAnsi="Arial Narrow" w:cs="Gisha"/>
          <w:sz w:val="22"/>
          <w:szCs w:val="22"/>
          <w:lang w:val="es-ES_tradnl"/>
        </w:rPr>
        <w:t>5</w:t>
      </w:r>
      <w:r w:rsidRPr="005B2A57">
        <w:rPr>
          <w:rFonts w:ascii="Arial Narrow" w:hAnsi="Arial Narrow" w:cs="Gisha"/>
          <w:sz w:val="22"/>
          <w:szCs w:val="22"/>
          <w:lang w:val="es-ES_tradnl"/>
        </w:rPr>
        <w:t xml:space="preserve"> a diciembre 31 se constituyeron Reservas Presupuestales y Cuentas por pagar así:</w:t>
      </w:r>
    </w:p>
    <w:tbl>
      <w:tblPr>
        <w:tblW w:w="8964" w:type="dxa"/>
        <w:tblInd w:w="567" w:type="dxa"/>
        <w:tblCellMar>
          <w:left w:w="70" w:type="dxa"/>
          <w:right w:w="70" w:type="dxa"/>
        </w:tblCellMar>
        <w:tblLook w:val="04A0" w:firstRow="1" w:lastRow="0" w:firstColumn="1" w:lastColumn="0" w:noHBand="0" w:noVBand="1"/>
      </w:tblPr>
      <w:tblGrid>
        <w:gridCol w:w="3165"/>
        <w:gridCol w:w="1225"/>
        <w:gridCol w:w="2491"/>
        <w:gridCol w:w="2083"/>
      </w:tblGrid>
      <w:tr w:rsidR="000752BD" w:rsidTr="00285B69">
        <w:trPr>
          <w:trHeight w:val="275"/>
        </w:trPr>
        <w:tc>
          <w:tcPr>
            <w:tcW w:w="3165" w:type="dxa"/>
            <w:tcBorders>
              <w:top w:val="nil"/>
              <w:left w:val="nil"/>
              <w:bottom w:val="nil"/>
              <w:right w:val="nil"/>
            </w:tcBorders>
            <w:shd w:val="clear" w:color="000000" w:fill="FFFFFF"/>
            <w:noWrap/>
            <w:vAlign w:val="bottom"/>
            <w:hideMark/>
          </w:tcPr>
          <w:p w:rsidR="000752BD" w:rsidRDefault="000752BD">
            <w:pPr>
              <w:rPr>
                <w:rFonts w:ascii="Arial" w:hAnsi="Arial" w:cs="Arial"/>
                <w:color w:val="000000"/>
                <w:sz w:val="20"/>
                <w:szCs w:val="20"/>
                <w:lang w:val="es-MX" w:eastAsia="es-MX"/>
              </w:rPr>
            </w:pPr>
            <w:r>
              <w:rPr>
                <w:rFonts w:ascii="Arial" w:hAnsi="Arial" w:cs="Arial"/>
                <w:color w:val="000000"/>
                <w:sz w:val="20"/>
                <w:szCs w:val="20"/>
              </w:rPr>
              <w:t> </w:t>
            </w:r>
          </w:p>
        </w:tc>
        <w:tc>
          <w:tcPr>
            <w:tcW w:w="1225" w:type="dxa"/>
            <w:tcBorders>
              <w:top w:val="nil"/>
              <w:left w:val="nil"/>
              <w:bottom w:val="nil"/>
              <w:right w:val="nil"/>
            </w:tcBorders>
            <w:shd w:val="clear" w:color="000000" w:fill="FFFFFF"/>
            <w:noWrap/>
            <w:vAlign w:val="bottom"/>
            <w:hideMark/>
          </w:tcPr>
          <w:p w:rsidR="000752BD" w:rsidRDefault="000752BD">
            <w:pPr>
              <w:rPr>
                <w:rFonts w:ascii="Arial" w:hAnsi="Arial" w:cs="Arial"/>
                <w:color w:val="000000"/>
                <w:sz w:val="20"/>
                <w:szCs w:val="20"/>
              </w:rPr>
            </w:pPr>
            <w:r>
              <w:rPr>
                <w:rFonts w:ascii="Arial" w:hAnsi="Arial" w:cs="Arial"/>
                <w:color w:val="000000"/>
                <w:sz w:val="20"/>
                <w:szCs w:val="20"/>
              </w:rPr>
              <w:t> </w:t>
            </w:r>
          </w:p>
        </w:tc>
        <w:tc>
          <w:tcPr>
            <w:tcW w:w="2491" w:type="dxa"/>
            <w:tcBorders>
              <w:top w:val="nil"/>
              <w:left w:val="nil"/>
              <w:bottom w:val="nil"/>
              <w:right w:val="nil"/>
            </w:tcBorders>
            <w:shd w:val="clear" w:color="000000" w:fill="FFFFFF"/>
            <w:noWrap/>
            <w:vAlign w:val="bottom"/>
            <w:hideMark/>
          </w:tcPr>
          <w:p w:rsidR="000752BD" w:rsidRDefault="000752BD">
            <w:pPr>
              <w:rPr>
                <w:rFonts w:ascii="Arial" w:hAnsi="Arial" w:cs="Arial"/>
                <w:color w:val="000000"/>
                <w:sz w:val="20"/>
                <w:szCs w:val="20"/>
              </w:rPr>
            </w:pPr>
            <w:r>
              <w:rPr>
                <w:rFonts w:ascii="Arial" w:hAnsi="Arial" w:cs="Arial"/>
                <w:color w:val="000000"/>
                <w:sz w:val="20"/>
                <w:szCs w:val="20"/>
              </w:rPr>
              <w:t> </w:t>
            </w:r>
          </w:p>
        </w:tc>
        <w:tc>
          <w:tcPr>
            <w:tcW w:w="2082" w:type="dxa"/>
            <w:tcBorders>
              <w:top w:val="nil"/>
              <w:left w:val="nil"/>
              <w:bottom w:val="nil"/>
              <w:right w:val="nil"/>
            </w:tcBorders>
            <w:shd w:val="clear" w:color="000000" w:fill="FFFFFF"/>
            <w:noWrap/>
            <w:vAlign w:val="bottom"/>
            <w:hideMark/>
          </w:tcPr>
          <w:p w:rsidR="000752BD" w:rsidRDefault="000752BD">
            <w:pPr>
              <w:rPr>
                <w:rFonts w:ascii="Arial" w:hAnsi="Arial" w:cs="Arial"/>
                <w:color w:val="000000"/>
                <w:sz w:val="20"/>
                <w:szCs w:val="20"/>
              </w:rPr>
            </w:pPr>
            <w:r>
              <w:rPr>
                <w:rFonts w:ascii="Arial" w:hAnsi="Arial" w:cs="Arial"/>
                <w:color w:val="000000"/>
                <w:sz w:val="20"/>
                <w:szCs w:val="20"/>
              </w:rPr>
              <w:t> </w:t>
            </w:r>
          </w:p>
        </w:tc>
      </w:tr>
      <w:tr w:rsidR="000752BD" w:rsidTr="00285B69">
        <w:trPr>
          <w:trHeight w:val="489"/>
        </w:trPr>
        <w:tc>
          <w:tcPr>
            <w:tcW w:w="8964" w:type="dxa"/>
            <w:gridSpan w:val="4"/>
            <w:tcBorders>
              <w:top w:val="double" w:sz="6" w:space="0" w:color="auto"/>
              <w:left w:val="double" w:sz="6" w:space="0" w:color="auto"/>
              <w:bottom w:val="nil"/>
              <w:right w:val="double" w:sz="6" w:space="0" w:color="auto"/>
            </w:tcBorders>
            <w:shd w:val="clear" w:color="000000" w:fill="FFFFFF"/>
            <w:noWrap/>
            <w:vAlign w:val="center"/>
            <w:hideMark/>
          </w:tcPr>
          <w:p w:rsidR="000752BD" w:rsidRDefault="000752BD">
            <w:pPr>
              <w:jc w:val="center"/>
              <w:rPr>
                <w:rFonts w:ascii="Arial" w:hAnsi="Arial" w:cs="Arial"/>
                <w:b/>
                <w:bCs/>
                <w:sz w:val="20"/>
                <w:szCs w:val="20"/>
              </w:rPr>
            </w:pPr>
            <w:r>
              <w:rPr>
                <w:rFonts w:ascii="Arial" w:hAnsi="Arial" w:cs="Arial"/>
                <w:b/>
                <w:bCs/>
                <w:sz w:val="20"/>
                <w:szCs w:val="20"/>
              </w:rPr>
              <w:t>RESUMEN RESERVAS 2015</w:t>
            </w:r>
          </w:p>
        </w:tc>
      </w:tr>
      <w:tr w:rsidR="000752BD" w:rsidTr="00285B69">
        <w:trPr>
          <w:trHeight w:val="137"/>
        </w:trPr>
        <w:tc>
          <w:tcPr>
            <w:tcW w:w="3165" w:type="dxa"/>
            <w:tcBorders>
              <w:top w:val="double" w:sz="6" w:space="0" w:color="auto"/>
              <w:left w:val="double" w:sz="6" w:space="0" w:color="auto"/>
              <w:bottom w:val="nil"/>
              <w:right w:val="nil"/>
            </w:tcBorders>
            <w:shd w:val="clear" w:color="000000" w:fill="FFFFFF"/>
            <w:noWrap/>
            <w:vAlign w:val="center"/>
            <w:hideMark/>
          </w:tcPr>
          <w:p w:rsidR="000752BD" w:rsidRDefault="000752BD">
            <w:pPr>
              <w:jc w:val="center"/>
              <w:rPr>
                <w:rFonts w:ascii="Arial" w:hAnsi="Arial" w:cs="Arial"/>
                <w:b/>
                <w:bCs/>
                <w:sz w:val="20"/>
                <w:szCs w:val="20"/>
              </w:rPr>
            </w:pPr>
            <w:r>
              <w:rPr>
                <w:rFonts w:ascii="Arial" w:hAnsi="Arial" w:cs="Arial"/>
                <w:b/>
                <w:bCs/>
                <w:sz w:val="20"/>
                <w:szCs w:val="20"/>
              </w:rPr>
              <w:t> </w:t>
            </w:r>
          </w:p>
        </w:tc>
        <w:tc>
          <w:tcPr>
            <w:tcW w:w="1225" w:type="dxa"/>
            <w:tcBorders>
              <w:top w:val="double" w:sz="6" w:space="0" w:color="auto"/>
              <w:left w:val="nil"/>
              <w:bottom w:val="nil"/>
              <w:right w:val="nil"/>
            </w:tcBorders>
            <w:shd w:val="clear" w:color="000000" w:fill="FFFFFF"/>
            <w:noWrap/>
            <w:vAlign w:val="center"/>
            <w:hideMark/>
          </w:tcPr>
          <w:p w:rsidR="000752BD" w:rsidRDefault="000752BD">
            <w:pPr>
              <w:jc w:val="center"/>
              <w:rPr>
                <w:rFonts w:ascii="Arial" w:hAnsi="Arial" w:cs="Arial"/>
                <w:b/>
                <w:bCs/>
                <w:sz w:val="20"/>
                <w:szCs w:val="20"/>
              </w:rPr>
            </w:pPr>
            <w:r>
              <w:rPr>
                <w:rFonts w:ascii="Arial" w:hAnsi="Arial" w:cs="Arial"/>
                <w:b/>
                <w:bCs/>
                <w:sz w:val="20"/>
                <w:szCs w:val="20"/>
              </w:rPr>
              <w:t> </w:t>
            </w:r>
          </w:p>
        </w:tc>
        <w:tc>
          <w:tcPr>
            <w:tcW w:w="2491" w:type="dxa"/>
            <w:tcBorders>
              <w:top w:val="double" w:sz="6" w:space="0" w:color="auto"/>
              <w:left w:val="double" w:sz="6" w:space="0" w:color="auto"/>
              <w:bottom w:val="nil"/>
              <w:right w:val="double" w:sz="6" w:space="0" w:color="auto"/>
            </w:tcBorders>
            <w:shd w:val="clear" w:color="000000" w:fill="FFFFFF"/>
            <w:noWrap/>
            <w:vAlign w:val="center"/>
            <w:hideMark/>
          </w:tcPr>
          <w:p w:rsidR="000752BD" w:rsidRDefault="000752BD">
            <w:pPr>
              <w:jc w:val="center"/>
              <w:rPr>
                <w:rFonts w:ascii="Arial" w:hAnsi="Arial" w:cs="Arial"/>
                <w:b/>
                <w:bCs/>
                <w:sz w:val="20"/>
                <w:szCs w:val="20"/>
              </w:rPr>
            </w:pPr>
            <w:r>
              <w:rPr>
                <w:rFonts w:ascii="Arial" w:hAnsi="Arial" w:cs="Arial"/>
                <w:b/>
                <w:bCs/>
                <w:sz w:val="20"/>
                <w:szCs w:val="20"/>
              </w:rPr>
              <w:t> </w:t>
            </w:r>
          </w:p>
        </w:tc>
        <w:tc>
          <w:tcPr>
            <w:tcW w:w="2082" w:type="dxa"/>
            <w:tcBorders>
              <w:top w:val="double" w:sz="6" w:space="0" w:color="auto"/>
              <w:left w:val="nil"/>
              <w:bottom w:val="nil"/>
              <w:right w:val="double" w:sz="6" w:space="0" w:color="auto"/>
            </w:tcBorders>
            <w:shd w:val="clear" w:color="000000" w:fill="FFFFFF"/>
            <w:noWrap/>
            <w:vAlign w:val="center"/>
            <w:hideMark/>
          </w:tcPr>
          <w:p w:rsidR="000752BD" w:rsidRDefault="000752BD">
            <w:pPr>
              <w:jc w:val="center"/>
              <w:rPr>
                <w:rFonts w:ascii="Arial" w:hAnsi="Arial" w:cs="Arial"/>
                <w:b/>
                <w:bCs/>
                <w:sz w:val="20"/>
                <w:szCs w:val="20"/>
              </w:rPr>
            </w:pPr>
            <w:r>
              <w:rPr>
                <w:rFonts w:ascii="Arial" w:hAnsi="Arial" w:cs="Arial"/>
                <w:b/>
                <w:bCs/>
                <w:sz w:val="20"/>
                <w:szCs w:val="20"/>
              </w:rPr>
              <w:t> </w:t>
            </w:r>
          </w:p>
        </w:tc>
      </w:tr>
      <w:tr w:rsidR="000752BD" w:rsidTr="00285B69">
        <w:trPr>
          <w:trHeight w:val="259"/>
        </w:trPr>
        <w:tc>
          <w:tcPr>
            <w:tcW w:w="4390" w:type="dxa"/>
            <w:gridSpan w:val="2"/>
            <w:tcBorders>
              <w:top w:val="nil"/>
              <w:left w:val="double" w:sz="6" w:space="0" w:color="auto"/>
              <w:bottom w:val="nil"/>
              <w:right w:val="nil"/>
            </w:tcBorders>
            <w:shd w:val="clear" w:color="000000" w:fill="FFFFFF"/>
            <w:noWrap/>
            <w:vAlign w:val="center"/>
            <w:hideMark/>
          </w:tcPr>
          <w:p w:rsidR="000752BD" w:rsidRDefault="000752BD">
            <w:pPr>
              <w:rPr>
                <w:rFonts w:ascii="Arial" w:hAnsi="Arial" w:cs="Arial"/>
                <w:sz w:val="20"/>
                <w:szCs w:val="20"/>
              </w:rPr>
            </w:pPr>
            <w:r>
              <w:rPr>
                <w:rFonts w:ascii="Arial" w:hAnsi="Arial" w:cs="Arial"/>
                <w:sz w:val="20"/>
                <w:szCs w:val="20"/>
              </w:rPr>
              <w:t>GASTOS DE PERSONAL</w:t>
            </w:r>
          </w:p>
        </w:tc>
        <w:tc>
          <w:tcPr>
            <w:tcW w:w="2491" w:type="dxa"/>
            <w:tcBorders>
              <w:top w:val="nil"/>
              <w:left w:val="double" w:sz="6" w:space="0" w:color="auto"/>
              <w:bottom w:val="nil"/>
              <w:right w:val="double" w:sz="6" w:space="0" w:color="auto"/>
            </w:tcBorders>
            <w:shd w:val="clear" w:color="000000" w:fill="FFFFFF"/>
            <w:noWrap/>
            <w:vAlign w:val="center"/>
            <w:hideMark/>
          </w:tcPr>
          <w:p w:rsidR="000752BD" w:rsidRDefault="000752BD">
            <w:pPr>
              <w:rPr>
                <w:rFonts w:ascii="Arial" w:hAnsi="Arial" w:cs="Arial"/>
                <w:sz w:val="20"/>
                <w:szCs w:val="20"/>
              </w:rPr>
            </w:pPr>
            <w:r>
              <w:rPr>
                <w:rFonts w:ascii="Arial" w:hAnsi="Arial" w:cs="Arial"/>
                <w:sz w:val="20"/>
                <w:szCs w:val="20"/>
              </w:rPr>
              <w:t>RECURSOS PROPIOS</w:t>
            </w:r>
          </w:p>
        </w:tc>
        <w:tc>
          <w:tcPr>
            <w:tcW w:w="2082" w:type="dxa"/>
            <w:tcBorders>
              <w:top w:val="nil"/>
              <w:left w:val="nil"/>
              <w:bottom w:val="nil"/>
              <w:right w:val="double" w:sz="6" w:space="0" w:color="auto"/>
            </w:tcBorders>
            <w:shd w:val="clear" w:color="000000" w:fill="FFFFFF"/>
            <w:noWrap/>
            <w:vAlign w:val="center"/>
            <w:hideMark/>
          </w:tcPr>
          <w:p w:rsidR="000752BD" w:rsidRDefault="000752BD">
            <w:pPr>
              <w:rPr>
                <w:rFonts w:ascii="Arial" w:hAnsi="Arial" w:cs="Arial"/>
                <w:sz w:val="20"/>
                <w:szCs w:val="20"/>
              </w:rPr>
            </w:pPr>
            <w:r>
              <w:rPr>
                <w:rFonts w:ascii="Arial" w:hAnsi="Arial" w:cs="Arial"/>
                <w:sz w:val="20"/>
                <w:szCs w:val="20"/>
              </w:rPr>
              <w:t xml:space="preserve">              648,086,200 </w:t>
            </w:r>
          </w:p>
        </w:tc>
      </w:tr>
      <w:tr w:rsidR="000752BD" w:rsidTr="00285B69">
        <w:trPr>
          <w:trHeight w:val="259"/>
        </w:trPr>
        <w:tc>
          <w:tcPr>
            <w:tcW w:w="4390" w:type="dxa"/>
            <w:gridSpan w:val="2"/>
            <w:tcBorders>
              <w:top w:val="nil"/>
              <w:left w:val="double" w:sz="6" w:space="0" w:color="auto"/>
              <w:bottom w:val="nil"/>
              <w:right w:val="nil"/>
            </w:tcBorders>
            <w:shd w:val="clear" w:color="000000" w:fill="FFFFFF"/>
            <w:noWrap/>
            <w:vAlign w:val="center"/>
            <w:hideMark/>
          </w:tcPr>
          <w:p w:rsidR="000752BD" w:rsidRDefault="000752BD">
            <w:pPr>
              <w:rPr>
                <w:rFonts w:ascii="Arial" w:hAnsi="Arial" w:cs="Arial"/>
                <w:sz w:val="20"/>
                <w:szCs w:val="20"/>
              </w:rPr>
            </w:pPr>
            <w:r>
              <w:rPr>
                <w:rFonts w:ascii="Arial" w:hAnsi="Arial" w:cs="Arial"/>
                <w:sz w:val="20"/>
                <w:szCs w:val="20"/>
              </w:rPr>
              <w:t>GASTOS GENERALES</w:t>
            </w:r>
          </w:p>
        </w:tc>
        <w:tc>
          <w:tcPr>
            <w:tcW w:w="2491" w:type="dxa"/>
            <w:tcBorders>
              <w:top w:val="nil"/>
              <w:left w:val="double" w:sz="6" w:space="0" w:color="auto"/>
              <w:bottom w:val="nil"/>
              <w:right w:val="double" w:sz="6" w:space="0" w:color="auto"/>
            </w:tcBorders>
            <w:shd w:val="clear" w:color="000000" w:fill="FFFFFF"/>
            <w:noWrap/>
            <w:vAlign w:val="center"/>
            <w:hideMark/>
          </w:tcPr>
          <w:p w:rsidR="000752BD" w:rsidRDefault="000752BD">
            <w:pPr>
              <w:rPr>
                <w:rFonts w:ascii="Arial" w:hAnsi="Arial" w:cs="Arial"/>
                <w:sz w:val="20"/>
                <w:szCs w:val="20"/>
              </w:rPr>
            </w:pPr>
            <w:r>
              <w:rPr>
                <w:rFonts w:ascii="Arial" w:hAnsi="Arial" w:cs="Arial"/>
                <w:sz w:val="20"/>
                <w:szCs w:val="20"/>
              </w:rPr>
              <w:t>RECURSOS PROPIOS</w:t>
            </w:r>
          </w:p>
        </w:tc>
        <w:tc>
          <w:tcPr>
            <w:tcW w:w="2082" w:type="dxa"/>
            <w:tcBorders>
              <w:top w:val="nil"/>
              <w:left w:val="nil"/>
              <w:bottom w:val="nil"/>
              <w:right w:val="double" w:sz="6" w:space="0" w:color="auto"/>
            </w:tcBorders>
            <w:shd w:val="clear" w:color="000000" w:fill="FFFFFF"/>
            <w:noWrap/>
            <w:vAlign w:val="center"/>
            <w:hideMark/>
          </w:tcPr>
          <w:p w:rsidR="000752BD" w:rsidRDefault="000752BD">
            <w:pPr>
              <w:rPr>
                <w:rFonts w:ascii="Arial" w:hAnsi="Arial" w:cs="Arial"/>
                <w:sz w:val="20"/>
                <w:szCs w:val="20"/>
              </w:rPr>
            </w:pPr>
            <w:r>
              <w:rPr>
                <w:rFonts w:ascii="Arial" w:hAnsi="Arial" w:cs="Arial"/>
                <w:sz w:val="20"/>
                <w:szCs w:val="20"/>
              </w:rPr>
              <w:t xml:space="preserve">               11,216,410 </w:t>
            </w:r>
          </w:p>
        </w:tc>
      </w:tr>
      <w:tr w:rsidR="000752BD" w:rsidTr="00285B69">
        <w:trPr>
          <w:trHeight w:val="259"/>
        </w:trPr>
        <w:tc>
          <w:tcPr>
            <w:tcW w:w="4390" w:type="dxa"/>
            <w:gridSpan w:val="2"/>
            <w:tcBorders>
              <w:top w:val="nil"/>
              <w:left w:val="double" w:sz="6" w:space="0" w:color="auto"/>
              <w:bottom w:val="nil"/>
              <w:right w:val="nil"/>
            </w:tcBorders>
            <w:shd w:val="clear" w:color="000000" w:fill="FFFFFF"/>
            <w:noWrap/>
            <w:vAlign w:val="center"/>
            <w:hideMark/>
          </w:tcPr>
          <w:p w:rsidR="000752BD" w:rsidRDefault="000752BD">
            <w:pPr>
              <w:rPr>
                <w:rFonts w:ascii="Arial" w:hAnsi="Arial" w:cs="Arial"/>
                <w:sz w:val="20"/>
                <w:szCs w:val="20"/>
              </w:rPr>
            </w:pPr>
            <w:r>
              <w:rPr>
                <w:rFonts w:ascii="Arial" w:hAnsi="Arial" w:cs="Arial"/>
                <w:sz w:val="20"/>
                <w:szCs w:val="20"/>
              </w:rPr>
              <w:t>TRANSFERENCIAS</w:t>
            </w:r>
          </w:p>
        </w:tc>
        <w:tc>
          <w:tcPr>
            <w:tcW w:w="2491" w:type="dxa"/>
            <w:tcBorders>
              <w:top w:val="nil"/>
              <w:left w:val="double" w:sz="6" w:space="0" w:color="auto"/>
              <w:bottom w:val="nil"/>
              <w:right w:val="double" w:sz="6" w:space="0" w:color="auto"/>
            </w:tcBorders>
            <w:shd w:val="clear" w:color="000000" w:fill="FFFFFF"/>
            <w:noWrap/>
            <w:vAlign w:val="center"/>
            <w:hideMark/>
          </w:tcPr>
          <w:p w:rsidR="000752BD" w:rsidRDefault="000752BD">
            <w:pPr>
              <w:rPr>
                <w:rFonts w:ascii="Arial" w:hAnsi="Arial" w:cs="Arial"/>
                <w:sz w:val="20"/>
                <w:szCs w:val="20"/>
              </w:rPr>
            </w:pPr>
            <w:r>
              <w:rPr>
                <w:rFonts w:ascii="Arial" w:hAnsi="Arial" w:cs="Arial"/>
                <w:sz w:val="20"/>
                <w:szCs w:val="20"/>
              </w:rPr>
              <w:t>APORTES NACIÓN</w:t>
            </w:r>
          </w:p>
        </w:tc>
        <w:tc>
          <w:tcPr>
            <w:tcW w:w="2082" w:type="dxa"/>
            <w:tcBorders>
              <w:top w:val="nil"/>
              <w:left w:val="nil"/>
              <w:bottom w:val="nil"/>
              <w:right w:val="double" w:sz="6" w:space="0" w:color="auto"/>
            </w:tcBorders>
            <w:shd w:val="clear" w:color="000000" w:fill="FFFFFF"/>
            <w:noWrap/>
            <w:vAlign w:val="center"/>
            <w:hideMark/>
          </w:tcPr>
          <w:p w:rsidR="000752BD" w:rsidRDefault="000752BD">
            <w:pPr>
              <w:rPr>
                <w:rFonts w:ascii="Arial" w:hAnsi="Arial" w:cs="Arial"/>
                <w:sz w:val="20"/>
                <w:szCs w:val="20"/>
              </w:rPr>
            </w:pPr>
            <w:r>
              <w:rPr>
                <w:rFonts w:ascii="Arial" w:hAnsi="Arial" w:cs="Arial"/>
                <w:sz w:val="20"/>
                <w:szCs w:val="20"/>
              </w:rPr>
              <w:t xml:space="preserve">              540,543,143 </w:t>
            </w:r>
          </w:p>
        </w:tc>
      </w:tr>
      <w:tr w:rsidR="000752BD" w:rsidTr="00285B69">
        <w:trPr>
          <w:trHeight w:val="137"/>
        </w:trPr>
        <w:tc>
          <w:tcPr>
            <w:tcW w:w="3165" w:type="dxa"/>
            <w:tcBorders>
              <w:top w:val="nil"/>
              <w:left w:val="double" w:sz="6" w:space="0" w:color="auto"/>
              <w:bottom w:val="double" w:sz="6" w:space="0" w:color="auto"/>
              <w:right w:val="nil"/>
            </w:tcBorders>
            <w:shd w:val="clear" w:color="000000" w:fill="FFFFFF"/>
            <w:noWrap/>
            <w:vAlign w:val="center"/>
            <w:hideMark/>
          </w:tcPr>
          <w:p w:rsidR="000752BD" w:rsidRDefault="000752BD">
            <w:pPr>
              <w:rPr>
                <w:rFonts w:ascii="Arial" w:hAnsi="Arial" w:cs="Arial"/>
                <w:sz w:val="20"/>
                <w:szCs w:val="20"/>
              </w:rPr>
            </w:pPr>
            <w:r>
              <w:rPr>
                <w:rFonts w:ascii="Arial" w:hAnsi="Arial" w:cs="Arial"/>
                <w:sz w:val="20"/>
                <w:szCs w:val="20"/>
              </w:rPr>
              <w:t> </w:t>
            </w:r>
          </w:p>
        </w:tc>
        <w:tc>
          <w:tcPr>
            <w:tcW w:w="1225" w:type="dxa"/>
            <w:tcBorders>
              <w:top w:val="nil"/>
              <w:left w:val="nil"/>
              <w:bottom w:val="double" w:sz="6" w:space="0" w:color="auto"/>
              <w:right w:val="nil"/>
            </w:tcBorders>
            <w:shd w:val="clear" w:color="000000" w:fill="FFFFFF"/>
            <w:noWrap/>
            <w:vAlign w:val="center"/>
            <w:hideMark/>
          </w:tcPr>
          <w:p w:rsidR="000752BD" w:rsidRDefault="000752BD">
            <w:pPr>
              <w:rPr>
                <w:rFonts w:ascii="Arial" w:hAnsi="Arial" w:cs="Arial"/>
                <w:sz w:val="20"/>
                <w:szCs w:val="20"/>
              </w:rPr>
            </w:pPr>
            <w:r>
              <w:rPr>
                <w:rFonts w:ascii="Arial" w:hAnsi="Arial" w:cs="Arial"/>
                <w:sz w:val="20"/>
                <w:szCs w:val="20"/>
              </w:rPr>
              <w:t> </w:t>
            </w:r>
          </w:p>
        </w:tc>
        <w:tc>
          <w:tcPr>
            <w:tcW w:w="2491" w:type="dxa"/>
            <w:tcBorders>
              <w:top w:val="nil"/>
              <w:left w:val="double" w:sz="6" w:space="0" w:color="auto"/>
              <w:bottom w:val="double" w:sz="6" w:space="0" w:color="auto"/>
              <w:right w:val="double" w:sz="6" w:space="0" w:color="auto"/>
            </w:tcBorders>
            <w:shd w:val="clear" w:color="000000" w:fill="FFFFFF"/>
            <w:noWrap/>
            <w:vAlign w:val="center"/>
            <w:hideMark/>
          </w:tcPr>
          <w:p w:rsidR="000752BD" w:rsidRDefault="000752BD">
            <w:pPr>
              <w:rPr>
                <w:rFonts w:ascii="Arial" w:hAnsi="Arial" w:cs="Arial"/>
                <w:sz w:val="20"/>
                <w:szCs w:val="20"/>
              </w:rPr>
            </w:pPr>
            <w:r>
              <w:rPr>
                <w:rFonts w:ascii="Arial" w:hAnsi="Arial" w:cs="Arial"/>
                <w:sz w:val="20"/>
                <w:szCs w:val="20"/>
              </w:rPr>
              <w:t> </w:t>
            </w:r>
          </w:p>
        </w:tc>
        <w:tc>
          <w:tcPr>
            <w:tcW w:w="2082" w:type="dxa"/>
            <w:tcBorders>
              <w:top w:val="nil"/>
              <w:left w:val="nil"/>
              <w:bottom w:val="double" w:sz="6" w:space="0" w:color="auto"/>
              <w:right w:val="double" w:sz="6" w:space="0" w:color="auto"/>
            </w:tcBorders>
            <w:shd w:val="clear" w:color="000000" w:fill="FFFFFF"/>
            <w:noWrap/>
            <w:vAlign w:val="center"/>
            <w:hideMark/>
          </w:tcPr>
          <w:p w:rsidR="000752BD" w:rsidRDefault="000752BD">
            <w:pPr>
              <w:rPr>
                <w:rFonts w:ascii="Arial" w:hAnsi="Arial" w:cs="Arial"/>
                <w:sz w:val="20"/>
                <w:szCs w:val="20"/>
              </w:rPr>
            </w:pPr>
            <w:r>
              <w:rPr>
                <w:rFonts w:ascii="Arial" w:hAnsi="Arial" w:cs="Arial"/>
                <w:sz w:val="20"/>
                <w:szCs w:val="20"/>
              </w:rPr>
              <w:t> </w:t>
            </w:r>
          </w:p>
        </w:tc>
      </w:tr>
      <w:tr w:rsidR="000752BD" w:rsidTr="00285B69">
        <w:trPr>
          <w:trHeight w:val="290"/>
        </w:trPr>
        <w:tc>
          <w:tcPr>
            <w:tcW w:w="6881" w:type="dxa"/>
            <w:gridSpan w:val="3"/>
            <w:tcBorders>
              <w:top w:val="nil"/>
              <w:left w:val="double" w:sz="6" w:space="0" w:color="auto"/>
              <w:bottom w:val="nil"/>
              <w:right w:val="double" w:sz="6" w:space="0" w:color="auto"/>
            </w:tcBorders>
            <w:shd w:val="clear" w:color="000000" w:fill="FFFFFF"/>
            <w:noWrap/>
            <w:vAlign w:val="center"/>
            <w:hideMark/>
          </w:tcPr>
          <w:p w:rsidR="000752BD" w:rsidRDefault="000752BD">
            <w:pPr>
              <w:rPr>
                <w:rFonts w:ascii="Arial" w:hAnsi="Arial" w:cs="Arial"/>
                <w:b/>
                <w:bCs/>
                <w:sz w:val="20"/>
                <w:szCs w:val="20"/>
              </w:rPr>
            </w:pPr>
            <w:r>
              <w:rPr>
                <w:rFonts w:ascii="Arial" w:hAnsi="Arial" w:cs="Arial"/>
                <w:b/>
                <w:bCs/>
                <w:sz w:val="20"/>
                <w:szCs w:val="20"/>
              </w:rPr>
              <w:t>TOTAL GASTOS DE FUNCIONAMIENTO</w:t>
            </w:r>
          </w:p>
        </w:tc>
        <w:tc>
          <w:tcPr>
            <w:tcW w:w="2082" w:type="dxa"/>
            <w:tcBorders>
              <w:top w:val="nil"/>
              <w:left w:val="nil"/>
              <w:bottom w:val="nil"/>
              <w:right w:val="double" w:sz="6" w:space="0" w:color="auto"/>
            </w:tcBorders>
            <w:shd w:val="clear" w:color="000000" w:fill="FFFFFF"/>
            <w:noWrap/>
            <w:vAlign w:val="center"/>
            <w:hideMark/>
          </w:tcPr>
          <w:p w:rsidR="000752BD" w:rsidRDefault="000752BD">
            <w:pPr>
              <w:rPr>
                <w:rFonts w:ascii="Arial" w:hAnsi="Arial" w:cs="Arial"/>
                <w:b/>
                <w:bCs/>
                <w:sz w:val="20"/>
                <w:szCs w:val="20"/>
              </w:rPr>
            </w:pPr>
            <w:r>
              <w:rPr>
                <w:rFonts w:ascii="Arial" w:hAnsi="Arial" w:cs="Arial"/>
                <w:b/>
                <w:bCs/>
                <w:sz w:val="20"/>
                <w:szCs w:val="20"/>
              </w:rPr>
              <w:t xml:space="preserve">           1,199,845,753 </w:t>
            </w:r>
          </w:p>
        </w:tc>
      </w:tr>
      <w:tr w:rsidR="000752BD" w:rsidTr="00285B69">
        <w:trPr>
          <w:trHeight w:val="275"/>
        </w:trPr>
        <w:tc>
          <w:tcPr>
            <w:tcW w:w="3165" w:type="dxa"/>
            <w:tcBorders>
              <w:top w:val="double" w:sz="6" w:space="0" w:color="auto"/>
              <w:left w:val="double" w:sz="6" w:space="0" w:color="auto"/>
              <w:bottom w:val="nil"/>
              <w:right w:val="nil"/>
            </w:tcBorders>
            <w:shd w:val="clear" w:color="000000" w:fill="FFFFFF"/>
            <w:noWrap/>
            <w:vAlign w:val="center"/>
            <w:hideMark/>
          </w:tcPr>
          <w:p w:rsidR="000752BD" w:rsidRDefault="000752BD">
            <w:pPr>
              <w:rPr>
                <w:rFonts w:ascii="Arial" w:hAnsi="Arial" w:cs="Arial"/>
                <w:b/>
                <w:bCs/>
                <w:sz w:val="20"/>
                <w:szCs w:val="20"/>
              </w:rPr>
            </w:pPr>
            <w:r>
              <w:rPr>
                <w:rFonts w:ascii="Arial" w:hAnsi="Arial" w:cs="Arial"/>
                <w:b/>
                <w:bCs/>
                <w:sz w:val="20"/>
                <w:szCs w:val="20"/>
              </w:rPr>
              <w:t> </w:t>
            </w:r>
          </w:p>
        </w:tc>
        <w:tc>
          <w:tcPr>
            <w:tcW w:w="1225" w:type="dxa"/>
            <w:tcBorders>
              <w:top w:val="double" w:sz="6" w:space="0" w:color="auto"/>
              <w:left w:val="nil"/>
              <w:bottom w:val="nil"/>
              <w:right w:val="double" w:sz="6" w:space="0" w:color="auto"/>
            </w:tcBorders>
            <w:shd w:val="clear" w:color="000000" w:fill="FFFFFF"/>
            <w:noWrap/>
            <w:vAlign w:val="center"/>
            <w:hideMark/>
          </w:tcPr>
          <w:p w:rsidR="000752BD" w:rsidRDefault="000752BD">
            <w:pPr>
              <w:rPr>
                <w:rFonts w:ascii="Arial" w:hAnsi="Arial" w:cs="Arial"/>
                <w:b/>
                <w:bCs/>
                <w:sz w:val="20"/>
                <w:szCs w:val="20"/>
              </w:rPr>
            </w:pPr>
            <w:r>
              <w:rPr>
                <w:rFonts w:ascii="Arial" w:hAnsi="Arial" w:cs="Arial"/>
                <w:b/>
                <w:bCs/>
                <w:sz w:val="20"/>
                <w:szCs w:val="20"/>
              </w:rPr>
              <w:t> </w:t>
            </w:r>
          </w:p>
        </w:tc>
        <w:tc>
          <w:tcPr>
            <w:tcW w:w="2491" w:type="dxa"/>
            <w:tcBorders>
              <w:top w:val="double" w:sz="6" w:space="0" w:color="auto"/>
              <w:left w:val="nil"/>
              <w:bottom w:val="nil"/>
              <w:right w:val="double" w:sz="6" w:space="0" w:color="auto"/>
            </w:tcBorders>
            <w:shd w:val="clear" w:color="000000" w:fill="FFFFFF"/>
            <w:noWrap/>
            <w:vAlign w:val="center"/>
            <w:hideMark/>
          </w:tcPr>
          <w:p w:rsidR="000752BD" w:rsidRDefault="000752BD">
            <w:pPr>
              <w:rPr>
                <w:rFonts w:ascii="Arial" w:hAnsi="Arial" w:cs="Arial"/>
                <w:b/>
                <w:bCs/>
                <w:sz w:val="20"/>
                <w:szCs w:val="20"/>
              </w:rPr>
            </w:pPr>
            <w:r>
              <w:rPr>
                <w:rFonts w:ascii="Arial" w:hAnsi="Arial" w:cs="Arial"/>
                <w:b/>
                <w:bCs/>
                <w:sz w:val="20"/>
                <w:szCs w:val="20"/>
              </w:rPr>
              <w:t> </w:t>
            </w:r>
          </w:p>
        </w:tc>
        <w:tc>
          <w:tcPr>
            <w:tcW w:w="2082" w:type="dxa"/>
            <w:tcBorders>
              <w:top w:val="double" w:sz="6" w:space="0" w:color="auto"/>
              <w:left w:val="double" w:sz="6" w:space="0" w:color="auto"/>
              <w:bottom w:val="nil"/>
              <w:right w:val="double" w:sz="6" w:space="0" w:color="auto"/>
            </w:tcBorders>
            <w:shd w:val="clear" w:color="000000" w:fill="FFFFFF"/>
            <w:noWrap/>
            <w:vAlign w:val="center"/>
            <w:hideMark/>
          </w:tcPr>
          <w:p w:rsidR="000752BD" w:rsidRDefault="000752BD">
            <w:pPr>
              <w:rPr>
                <w:rFonts w:ascii="Arial" w:hAnsi="Arial" w:cs="Arial"/>
                <w:b/>
                <w:bCs/>
                <w:sz w:val="20"/>
                <w:szCs w:val="20"/>
              </w:rPr>
            </w:pPr>
            <w:r>
              <w:rPr>
                <w:rFonts w:ascii="Arial" w:hAnsi="Arial" w:cs="Arial"/>
                <w:b/>
                <w:bCs/>
                <w:sz w:val="20"/>
                <w:szCs w:val="20"/>
              </w:rPr>
              <w:t> </w:t>
            </w:r>
          </w:p>
        </w:tc>
      </w:tr>
      <w:tr w:rsidR="000752BD" w:rsidTr="00285B69">
        <w:trPr>
          <w:trHeight w:val="259"/>
        </w:trPr>
        <w:tc>
          <w:tcPr>
            <w:tcW w:w="4390" w:type="dxa"/>
            <w:gridSpan w:val="2"/>
            <w:vMerge w:val="restart"/>
            <w:tcBorders>
              <w:top w:val="nil"/>
              <w:left w:val="double" w:sz="6" w:space="0" w:color="auto"/>
              <w:bottom w:val="nil"/>
              <w:right w:val="double" w:sz="6" w:space="0" w:color="000000"/>
            </w:tcBorders>
            <w:shd w:val="clear" w:color="000000" w:fill="FFFFFF"/>
            <w:noWrap/>
            <w:vAlign w:val="center"/>
            <w:hideMark/>
          </w:tcPr>
          <w:p w:rsidR="000752BD" w:rsidRDefault="000752BD">
            <w:pPr>
              <w:rPr>
                <w:rFonts w:ascii="Arial" w:hAnsi="Arial" w:cs="Arial"/>
                <w:sz w:val="20"/>
                <w:szCs w:val="20"/>
              </w:rPr>
            </w:pPr>
            <w:r>
              <w:rPr>
                <w:rFonts w:ascii="Arial" w:hAnsi="Arial" w:cs="Arial"/>
                <w:sz w:val="20"/>
                <w:szCs w:val="20"/>
              </w:rPr>
              <w:t>INVERSION</w:t>
            </w:r>
          </w:p>
        </w:tc>
        <w:tc>
          <w:tcPr>
            <w:tcW w:w="2491" w:type="dxa"/>
            <w:tcBorders>
              <w:top w:val="nil"/>
              <w:left w:val="nil"/>
              <w:bottom w:val="nil"/>
              <w:right w:val="double" w:sz="6" w:space="0" w:color="auto"/>
            </w:tcBorders>
            <w:shd w:val="clear" w:color="000000" w:fill="FFFFFF"/>
            <w:noWrap/>
            <w:vAlign w:val="center"/>
            <w:hideMark/>
          </w:tcPr>
          <w:p w:rsidR="000752BD" w:rsidRDefault="000752BD">
            <w:pPr>
              <w:rPr>
                <w:rFonts w:ascii="Arial" w:hAnsi="Arial" w:cs="Arial"/>
                <w:sz w:val="20"/>
                <w:szCs w:val="20"/>
              </w:rPr>
            </w:pPr>
            <w:r>
              <w:rPr>
                <w:rFonts w:ascii="Arial" w:hAnsi="Arial" w:cs="Arial"/>
                <w:sz w:val="20"/>
                <w:szCs w:val="20"/>
              </w:rPr>
              <w:t>APORTES NACIÓN</w:t>
            </w:r>
          </w:p>
        </w:tc>
        <w:tc>
          <w:tcPr>
            <w:tcW w:w="2082" w:type="dxa"/>
            <w:tcBorders>
              <w:top w:val="nil"/>
              <w:left w:val="nil"/>
              <w:bottom w:val="nil"/>
              <w:right w:val="double" w:sz="6" w:space="0" w:color="auto"/>
            </w:tcBorders>
            <w:shd w:val="clear" w:color="000000" w:fill="FFFFFF"/>
            <w:noWrap/>
            <w:vAlign w:val="center"/>
            <w:hideMark/>
          </w:tcPr>
          <w:p w:rsidR="000752BD" w:rsidRDefault="000752BD">
            <w:pPr>
              <w:rPr>
                <w:rFonts w:ascii="Arial" w:hAnsi="Arial" w:cs="Arial"/>
                <w:sz w:val="20"/>
                <w:szCs w:val="20"/>
              </w:rPr>
            </w:pPr>
            <w:r>
              <w:rPr>
                <w:rFonts w:ascii="Arial" w:hAnsi="Arial" w:cs="Arial"/>
                <w:sz w:val="20"/>
                <w:szCs w:val="20"/>
              </w:rPr>
              <w:t xml:space="preserve">           1,419,747,522 </w:t>
            </w:r>
          </w:p>
        </w:tc>
      </w:tr>
      <w:tr w:rsidR="000752BD" w:rsidTr="00285B69">
        <w:trPr>
          <w:trHeight w:val="259"/>
        </w:trPr>
        <w:tc>
          <w:tcPr>
            <w:tcW w:w="4390" w:type="dxa"/>
            <w:gridSpan w:val="2"/>
            <w:vMerge/>
            <w:tcBorders>
              <w:top w:val="nil"/>
              <w:left w:val="double" w:sz="6" w:space="0" w:color="auto"/>
              <w:bottom w:val="nil"/>
              <w:right w:val="double" w:sz="6" w:space="0" w:color="000000"/>
            </w:tcBorders>
            <w:vAlign w:val="center"/>
            <w:hideMark/>
          </w:tcPr>
          <w:p w:rsidR="000752BD" w:rsidRDefault="000752BD">
            <w:pPr>
              <w:rPr>
                <w:rFonts w:ascii="Arial" w:hAnsi="Arial" w:cs="Arial"/>
                <w:sz w:val="20"/>
                <w:szCs w:val="20"/>
              </w:rPr>
            </w:pPr>
          </w:p>
        </w:tc>
        <w:tc>
          <w:tcPr>
            <w:tcW w:w="2491" w:type="dxa"/>
            <w:tcBorders>
              <w:top w:val="nil"/>
              <w:left w:val="nil"/>
              <w:bottom w:val="nil"/>
              <w:right w:val="double" w:sz="6" w:space="0" w:color="auto"/>
            </w:tcBorders>
            <w:shd w:val="clear" w:color="000000" w:fill="FFFFFF"/>
            <w:noWrap/>
            <w:vAlign w:val="center"/>
            <w:hideMark/>
          </w:tcPr>
          <w:p w:rsidR="000752BD" w:rsidRDefault="000752BD">
            <w:pPr>
              <w:rPr>
                <w:rFonts w:ascii="Arial" w:hAnsi="Arial" w:cs="Arial"/>
                <w:sz w:val="20"/>
                <w:szCs w:val="20"/>
              </w:rPr>
            </w:pPr>
            <w:r>
              <w:rPr>
                <w:rFonts w:ascii="Arial" w:hAnsi="Arial" w:cs="Arial"/>
                <w:sz w:val="20"/>
                <w:szCs w:val="20"/>
              </w:rPr>
              <w:t>RECURSOS PROPIOS</w:t>
            </w:r>
          </w:p>
        </w:tc>
        <w:tc>
          <w:tcPr>
            <w:tcW w:w="2082" w:type="dxa"/>
            <w:tcBorders>
              <w:top w:val="nil"/>
              <w:left w:val="nil"/>
              <w:bottom w:val="nil"/>
              <w:right w:val="double" w:sz="6" w:space="0" w:color="auto"/>
            </w:tcBorders>
            <w:shd w:val="clear" w:color="000000" w:fill="FFFFFF"/>
            <w:noWrap/>
            <w:vAlign w:val="center"/>
            <w:hideMark/>
          </w:tcPr>
          <w:p w:rsidR="000752BD" w:rsidRDefault="000752BD">
            <w:pPr>
              <w:rPr>
                <w:rFonts w:ascii="Arial" w:hAnsi="Arial" w:cs="Arial"/>
                <w:sz w:val="20"/>
                <w:szCs w:val="20"/>
              </w:rPr>
            </w:pPr>
            <w:r>
              <w:rPr>
                <w:rFonts w:ascii="Arial" w:hAnsi="Arial" w:cs="Arial"/>
                <w:sz w:val="20"/>
                <w:szCs w:val="20"/>
              </w:rPr>
              <w:t xml:space="preserve">         24,816,748,072 </w:t>
            </w:r>
          </w:p>
        </w:tc>
      </w:tr>
      <w:tr w:rsidR="000752BD" w:rsidTr="00285B69">
        <w:trPr>
          <w:trHeight w:val="137"/>
        </w:trPr>
        <w:tc>
          <w:tcPr>
            <w:tcW w:w="3165" w:type="dxa"/>
            <w:tcBorders>
              <w:top w:val="nil"/>
              <w:left w:val="double" w:sz="6" w:space="0" w:color="auto"/>
              <w:bottom w:val="double" w:sz="6" w:space="0" w:color="auto"/>
              <w:right w:val="nil"/>
            </w:tcBorders>
            <w:shd w:val="clear" w:color="000000" w:fill="FFFFFF"/>
            <w:noWrap/>
            <w:vAlign w:val="center"/>
            <w:hideMark/>
          </w:tcPr>
          <w:p w:rsidR="000752BD" w:rsidRDefault="000752BD">
            <w:pPr>
              <w:rPr>
                <w:rFonts w:ascii="Arial" w:hAnsi="Arial" w:cs="Arial"/>
                <w:sz w:val="20"/>
                <w:szCs w:val="20"/>
              </w:rPr>
            </w:pPr>
            <w:r>
              <w:rPr>
                <w:rFonts w:ascii="Arial" w:hAnsi="Arial" w:cs="Arial"/>
                <w:sz w:val="20"/>
                <w:szCs w:val="20"/>
              </w:rPr>
              <w:t> </w:t>
            </w:r>
          </w:p>
        </w:tc>
        <w:tc>
          <w:tcPr>
            <w:tcW w:w="1225" w:type="dxa"/>
            <w:tcBorders>
              <w:top w:val="nil"/>
              <w:left w:val="nil"/>
              <w:bottom w:val="double" w:sz="6" w:space="0" w:color="auto"/>
              <w:right w:val="double" w:sz="6" w:space="0" w:color="auto"/>
            </w:tcBorders>
            <w:shd w:val="clear" w:color="000000" w:fill="FFFFFF"/>
            <w:noWrap/>
            <w:vAlign w:val="center"/>
            <w:hideMark/>
          </w:tcPr>
          <w:p w:rsidR="000752BD" w:rsidRDefault="000752BD">
            <w:pPr>
              <w:rPr>
                <w:rFonts w:ascii="Arial" w:hAnsi="Arial" w:cs="Arial"/>
                <w:sz w:val="20"/>
                <w:szCs w:val="20"/>
              </w:rPr>
            </w:pPr>
            <w:r>
              <w:rPr>
                <w:rFonts w:ascii="Arial" w:hAnsi="Arial" w:cs="Arial"/>
                <w:sz w:val="20"/>
                <w:szCs w:val="20"/>
              </w:rPr>
              <w:t> </w:t>
            </w:r>
          </w:p>
        </w:tc>
        <w:tc>
          <w:tcPr>
            <w:tcW w:w="2491" w:type="dxa"/>
            <w:tcBorders>
              <w:top w:val="nil"/>
              <w:left w:val="double" w:sz="6" w:space="0" w:color="auto"/>
              <w:bottom w:val="double" w:sz="6" w:space="0" w:color="auto"/>
              <w:right w:val="double" w:sz="6" w:space="0" w:color="auto"/>
            </w:tcBorders>
            <w:shd w:val="clear" w:color="000000" w:fill="FFFFFF"/>
            <w:noWrap/>
            <w:vAlign w:val="center"/>
            <w:hideMark/>
          </w:tcPr>
          <w:p w:rsidR="000752BD" w:rsidRDefault="000752BD">
            <w:pPr>
              <w:rPr>
                <w:rFonts w:ascii="Arial" w:hAnsi="Arial" w:cs="Arial"/>
                <w:sz w:val="20"/>
                <w:szCs w:val="20"/>
              </w:rPr>
            </w:pPr>
            <w:r>
              <w:rPr>
                <w:rFonts w:ascii="Arial" w:hAnsi="Arial" w:cs="Arial"/>
                <w:sz w:val="20"/>
                <w:szCs w:val="20"/>
              </w:rPr>
              <w:t> </w:t>
            </w:r>
          </w:p>
        </w:tc>
        <w:tc>
          <w:tcPr>
            <w:tcW w:w="2082" w:type="dxa"/>
            <w:tcBorders>
              <w:top w:val="nil"/>
              <w:left w:val="nil"/>
              <w:bottom w:val="double" w:sz="6" w:space="0" w:color="auto"/>
              <w:right w:val="double" w:sz="6" w:space="0" w:color="auto"/>
            </w:tcBorders>
            <w:shd w:val="clear" w:color="000000" w:fill="FFFFFF"/>
            <w:noWrap/>
            <w:vAlign w:val="center"/>
            <w:hideMark/>
          </w:tcPr>
          <w:p w:rsidR="000752BD" w:rsidRDefault="000752BD">
            <w:pPr>
              <w:rPr>
                <w:rFonts w:ascii="Arial" w:hAnsi="Arial" w:cs="Arial"/>
                <w:sz w:val="20"/>
                <w:szCs w:val="20"/>
              </w:rPr>
            </w:pPr>
            <w:r>
              <w:rPr>
                <w:rFonts w:ascii="Arial" w:hAnsi="Arial" w:cs="Arial"/>
                <w:sz w:val="20"/>
                <w:szCs w:val="20"/>
              </w:rPr>
              <w:t> </w:t>
            </w:r>
          </w:p>
        </w:tc>
      </w:tr>
      <w:tr w:rsidR="000752BD" w:rsidTr="00285B69">
        <w:trPr>
          <w:trHeight w:val="290"/>
        </w:trPr>
        <w:tc>
          <w:tcPr>
            <w:tcW w:w="3165" w:type="dxa"/>
            <w:tcBorders>
              <w:top w:val="nil"/>
              <w:left w:val="double" w:sz="6" w:space="0" w:color="auto"/>
              <w:bottom w:val="double" w:sz="6" w:space="0" w:color="auto"/>
              <w:right w:val="double" w:sz="6" w:space="0" w:color="auto"/>
            </w:tcBorders>
            <w:shd w:val="clear" w:color="000000" w:fill="FFFFFF"/>
            <w:noWrap/>
            <w:vAlign w:val="center"/>
            <w:hideMark/>
          </w:tcPr>
          <w:p w:rsidR="000752BD" w:rsidRDefault="000752BD">
            <w:pPr>
              <w:rPr>
                <w:rFonts w:ascii="Arial" w:hAnsi="Arial" w:cs="Arial"/>
                <w:b/>
                <w:bCs/>
                <w:sz w:val="20"/>
                <w:szCs w:val="20"/>
              </w:rPr>
            </w:pPr>
            <w:r>
              <w:rPr>
                <w:rFonts w:ascii="Arial" w:hAnsi="Arial" w:cs="Arial"/>
                <w:b/>
                <w:bCs/>
                <w:sz w:val="20"/>
                <w:szCs w:val="20"/>
              </w:rPr>
              <w:t>TOTAL GASTOS DE INVERSIÓN</w:t>
            </w:r>
          </w:p>
        </w:tc>
        <w:tc>
          <w:tcPr>
            <w:tcW w:w="1225" w:type="dxa"/>
            <w:tcBorders>
              <w:top w:val="nil"/>
              <w:left w:val="nil"/>
              <w:bottom w:val="double" w:sz="6" w:space="0" w:color="auto"/>
              <w:right w:val="double" w:sz="6" w:space="0" w:color="auto"/>
            </w:tcBorders>
            <w:shd w:val="clear" w:color="000000" w:fill="FFFFFF"/>
            <w:noWrap/>
            <w:vAlign w:val="center"/>
            <w:hideMark/>
          </w:tcPr>
          <w:p w:rsidR="000752BD" w:rsidRDefault="000752BD">
            <w:pPr>
              <w:rPr>
                <w:rFonts w:ascii="Arial" w:hAnsi="Arial" w:cs="Arial"/>
                <w:b/>
                <w:bCs/>
                <w:sz w:val="20"/>
                <w:szCs w:val="20"/>
              </w:rPr>
            </w:pPr>
            <w:r>
              <w:rPr>
                <w:rFonts w:ascii="Arial" w:hAnsi="Arial" w:cs="Arial"/>
                <w:b/>
                <w:bCs/>
                <w:sz w:val="20"/>
                <w:szCs w:val="20"/>
              </w:rPr>
              <w:t> </w:t>
            </w:r>
          </w:p>
        </w:tc>
        <w:tc>
          <w:tcPr>
            <w:tcW w:w="2491" w:type="dxa"/>
            <w:tcBorders>
              <w:top w:val="nil"/>
              <w:left w:val="nil"/>
              <w:bottom w:val="double" w:sz="6" w:space="0" w:color="auto"/>
              <w:right w:val="double" w:sz="6" w:space="0" w:color="auto"/>
            </w:tcBorders>
            <w:shd w:val="clear" w:color="000000" w:fill="FFFFFF"/>
            <w:noWrap/>
            <w:vAlign w:val="center"/>
            <w:hideMark/>
          </w:tcPr>
          <w:p w:rsidR="000752BD" w:rsidRDefault="000752BD">
            <w:pPr>
              <w:rPr>
                <w:rFonts w:ascii="Arial" w:hAnsi="Arial" w:cs="Arial"/>
                <w:b/>
                <w:bCs/>
                <w:sz w:val="20"/>
                <w:szCs w:val="20"/>
              </w:rPr>
            </w:pPr>
            <w:r>
              <w:rPr>
                <w:rFonts w:ascii="Arial" w:hAnsi="Arial" w:cs="Arial"/>
                <w:b/>
                <w:bCs/>
                <w:sz w:val="20"/>
                <w:szCs w:val="20"/>
              </w:rPr>
              <w:t> </w:t>
            </w:r>
          </w:p>
        </w:tc>
        <w:tc>
          <w:tcPr>
            <w:tcW w:w="2082" w:type="dxa"/>
            <w:tcBorders>
              <w:top w:val="nil"/>
              <w:left w:val="nil"/>
              <w:bottom w:val="double" w:sz="6" w:space="0" w:color="auto"/>
              <w:right w:val="double" w:sz="6" w:space="0" w:color="auto"/>
            </w:tcBorders>
            <w:shd w:val="clear" w:color="000000" w:fill="FFFFFF"/>
            <w:noWrap/>
            <w:vAlign w:val="center"/>
            <w:hideMark/>
          </w:tcPr>
          <w:p w:rsidR="000752BD" w:rsidRDefault="000752BD">
            <w:pPr>
              <w:rPr>
                <w:rFonts w:ascii="Arial" w:hAnsi="Arial" w:cs="Arial"/>
                <w:b/>
                <w:bCs/>
                <w:sz w:val="20"/>
                <w:szCs w:val="20"/>
              </w:rPr>
            </w:pPr>
            <w:r>
              <w:rPr>
                <w:rFonts w:ascii="Arial" w:hAnsi="Arial" w:cs="Arial"/>
                <w:b/>
                <w:bCs/>
                <w:sz w:val="20"/>
                <w:szCs w:val="20"/>
              </w:rPr>
              <w:t xml:space="preserve">         26,236,495,594 </w:t>
            </w:r>
          </w:p>
        </w:tc>
      </w:tr>
      <w:tr w:rsidR="000752BD" w:rsidTr="00285B69">
        <w:trPr>
          <w:trHeight w:val="320"/>
        </w:trPr>
        <w:tc>
          <w:tcPr>
            <w:tcW w:w="6881" w:type="dxa"/>
            <w:gridSpan w:val="3"/>
            <w:tcBorders>
              <w:top w:val="nil"/>
              <w:left w:val="double" w:sz="6" w:space="0" w:color="auto"/>
              <w:bottom w:val="double" w:sz="6" w:space="0" w:color="auto"/>
              <w:right w:val="double" w:sz="6" w:space="0" w:color="000000"/>
            </w:tcBorders>
            <w:shd w:val="clear" w:color="000000" w:fill="FFFFFF"/>
            <w:noWrap/>
            <w:vAlign w:val="center"/>
            <w:hideMark/>
          </w:tcPr>
          <w:p w:rsidR="000752BD" w:rsidRDefault="000752BD">
            <w:pPr>
              <w:jc w:val="center"/>
              <w:rPr>
                <w:rFonts w:ascii="Arial" w:hAnsi="Arial" w:cs="Arial"/>
                <w:b/>
                <w:bCs/>
                <w:sz w:val="20"/>
                <w:szCs w:val="20"/>
              </w:rPr>
            </w:pPr>
            <w:r>
              <w:rPr>
                <w:rFonts w:ascii="Arial" w:hAnsi="Arial" w:cs="Arial"/>
                <w:b/>
                <w:bCs/>
                <w:sz w:val="20"/>
                <w:szCs w:val="20"/>
              </w:rPr>
              <w:t>TOTAL RESERVAS 2015</w:t>
            </w:r>
          </w:p>
        </w:tc>
        <w:tc>
          <w:tcPr>
            <w:tcW w:w="2082" w:type="dxa"/>
            <w:tcBorders>
              <w:top w:val="nil"/>
              <w:left w:val="double" w:sz="6" w:space="0" w:color="auto"/>
              <w:bottom w:val="double" w:sz="6" w:space="0" w:color="auto"/>
              <w:right w:val="double" w:sz="6" w:space="0" w:color="auto"/>
            </w:tcBorders>
            <w:shd w:val="clear" w:color="000000" w:fill="FFFFFF"/>
            <w:noWrap/>
            <w:vAlign w:val="center"/>
            <w:hideMark/>
          </w:tcPr>
          <w:p w:rsidR="000752BD" w:rsidRDefault="000752BD">
            <w:pPr>
              <w:rPr>
                <w:rFonts w:ascii="Arial" w:hAnsi="Arial" w:cs="Arial"/>
                <w:b/>
                <w:bCs/>
                <w:sz w:val="20"/>
                <w:szCs w:val="20"/>
              </w:rPr>
            </w:pPr>
            <w:r>
              <w:rPr>
                <w:rFonts w:ascii="Arial" w:hAnsi="Arial" w:cs="Arial"/>
                <w:b/>
                <w:bCs/>
                <w:sz w:val="20"/>
                <w:szCs w:val="20"/>
              </w:rPr>
              <w:t xml:space="preserve">         27,436,341,347 </w:t>
            </w:r>
          </w:p>
        </w:tc>
      </w:tr>
      <w:tr w:rsidR="000752BD" w:rsidTr="00285B69">
        <w:trPr>
          <w:trHeight w:val="275"/>
        </w:trPr>
        <w:tc>
          <w:tcPr>
            <w:tcW w:w="3165" w:type="dxa"/>
            <w:tcBorders>
              <w:top w:val="nil"/>
              <w:left w:val="nil"/>
              <w:bottom w:val="nil"/>
              <w:right w:val="nil"/>
            </w:tcBorders>
            <w:shd w:val="clear" w:color="000000" w:fill="FFFFFF"/>
            <w:noWrap/>
            <w:vAlign w:val="bottom"/>
            <w:hideMark/>
          </w:tcPr>
          <w:p w:rsidR="000752BD" w:rsidRDefault="000752BD">
            <w:pPr>
              <w:rPr>
                <w:rFonts w:ascii="Arial" w:hAnsi="Arial" w:cs="Arial"/>
                <w:color w:val="000000"/>
                <w:sz w:val="20"/>
                <w:szCs w:val="20"/>
              </w:rPr>
            </w:pPr>
            <w:r>
              <w:rPr>
                <w:rFonts w:ascii="Arial" w:hAnsi="Arial" w:cs="Arial"/>
                <w:color w:val="000000"/>
                <w:sz w:val="20"/>
                <w:szCs w:val="20"/>
              </w:rPr>
              <w:t> </w:t>
            </w:r>
          </w:p>
        </w:tc>
        <w:tc>
          <w:tcPr>
            <w:tcW w:w="1225" w:type="dxa"/>
            <w:tcBorders>
              <w:top w:val="nil"/>
              <w:left w:val="nil"/>
              <w:bottom w:val="nil"/>
              <w:right w:val="nil"/>
            </w:tcBorders>
            <w:shd w:val="clear" w:color="000000" w:fill="FFFFFF"/>
            <w:noWrap/>
            <w:vAlign w:val="bottom"/>
            <w:hideMark/>
          </w:tcPr>
          <w:p w:rsidR="000752BD" w:rsidRDefault="000752BD">
            <w:pPr>
              <w:rPr>
                <w:rFonts w:ascii="Arial" w:hAnsi="Arial" w:cs="Arial"/>
                <w:color w:val="000000"/>
                <w:sz w:val="20"/>
                <w:szCs w:val="20"/>
              </w:rPr>
            </w:pPr>
            <w:r>
              <w:rPr>
                <w:rFonts w:ascii="Arial" w:hAnsi="Arial" w:cs="Arial"/>
                <w:color w:val="000000"/>
                <w:sz w:val="20"/>
                <w:szCs w:val="20"/>
              </w:rPr>
              <w:t> </w:t>
            </w:r>
          </w:p>
        </w:tc>
        <w:tc>
          <w:tcPr>
            <w:tcW w:w="2491" w:type="dxa"/>
            <w:tcBorders>
              <w:top w:val="nil"/>
              <w:left w:val="nil"/>
              <w:bottom w:val="nil"/>
              <w:right w:val="nil"/>
            </w:tcBorders>
            <w:shd w:val="clear" w:color="000000" w:fill="FFFFFF"/>
            <w:noWrap/>
            <w:vAlign w:val="bottom"/>
            <w:hideMark/>
          </w:tcPr>
          <w:p w:rsidR="000752BD" w:rsidRDefault="000752BD">
            <w:pPr>
              <w:rPr>
                <w:rFonts w:ascii="Arial" w:hAnsi="Arial" w:cs="Arial"/>
                <w:color w:val="000000"/>
                <w:sz w:val="20"/>
                <w:szCs w:val="20"/>
              </w:rPr>
            </w:pPr>
            <w:r>
              <w:rPr>
                <w:rFonts w:ascii="Arial" w:hAnsi="Arial" w:cs="Arial"/>
                <w:color w:val="000000"/>
                <w:sz w:val="20"/>
                <w:szCs w:val="20"/>
              </w:rPr>
              <w:t> </w:t>
            </w:r>
          </w:p>
        </w:tc>
        <w:tc>
          <w:tcPr>
            <w:tcW w:w="2082" w:type="dxa"/>
            <w:tcBorders>
              <w:top w:val="nil"/>
              <w:left w:val="nil"/>
              <w:bottom w:val="nil"/>
              <w:right w:val="nil"/>
            </w:tcBorders>
            <w:shd w:val="clear" w:color="000000" w:fill="FFFFFF"/>
            <w:noWrap/>
            <w:vAlign w:val="bottom"/>
            <w:hideMark/>
          </w:tcPr>
          <w:p w:rsidR="000752BD" w:rsidRDefault="000752BD">
            <w:pPr>
              <w:rPr>
                <w:rFonts w:ascii="Arial" w:hAnsi="Arial" w:cs="Arial"/>
                <w:color w:val="000000"/>
                <w:sz w:val="20"/>
                <w:szCs w:val="20"/>
              </w:rPr>
            </w:pPr>
            <w:r>
              <w:rPr>
                <w:rFonts w:ascii="Arial" w:hAnsi="Arial" w:cs="Arial"/>
                <w:color w:val="000000"/>
                <w:sz w:val="20"/>
                <w:szCs w:val="20"/>
              </w:rPr>
              <w:t> </w:t>
            </w:r>
          </w:p>
        </w:tc>
      </w:tr>
      <w:tr w:rsidR="000752BD" w:rsidTr="00285B69">
        <w:trPr>
          <w:trHeight w:val="275"/>
        </w:trPr>
        <w:tc>
          <w:tcPr>
            <w:tcW w:w="3165" w:type="dxa"/>
            <w:tcBorders>
              <w:top w:val="nil"/>
              <w:left w:val="nil"/>
              <w:bottom w:val="nil"/>
              <w:right w:val="nil"/>
            </w:tcBorders>
            <w:shd w:val="clear" w:color="000000" w:fill="FFFFFF"/>
            <w:noWrap/>
            <w:vAlign w:val="bottom"/>
            <w:hideMark/>
          </w:tcPr>
          <w:p w:rsidR="000752BD" w:rsidRDefault="000752BD">
            <w:pPr>
              <w:rPr>
                <w:rFonts w:ascii="Arial" w:hAnsi="Arial" w:cs="Arial"/>
                <w:color w:val="000000"/>
                <w:sz w:val="20"/>
                <w:szCs w:val="20"/>
              </w:rPr>
            </w:pPr>
            <w:r>
              <w:rPr>
                <w:rFonts w:ascii="Arial" w:hAnsi="Arial" w:cs="Arial"/>
                <w:color w:val="000000"/>
                <w:sz w:val="20"/>
                <w:szCs w:val="20"/>
              </w:rPr>
              <w:t> </w:t>
            </w:r>
          </w:p>
        </w:tc>
        <w:tc>
          <w:tcPr>
            <w:tcW w:w="1225" w:type="dxa"/>
            <w:tcBorders>
              <w:top w:val="nil"/>
              <w:left w:val="nil"/>
              <w:bottom w:val="nil"/>
              <w:right w:val="nil"/>
            </w:tcBorders>
            <w:shd w:val="clear" w:color="000000" w:fill="FFFFFF"/>
            <w:noWrap/>
            <w:vAlign w:val="bottom"/>
            <w:hideMark/>
          </w:tcPr>
          <w:p w:rsidR="000752BD" w:rsidRDefault="000752BD">
            <w:pPr>
              <w:rPr>
                <w:rFonts w:ascii="Arial" w:hAnsi="Arial" w:cs="Arial"/>
                <w:color w:val="000000"/>
                <w:sz w:val="20"/>
                <w:szCs w:val="20"/>
              </w:rPr>
            </w:pPr>
            <w:r>
              <w:rPr>
                <w:rFonts w:ascii="Arial" w:hAnsi="Arial" w:cs="Arial"/>
                <w:color w:val="000000"/>
                <w:sz w:val="20"/>
                <w:szCs w:val="20"/>
              </w:rPr>
              <w:t> </w:t>
            </w:r>
          </w:p>
        </w:tc>
        <w:tc>
          <w:tcPr>
            <w:tcW w:w="2491" w:type="dxa"/>
            <w:tcBorders>
              <w:top w:val="nil"/>
              <w:left w:val="nil"/>
              <w:bottom w:val="nil"/>
              <w:right w:val="nil"/>
            </w:tcBorders>
            <w:shd w:val="clear" w:color="000000" w:fill="FFFFFF"/>
            <w:noWrap/>
            <w:vAlign w:val="bottom"/>
            <w:hideMark/>
          </w:tcPr>
          <w:p w:rsidR="000752BD" w:rsidRDefault="000752BD">
            <w:pPr>
              <w:rPr>
                <w:rFonts w:ascii="Arial" w:hAnsi="Arial" w:cs="Arial"/>
                <w:color w:val="000000"/>
                <w:sz w:val="20"/>
                <w:szCs w:val="20"/>
              </w:rPr>
            </w:pPr>
            <w:r>
              <w:rPr>
                <w:rFonts w:ascii="Arial" w:hAnsi="Arial" w:cs="Arial"/>
                <w:color w:val="000000"/>
                <w:sz w:val="20"/>
                <w:szCs w:val="20"/>
              </w:rPr>
              <w:t> </w:t>
            </w:r>
          </w:p>
        </w:tc>
        <w:tc>
          <w:tcPr>
            <w:tcW w:w="2082" w:type="dxa"/>
            <w:tcBorders>
              <w:top w:val="nil"/>
              <w:left w:val="nil"/>
              <w:bottom w:val="nil"/>
              <w:right w:val="nil"/>
            </w:tcBorders>
            <w:shd w:val="clear" w:color="000000" w:fill="FFFFFF"/>
            <w:noWrap/>
            <w:vAlign w:val="bottom"/>
            <w:hideMark/>
          </w:tcPr>
          <w:p w:rsidR="000752BD" w:rsidRDefault="000752BD">
            <w:pPr>
              <w:rPr>
                <w:rFonts w:ascii="Arial" w:hAnsi="Arial" w:cs="Arial"/>
                <w:color w:val="000000"/>
                <w:sz w:val="20"/>
                <w:szCs w:val="20"/>
              </w:rPr>
            </w:pPr>
            <w:r>
              <w:rPr>
                <w:rFonts w:ascii="Arial" w:hAnsi="Arial" w:cs="Arial"/>
                <w:color w:val="000000"/>
                <w:sz w:val="20"/>
                <w:szCs w:val="20"/>
              </w:rPr>
              <w:t> </w:t>
            </w:r>
          </w:p>
        </w:tc>
      </w:tr>
      <w:tr w:rsidR="000752BD" w:rsidTr="00285B69">
        <w:trPr>
          <w:trHeight w:val="489"/>
        </w:trPr>
        <w:tc>
          <w:tcPr>
            <w:tcW w:w="8964" w:type="dxa"/>
            <w:gridSpan w:val="4"/>
            <w:tcBorders>
              <w:top w:val="double" w:sz="6" w:space="0" w:color="auto"/>
              <w:left w:val="double" w:sz="6" w:space="0" w:color="auto"/>
              <w:bottom w:val="nil"/>
              <w:right w:val="double" w:sz="6" w:space="0" w:color="auto"/>
            </w:tcBorders>
            <w:shd w:val="clear" w:color="000000" w:fill="FFFFFF"/>
            <w:noWrap/>
            <w:vAlign w:val="center"/>
            <w:hideMark/>
          </w:tcPr>
          <w:p w:rsidR="000752BD" w:rsidRDefault="000752BD">
            <w:pPr>
              <w:jc w:val="center"/>
              <w:rPr>
                <w:rFonts w:ascii="Arial" w:hAnsi="Arial" w:cs="Arial"/>
                <w:b/>
                <w:bCs/>
                <w:sz w:val="20"/>
                <w:szCs w:val="20"/>
              </w:rPr>
            </w:pPr>
            <w:r>
              <w:rPr>
                <w:rFonts w:ascii="Arial" w:hAnsi="Arial" w:cs="Arial"/>
                <w:b/>
                <w:bCs/>
                <w:sz w:val="20"/>
                <w:szCs w:val="20"/>
              </w:rPr>
              <w:t>CUENTAS POR PAGAR 2015</w:t>
            </w:r>
          </w:p>
        </w:tc>
      </w:tr>
      <w:tr w:rsidR="000752BD" w:rsidTr="00285B69">
        <w:trPr>
          <w:trHeight w:val="275"/>
        </w:trPr>
        <w:tc>
          <w:tcPr>
            <w:tcW w:w="3165" w:type="dxa"/>
            <w:tcBorders>
              <w:top w:val="double" w:sz="6" w:space="0" w:color="auto"/>
              <w:left w:val="double" w:sz="6" w:space="0" w:color="auto"/>
              <w:bottom w:val="nil"/>
              <w:right w:val="nil"/>
            </w:tcBorders>
            <w:shd w:val="clear" w:color="000000" w:fill="FFFFFF"/>
            <w:noWrap/>
            <w:vAlign w:val="center"/>
            <w:hideMark/>
          </w:tcPr>
          <w:p w:rsidR="000752BD" w:rsidRDefault="000752BD">
            <w:pPr>
              <w:jc w:val="center"/>
              <w:rPr>
                <w:rFonts w:ascii="Arial" w:hAnsi="Arial" w:cs="Arial"/>
                <w:b/>
                <w:bCs/>
                <w:sz w:val="20"/>
                <w:szCs w:val="20"/>
              </w:rPr>
            </w:pPr>
            <w:r>
              <w:rPr>
                <w:rFonts w:ascii="Arial" w:hAnsi="Arial" w:cs="Arial"/>
                <w:b/>
                <w:bCs/>
                <w:sz w:val="20"/>
                <w:szCs w:val="20"/>
              </w:rPr>
              <w:t> </w:t>
            </w:r>
          </w:p>
        </w:tc>
        <w:tc>
          <w:tcPr>
            <w:tcW w:w="1225" w:type="dxa"/>
            <w:tcBorders>
              <w:top w:val="double" w:sz="6" w:space="0" w:color="auto"/>
              <w:left w:val="nil"/>
              <w:bottom w:val="nil"/>
              <w:right w:val="double" w:sz="6" w:space="0" w:color="auto"/>
            </w:tcBorders>
            <w:shd w:val="clear" w:color="000000" w:fill="FFFFFF"/>
            <w:noWrap/>
            <w:vAlign w:val="center"/>
            <w:hideMark/>
          </w:tcPr>
          <w:p w:rsidR="000752BD" w:rsidRDefault="000752BD">
            <w:pPr>
              <w:jc w:val="center"/>
              <w:rPr>
                <w:rFonts w:ascii="Arial" w:hAnsi="Arial" w:cs="Arial"/>
                <w:b/>
                <w:bCs/>
                <w:sz w:val="20"/>
                <w:szCs w:val="20"/>
              </w:rPr>
            </w:pPr>
            <w:r>
              <w:rPr>
                <w:rFonts w:ascii="Arial" w:hAnsi="Arial" w:cs="Arial"/>
                <w:b/>
                <w:bCs/>
                <w:sz w:val="20"/>
                <w:szCs w:val="20"/>
              </w:rPr>
              <w:t> </w:t>
            </w:r>
          </w:p>
        </w:tc>
        <w:tc>
          <w:tcPr>
            <w:tcW w:w="2491" w:type="dxa"/>
            <w:tcBorders>
              <w:top w:val="double" w:sz="6" w:space="0" w:color="auto"/>
              <w:left w:val="nil"/>
              <w:bottom w:val="nil"/>
              <w:right w:val="double" w:sz="6" w:space="0" w:color="auto"/>
            </w:tcBorders>
            <w:shd w:val="clear" w:color="000000" w:fill="FFFFFF"/>
            <w:noWrap/>
            <w:vAlign w:val="center"/>
            <w:hideMark/>
          </w:tcPr>
          <w:p w:rsidR="000752BD" w:rsidRDefault="000752BD">
            <w:pPr>
              <w:jc w:val="center"/>
              <w:rPr>
                <w:rFonts w:ascii="Arial" w:hAnsi="Arial" w:cs="Arial"/>
                <w:b/>
                <w:bCs/>
                <w:sz w:val="20"/>
                <w:szCs w:val="20"/>
              </w:rPr>
            </w:pPr>
            <w:r>
              <w:rPr>
                <w:rFonts w:ascii="Arial" w:hAnsi="Arial" w:cs="Arial"/>
                <w:b/>
                <w:bCs/>
                <w:sz w:val="20"/>
                <w:szCs w:val="20"/>
              </w:rPr>
              <w:t> </w:t>
            </w:r>
          </w:p>
        </w:tc>
        <w:tc>
          <w:tcPr>
            <w:tcW w:w="2082" w:type="dxa"/>
            <w:tcBorders>
              <w:top w:val="double" w:sz="6" w:space="0" w:color="auto"/>
              <w:left w:val="double" w:sz="6" w:space="0" w:color="auto"/>
              <w:bottom w:val="nil"/>
              <w:right w:val="double" w:sz="6" w:space="0" w:color="auto"/>
            </w:tcBorders>
            <w:shd w:val="clear" w:color="000000" w:fill="FFFFFF"/>
            <w:noWrap/>
            <w:vAlign w:val="center"/>
            <w:hideMark/>
          </w:tcPr>
          <w:p w:rsidR="000752BD" w:rsidRDefault="000752BD">
            <w:pPr>
              <w:jc w:val="center"/>
              <w:rPr>
                <w:rFonts w:ascii="Arial" w:hAnsi="Arial" w:cs="Arial"/>
                <w:b/>
                <w:bCs/>
                <w:sz w:val="20"/>
                <w:szCs w:val="20"/>
              </w:rPr>
            </w:pPr>
            <w:r>
              <w:rPr>
                <w:rFonts w:ascii="Arial" w:hAnsi="Arial" w:cs="Arial"/>
                <w:b/>
                <w:bCs/>
                <w:sz w:val="20"/>
                <w:szCs w:val="20"/>
              </w:rPr>
              <w:t> </w:t>
            </w:r>
          </w:p>
        </w:tc>
      </w:tr>
      <w:tr w:rsidR="000752BD" w:rsidTr="00285B69">
        <w:trPr>
          <w:trHeight w:val="259"/>
        </w:trPr>
        <w:tc>
          <w:tcPr>
            <w:tcW w:w="4390" w:type="dxa"/>
            <w:gridSpan w:val="2"/>
            <w:tcBorders>
              <w:top w:val="nil"/>
              <w:left w:val="double" w:sz="6" w:space="0" w:color="auto"/>
              <w:bottom w:val="nil"/>
              <w:right w:val="double" w:sz="6" w:space="0" w:color="000000"/>
            </w:tcBorders>
            <w:shd w:val="clear" w:color="000000" w:fill="FFFFFF"/>
            <w:noWrap/>
            <w:vAlign w:val="center"/>
            <w:hideMark/>
          </w:tcPr>
          <w:p w:rsidR="000752BD" w:rsidRDefault="000752BD">
            <w:pPr>
              <w:rPr>
                <w:rFonts w:ascii="Arial" w:hAnsi="Arial" w:cs="Arial"/>
                <w:sz w:val="20"/>
                <w:szCs w:val="20"/>
              </w:rPr>
            </w:pPr>
            <w:r>
              <w:rPr>
                <w:rFonts w:ascii="Arial" w:hAnsi="Arial" w:cs="Arial"/>
                <w:sz w:val="20"/>
                <w:szCs w:val="20"/>
              </w:rPr>
              <w:t>GASTOS DE PERSONAL</w:t>
            </w:r>
          </w:p>
        </w:tc>
        <w:tc>
          <w:tcPr>
            <w:tcW w:w="2491" w:type="dxa"/>
            <w:tcBorders>
              <w:top w:val="nil"/>
              <w:left w:val="nil"/>
              <w:bottom w:val="nil"/>
              <w:right w:val="double" w:sz="6" w:space="0" w:color="auto"/>
            </w:tcBorders>
            <w:shd w:val="clear" w:color="000000" w:fill="FFFFFF"/>
            <w:noWrap/>
            <w:vAlign w:val="center"/>
            <w:hideMark/>
          </w:tcPr>
          <w:p w:rsidR="000752BD" w:rsidRDefault="000752BD">
            <w:pPr>
              <w:rPr>
                <w:rFonts w:ascii="Arial" w:hAnsi="Arial" w:cs="Arial"/>
                <w:sz w:val="20"/>
                <w:szCs w:val="20"/>
              </w:rPr>
            </w:pPr>
            <w:r>
              <w:rPr>
                <w:rFonts w:ascii="Arial" w:hAnsi="Arial" w:cs="Arial"/>
                <w:sz w:val="20"/>
                <w:szCs w:val="20"/>
              </w:rPr>
              <w:t>RECURSOS PROPIOS</w:t>
            </w:r>
          </w:p>
        </w:tc>
        <w:tc>
          <w:tcPr>
            <w:tcW w:w="2082" w:type="dxa"/>
            <w:tcBorders>
              <w:top w:val="nil"/>
              <w:left w:val="nil"/>
              <w:bottom w:val="nil"/>
              <w:right w:val="double" w:sz="6" w:space="0" w:color="auto"/>
            </w:tcBorders>
            <w:shd w:val="clear" w:color="000000" w:fill="FFFFFF"/>
            <w:noWrap/>
            <w:vAlign w:val="center"/>
            <w:hideMark/>
          </w:tcPr>
          <w:p w:rsidR="000752BD" w:rsidRDefault="000752BD">
            <w:pPr>
              <w:rPr>
                <w:rFonts w:ascii="Arial" w:hAnsi="Arial" w:cs="Arial"/>
                <w:sz w:val="20"/>
                <w:szCs w:val="20"/>
              </w:rPr>
            </w:pPr>
            <w:r>
              <w:rPr>
                <w:rFonts w:ascii="Arial" w:hAnsi="Arial" w:cs="Arial"/>
                <w:sz w:val="20"/>
                <w:szCs w:val="20"/>
              </w:rPr>
              <w:t xml:space="preserve">              333,180,604 </w:t>
            </w:r>
          </w:p>
        </w:tc>
      </w:tr>
      <w:tr w:rsidR="000752BD" w:rsidTr="00285B69">
        <w:trPr>
          <w:trHeight w:val="259"/>
        </w:trPr>
        <w:tc>
          <w:tcPr>
            <w:tcW w:w="4390" w:type="dxa"/>
            <w:gridSpan w:val="2"/>
            <w:tcBorders>
              <w:top w:val="nil"/>
              <w:left w:val="double" w:sz="6" w:space="0" w:color="auto"/>
              <w:bottom w:val="nil"/>
              <w:right w:val="double" w:sz="6" w:space="0" w:color="000000"/>
            </w:tcBorders>
            <w:shd w:val="clear" w:color="000000" w:fill="FFFFFF"/>
            <w:noWrap/>
            <w:vAlign w:val="center"/>
            <w:hideMark/>
          </w:tcPr>
          <w:p w:rsidR="000752BD" w:rsidRDefault="000752BD">
            <w:pPr>
              <w:rPr>
                <w:rFonts w:ascii="Arial" w:hAnsi="Arial" w:cs="Arial"/>
                <w:sz w:val="20"/>
                <w:szCs w:val="20"/>
              </w:rPr>
            </w:pPr>
            <w:r>
              <w:rPr>
                <w:rFonts w:ascii="Arial" w:hAnsi="Arial" w:cs="Arial"/>
                <w:sz w:val="20"/>
                <w:szCs w:val="20"/>
              </w:rPr>
              <w:t>GASTOS GENERALES</w:t>
            </w:r>
          </w:p>
        </w:tc>
        <w:tc>
          <w:tcPr>
            <w:tcW w:w="2491" w:type="dxa"/>
            <w:tcBorders>
              <w:top w:val="nil"/>
              <w:left w:val="nil"/>
              <w:bottom w:val="nil"/>
              <w:right w:val="double" w:sz="6" w:space="0" w:color="auto"/>
            </w:tcBorders>
            <w:shd w:val="clear" w:color="000000" w:fill="FFFFFF"/>
            <w:noWrap/>
            <w:vAlign w:val="center"/>
            <w:hideMark/>
          </w:tcPr>
          <w:p w:rsidR="000752BD" w:rsidRDefault="000752BD">
            <w:pPr>
              <w:rPr>
                <w:rFonts w:ascii="Arial" w:hAnsi="Arial" w:cs="Arial"/>
                <w:sz w:val="20"/>
                <w:szCs w:val="20"/>
              </w:rPr>
            </w:pPr>
            <w:r>
              <w:rPr>
                <w:rFonts w:ascii="Arial" w:hAnsi="Arial" w:cs="Arial"/>
                <w:sz w:val="20"/>
                <w:szCs w:val="20"/>
              </w:rPr>
              <w:t>RECURSOS PROPIOS</w:t>
            </w:r>
          </w:p>
        </w:tc>
        <w:tc>
          <w:tcPr>
            <w:tcW w:w="2082" w:type="dxa"/>
            <w:tcBorders>
              <w:top w:val="nil"/>
              <w:left w:val="nil"/>
              <w:bottom w:val="nil"/>
              <w:right w:val="double" w:sz="6" w:space="0" w:color="auto"/>
            </w:tcBorders>
            <w:shd w:val="clear" w:color="000000" w:fill="FFFFFF"/>
            <w:noWrap/>
            <w:vAlign w:val="center"/>
            <w:hideMark/>
          </w:tcPr>
          <w:p w:rsidR="000752BD" w:rsidRDefault="000752BD">
            <w:pPr>
              <w:rPr>
                <w:rFonts w:ascii="Arial" w:hAnsi="Arial" w:cs="Arial"/>
                <w:sz w:val="20"/>
                <w:szCs w:val="20"/>
              </w:rPr>
            </w:pPr>
            <w:r>
              <w:rPr>
                <w:rFonts w:ascii="Arial" w:hAnsi="Arial" w:cs="Arial"/>
                <w:sz w:val="20"/>
                <w:szCs w:val="20"/>
              </w:rPr>
              <w:t xml:space="preserve">               92,216,611 </w:t>
            </w:r>
          </w:p>
        </w:tc>
      </w:tr>
      <w:tr w:rsidR="000752BD" w:rsidTr="00285B69">
        <w:trPr>
          <w:trHeight w:val="259"/>
        </w:trPr>
        <w:tc>
          <w:tcPr>
            <w:tcW w:w="4390" w:type="dxa"/>
            <w:gridSpan w:val="2"/>
            <w:vMerge w:val="restart"/>
            <w:tcBorders>
              <w:top w:val="nil"/>
              <w:left w:val="double" w:sz="6" w:space="0" w:color="auto"/>
              <w:bottom w:val="nil"/>
              <w:right w:val="double" w:sz="6" w:space="0" w:color="000000"/>
            </w:tcBorders>
            <w:shd w:val="clear" w:color="000000" w:fill="FFFFFF"/>
            <w:noWrap/>
            <w:vAlign w:val="center"/>
            <w:hideMark/>
          </w:tcPr>
          <w:p w:rsidR="000752BD" w:rsidRDefault="000752BD">
            <w:pPr>
              <w:rPr>
                <w:rFonts w:ascii="Arial" w:hAnsi="Arial" w:cs="Arial"/>
                <w:sz w:val="20"/>
                <w:szCs w:val="20"/>
              </w:rPr>
            </w:pPr>
            <w:r>
              <w:rPr>
                <w:rFonts w:ascii="Arial" w:hAnsi="Arial" w:cs="Arial"/>
                <w:sz w:val="20"/>
                <w:szCs w:val="20"/>
              </w:rPr>
              <w:t>TRANSFERENCIAS</w:t>
            </w:r>
          </w:p>
        </w:tc>
        <w:tc>
          <w:tcPr>
            <w:tcW w:w="2491" w:type="dxa"/>
            <w:tcBorders>
              <w:top w:val="nil"/>
              <w:left w:val="nil"/>
              <w:bottom w:val="nil"/>
              <w:right w:val="double" w:sz="6" w:space="0" w:color="auto"/>
            </w:tcBorders>
            <w:shd w:val="clear" w:color="000000" w:fill="FFFFFF"/>
            <w:noWrap/>
            <w:vAlign w:val="center"/>
            <w:hideMark/>
          </w:tcPr>
          <w:p w:rsidR="000752BD" w:rsidRDefault="000752BD">
            <w:pPr>
              <w:rPr>
                <w:rFonts w:ascii="Arial" w:hAnsi="Arial" w:cs="Arial"/>
                <w:sz w:val="20"/>
                <w:szCs w:val="20"/>
              </w:rPr>
            </w:pPr>
            <w:r>
              <w:rPr>
                <w:rFonts w:ascii="Arial" w:hAnsi="Arial" w:cs="Arial"/>
                <w:sz w:val="20"/>
                <w:szCs w:val="20"/>
              </w:rPr>
              <w:t>APORTES NACIÓN</w:t>
            </w:r>
          </w:p>
        </w:tc>
        <w:tc>
          <w:tcPr>
            <w:tcW w:w="2082" w:type="dxa"/>
            <w:tcBorders>
              <w:top w:val="nil"/>
              <w:left w:val="nil"/>
              <w:bottom w:val="nil"/>
              <w:right w:val="double" w:sz="6" w:space="0" w:color="auto"/>
            </w:tcBorders>
            <w:shd w:val="clear" w:color="000000" w:fill="FFFFFF"/>
            <w:noWrap/>
            <w:vAlign w:val="center"/>
            <w:hideMark/>
          </w:tcPr>
          <w:p w:rsidR="000752BD" w:rsidRDefault="000752BD">
            <w:pPr>
              <w:rPr>
                <w:rFonts w:ascii="Arial" w:hAnsi="Arial" w:cs="Arial"/>
                <w:sz w:val="20"/>
                <w:szCs w:val="20"/>
              </w:rPr>
            </w:pPr>
            <w:r>
              <w:rPr>
                <w:rFonts w:ascii="Arial" w:hAnsi="Arial" w:cs="Arial"/>
                <w:sz w:val="20"/>
                <w:szCs w:val="20"/>
              </w:rPr>
              <w:t xml:space="preserve">           1,230,622,759 </w:t>
            </w:r>
          </w:p>
        </w:tc>
      </w:tr>
      <w:tr w:rsidR="000752BD" w:rsidTr="00285B69">
        <w:trPr>
          <w:trHeight w:val="259"/>
        </w:trPr>
        <w:tc>
          <w:tcPr>
            <w:tcW w:w="4390" w:type="dxa"/>
            <w:gridSpan w:val="2"/>
            <w:vMerge/>
            <w:tcBorders>
              <w:top w:val="nil"/>
              <w:left w:val="double" w:sz="6" w:space="0" w:color="auto"/>
              <w:bottom w:val="nil"/>
              <w:right w:val="double" w:sz="6" w:space="0" w:color="000000"/>
            </w:tcBorders>
            <w:vAlign w:val="center"/>
            <w:hideMark/>
          </w:tcPr>
          <w:p w:rsidR="000752BD" w:rsidRDefault="000752BD">
            <w:pPr>
              <w:rPr>
                <w:rFonts w:ascii="Arial" w:hAnsi="Arial" w:cs="Arial"/>
                <w:sz w:val="20"/>
                <w:szCs w:val="20"/>
              </w:rPr>
            </w:pPr>
          </w:p>
        </w:tc>
        <w:tc>
          <w:tcPr>
            <w:tcW w:w="2491" w:type="dxa"/>
            <w:tcBorders>
              <w:top w:val="nil"/>
              <w:left w:val="nil"/>
              <w:bottom w:val="nil"/>
              <w:right w:val="double" w:sz="6" w:space="0" w:color="auto"/>
            </w:tcBorders>
            <w:shd w:val="clear" w:color="000000" w:fill="FFFFFF"/>
            <w:noWrap/>
            <w:vAlign w:val="center"/>
            <w:hideMark/>
          </w:tcPr>
          <w:p w:rsidR="000752BD" w:rsidRDefault="000752BD">
            <w:pPr>
              <w:rPr>
                <w:rFonts w:ascii="Arial" w:hAnsi="Arial" w:cs="Arial"/>
                <w:sz w:val="20"/>
                <w:szCs w:val="20"/>
              </w:rPr>
            </w:pPr>
            <w:r>
              <w:rPr>
                <w:rFonts w:ascii="Arial" w:hAnsi="Arial" w:cs="Arial"/>
                <w:sz w:val="20"/>
                <w:szCs w:val="20"/>
              </w:rPr>
              <w:t>RECURSOS PROPIOS</w:t>
            </w:r>
          </w:p>
        </w:tc>
        <w:tc>
          <w:tcPr>
            <w:tcW w:w="2082" w:type="dxa"/>
            <w:tcBorders>
              <w:top w:val="nil"/>
              <w:left w:val="nil"/>
              <w:bottom w:val="nil"/>
              <w:right w:val="double" w:sz="6" w:space="0" w:color="auto"/>
            </w:tcBorders>
            <w:shd w:val="clear" w:color="000000" w:fill="FFFFFF"/>
            <w:noWrap/>
            <w:vAlign w:val="center"/>
            <w:hideMark/>
          </w:tcPr>
          <w:p w:rsidR="000752BD" w:rsidRDefault="000752BD">
            <w:pPr>
              <w:rPr>
                <w:rFonts w:ascii="Arial" w:hAnsi="Arial" w:cs="Arial"/>
                <w:sz w:val="20"/>
                <w:szCs w:val="20"/>
              </w:rPr>
            </w:pPr>
            <w:r>
              <w:rPr>
                <w:rFonts w:ascii="Arial" w:hAnsi="Arial" w:cs="Arial"/>
                <w:sz w:val="20"/>
                <w:szCs w:val="20"/>
              </w:rPr>
              <w:t xml:space="preserve">              828,948,180 </w:t>
            </w:r>
          </w:p>
        </w:tc>
      </w:tr>
      <w:tr w:rsidR="000752BD" w:rsidTr="00285B69">
        <w:trPr>
          <w:trHeight w:val="275"/>
        </w:trPr>
        <w:tc>
          <w:tcPr>
            <w:tcW w:w="3165" w:type="dxa"/>
            <w:tcBorders>
              <w:top w:val="nil"/>
              <w:left w:val="double" w:sz="6" w:space="0" w:color="auto"/>
              <w:bottom w:val="double" w:sz="6" w:space="0" w:color="auto"/>
              <w:right w:val="nil"/>
            </w:tcBorders>
            <w:shd w:val="clear" w:color="000000" w:fill="FFFFFF"/>
            <w:noWrap/>
            <w:vAlign w:val="center"/>
            <w:hideMark/>
          </w:tcPr>
          <w:p w:rsidR="000752BD" w:rsidRDefault="000752BD">
            <w:pPr>
              <w:rPr>
                <w:rFonts w:ascii="Arial" w:hAnsi="Arial" w:cs="Arial"/>
                <w:sz w:val="20"/>
                <w:szCs w:val="20"/>
              </w:rPr>
            </w:pPr>
            <w:r>
              <w:rPr>
                <w:rFonts w:ascii="Arial" w:hAnsi="Arial" w:cs="Arial"/>
                <w:sz w:val="20"/>
                <w:szCs w:val="20"/>
              </w:rPr>
              <w:lastRenderedPageBreak/>
              <w:t> </w:t>
            </w:r>
          </w:p>
        </w:tc>
        <w:tc>
          <w:tcPr>
            <w:tcW w:w="1225" w:type="dxa"/>
            <w:tcBorders>
              <w:top w:val="nil"/>
              <w:left w:val="nil"/>
              <w:bottom w:val="double" w:sz="6" w:space="0" w:color="auto"/>
              <w:right w:val="double" w:sz="6" w:space="0" w:color="auto"/>
            </w:tcBorders>
            <w:shd w:val="clear" w:color="000000" w:fill="FFFFFF"/>
            <w:noWrap/>
            <w:vAlign w:val="center"/>
            <w:hideMark/>
          </w:tcPr>
          <w:p w:rsidR="000752BD" w:rsidRDefault="000752BD">
            <w:pPr>
              <w:rPr>
                <w:rFonts w:ascii="Arial" w:hAnsi="Arial" w:cs="Arial"/>
                <w:sz w:val="20"/>
                <w:szCs w:val="20"/>
              </w:rPr>
            </w:pPr>
            <w:r>
              <w:rPr>
                <w:rFonts w:ascii="Arial" w:hAnsi="Arial" w:cs="Arial"/>
                <w:sz w:val="20"/>
                <w:szCs w:val="20"/>
              </w:rPr>
              <w:t> </w:t>
            </w:r>
          </w:p>
        </w:tc>
        <w:tc>
          <w:tcPr>
            <w:tcW w:w="2491" w:type="dxa"/>
            <w:tcBorders>
              <w:top w:val="nil"/>
              <w:left w:val="double" w:sz="6" w:space="0" w:color="auto"/>
              <w:bottom w:val="double" w:sz="6" w:space="0" w:color="auto"/>
              <w:right w:val="double" w:sz="6" w:space="0" w:color="auto"/>
            </w:tcBorders>
            <w:shd w:val="clear" w:color="000000" w:fill="FFFFFF"/>
            <w:noWrap/>
            <w:vAlign w:val="center"/>
            <w:hideMark/>
          </w:tcPr>
          <w:p w:rsidR="000752BD" w:rsidRDefault="000752BD">
            <w:pPr>
              <w:rPr>
                <w:rFonts w:ascii="Arial" w:hAnsi="Arial" w:cs="Arial"/>
                <w:sz w:val="20"/>
                <w:szCs w:val="20"/>
              </w:rPr>
            </w:pPr>
            <w:r>
              <w:rPr>
                <w:rFonts w:ascii="Arial" w:hAnsi="Arial" w:cs="Arial"/>
                <w:sz w:val="20"/>
                <w:szCs w:val="20"/>
              </w:rPr>
              <w:t> </w:t>
            </w:r>
          </w:p>
        </w:tc>
        <w:tc>
          <w:tcPr>
            <w:tcW w:w="2082" w:type="dxa"/>
            <w:tcBorders>
              <w:top w:val="nil"/>
              <w:left w:val="nil"/>
              <w:bottom w:val="double" w:sz="6" w:space="0" w:color="auto"/>
              <w:right w:val="double" w:sz="6" w:space="0" w:color="auto"/>
            </w:tcBorders>
            <w:shd w:val="clear" w:color="000000" w:fill="FFFFFF"/>
            <w:noWrap/>
            <w:vAlign w:val="center"/>
            <w:hideMark/>
          </w:tcPr>
          <w:p w:rsidR="000752BD" w:rsidRDefault="000752BD">
            <w:pPr>
              <w:rPr>
                <w:rFonts w:ascii="Arial" w:hAnsi="Arial" w:cs="Arial"/>
                <w:sz w:val="20"/>
                <w:szCs w:val="20"/>
              </w:rPr>
            </w:pPr>
            <w:r>
              <w:rPr>
                <w:rFonts w:ascii="Arial" w:hAnsi="Arial" w:cs="Arial"/>
                <w:sz w:val="20"/>
                <w:szCs w:val="20"/>
              </w:rPr>
              <w:t> </w:t>
            </w:r>
          </w:p>
        </w:tc>
      </w:tr>
      <w:tr w:rsidR="000752BD" w:rsidTr="00285B69">
        <w:trPr>
          <w:trHeight w:val="290"/>
        </w:trPr>
        <w:tc>
          <w:tcPr>
            <w:tcW w:w="6881" w:type="dxa"/>
            <w:gridSpan w:val="3"/>
            <w:tcBorders>
              <w:top w:val="nil"/>
              <w:left w:val="double" w:sz="6" w:space="0" w:color="auto"/>
              <w:bottom w:val="nil"/>
              <w:right w:val="double" w:sz="6" w:space="0" w:color="auto"/>
            </w:tcBorders>
            <w:shd w:val="clear" w:color="000000" w:fill="FFFFFF"/>
            <w:noWrap/>
            <w:vAlign w:val="center"/>
            <w:hideMark/>
          </w:tcPr>
          <w:p w:rsidR="000752BD" w:rsidRDefault="000752BD">
            <w:pPr>
              <w:rPr>
                <w:rFonts w:ascii="Arial" w:hAnsi="Arial" w:cs="Arial"/>
                <w:b/>
                <w:bCs/>
                <w:sz w:val="20"/>
                <w:szCs w:val="20"/>
              </w:rPr>
            </w:pPr>
            <w:r>
              <w:rPr>
                <w:rFonts w:ascii="Arial" w:hAnsi="Arial" w:cs="Arial"/>
                <w:b/>
                <w:bCs/>
                <w:sz w:val="20"/>
                <w:szCs w:val="20"/>
              </w:rPr>
              <w:t>TOTAL GASTOS DE FUNCIONAMIENTO</w:t>
            </w:r>
          </w:p>
        </w:tc>
        <w:tc>
          <w:tcPr>
            <w:tcW w:w="2082" w:type="dxa"/>
            <w:tcBorders>
              <w:top w:val="nil"/>
              <w:left w:val="nil"/>
              <w:bottom w:val="nil"/>
              <w:right w:val="double" w:sz="6" w:space="0" w:color="auto"/>
            </w:tcBorders>
            <w:shd w:val="clear" w:color="000000" w:fill="FFFFFF"/>
            <w:noWrap/>
            <w:vAlign w:val="center"/>
            <w:hideMark/>
          </w:tcPr>
          <w:p w:rsidR="000752BD" w:rsidRDefault="000752BD">
            <w:pPr>
              <w:rPr>
                <w:rFonts w:ascii="Arial" w:hAnsi="Arial" w:cs="Arial"/>
                <w:b/>
                <w:bCs/>
                <w:sz w:val="20"/>
                <w:szCs w:val="20"/>
              </w:rPr>
            </w:pPr>
            <w:r>
              <w:rPr>
                <w:rFonts w:ascii="Arial" w:hAnsi="Arial" w:cs="Arial"/>
                <w:b/>
                <w:bCs/>
                <w:sz w:val="20"/>
                <w:szCs w:val="20"/>
              </w:rPr>
              <w:t xml:space="preserve">           2,484,968,153 </w:t>
            </w:r>
          </w:p>
        </w:tc>
      </w:tr>
      <w:tr w:rsidR="000752BD" w:rsidTr="00285B69">
        <w:trPr>
          <w:trHeight w:val="275"/>
        </w:trPr>
        <w:tc>
          <w:tcPr>
            <w:tcW w:w="3165" w:type="dxa"/>
            <w:tcBorders>
              <w:top w:val="double" w:sz="6" w:space="0" w:color="auto"/>
              <w:left w:val="double" w:sz="6" w:space="0" w:color="auto"/>
              <w:bottom w:val="nil"/>
              <w:right w:val="nil"/>
            </w:tcBorders>
            <w:shd w:val="clear" w:color="000000" w:fill="FFFFFF"/>
            <w:noWrap/>
            <w:vAlign w:val="center"/>
            <w:hideMark/>
          </w:tcPr>
          <w:p w:rsidR="000752BD" w:rsidRDefault="000752BD">
            <w:pPr>
              <w:rPr>
                <w:rFonts w:ascii="Arial" w:hAnsi="Arial" w:cs="Arial"/>
                <w:b/>
                <w:bCs/>
                <w:sz w:val="20"/>
                <w:szCs w:val="20"/>
              </w:rPr>
            </w:pPr>
            <w:r>
              <w:rPr>
                <w:rFonts w:ascii="Arial" w:hAnsi="Arial" w:cs="Arial"/>
                <w:b/>
                <w:bCs/>
                <w:sz w:val="20"/>
                <w:szCs w:val="20"/>
              </w:rPr>
              <w:t> </w:t>
            </w:r>
          </w:p>
        </w:tc>
        <w:tc>
          <w:tcPr>
            <w:tcW w:w="1225" w:type="dxa"/>
            <w:tcBorders>
              <w:top w:val="double" w:sz="6" w:space="0" w:color="auto"/>
              <w:left w:val="nil"/>
              <w:bottom w:val="nil"/>
              <w:right w:val="double" w:sz="6" w:space="0" w:color="auto"/>
            </w:tcBorders>
            <w:shd w:val="clear" w:color="000000" w:fill="FFFFFF"/>
            <w:noWrap/>
            <w:vAlign w:val="center"/>
            <w:hideMark/>
          </w:tcPr>
          <w:p w:rsidR="000752BD" w:rsidRDefault="000752BD">
            <w:pPr>
              <w:rPr>
                <w:rFonts w:ascii="Arial" w:hAnsi="Arial" w:cs="Arial"/>
                <w:b/>
                <w:bCs/>
                <w:sz w:val="20"/>
                <w:szCs w:val="20"/>
              </w:rPr>
            </w:pPr>
            <w:r>
              <w:rPr>
                <w:rFonts w:ascii="Arial" w:hAnsi="Arial" w:cs="Arial"/>
                <w:b/>
                <w:bCs/>
                <w:sz w:val="20"/>
                <w:szCs w:val="20"/>
              </w:rPr>
              <w:t> </w:t>
            </w:r>
          </w:p>
        </w:tc>
        <w:tc>
          <w:tcPr>
            <w:tcW w:w="2491" w:type="dxa"/>
            <w:tcBorders>
              <w:top w:val="double" w:sz="6" w:space="0" w:color="auto"/>
              <w:left w:val="nil"/>
              <w:bottom w:val="nil"/>
              <w:right w:val="double" w:sz="6" w:space="0" w:color="auto"/>
            </w:tcBorders>
            <w:shd w:val="clear" w:color="000000" w:fill="FFFFFF"/>
            <w:noWrap/>
            <w:vAlign w:val="center"/>
            <w:hideMark/>
          </w:tcPr>
          <w:p w:rsidR="000752BD" w:rsidRDefault="000752BD">
            <w:pPr>
              <w:rPr>
                <w:rFonts w:ascii="Arial" w:hAnsi="Arial" w:cs="Arial"/>
                <w:b/>
                <w:bCs/>
                <w:sz w:val="20"/>
                <w:szCs w:val="20"/>
              </w:rPr>
            </w:pPr>
            <w:r>
              <w:rPr>
                <w:rFonts w:ascii="Arial" w:hAnsi="Arial" w:cs="Arial"/>
                <w:b/>
                <w:bCs/>
                <w:sz w:val="20"/>
                <w:szCs w:val="20"/>
              </w:rPr>
              <w:t> </w:t>
            </w:r>
          </w:p>
        </w:tc>
        <w:tc>
          <w:tcPr>
            <w:tcW w:w="2082" w:type="dxa"/>
            <w:tcBorders>
              <w:top w:val="double" w:sz="6" w:space="0" w:color="auto"/>
              <w:left w:val="double" w:sz="6" w:space="0" w:color="auto"/>
              <w:bottom w:val="nil"/>
              <w:right w:val="double" w:sz="6" w:space="0" w:color="auto"/>
            </w:tcBorders>
            <w:shd w:val="clear" w:color="000000" w:fill="FFFFFF"/>
            <w:noWrap/>
            <w:vAlign w:val="center"/>
            <w:hideMark/>
          </w:tcPr>
          <w:p w:rsidR="000752BD" w:rsidRDefault="000752BD">
            <w:pPr>
              <w:rPr>
                <w:rFonts w:ascii="Arial" w:hAnsi="Arial" w:cs="Arial"/>
                <w:b/>
                <w:bCs/>
                <w:sz w:val="20"/>
                <w:szCs w:val="20"/>
              </w:rPr>
            </w:pPr>
            <w:r>
              <w:rPr>
                <w:rFonts w:ascii="Arial" w:hAnsi="Arial" w:cs="Arial"/>
                <w:b/>
                <w:bCs/>
                <w:sz w:val="20"/>
                <w:szCs w:val="20"/>
              </w:rPr>
              <w:t> </w:t>
            </w:r>
          </w:p>
        </w:tc>
      </w:tr>
      <w:tr w:rsidR="000752BD" w:rsidTr="00285B69">
        <w:trPr>
          <w:trHeight w:val="259"/>
        </w:trPr>
        <w:tc>
          <w:tcPr>
            <w:tcW w:w="4390" w:type="dxa"/>
            <w:gridSpan w:val="2"/>
            <w:vMerge w:val="restart"/>
            <w:tcBorders>
              <w:top w:val="nil"/>
              <w:left w:val="double" w:sz="6" w:space="0" w:color="auto"/>
              <w:bottom w:val="nil"/>
              <w:right w:val="double" w:sz="6" w:space="0" w:color="000000"/>
            </w:tcBorders>
            <w:shd w:val="clear" w:color="000000" w:fill="FFFFFF"/>
            <w:noWrap/>
            <w:vAlign w:val="center"/>
            <w:hideMark/>
          </w:tcPr>
          <w:p w:rsidR="000752BD" w:rsidRDefault="000752BD">
            <w:pPr>
              <w:rPr>
                <w:rFonts w:ascii="Arial" w:hAnsi="Arial" w:cs="Arial"/>
                <w:sz w:val="20"/>
                <w:szCs w:val="20"/>
              </w:rPr>
            </w:pPr>
            <w:r>
              <w:rPr>
                <w:rFonts w:ascii="Arial" w:hAnsi="Arial" w:cs="Arial"/>
                <w:sz w:val="20"/>
                <w:szCs w:val="20"/>
              </w:rPr>
              <w:t>INVERSION</w:t>
            </w:r>
          </w:p>
        </w:tc>
        <w:tc>
          <w:tcPr>
            <w:tcW w:w="2491" w:type="dxa"/>
            <w:tcBorders>
              <w:top w:val="nil"/>
              <w:left w:val="nil"/>
              <w:bottom w:val="nil"/>
              <w:right w:val="double" w:sz="6" w:space="0" w:color="auto"/>
            </w:tcBorders>
            <w:shd w:val="clear" w:color="000000" w:fill="FFFFFF"/>
            <w:noWrap/>
            <w:vAlign w:val="center"/>
            <w:hideMark/>
          </w:tcPr>
          <w:p w:rsidR="000752BD" w:rsidRDefault="000752BD">
            <w:pPr>
              <w:rPr>
                <w:rFonts w:ascii="Arial" w:hAnsi="Arial" w:cs="Arial"/>
                <w:sz w:val="20"/>
                <w:szCs w:val="20"/>
              </w:rPr>
            </w:pPr>
            <w:r>
              <w:rPr>
                <w:rFonts w:ascii="Arial" w:hAnsi="Arial" w:cs="Arial"/>
                <w:sz w:val="20"/>
                <w:szCs w:val="20"/>
              </w:rPr>
              <w:t>APORTES NACIÓN</w:t>
            </w:r>
          </w:p>
        </w:tc>
        <w:tc>
          <w:tcPr>
            <w:tcW w:w="2082" w:type="dxa"/>
            <w:tcBorders>
              <w:top w:val="nil"/>
              <w:left w:val="nil"/>
              <w:bottom w:val="nil"/>
              <w:right w:val="double" w:sz="6" w:space="0" w:color="auto"/>
            </w:tcBorders>
            <w:shd w:val="clear" w:color="000000" w:fill="FFFFFF"/>
            <w:noWrap/>
            <w:vAlign w:val="center"/>
            <w:hideMark/>
          </w:tcPr>
          <w:p w:rsidR="000752BD" w:rsidRDefault="000752BD">
            <w:pPr>
              <w:rPr>
                <w:rFonts w:ascii="Arial" w:hAnsi="Arial" w:cs="Arial"/>
                <w:sz w:val="20"/>
                <w:szCs w:val="20"/>
              </w:rPr>
            </w:pPr>
            <w:r>
              <w:rPr>
                <w:rFonts w:ascii="Arial" w:hAnsi="Arial" w:cs="Arial"/>
                <w:sz w:val="20"/>
                <w:szCs w:val="20"/>
              </w:rPr>
              <w:t xml:space="preserve">         14,540,261,691 </w:t>
            </w:r>
          </w:p>
        </w:tc>
      </w:tr>
      <w:tr w:rsidR="000752BD" w:rsidTr="00285B69">
        <w:trPr>
          <w:trHeight w:val="259"/>
        </w:trPr>
        <w:tc>
          <w:tcPr>
            <w:tcW w:w="4390" w:type="dxa"/>
            <w:gridSpan w:val="2"/>
            <w:vMerge/>
            <w:tcBorders>
              <w:top w:val="nil"/>
              <w:left w:val="double" w:sz="6" w:space="0" w:color="auto"/>
              <w:bottom w:val="nil"/>
              <w:right w:val="double" w:sz="6" w:space="0" w:color="000000"/>
            </w:tcBorders>
            <w:vAlign w:val="center"/>
            <w:hideMark/>
          </w:tcPr>
          <w:p w:rsidR="000752BD" w:rsidRDefault="000752BD">
            <w:pPr>
              <w:rPr>
                <w:rFonts w:ascii="Arial" w:hAnsi="Arial" w:cs="Arial"/>
                <w:sz w:val="20"/>
                <w:szCs w:val="20"/>
              </w:rPr>
            </w:pPr>
          </w:p>
        </w:tc>
        <w:tc>
          <w:tcPr>
            <w:tcW w:w="2491" w:type="dxa"/>
            <w:tcBorders>
              <w:top w:val="nil"/>
              <w:left w:val="nil"/>
              <w:bottom w:val="nil"/>
              <w:right w:val="double" w:sz="6" w:space="0" w:color="auto"/>
            </w:tcBorders>
            <w:shd w:val="clear" w:color="000000" w:fill="FFFFFF"/>
            <w:noWrap/>
            <w:vAlign w:val="center"/>
            <w:hideMark/>
          </w:tcPr>
          <w:p w:rsidR="000752BD" w:rsidRDefault="000752BD">
            <w:pPr>
              <w:rPr>
                <w:rFonts w:ascii="Arial" w:hAnsi="Arial" w:cs="Arial"/>
                <w:sz w:val="20"/>
                <w:szCs w:val="20"/>
              </w:rPr>
            </w:pPr>
            <w:r>
              <w:rPr>
                <w:rFonts w:ascii="Arial" w:hAnsi="Arial" w:cs="Arial"/>
                <w:sz w:val="20"/>
                <w:szCs w:val="20"/>
              </w:rPr>
              <w:t>RECURSOS PROPIOS</w:t>
            </w:r>
          </w:p>
        </w:tc>
        <w:tc>
          <w:tcPr>
            <w:tcW w:w="2082" w:type="dxa"/>
            <w:tcBorders>
              <w:top w:val="nil"/>
              <w:left w:val="nil"/>
              <w:bottom w:val="nil"/>
              <w:right w:val="double" w:sz="6" w:space="0" w:color="auto"/>
            </w:tcBorders>
            <w:shd w:val="clear" w:color="000000" w:fill="FFFFFF"/>
            <w:noWrap/>
            <w:vAlign w:val="center"/>
            <w:hideMark/>
          </w:tcPr>
          <w:p w:rsidR="000752BD" w:rsidRDefault="000752BD">
            <w:pPr>
              <w:rPr>
                <w:rFonts w:ascii="Arial" w:hAnsi="Arial" w:cs="Arial"/>
                <w:sz w:val="20"/>
                <w:szCs w:val="20"/>
              </w:rPr>
            </w:pPr>
            <w:r>
              <w:rPr>
                <w:rFonts w:ascii="Arial" w:hAnsi="Arial" w:cs="Arial"/>
                <w:sz w:val="20"/>
                <w:szCs w:val="20"/>
              </w:rPr>
              <w:t xml:space="preserve">         43,355,326,018 </w:t>
            </w:r>
          </w:p>
        </w:tc>
      </w:tr>
      <w:tr w:rsidR="000752BD" w:rsidTr="00285B69">
        <w:trPr>
          <w:trHeight w:val="275"/>
        </w:trPr>
        <w:tc>
          <w:tcPr>
            <w:tcW w:w="3165" w:type="dxa"/>
            <w:tcBorders>
              <w:top w:val="nil"/>
              <w:left w:val="double" w:sz="6" w:space="0" w:color="auto"/>
              <w:bottom w:val="double" w:sz="6" w:space="0" w:color="auto"/>
              <w:right w:val="nil"/>
            </w:tcBorders>
            <w:shd w:val="clear" w:color="000000" w:fill="FFFFFF"/>
            <w:noWrap/>
            <w:vAlign w:val="center"/>
            <w:hideMark/>
          </w:tcPr>
          <w:p w:rsidR="000752BD" w:rsidRDefault="000752BD">
            <w:pPr>
              <w:rPr>
                <w:rFonts w:ascii="Arial" w:hAnsi="Arial" w:cs="Arial"/>
                <w:sz w:val="20"/>
                <w:szCs w:val="20"/>
              </w:rPr>
            </w:pPr>
            <w:r>
              <w:rPr>
                <w:rFonts w:ascii="Arial" w:hAnsi="Arial" w:cs="Arial"/>
                <w:sz w:val="20"/>
                <w:szCs w:val="20"/>
              </w:rPr>
              <w:t> </w:t>
            </w:r>
          </w:p>
        </w:tc>
        <w:tc>
          <w:tcPr>
            <w:tcW w:w="1225" w:type="dxa"/>
            <w:tcBorders>
              <w:top w:val="nil"/>
              <w:left w:val="nil"/>
              <w:bottom w:val="double" w:sz="6" w:space="0" w:color="auto"/>
              <w:right w:val="double" w:sz="6" w:space="0" w:color="auto"/>
            </w:tcBorders>
            <w:shd w:val="clear" w:color="000000" w:fill="FFFFFF"/>
            <w:noWrap/>
            <w:vAlign w:val="center"/>
            <w:hideMark/>
          </w:tcPr>
          <w:p w:rsidR="000752BD" w:rsidRDefault="000752BD">
            <w:pPr>
              <w:rPr>
                <w:rFonts w:ascii="Arial" w:hAnsi="Arial" w:cs="Arial"/>
                <w:sz w:val="20"/>
                <w:szCs w:val="20"/>
              </w:rPr>
            </w:pPr>
            <w:r>
              <w:rPr>
                <w:rFonts w:ascii="Arial" w:hAnsi="Arial" w:cs="Arial"/>
                <w:sz w:val="20"/>
                <w:szCs w:val="20"/>
              </w:rPr>
              <w:t> </w:t>
            </w:r>
          </w:p>
        </w:tc>
        <w:tc>
          <w:tcPr>
            <w:tcW w:w="2491" w:type="dxa"/>
            <w:tcBorders>
              <w:top w:val="nil"/>
              <w:left w:val="double" w:sz="6" w:space="0" w:color="auto"/>
              <w:bottom w:val="double" w:sz="6" w:space="0" w:color="auto"/>
              <w:right w:val="double" w:sz="6" w:space="0" w:color="auto"/>
            </w:tcBorders>
            <w:shd w:val="clear" w:color="000000" w:fill="FFFFFF"/>
            <w:noWrap/>
            <w:vAlign w:val="center"/>
            <w:hideMark/>
          </w:tcPr>
          <w:p w:rsidR="000752BD" w:rsidRDefault="000752BD">
            <w:pPr>
              <w:rPr>
                <w:rFonts w:ascii="Arial" w:hAnsi="Arial" w:cs="Arial"/>
                <w:sz w:val="20"/>
                <w:szCs w:val="20"/>
              </w:rPr>
            </w:pPr>
            <w:r>
              <w:rPr>
                <w:rFonts w:ascii="Arial" w:hAnsi="Arial" w:cs="Arial"/>
                <w:sz w:val="20"/>
                <w:szCs w:val="20"/>
              </w:rPr>
              <w:t> </w:t>
            </w:r>
          </w:p>
        </w:tc>
        <w:tc>
          <w:tcPr>
            <w:tcW w:w="2082" w:type="dxa"/>
            <w:tcBorders>
              <w:top w:val="nil"/>
              <w:left w:val="nil"/>
              <w:bottom w:val="double" w:sz="6" w:space="0" w:color="auto"/>
              <w:right w:val="double" w:sz="6" w:space="0" w:color="auto"/>
            </w:tcBorders>
            <w:shd w:val="clear" w:color="000000" w:fill="FFFFFF"/>
            <w:noWrap/>
            <w:vAlign w:val="center"/>
            <w:hideMark/>
          </w:tcPr>
          <w:p w:rsidR="000752BD" w:rsidRDefault="000752BD">
            <w:pPr>
              <w:rPr>
                <w:rFonts w:ascii="Arial" w:hAnsi="Arial" w:cs="Arial"/>
                <w:sz w:val="20"/>
                <w:szCs w:val="20"/>
              </w:rPr>
            </w:pPr>
            <w:r>
              <w:rPr>
                <w:rFonts w:ascii="Arial" w:hAnsi="Arial" w:cs="Arial"/>
                <w:sz w:val="20"/>
                <w:szCs w:val="20"/>
              </w:rPr>
              <w:t> </w:t>
            </w:r>
          </w:p>
        </w:tc>
      </w:tr>
      <w:tr w:rsidR="000752BD" w:rsidTr="00285B69">
        <w:trPr>
          <w:trHeight w:val="351"/>
        </w:trPr>
        <w:tc>
          <w:tcPr>
            <w:tcW w:w="3165" w:type="dxa"/>
            <w:tcBorders>
              <w:top w:val="nil"/>
              <w:left w:val="double" w:sz="6" w:space="0" w:color="auto"/>
              <w:bottom w:val="double" w:sz="6" w:space="0" w:color="auto"/>
              <w:right w:val="double" w:sz="6" w:space="0" w:color="auto"/>
            </w:tcBorders>
            <w:shd w:val="clear" w:color="000000" w:fill="FFFFFF"/>
            <w:noWrap/>
            <w:vAlign w:val="center"/>
            <w:hideMark/>
          </w:tcPr>
          <w:p w:rsidR="000752BD" w:rsidRDefault="000752BD">
            <w:pPr>
              <w:rPr>
                <w:rFonts w:ascii="Arial" w:hAnsi="Arial" w:cs="Arial"/>
                <w:b/>
                <w:bCs/>
                <w:sz w:val="20"/>
                <w:szCs w:val="20"/>
              </w:rPr>
            </w:pPr>
            <w:r>
              <w:rPr>
                <w:rFonts w:ascii="Arial" w:hAnsi="Arial" w:cs="Arial"/>
                <w:b/>
                <w:bCs/>
                <w:sz w:val="20"/>
                <w:szCs w:val="20"/>
              </w:rPr>
              <w:t>TOTAL GASTOS DE INVERSIÓN</w:t>
            </w:r>
          </w:p>
        </w:tc>
        <w:tc>
          <w:tcPr>
            <w:tcW w:w="1225" w:type="dxa"/>
            <w:tcBorders>
              <w:top w:val="nil"/>
              <w:left w:val="nil"/>
              <w:bottom w:val="double" w:sz="6" w:space="0" w:color="auto"/>
              <w:right w:val="double" w:sz="6" w:space="0" w:color="auto"/>
            </w:tcBorders>
            <w:shd w:val="clear" w:color="000000" w:fill="FFFFFF"/>
            <w:noWrap/>
            <w:vAlign w:val="center"/>
            <w:hideMark/>
          </w:tcPr>
          <w:p w:rsidR="000752BD" w:rsidRDefault="000752BD">
            <w:pPr>
              <w:rPr>
                <w:rFonts w:ascii="Arial" w:hAnsi="Arial" w:cs="Arial"/>
                <w:b/>
                <w:bCs/>
                <w:sz w:val="20"/>
                <w:szCs w:val="20"/>
              </w:rPr>
            </w:pPr>
            <w:r>
              <w:rPr>
                <w:rFonts w:ascii="Arial" w:hAnsi="Arial" w:cs="Arial"/>
                <w:b/>
                <w:bCs/>
                <w:sz w:val="20"/>
                <w:szCs w:val="20"/>
              </w:rPr>
              <w:t> </w:t>
            </w:r>
          </w:p>
        </w:tc>
        <w:tc>
          <w:tcPr>
            <w:tcW w:w="2491" w:type="dxa"/>
            <w:tcBorders>
              <w:top w:val="nil"/>
              <w:left w:val="nil"/>
              <w:bottom w:val="double" w:sz="6" w:space="0" w:color="auto"/>
              <w:right w:val="double" w:sz="6" w:space="0" w:color="auto"/>
            </w:tcBorders>
            <w:shd w:val="clear" w:color="000000" w:fill="FFFFFF"/>
            <w:noWrap/>
            <w:vAlign w:val="center"/>
            <w:hideMark/>
          </w:tcPr>
          <w:p w:rsidR="000752BD" w:rsidRDefault="000752BD">
            <w:pPr>
              <w:rPr>
                <w:rFonts w:ascii="Arial" w:hAnsi="Arial" w:cs="Arial"/>
                <w:b/>
                <w:bCs/>
                <w:sz w:val="20"/>
                <w:szCs w:val="20"/>
              </w:rPr>
            </w:pPr>
            <w:r>
              <w:rPr>
                <w:rFonts w:ascii="Arial" w:hAnsi="Arial" w:cs="Arial"/>
                <w:b/>
                <w:bCs/>
                <w:sz w:val="20"/>
                <w:szCs w:val="20"/>
              </w:rPr>
              <w:t> </w:t>
            </w:r>
          </w:p>
        </w:tc>
        <w:tc>
          <w:tcPr>
            <w:tcW w:w="2082" w:type="dxa"/>
            <w:tcBorders>
              <w:top w:val="nil"/>
              <w:left w:val="nil"/>
              <w:bottom w:val="double" w:sz="6" w:space="0" w:color="auto"/>
              <w:right w:val="double" w:sz="6" w:space="0" w:color="auto"/>
            </w:tcBorders>
            <w:shd w:val="clear" w:color="000000" w:fill="FFFFFF"/>
            <w:noWrap/>
            <w:vAlign w:val="center"/>
            <w:hideMark/>
          </w:tcPr>
          <w:p w:rsidR="000752BD" w:rsidRDefault="000752BD">
            <w:pPr>
              <w:rPr>
                <w:rFonts w:ascii="Arial" w:hAnsi="Arial" w:cs="Arial"/>
                <w:b/>
                <w:bCs/>
                <w:sz w:val="20"/>
                <w:szCs w:val="20"/>
              </w:rPr>
            </w:pPr>
            <w:r>
              <w:rPr>
                <w:rFonts w:ascii="Arial" w:hAnsi="Arial" w:cs="Arial"/>
                <w:b/>
                <w:bCs/>
                <w:sz w:val="20"/>
                <w:szCs w:val="20"/>
              </w:rPr>
              <w:t xml:space="preserve">         57,895,587,709 </w:t>
            </w:r>
          </w:p>
        </w:tc>
      </w:tr>
      <w:tr w:rsidR="000752BD" w:rsidTr="00285B69">
        <w:trPr>
          <w:trHeight w:val="489"/>
        </w:trPr>
        <w:tc>
          <w:tcPr>
            <w:tcW w:w="6881" w:type="dxa"/>
            <w:gridSpan w:val="3"/>
            <w:tcBorders>
              <w:top w:val="nil"/>
              <w:left w:val="double" w:sz="6" w:space="0" w:color="auto"/>
              <w:bottom w:val="double" w:sz="6" w:space="0" w:color="auto"/>
              <w:right w:val="double" w:sz="6" w:space="0" w:color="auto"/>
            </w:tcBorders>
            <w:shd w:val="clear" w:color="000000" w:fill="FFFFFF"/>
            <w:noWrap/>
            <w:vAlign w:val="center"/>
            <w:hideMark/>
          </w:tcPr>
          <w:p w:rsidR="000752BD" w:rsidRDefault="000752BD">
            <w:pPr>
              <w:jc w:val="center"/>
              <w:rPr>
                <w:rFonts w:ascii="Arial" w:hAnsi="Arial" w:cs="Arial"/>
                <w:b/>
                <w:bCs/>
                <w:sz w:val="20"/>
                <w:szCs w:val="20"/>
              </w:rPr>
            </w:pPr>
            <w:r>
              <w:rPr>
                <w:rFonts w:ascii="Arial" w:hAnsi="Arial" w:cs="Arial"/>
                <w:b/>
                <w:bCs/>
                <w:sz w:val="20"/>
                <w:szCs w:val="20"/>
              </w:rPr>
              <w:t>TOTAL CUENTAS POR PAGAR 2015</w:t>
            </w:r>
          </w:p>
        </w:tc>
        <w:tc>
          <w:tcPr>
            <w:tcW w:w="2082" w:type="dxa"/>
            <w:tcBorders>
              <w:top w:val="nil"/>
              <w:left w:val="nil"/>
              <w:bottom w:val="double" w:sz="6" w:space="0" w:color="auto"/>
              <w:right w:val="double" w:sz="6" w:space="0" w:color="auto"/>
            </w:tcBorders>
            <w:shd w:val="clear" w:color="000000" w:fill="FFFFFF"/>
            <w:noWrap/>
            <w:vAlign w:val="center"/>
            <w:hideMark/>
          </w:tcPr>
          <w:p w:rsidR="000752BD" w:rsidRDefault="000752BD">
            <w:pPr>
              <w:rPr>
                <w:rFonts w:ascii="Arial" w:hAnsi="Arial" w:cs="Arial"/>
                <w:b/>
                <w:bCs/>
                <w:sz w:val="20"/>
                <w:szCs w:val="20"/>
              </w:rPr>
            </w:pPr>
            <w:r>
              <w:rPr>
                <w:rFonts w:ascii="Arial" w:hAnsi="Arial" w:cs="Arial"/>
                <w:b/>
                <w:bCs/>
                <w:sz w:val="20"/>
                <w:szCs w:val="20"/>
              </w:rPr>
              <w:t xml:space="preserve">         60,380,555,862 </w:t>
            </w:r>
          </w:p>
        </w:tc>
      </w:tr>
      <w:tr w:rsidR="000752BD" w:rsidTr="00285B69">
        <w:trPr>
          <w:trHeight w:val="275"/>
        </w:trPr>
        <w:tc>
          <w:tcPr>
            <w:tcW w:w="8964" w:type="dxa"/>
            <w:gridSpan w:val="4"/>
            <w:tcBorders>
              <w:top w:val="double" w:sz="6" w:space="0" w:color="auto"/>
              <w:left w:val="nil"/>
              <w:bottom w:val="nil"/>
              <w:right w:val="nil"/>
            </w:tcBorders>
            <w:shd w:val="clear" w:color="000000" w:fill="FFFFFF"/>
            <w:noWrap/>
            <w:vAlign w:val="bottom"/>
            <w:hideMark/>
          </w:tcPr>
          <w:p w:rsidR="000752BD" w:rsidRDefault="000752BD">
            <w:pPr>
              <w:jc w:val="center"/>
              <w:rPr>
                <w:rFonts w:ascii="Arial" w:hAnsi="Arial" w:cs="Arial"/>
                <w:color w:val="000000"/>
                <w:sz w:val="16"/>
                <w:szCs w:val="16"/>
              </w:rPr>
            </w:pPr>
            <w:r>
              <w:rPr>
                <w:rFonts w:ascii="Arial" w:hAnsi="Arial" w:cs="Arial"/>
                <w:color w:val="000000"/>
                <w:sz w:val="16"/>
                <w:szCs w:val="16"/>
              </w:rPr>
              <w:t>Cifras en pesos</w:t>
            </w:r>
          </w:p>
        </w:tc>
      </w:tr>
    </w:tbl>
    <w:p w:rsidR="00E17243" w:rsidRDefault="00E17243" w:rsidP="008A458F">
      <w:pPr>
        <w:rPr>
          <w:rFonts w:ascii="Arial Narrow" w:hAnsi="Arial Narrow" w:cs="Gisha"/>
          <w:b/>
          <w:color w:val="7030A0"/>
          <w:sz w:val="22"/>
          <w:szCs w:val="22"/>
        </w:rPr>
      </w:pPr>
    </w:p>
    <w:p w:rsidR="00285B69" w:rsidRDefault="00285B69" w:rsidP="008A458F">
      <w:pPr>
        <w:rPr>
          <w:rFonts w:ascii="Arial Narrow" w:hAnsi="Arial Narrow" w:cs="Gisha"/>
          <w:b/>
          <w:sz w:val="22"/>
          <w:szCs w:val="22"/>
        </w:rPr>
      </w:pPr>
    </w:p>
    <w:p w:rsidR="00DD3694" w:rsidRPr="003156AF" w:rsidRDefault="008A458F" w:rsidP="008A458F">
      <w:pPr>
        <w:rPr>
          <w:rFonts w:ascii="Arial Narrow" w:hAnsi="Arial Narrow" w:cs="Gisha"/>
          <w:b/>
          <w:sz w:val="22"/>
          <w:szCs w:val="22"/>
        </w:rPr>
      </w:pPr>
      <w:r w:rsidRPr="003156AF">
        <w:rPr>
          <w:rFonts w:ascii="Arial Narrow" w:hAnsi="Arial Narrow" w:cs="Gisha"/>
          <w:b/>
          <w:sz w:val="22"/>
          <w:szCs w:val="22"/>
        </w:rPr>
        <w:t>NOTA 1</w:t>
      </w:r>
      <w:r w:rsidR="00B07C70">
        <w:rPr>
          <w:rFonts w:ascii="Arial Narrow" w:hAnsi="Arial Narrow" w:cs="Gisha"/>
          <w:b/>
          <w:sz w:val="22"/>
          <w:szCs w:val="22"/>
        </w:rPr>
        <w:t>6</w:t>
      </w:r>
      <w:r w:rsidRPr="003156AF">
        <w:rPr>
          <w:rFonts w:ascii="Arial Narrow" w:hAnsi="Arial Narrow" w:cs="Gisha"/>
          <w:b/>
          <w:sz w:val="22"/>
          <w:szCs w:val="22"/>
        </w:rPr>
        <w:t xml:space="preserve">.   INFORMACION RELATIVA A LOS CONTRATOS DE CONCESION </w:t>
      </w:r>
    </w:p>
    <w:p w:rsidR="008A458F" w:rsidRPr="003156AF" w:rsidRDefault="008A458F" w:rsidP="008A458F">
      <w:pPr>
        <w:rPr>
          <w:rFonts w:ascii="Arial Narrow" w:hAnsi="Arial Narrow" w:cs="Gisha"/>
          <w:b/>
          <w:sz w:val="22"/>
          <w:szCs w:val="22"/>
        </w:rPr>
      </w:pPr>
    </w:p>
    <w:p w:rsidR="008A458F" w:rsidRPr="003156AF" w:rsidRDefault="008A458F" w:rsidP="008A458F">
      <w:pPr>
        <w:jc w:val="both"/>
        <w:rPr>
          <w:rFonts w:ascii="Arial Narrow" w:hAnsi="Arial Narrow" w:cs="Gisha"/>
          <w:sz w:val="22"/>
          <w:szCs w:val="22"/>
          <w:lang w:val="es-ES_tradnl"/>
        </w:rPr>
      </w:pPr>
      <w:r w:rsidRPr="003156AF">
        <w:rPr>
          <w:rFonts w:ascii="Arial Narrow" w:hAnsi="Arial Narrow" w:cs="Gisha"/>
          <w:sz w:val="22"/>
          <w:szCs w:val="22"/>
          <w:lang w:val="es-ES_tradnl"/>
        </w:rPr>
        <w:t xml:space="preserve">Atendiendo lo </w:t>
      </w:r>
      <w:r w:rsidR="003C564F" w:rsidRPr="003156AF">
        <w:rPr>
          <w:rFonts w:ascii="Arial Narrow" w:hAnsi="Arial Narrow" w:cs="Gisha"/>
          <w:sz w:val="22"/>
          <w:szCs w:val="22"/>
          <w:lang w:val="es-ES_tradnl"/>
        </w:rPr>
        <w:t xml:space="preserve">previsto </w:t>
      </w:r>
      <w:r w:rsidRPr="003156AF">
        <w:rPr>
          <w:rFonts w:ascii="Arial Narrow" w:hAnsi="Arial Narrow" w:cs="Gisha"/>
          <w:sz w:val="22"/>
          <w:szCs w:val="22"/>
          <w:lang w:val="es-ES_tradnl"/>
        </w:rPr>
        <w:t xml:space="preserve">en </w:t>
      </w:r>
      <w:r w:rsidR="003C564F" w:rsidRPr="003156AF">
        <w:rPr>
          <w:rFonts w:ascii="Arial Narrow" w:hAnsi="Arial Narrow" w:cs="Gisha"/>
          <w:sz w:val="22"/>
          <w:szCs w:val="22"/>
          <w:lang w:val="es-ES_tradnl"/>
        </w:rPr>
        <w:t xml:space="preserve">el artículo 6 de </w:t>
      </w:r>
      <w:r w:rsidR="00132042" w:rsidRPr="003156AF">
        <w:rPr>
          <w:rFonts w:ascii="Arial Narrow" w:hAnsi="Arial Narrow" w:cs="Gisha"/>
          <w:sz w:val="22"/>
          <w:szCs w:val="22"/>
          <w:lang w:val="es-ES_tradnl"/>
        </w:rPr>
        <w:t>la R</w:t>
      </w:r>
      <w:r w:rsidRPr="003156AF">
        <w:rPr>
          <w:rFonts w:ascii="Arial Narrow" w:hAnsi="Arial Narrow" w:cs="Gisha"/>
          <w:sz w:val="22"/>
          <w:szCs w:val="22"/>
          <w:lang w:val="es-ES_tradnl"/>
        </w:rPr>
        <w:t xml:space="preserve">esolución Número 237 del 20 de agosto del 2010, </w:t>
      </w:r>
      <w:r w:rsidR="003C564F" w:rsidRPr="003156AF">
        <w:rPr>
          <w:rFonts w:ascii="Arial Narrow" w:hAnsi="Arial Narrow" w:cs="Gisha"/>
          <w:sz w:val="22"/>
          <w:szCs w:val="22"/>
          <w:lang w:val="es-ES_tradnl"/>
        </w:rPr>
        <w:t xml:space="preserve">expedida por </w:t>
      </w:r>
      <w:r w:rsidRPr="003156AF">
        <w:rPr>
          <w:rFonts w:ascii="Arial Narrow" w:hAnsi="Arial Narrow" w:cs="Gisha"/>
          <w:sz w:val="22"/>
          <w:szCs w:val="22"/>
          <w:lang w:val="es-ES_tradnl"/>
        </w:rPr>
        <w:t xml:space="preserve">la Contaduría General de la Nación, </w:t>
      </w:r>
      <w:r w:rsidR="003C564F" w:rsidRPr="003156AF">
        <w:rPr>
          <w:rFonts w:ascii="Arial Narrow" w:hAnsi="Arial Narrow" w:cs="Gisha"/>
          <w:sz w:val="22"/>
          <w:szCs w:val="22"/>
          <w:lang w:val="es-ES_tradnl"/>
        </w:rPr>
        <w:t xml:space="preserve">se detalla en el Anexo </w:t>
      </w:r>
      <w:r w:rsidR="00CF31B4" w:rsidRPr="003156AF">
        <w:rPr>
          <w:rFonts w:ascii="Arial Narrow" w:hAnsi="Arial Narrow" w:cs="Gisha"/>
          <w:sz w:val="22"/>
          <w:szCs w:val="22"/>
          <w:lang w:val="es-ES_tradnl"/>
        </w:rPr>
        <w:t>1</w:t>
      </w:r>
      <w:r w:rsidR="00A837BA">
        <w:rPr>
          <w:rFonts w:ascii="Arial Narrow" w:hAnsi="Arial Narrow" w:cs="Gisha"/>
          <w:sz w:val="22"/>
          <w:szCs w:val="22"/>
          <w:lang w:val="es-ES_tradnl"/>
        </w:rPr>
        <w:t>1</w:t>
      </w:r>
      <w:r w:rsidR="00327759" w:rsidRPr="003156AF">
        <w:rPr>
          <w:rFonts w:ascii="Arial Narrow" w:hAnsi="Arial Narrow" w:cs="Gisha"/>
          <w:sz w:val="22"/>
          <w:szCs w:val="22"/>
          <w:lang w:val="es-ES_tradnl"/>
        </w:rPr>
        <w:t>,</w:t>
      </w:r>
      <w:r w:rsidRPr="003156AF">
        <w:rPr>
          <w:rFonts w:ascii="Arial Narrow" w:hAnsi="Arial Narrow" w:cs="Gisha"/>
          <w:sz w:val="22"/>
          <w:szCs w:val="22"/>
          <w:lang w:val="es-ES_tradnl"/>
        </w:rPr>
        <w:t xml:space="preserve"> </w:t>
      </w:r>
      <w:r w:rsidR="003C564F" w:rsidRPr="003156AF">
        <w:rPr>
          <w:rFonts w:ascii="Arial Narrow" w:hAnsi="Arial Narrow" w:cs="Gisha"/>
          <w:sz w:val="22"/>
          <w:szCs w:val="22"/>
          <w:lang w:val="es-ES_tradnl"/>
        </w:rPr>
        <w:t xml:space="preserve">la información </w:t>
      </w:r>
      <w:r w:rsidRPr="003156AF">
        <w:rPr>
          <w:rFonts w:ascii="Arial Narrow" w:hAnsi="Arial Narrow" w:cs="Gisha"/>
          <w:sz w:val="22"/>
          <w:szCs w:val="22"/>
          <w:lang w:val="es-ES_tradnl"/>
        </w:rPr>
        <w:t>respecto de los contratos de concesión en los modos Carretero, Portuario</w:t>
      </w:r>
      <w:r w:rsidR="00977A15">
        <w:rPr>
          <w:rFonts w:ascii="Arial Narrow" w:hAnsi="Arial Narrow" w:cs="Gisha"/>
          <w:sz w:val="22"/>
          <w:szCs w:val="22"/>
          <w:lang w:val="es-ES_tradnl"/>
        </w:rPr>
        <w:t>,</w:t>
      </w:r>
      <w:r w:rsidRPr="003156AF">
        <w:rPr>
          <w:rFonts w:ascii="Arial Narrow" w:hAnsi="Arial Narrow" w:cs="Gisha"/>
          <w:sz w:val="22"/>
          <w:szCs w:val="22"/>
          <w:lang w:val="es-ES_tradnl"/>
        </w:rPr>
        <w:t xml:space="preserve"> Férreo</w:t>
      </w:r>
      <w:r w:rsidR="00977A15">
        <w:rPr>
          <w:rFonts w:ascii="Arial Narrow" w:hAnsi="Arial Narrow" w:cs="Gisha"/>
          <w:sz w:val="22"/>
          <w:szCs w:val="22"/>
          <w:lang w:val="es-ES_tradnl"/>
        </w:rPr>
        <w:t xml:space="preserve"> y Aeroportuario</w:t>
      </w:r>
      <w:r w:rsidRPr="003156AF">
        <w:rPr>
          <w:rFonts w:ascii="Arial Narrow" w:hAnsi="Arial Narrow" w:cs="Gisha"/>
          <w:sz w:val="22"/>
          <w:szCs w:val="22"/>
          <w:lang w:val="es-ES_tradnl"/>
        </w:rPr>
        <w:t>.</w:t>
      </w:r>
    </w:p>
    <w:p w:rsidR="00890387" w:rsidRPr="00E84E04" w:rsidRDefault="00890387" w:rsidP="00ED6C1E">
      <w:pPr>
        <w:pStyle w:val="Encabezado"/>
        <w:tabs>
          <w:tab w:val="left" w:pos="708"/>
        </w:tabs>
        <w:jc w:val="both"/>
        <w:rPr>
          <w:rFonts w:ascii="Arial Narrow" w:hAnsi="Arial Narrow" w:cs="Gisha"/>
          <w:b/>
          <w:bCs/>
          <w:color w:val="7030A0"/>
          <w:sz w:val="22"/>
          <w:szCs w:val="22"/>
          <w:lang w:val="es-ES_tradnl"/>
        </w:rPr>
      </w:pPr>
    </w:p>
    <w:p w:rsidR="00F12C5E" w:rsidRDefault="00F12C5E" w:rsidP="00ED6C1E">
      <w:pPr>
        <w:pStyle w:val="Encabezado"/>
        <w:tabs>
          <w:tab w:val="left" w:pos="708"/>
        </w:tabs>
        <w:jc w:val="both"/>
        <w:rPr>
          <w:rFonts w:ascii="Arial Narrow" w:hAnsi="Arial Narrow" w:cs="Gisha"/>
          <w:b/>
          <w:bCs/>
          <w:color w:val="auto"/>
          <w:sz w:val="22"/>
          <w:szCs w:val="22"/>
          <w:lang w:val="pt-BR"/>
        </w:rPr>
      </w:pPr>
    </w:p>
    <w:p w:rsidR="000376B6" w:rsidRDefault="000376B6" w:rsidP="00ED6C1E">
      <w:pPr>
        <w:pStyle w:val="Encabezado"/>
        <w:tabs>
          <w:tab w:val="left" w:pos="708"/>
        </w:tabs>
        <w:jc w:val="both"/>
        <w:rPr>
          <w:rFonts w:ascii="Arial Narrow" w:hAnsi="Arial Narrow" w:cs="Gisha"/>
          <w:b/>
          <w:bCs/>
          <w:color w:val="auto"/>
          <w:sz w:val="22"/>
          <w:szCs w:val="22"/>
          <w:lang w:val="pt-BR"/>
        </w:rPr>
      </w:pPr>
    </w:p>
    <w:p w:rsidR="00010311" w:rsidRPr="005B2A57" w:rsidRDefault="00010311" w:rsidP="00010311">
      <w:pPr>
        <w:pStyle w:val="Encabezado"/>
        <w:tabs>
          <w:tab w:val="left" w:pos="708"/>
        </w:tabs>
        <w:jc w:val="both"/>
        <w:rPr>
          <w:rFonts w:ascii="Arial Narrow" w:hAnsi="Arial Narrow" w:cs="Gisha"/>
          <w:b/>
          <w:bCs/>
          <w:color w:val="auto"/>
          <w:sz w:val="22"/>
          <w:szCs w:val="22"/>
          <w:lang w:val="pt-BR"/>
        </w:rPr>
      </w:pPr>
    </w:p>
    <w:p w:rsidR="00010311" w:rsidRPr="005B2A57" w:rsidRDefault="00010311" w:rsidP="00010311">
      <w:pPr>
        <w:pStyle w:val="Encabezado"/>
        <w:tabs>
          <w:tab w:val="left" w:pos="708"/>
        </w:tabs>
        <w:jc w:val="both"/>
        <w:rPr>
          <w:rFonts w:ascii="Arial Narrow" w:hAnsi="Arial Narrow" w:cs="Gisha"/>
          <w:b/>
          <w:bCs/>
          <w:color w:val="auto"/>
          <w:sz w:val="22"/>
          <w:szCs w:val="22"/>
          <w:lang w:val="pt-BR"/>
        </w:rPr>
      </w:pPr>
    </w:p>
    <w:p w:rsidR="00010311" w:rsidRPr="005B2A57" w:rsidRDefault="00010311" w:rsidP="00010311">
      <w:pPr>
        <w:pStyle w:val="Encabezado"/>
        <w:tabs>
          <w:tab w:val="left" w:pos="708"/>
        </w:tabs>
        <w:jc w:val="both"/>
        <w:rPr>
          <w:rFonts w:ascii="Arial Narrow" w:hAnsi="Arial Narrow" w:cs="Gisha"/>
          <w:b/>
          <w:bCs/>
          <w:color w:val="auto"/>
          <w:sz w:val="22"/>
          <w:szCs w:val="22"/>
          <w:lang w:val="pt-BR"/>
        </w:rPr>
      </w:pPr>
      <w:r>
        <w:rPr>
          <w:rFonts w:ascii="Arial Narrow" w:hAnsi="Arial Narrow" w:cs="Gisha"/>
          <w:b/>
          <w:bCs/>
          <w:color w:val="auto"/>
          <w:sz w:val="22"/>
          <w:szCs w:val="22"/>
          <w:lang w:val="pt-BR"/>
        </w:rPr>
        <w:t>MIREYI VARGAS OLIVEROS</w:t>
      </w:r>
    </w:p>
    <w:p w:rsidR="00010311" w:rsidRPr="005B2A57" w:rsidRDefault="00010311" w:rsidP="00010311">
      <w:pPr>
        <w:pStyle w:val="Encabezado"/>
        <w:tabs>
          <w:tab w:val="left" w:pos="708"/>
        </w:tabs>
        <w:jc w:val="both"/>
        <w:rPr>
          <w:rFonts w:ascii="Arial Narrow" w:hAnsi="Arial Narrow" w:cs="Gisha"/>
          <w:color w:val="auto"/>
          <w:sz w:val="22"/>
          <w:szCs w:val="22"/>
        </w:rPr>
      </w:pPr>
      <w:r>
        <w:rPr>
          <w:rFonts w:ascii="Arial Narrow" w:hAnsi="Arial Narrow" w:cs="Gisha"/>
          <w:color w:val="auto"/>
          <w:sz w:val="22"/>
          <w:szCs w:val="22"/>
        </w:rPr>
        <w:t xml:space="preserve">Experto G3 – 06 </w:t>
      </w:r>
      <w:r w:rsidRPr="005B2A57">
        <w:rPr>
          <w:rFonts w:ascii="Arial Narrow" w:hAnsi="Arial Narrow" w:cs="Gisha"/>
          <w:color w:val="auto"/>
          <w:sz w:val="22"/>
          <w:szCs w:val="22"/>
        </w:rPr>
        <w:t xml:space="preserve"> con Funciones de Contador      </w:t>
      </w:r>
      <w:r w:rsidRPr="005B2A57">
        <w:rPr>
          <w:rFonts w:ascii="Arial Narrow" w:hAnsi="Arial Narrow" w:cs="Gisha"/>
          <w:color w:val="auto"/>
          <w:sz w:val="22"/>
          <w:szCs w:val="22"/>
        </w:rPr>
        <w:tab/>
      </w:r>
      <w:r w:rsidRPr="005B2A57">
        <w:rPr>
          <w:rFonts w:ascii="Arial Narrow" w:hAnsi="Arial Narrow" w:cs="Gisha"/>
          <w:color w:val="auto"/>
          <w:sz w:val="22"/>
          <w:szCs w:val="22"/>
        </w:rPr>
        <w:tab/>
      </w:r>
      <w:r w:rsidRPr="005B2A57">
        <w:rPr>
          <w:rFonts w:ascii="Arial Narrow" w:hAnsi="Arial Narrow" w:cs="Gisha"/>
          <w:color w:val="auto"/>
          <w:sz w:val="22"/>
          <w:szCs w:val="22"/>
        </w:rPr>
        <w:tab/>
        <w:t xml:space="preserve">        </w:t>
      </w:r>
    </w:p>
    <w:p w:rsidR="00010311" w:rsidRPr="005B2A57" w:rsidRDefault="00010311" w:rsidP="00010311">
      <w:pPr>
        <w:pStyle w:val="Encabezado"/>
        <w:tabs>
          <w:tab w:val="left" w:pos="708"/>
        </w:tabs>
        <w:jc w:val="both"/>
        <w:rPr>
          <w:rFonts w:ascii="Arial Narrow" w:hAnsi="Arial Narrow" w:cs="Gisha"/>
          <w:sz w:val="22"/>
          <w:szCs w:val="22"/>
        </w:rPr>
      </w:pPr>
      <w:r w:rsidRPr="005B2A57">
        <w:rPr>
          <w:rFonts w:ascii="Arial Narrow" w:hAnsi="Arial Narrow" w:cs="Gisha"/>
          <w:color w:val="auto"/>
          <w:sz w:val="22"/>
          <w:szCs w:val="22"/>
        </w:rPr>
        <w:t xml:space="preserve">T.P. No </w:t>
      </w:r>
      <w:r>
        <w:rPr>
          <w:rFonts w:ascii="Arial Narrow" w:hAnsi="Arial Narrow" w:cs="Gisha"/>
          <w:color w:val="auto"/>
          <w:sz w:val="22"/>
          <w:szCs w:val="22"/>
        </w:rPr>
        <w:t>73619</w:t>
      </w:r>
      <w:r w:rsidRPr="005B2A57">
        <w:rPr>
          <w:rFonts w:ascii="Arial Narrow" w:hAnsi="Arial Narrow" w:cs="Gisha"/>
          <w:color w:val="auto"/>
          <w:sz w:val="22"/>
          <w:szCs w:val="22"/>
        </w:rPr>
        <w:t>-T</w:t>
      </w:r>
    </w:p>
    <w:p w:rsidR="0079422E" w:rsidRDefault="0079422E" w:rsidP="00010311">
      <w:pPr>
        <w:rPr>
          <w:rFonts w:ascii="Arial Narrow" w:hAnsi="Arial Narrow" w:cs="Tahoma"/>
          <w:b/>
          <w:bCs/>
          <w:sz w:val="72"/>
          <w:szCs w:val="72"/>
          <w:lang w:val="es-CO"/>
        </w:rPr>
      </w:pPr>
    </w:p>
    <w:p w:rsidR="00633E0B" w:rsidRDefault="00633E0B" w:rsidP="00010311">
      <w:pPr>
        <w:rPr>
          <w:rFonts w:ascii="Arial Narrow" w:hAnsi="Arial Narrow" w:cs="Tahoma"/>
          <w:b/>
          <w:bCs/>
          <w:sz w:val="72"/>
          <w:szCs w:val="72"/>
          <w:lang w:val="es-CO"/>
        </w:rPr>
      </w:pPr>
    </w:p>
    <w:p w:rsidR="00633E0B" w:rsidRDefault="00633E0B" w:rsidP="00010311">
      <w:pPr>
        <w:rPr>
          <w:rFonts w:ascii="Arial Narrow" w:hAnsi="Arial Narrow" w:cs="Tahoma"/>
          <w:b/>
          <w:bCs/>
          <w:sz w:val="72"/>
          <w:szCs w:val="72"/>
          <w:lang w:val="es-CO"/>
        </w:rPr>
      </w:pPr>
    </w:p>
    <w:p w:rsidR="00633E0B" w:rsidRDefault="00633E0B" w:rsidP="00010311">
      <w:pPr>
        <w:rPr>
          <w:rFonts w:ascii="Arial Narrow" w:hAnsi="Arial Narrow" w:cs="Tahoma"/>
          <w:b/>
          <w:bCs/>
          <w:sz w:val="72"/>
          <w:szCs w:val="72"/>
          <w:lang w:val="es-CO"/>
        </w:rPr>
      </w:pPr>
    </w:p>
    <w:p w:rsidR="00633E0B" w:rsidRDefault="00633E0B" w:rsidP="00010311">
      <w:pPr>
        <w:rPr>
          <w:rFonts w:ascii="Arial Narrow" w:hAnsi="Arial Narrow" w:cs="Tahoma"/>
          <w:b/>
          <w:bCs/>
          <w:sz w:val="72"/>
          <w:szCs w:val="72"/>
          <w:lang w:val="es-CO"/>
        </w:rPr>
      </w:pPr>
    </w:p>
    <w:p w:rsidR="0079422E" w:rsidRDefault="0079422E" w:rsidP="0079422E">
      <w:pPr>
        <w:jc w:val="center"/>
        <w:rPr>
          <w:rFonts w:ascii="Arial Narrow" w:hAnsi="Arial Narrow" w:cs="Tahoma"/>
          <w:b/>
          <w:bCs/>
          <w:sz w:val="72"/>
          <w:szCs w:val="72"/>
          <w:lang w:val="es-CO"/>
        </w:rPr>
      </w:pPr>
    </w:p>
    <w:p w:rsidR="00B26442" w:rsidRDefault="00B26442" w:rsidP="00C317C8">
      <w:pPr>
        <w:jc w:val="center"/>
        <w:rPr>
          <w:rFonts w:ascii="Arial Narrow" w:hAnsi="Arial Narrow" w:cs="Tahoma"/>
          <w:b/>
          <w:bCs/>
          <w:sz w:val="72"/>
          <w:szCs w:val="72"/>
          <w:lang w:val="es-CO"/>
        </w:rPr>
      </w:pPr>
    </w:p>
    <w:p w:rsidR="00B26442" w:rsidRDefault="00B26442" w:rsidP="00C317C8">
      <w:pPr>
        <w:jc w:val="center"/>
        <w:rPr>
          <w:rFonts w:ascii="Arial Narrow" w:hAnsi="Arial Narrow" w:cs="Tahoma"/>
          <w:b/>
          <w:bCs/>
          <w:sz w:val="72"/>
          <w:szCs w:val="72"/>
          <w:lang w:val="es-CO"/>
        </w:rPr>
      </w:pPr>
    </w:p>
    <w:p w:rsidR="00C317C8" w:rsidRPr="00C317C8" w:rsidRDefault="00C317C8" w:rsidP="00C317C8">
      <w:pPr>
        <w:jc w:val="center"/>
        <w:rPr>
          <w:rFonts w:ascii="Arial Narrow" w:hAnsi="Arial Narrow" w:cs="Tahoma"/>
          <w:b/>
          <w:bCs/>
          <w:sz w:val="72"/>
          <w:szCs w:val="72"/>
          <w:lang w:val="es-CO"/>
        </w:rPr>
      </w:pPr>
      <w:r w:rsidRPr="00C317C8">
        <w:rPr>
          <w:rFonts w:ascii="Arial Narrow" w:hAnsi="Arial Narrow" w:cs="Tahoma"/>
          <w:b/>
          <w:bCs/>
          <w:sz w:val="72"/>
          <w:szCs w:val="72"/>
          <w:lang w:val="es-CO"/>
        </w:rPr>
        <w:t>ANEXOS</w:t>
      </w:r>
    </w:p>
    <w:p w:rsidR="00C317C8" w:rsidRPr="00C317C8" w:rsidRDefault="00C317C8" w:rsidP="00C317C8">
      <w:pPr>
        <w:rPr>
          <w:rFonts w:ascii="Arial Narrow" w:hAnsi="Arial Narrow" w:cs="Gisha"/>
        </w:rPr>
      </w:pPr>
    </w:p>
    <w:p w:rsidR="00C317C8" w:rsidRPr="00C317C8" w:rsidRDefault="00C317C8" w:rsidP="00C317C8">
      <w:pPr>
        <w:rPr>
          <w:rFonts w:ascii="Arial Narrow" w:hAnsi="Arial Narrow" w:cs="Gisha"/>
        </w:rPr>
      </w:pPr>
    </w:p>
    <w:p w:rsidR="00C317C8" w:rsidRPr="00C317C8" w:rsidRDefault="00C317C8" w:rsidP="00C317C8">
      <w:pPr>
        <w:rPr>
          <w:rFonts w:ascii="Arial Narrow" w:hAnsi="Arial Narrow" w:cs="Gisha"/>
          <w:b/>
        </w:rPr>
      </w:pPr>
    </w:p>
    <w:p w:rsidR="00C317C8" w:rsidRPr="00C317C8" w:rsidRDefault="00C317C8" w:rsidP="00C317C8">
      <w:pPr>
        <w:rPr>
          <w:rFonts w:ascii="Arial Narrow" w:hAnsi="Arial Narrow" w:cs="Gisha"/>
          <w:b/>
        </w:rPr>
      </w:pPr>
    </w:p>
    <w:p w:rsidR="00C317C8" w:rsidRPr="00C317C8" w:rsidRDefault="00C317C8" w:rsidP="00853B3A">
      <w:pPr>
        <w:numPr>
          <w:ilvl w:val="0"/>
          <w:numId w:val="4"/>
        </w:numPr>
        <w:spacing w:line="480" w:lineRule="auto"/>
        <w:ind w:left="714" w:hanging="357"/>
        <w:rPr>
          <w:rFonts w:ascii="Arial Narrow" w:hAnsi="Arial Narrow" w:cs="Gisha"/>
          <w:b/>
          <w:szCs w:val="20"/>
          <w:lang w:val="es-CO"/>
        </w:rPr>
      </w:pPr>
      <w:r w:rsidRPr="00C317C8">
        <w:rPr>
          <w:rFonts w:ascii="Arial Narrow" w:hAnsi="Arial Narrow" w:cs="Gisha"/>
          <w:szCs w:val="20"/>
        </w:rPr>
        <w:t>FONDO DE CONTINGENCIAS</w:t>
      </w:r>
      <w:r w:rsidRPr="00C317C8">
        <w:rPr>
          <w:rFonts w:ascii="Arial Narrow" w:hAnsi="Arial Narrow" w:cs="Gisha"/>
          <w:b/>
          <w:szCs w:val="20"/>
          <w:lang w:val="es-CO"/>
        </w:rPr>
        <w:t xml:space="preserve"> </w:t>
      </w:r>
      <w:r w:rsidRPr="00C317C8">
        <w:rPr>
          <w:rFonts w:ascii="Arial Narrow" w:hAnsi="Arial Narrow" w:cs="Gisha"/>
          <w:b/>
          <w:szCs w:val="20"/>
          <w:lang w:val="es-CO"/>
        </w:rPr>
        <w:tab/>
      </w:r>
      <w:r w:rsidRPr="00C317C8">
        <w:rPr>
          <w:rFonts w:ascii="Arial Narrow" w:hAnsi="Arial Narrow" w:cs="Gisha"/>
          <w:b/>
          <w:szCs w:val="20"/>
          <w:lang w:val="es-CO"/>
        </w:rPr>
        <w:tab/>
      </w:r>
      <w:r w:rsidRPr="00C317C8">
        <w:rPr>
          <w:rFonts w:ascii="Arial Narrow" w:hAnsi="Arial Narrow" w:cs="Gisha"/>
          <w:b/>
          <w:szCs w:val="20"/>
          <w:lang w:val="es-CO"/>
        </w:rPr>
        <w:tab/>
      </w:r>
      <w:r w:rsidRPr="00C317C8">
        <w:rPr>
          <w:rFonts w:ascii="Arial Narrow" w:hAnsi="Arial Narrow" w:cs="Gisha"/>
          <w:b/>
          <w:szCs w:val="20"/>
          <w:lang w:val="es-CO"/>
        </w:rPr>
        <w:tab/>
      </w:r>
      <w:r w:rsidRPr="00C317C8">
        <w:rPr>
          <w:rFonts w:ascii="Arial Narrow" w:hAnsi="Arial Narrow" w:cs="Gisha"/>
          <w:b/>
          <w:szCs w:val="20"/>
          <w:lang w:val="es-CO"/>
        </w:rPr>
        <w:tab/>
      </w:r>
    </w:p>
    <w:p w:rsidR="00C317C8" w:rsidRPr="00C317C8" w:rsidRDefault="00C317C8" w:rsidP="00853B3A">
      <w:pPr>
        <w:numPr>
          <w:ilvl w:val="0"/>
          <w:numId w:val="4"/>
        </w:numPr>
        <w:spacing w:line="480" w:lineRule="auto"/>
        <w:ind w:left="714" w:hanging="357"/>
        <w:rPr>
          <w:rFonts w:ascii="Arial Narrow" w:hAnsi="Arial Narrow" w:cs="Gisha"/>
          <w:b/>
          <w:szCs w:val="20"/>
          <w:lang w:val="es-CO"/>
        </w:rPr>
      </w:pPr>
      <w:r w:rsidRPr="00C317C8">
        <w:rPr>
          <w:rFonts w:ascii="Arial Narrow" w:hAnsi="Arial Narrow" w:cs="Gisha"/>
          <w:szCs w:val="20"/>
          <w:lang w:val="es-CO"/>
        </w:rPr>
        <w:t>ANEXO BIENES DE USO PÚBLICO</w:t>
      </w:r>
      <w:r w:rsidR="00B07C70">
        <w:rPr>
          <w:rFonts w:ascii="Arial Narrow" w:hAnsi="Arial Narrow" w:cs="Gisha"/>
          <w:szCs w:val="20"/>
          <w:lang w:val="es-CO"/>
        </w:rPr>
        <w:t xml:space="preserve"> EN CONSTRUCCION Y SERVICIO</w:t>
      </w:r>
      <w:r w:rsidRPr="00C317C8">
        <w:rPr>
          <w:rFonts w:ascii="Arial Narrow" w:hAnsi="Arial Narrow" w:cs="Gisha"/>
          <w:b/>
          <w:szCs w:val="20"/>
          <w:lang w:val="es-CO"/>
        </w:rPr>
        <w:tab/>
        <w:t xml:space="preserve"> </w:t>
      </w:r>
      <w:r w:rsidRPr="00C317C8">
        <w:rPr>
          <w:rFonts w:ascii="Arial Narrow" w:hAnsi="Arial Narrow" w:cs="Gisha"/>
          <w:b/>
          <w:szCs w:val="20"/>
          <w:lang w:val="es-CO"/>
        </w:rPr>
        <w:tab/>
      </w:r>
      <w:r w:rsidRPr="00C317C8">
        <w:rPr>
          <w:rFonts w:ascii="Arial Narrow" w:hAnsi="Arial Narrow" w:cs="Gisha"/>
          <w:b/>
          <w:szCs w:val="20"/>
          <w:lang w:val="es-CO"/>
        </w:rPr>
        <w:tab/>
      </w:r>
      <w:r w:rsidRPr="00C317C8">
        <w:rPr>
          <w:rFonts w:ascii="Arial Narrow" w:hAnsi="Arial Narrow" w:cs="Gisha"/>
          <w:b/>
          <w:szCs w:val="20"/>
          <w:lang w:val="es-CO"/>
        </w:rPr>
        <w:tab/>
      </w:r>
      <w:r w:rsidRPr="00C317C8">
        <w:rPr>
          <w:rFonts w:ascii="Arial Narrow" w:hAnsi="Arial Narrow" w:cs="Gisha"/>
          <w:b/>
          <w:szCs w:val="20"/>
          <w:lang w:val="es-CO"/>
        </w:rPr>
        <w:tab/>
      </w:r>
      <w:r w:rsidRPr="00C317C8">
        <w:rPr>
          <w:rFonts w:ascii="Arial Narrow" w:hAnsi="Arial Narrow" w:cs="Gisha"/>
          <w:szCs w:val="20"/>
          <w:lang w:val="es-CO"/>
        </w:rPr>
        <w:t xml:space="preserve"> </w:t>
      </w:r>
    </w:p>
    <w:p w:rsidR="00C317C8" w:rsidRPr="00C317C8" w:rsidRDefault="00C317C8" w:rsidP="00853B3A">
      <w:pPr>
        <w:numPr>
          <w:ilvl w:val="0"/>
          <w:numId w:val="4"/>
        </w:numPr>
        <w:spacing w:line="480" w:lineRule="auto"/>
        <w:ind w:left="714" w:hanging="357"/>
        <w:rPr>
          <w:rFonts w:ascii="Arial Narrow" w:hAnsi="Arial Narrow" w:cs="Gisha"/>
          <w:b/>
          <w:szCs w:val="20"/>
          <w:lang w:val="es-CO"/>
        </w:rPr>
      </w:pPr>
      <w:r w:rsidRPr="00C317C8">
        <w:rPr>
          <w:rFonts w:ascii="Arial Narrow" w:hAnsi="Arial Narrow" w:cs="Gisha"/>
          <w:szCs w:val="20"/>
          <w:lang w:val="es-CO"/>
        </w:rPr>
        <w:t>ANEXO BIENES ENTREGADOS A TERCEROS</w:t>
      </w:r>
      <w:r w:rsidRPr="00C317C8">
        <w:rPr>
          <w:rFonts w:ascii="Arial Narrow" w:hAnsi="Arial Narrow" w:cs="Gisha"/>
          <w:b/>
          <w:szCs w:val="20"/>
          <w:lang w:val="es-CO"/>
        </w:rPr>
        <w:t xml:space="preserve"> </w:t>
      </w:r>
    </w:p>
    <w:p w:rsidR="00C317C8" w:rsidRPr="00C317C8" w:rsidRDefault="00C317C8" w:rsidP="00853B3A">
      <w:pPr>
        <w:numPr>
          <w:ilvl w:val="0"/>
          <w:numId w:val="4"/>
        </w:numPr>
        <w:spacing w:line="480" w:lineRule="auto"/>
        <w:ind w:left="714" w:hanging="357"/>
        <w:rPr>
          <w:rFonts w:ascii="Arial Narrow" w:hAnsi="Arial Narrow" w:cs="Gisha"/>
          <w:b/>
          <w:szCs w:val="20"/>
          <w:lang w:val="es-CO"/>
        </w:rPr>
      </w:pPr>
      <w:r w:rsidRPr="00C317C8">
        <w:rPr>
          <w:rFonts w:ascii="Arial Narrow" w:hAnsi="Arial Narrow" w:cs="Gisha"/>
          <w:szCs w:val="20"/>
          <w:lang w:val="es-CO"/>
        </w:rPr>
        <w:t xml:space="preserve">ANEXO CUENTAS POR PAGAR </w:t>
      </w:r>
      <w:r w:rsidRPr="00C317C8">
        <w:rPr>
          <w:rFonts w:ascii="Arial Narrow" w:hAnsi="Arial Narrow" w:cs="Gisha"/>
          <w:szCs w:val="20"/>
          <w:lang w:val="es-CO"/>
        </w:rPr>
        <w:tab/>
      </w:r>
      <w:r w:rsidRPr="00C317C8">
        <w:rPr>
          <w:rFonts w:ascii="Arial Narrow" w:hAnsi="Arial Narrow" w:cs="Gisha"/>
          <w:szCs w:val="20"/>
          <w:lang w:val="es-CO"/>
        </w:rPr>
        <w:tab/>
      </w:r>
      <w:r w:rsidRPr="00C317C8">
        <w:rPr>
          <w:rFonts w:ascii="Arial Narrow" w:hAnsi="Arial Narrow" w:cs="Gisha"/>
          <w:szCs w:val="20"/>
          <w:lang w:val="es-CO"/>
        </w:rPr>
        <w:tab/>
      </w:r>
    </w:p>
    <w:p w:rsidR="00C317C8" w:rsidRPr="00C317C8" w:rsidRDefault="00C317C8" w:rsidP="00853B3A">
      <w:pPr>
        <w:numPr>
          <w:ilvl w:val="0"/>
          <w:numId w:val="4"/>
        </w:numPr>
        <w:spacing w:line="480" w:lineRule="auto"/>
        <w:ind w:left="714" w:hanging="357"/>
        <w:rPr>
          <w:rFonts w:ascii="Arial Narrow" w:hAnsi="Arial Narrow" w:cs="Gisha"/>
          <w:b/>
          <w:szCs w:val="20"/>
          <w:lang w:val="es-CO"/>
        </w:rPr>
      </w:pPr>
      <w:r w:rsidRPr="00C317C8">
        <w:rPr>
          <w:rFonts w:ascii="Arial Narrow" w:hAnsi="Arial Narrow" w:cs="Gisha"/>
          <w:szCs w:val="20"/>
          <w:lang w:val="es-CO"/>
        </w:rPr>
        <w:t>ANEXO DEUDAS GARANTIAS CONTRACTUALES</w:t>
      </w:r>
      <w:r w:rsidRPr="00C317C8">
        <w:rPr>
          <w:rFonts w:ascii="Arial Narrow" w:hAnsi="Arial Narrow" w:cs="Gisha"/>
          <w:b/>
          <w:szCs w:val="20"/>
          <w:lang w:val="es-CO"/>
        </w:rPr>
        <w:tab/>
      </w:r>
      <w:r w:rsidRPr="00C317C8">
        <w:rPr>
          <w:rFonts w:ascii="Arial Narrow" w:hAnsi="Arial Narrow" w:cs="Gisha"/>
          <w:b/>
          <w:szCs w:val="20"/>
          <w:lang w:val="es-CO"/>
        </w:rPr>
        <w:tab/>
      </w:r>
      <w:r w:rsidRPr="00C317C8">
        <w:rPr>
          <w:rFonts w:ascii="Arial Narrow" w:hAnsi="Arial Narrow" w:cs="Gisha"/>
          <w:b/>
          <w:szCs w:val="20"/>
          <w:lang w:val="es-CO"/>
        </w:rPr>
        <w:tab/>
      </w:r>
    </w:p>
    <w:p w:rsidR="00C317C8" w:rsidRPr="00C317C8" w:rsidRDefault="00C317C8" w:rsidP="00853B3A">
      <w:pPr>
        <w:numPr>
          <w:ilvl w:val="0"/>
          <w:numId w:val="4"/>
        </w:numPr>
        <w:spacing w:line="480" w:lineRule="auto"/>
        <w:ind w:left="714" w:hanging="357"/>
        <w:rPr>
          <w:rFonts w:ascii="Arial Narrow" w:hAnsi="Arial Narrow" w:cs="Gisha"/>
          <w:b/>
          <w:szCs w:val="20"/>
          <w:lang w:val="es-CO"/>
        </w:rPr>
      </w:pPr>
      <w:r w:rsidRPr="00C317C8">
        <w:rPr>
          <w:rFonts w:ascii="Arial Narrow" w:hAnsi="Arial Narrow" w:cs="Gisha"/>
          <w:szCs w:val="20"/>
          <w:lang w:val="es-CO"/>
        </w:rPr>
        <w:t xml:space="preserve">ANEXO PROVISION PARA CONTINGENCIAS </w:t>
      </w:r>
      <w:r w:rsidRPr="00C317C8">
        <w:rPr>
          <w:rFonts w:ascii="Arial Narrow" w:hAnsi="Arial Narrow" w:cs="Gisha"/>
          <w:b/>
          <w:szCs w:val="20"/>
          <w:lang w:val="es-CO"/>
        </w:rPr>
        <w:t xml:space="preserve"> </w:t>
      </w:r>
      <w:r w:rsidRPr="00C317C8">
        <w:rPr>
          <w:rFonts w:ascii="Arial Narrow" w:hAnsi="Arial Narrow" w:cs="Gisha"/>
          <w:b/>
          <w:szCs w:val="20"/>
          <w:lang w:val="es-CO"/>
        </w:rPr>
        <w:tab/>
      </w:r>
      <w:r w:rsidRPr="00C317C8">
        <w:rPr>
          <w:rFonts w:ascii="Arial Narrow" w:hAnsi="Arial Narrow" w:cs="Gisha"/>
          <w:b/>
          <w:szCs w:val="20"/>
          <w:lang w:val="es-CO"/>
        </w:rPr>
        <w:tab/>
      </w:r>
    </w:p>
    <w:p w:rsidR="00B07C70" w:rsidRPr="00B07C70" w:rsidRDefault="00C317C8" w:rsidP="00853B3A">
      <w:pPr>
        <w:numPr>
          <w:ilvl w:val="0"/>
          <w:numId w:val="4"/>
        </w:numPr>
        <w:spacing w:line="480" w:lineRule="auto"/>
        <w:rPr>
          <w:rFonts w:ascii="Arial Narrow" w:hAnsi="Arial Narrow" w:cs="Gisha"/>
          <w:szCs w:val="20"/>
          <w:lang w:val="es-CO"/>
        </w:rPr>
      </w:pPr>
      <w:r w:rsidRPr="00B07C70">
        <w:rPr>
          <w:rFonts w:ascii="Arial Narrow" w:hAnsi="Arial Narrow" w:cs="Gisha"/>
          <w:szCs w:val="20"/>
          <w:lang w:val="es-CO"/>
        </w:rPr>
        <w:t xml:space="preserve">ANEXO INVERSION DEL PRIVADO Y RECAUDO DE PEAJES  - CONCESIONES ADJUDICADAS ANI  </w:t>
      </w:r>
      <w:r w:rsidRPr="00B07C70">
        <w:rPr>
          <w:rFonts w:ascii="Arial Narrow" w:hAnsi="Arial Narrow" w:cs="Gisha"/>
          <w:b/>
          <w:szCs w:val="20"/>
          <w:lang w:val="es-CO"/>
        </w:rPr>
        <w:t xml:space="preserve"> </w:t>
      </w:r>
    </w:p>
    <w:p w:rsidR="00C317C8" w:rsidRPr="00B07C70" w:rsidRDefault="00C317C8" w:rsidP="00853B3A">
      <w:pPr>
        <w:numPr>
          <w:ilvl w:val="0"/>
          <w:numId w:val="4"/>
        </w:numPr>
        <w:spacing w:line="480" w:lineRule="auto"/>
        <w:rPr>
          <w:rFonts w:ascii="Arial Narrow" w:hAnsi="Arial Narrow" w:cs="Gisha"/>
          <w:szCs w:val="20"/>
          <w:lang w:val="es-CO"/>
        </w:rPr>
      </w:pPr>
      <w:r w:rsidRPr="00B07C70">
        <w:rPr>
          <w:rFonts w:ascii="Arial Narrow" w:hAnsi="Arial Narrow" w:cs="Gisha"/>
          <w:szCs w:val="20"/>
          <w:lang w:val="es-CO"/>
        </w:rPr>
        <w:t>ANEXO RECAUDO DE PEAJES – INVERSION DEL PRIVADO- CONCESIONES ADJUDICADAS INVIAS</w:t>
      </w:r>
    </w:p>
    <w:p w:rsidR="00EE67B0" w:rsidRDefault="00EE67B0" w:rsidP="00853B3A">
      <w:pPr>
        <w:numPr>
          <w:ilvl w:val="0"/>
          <w:numId w:val="4"/>
        </w:numPr>
        <w:spacing w:line="480" w:lineRule="auto"/>
        <w:rPr>
          <w:rFonts w:ascii="Arial Narrow" w:hAnsi="Arial Narrow" w:cs="Gisha"/>
          <w:szCs w:val="20"/>
          <w:lang w:val="es-CO"/>
        </w:rPr>
      </w:pPr>
      <w:r>
        <w:rPr>
          <w:rFonts w:ascii="Arial Narrow" w:hAnsi="Arial Narrow" w:cs="Gisha"/>
          <w:szCs w:val="20"/>
          <w:lang w:val="es-CO"/>
        </w:rPr>
        <w:t xml:space="preserve">ANEXO CREDITOS DIFERIDOS –CONCESIONES </w:t>
      </w:r>
    </w:p>
    <w:p w:rsidR="00C317C8" w:rsidRDefault="00C317C8" w:rsidP="00853B3A">
      <w:pPr>
        <w:numPr>
          <w:ilvl w:val="0"/>
          <w:numId w:val="4"/>
        </w:numPr>
        <w:spacing w:line="480" w:lineRule="auto"/>
        <w:rPr>
          <w:rFonts w:ascii="Arial Narrow" w:hAnsi="Arial Narrow" w:cs="Gisha"/>
          <w:szCs w:val="20"/>
          <w:lang w:val="es-CO"/>
        </w:rPr>
      </w:pPr>
      <w:r w:rsidRPr="00C317C8">
        <w:rPr>
          <w:rFonts w:ascii="Arial Narrow" w:hAnsi="Arial Narrow" w:cs="Gisha"/>
          <w:szCs w:val="20"/>
          <w:lang w:val="es-CO"/>
        </w:rPr>
        <w:t xml:space="preserve">ANEXO CUENTAS DE ORDEN –LITIGIOS </w:t>
      </w:r>
    </w:p>
    <w:p w:rsidR="00B9534F" w:rsidRPr="00C317C8" w:rsidRDefault="00B9534F" w:rsidP="00853B3A">
      <w:pPr>
        <w:numPr>
          <w:ilvl w:val="0"/>
          <w:numId w:val="4"/>
        </w:numPr>
        <w:spacing w:line="480" w:lineRule="auto"/>
        <w:rPr>
          <w:rFonts w:ascii="Arial Narrow" w:hAnsi="Arial Narrow" w:cs="Gisha"/>
          <w:szCs w:val="20"/>
          <w:lang w:val="es-CO"/>
        </w:rPr>
      </w:pPr>
      <w:r>
        <w:rPr>
          <w:rFonts w:ascii="Arial Narrow" w:hAnsi="Arial Narrow" w:cs="Gisha"/>
          <w:szCs w:val="20"/>
          <w:lang w:val="es-CO"/>
        </w:rPr>
        <w:t xml:space="preserve">FICHA </w:t>
      </w:r>
      <w:r w:rsidR="00B07C70">
        <w:rPr>
          <w:rFonts w:ascii="Arial Narrow" w:hAnsi="Arial Narrow" w:cs="Gisha"/>
          <w:szCs w:val="20"/>
          <w:lang w:val="es-CO"/>
        </w:rPr>
        <w:t xml:space="preserve">CONCESIONES - </w:t>
      </w:r>
      <w:r>
        <w:rPr>
          <w:rFonts w:ascii="Arial Narrow" w:hAnsi="Arial Narrow" w:cs="Gisha"/>
          <w:szCs w:val="20"/>
          <w:lang w:val="es-CO"/>
        </w:rPr>
        <w:t>ANEXO ESTADOS FINANCIEROS</w:t>
      </w:r>
    </w:p>
    <w:p w:rsidR="00C317C8" w:rsidRPr="00C317C8" w:rsidRDefault="00C317C8" w:rsidP="00EE67B0">
      <w:pPr>
        <w:spacing w:line="480" w:lineRule="auto"/>
        <w:ind w:left="360"/>
        <w:rPr>
          <w:rFonts w:ascii="Arial Narrow" w:hAnsi="Arial Narrow" w:cs="Gisha"/>
          <w:szCs w:val="20"/>
          <w:lang w:val="es-CO"/>
        </w:rPr>
      </w:pPr>
    </w:p>
    <w:p w:rsidR="00C317C8" w:rsidRPr="00C317C8" w:rsidRDefault="00C317C8" w:rsidP="00C317C8">
      <w:pPr>
        <w:spacing w:line="480" w:lineRule="auto"/>
        <w:ind w:left="720"/>
        <w:rPr>
          <w:rFonts w:ascii="Arial Narrow" w:hAnsi="Arial Narrow" w:cs="Gisha"/>
          <w:szCs w:val="20"/>
          <w:lang w:val="es-CO"/>
        </w:rPr>
      </w:pPr>
      <w:r w:rsidRPr="00C317C8">
        <w:rPr>
          <w:rFonts w:ascii="Arial Narrow" w:hAnsi="Arial Narrow" w:cs="Gisha"/>
          <w:szCs w:val="20"/>
          <w:lang w:val="es-CO"/>
        </w:rPr>
        <w:tab/>
      </w:r>
      <w:r w:rsidRPr="00C317C8">
        <w:rPr>
          <w:rFonts w:ascii="Arial Narrow" w:hAnsi="Arial Narrow" w:cs="Gisha"/>
          <w:szCs w:val="20"/>
          <w:lang w:val="es-CO"/>
        </w:rPr>
        <w:tab/>
      </w:r>
      <w:r w:rsidRPr="00C317C8">
        <w:rPr>
          <w:rFonts w:ascii="Arial Narrow" w:hAnsi="Arial Narrow" w:cs="Gisha"/>
          <w:szCs w:val="20"/>
          <w:lang w:val="es-CO"/>
        </w:rPr>
        <w:tab/>
      </w:r>
      <w:r w:rsidRPr="00C317C8">
        <w:rPr>
          <w:rFonts w:ascii="Arial Narrow" w:hAnsi="Arial Narrow" w:cs="Gisha"/>
          <w:szCs w:val="20"/>
          <w:lang w:val="es-CO"/>
        </w:rPr>
        <w:br w:type="page"/>
      </w:r>
    </w:p>
    <w:p w:rsidR="00C317C8" w:rsidRDefault="00EE67B0" w:rsidP="00EE67B0">
      <w:pPr>
        <w:ind w:left="284"/>
        <w:rPr>
          <w:rFonts w:ascii="Arial Narrow" w:hAnsi="Arial Narrow" w:cs="Gisha"/>
          <w:b/>
        </w:rPr>
      </w:pPr>
      <w:r w:rsidRPr="00EE67B0">
        <w:rPr>
          <w:noProof/>
          <w:lang w:val="es-CO" w:eastAsia="es-CO"/>
        </w:rPr>
        <w:lastRenderedPageBreak/>
        <w:drawing>
          <wp:inline distT="0" distB="0" distL="0" distR="0">
            <wp:extent cx="6257925" cy="5887085"/>
            <wp:effectExtent l="0" t="0" r="9525"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58597" cy="5887717"/>
                    </a:xfrm>
                    <a:prstGeom prst="rect">
                      <a:avLst/>
                    </a:prstGeom>
                    <a:noFill/>
                    <a:ln>
                      <a:noFill/>
                    </a:ln>
                  </pic:spPr>
                </pic:pic>
              </a:graphicData>
            </a:graphic>
          </wp:inline>
        </w:drawing>
      </w:r>
    </w:p>
    <w:p w:rsidR="00EE67B0" w:rsidRPr="00C317C8" w:rsidRDefault="00EE67B0" w:rsidP="00C317C8">
      <w:pPr>
        <w:ind w:left="284"/>
        <w:jc w:val="center"/>
        <w:rPr>
          <w:rFonts w:ascii="Arial Narrow" w:hAnsi="Arial Narrow" w:cs="Gisha"/>
          <w:b/>
        </w:rPr>
      </w:pPr>
    </w:p>
    <w:p w:rsidR="00C317C8" w:rsidRPr="00C317C8" w:rsidRDefault="00C317C8" w:rsidP="00C317C8">
      <w:pPr>
        <w:ind w:left="284"/>
        <w:jc w:val="center"/>
        <w:rPr>
          <w:rFonts w:ascii="Arial Narrow" w:hAnsi="Arial Narrow" w:cs="Gisha"/>
          <w:b/>
        </w:rPr>
      </w:pPr>
    </w:p>
    <w:p w:rsidR="00C317C8" w:rsidRPr="00C317C8" w:rsidRDefault="00C317C8" w:rsidP="00C317C8">
      <w:pPr>
        <w:rPr>
          <w:rFonts w:ascii="Arial Narrow" w:hAnsi="Arial Narrow" w:cs="Gisha"/>
          <w:sz w:val="18"/>
          <w:szCs w:val="18"/>
        </w:rPr>
      </w:pPr>
    </w:p>
    <w:p w:rsidR="00C317C8" w:rsidRPr="00C317C8" w:rsidRDefault="00C317C8" w:rsidP="00C317C8">
      <w:pPr>
        <w:rPr>
          <w:rFonts w:ascii="Arial Narrow" w:hAnsi="Arial Narrow" w:cs="Gisha"/>
          <w:sz w:val="18"/>
          <w:szCs w:val="18"/>
        </w:rPr>
      </w:pPr>
    </w:p>
    <w:p w:rsidR="00C317C8" w:rsidRPr="00C317C8" w:rsidRDefault="00C317C8" w:rsidP="00C317C8">
      <w:pPr>
        <w:jc w:val="center"/>
        <w:rPr>
          <w:noProof/>
          <w:lang w:val="es-CO" w:eastAsia="es-CO"/>
        </w:rPr>
      </w:pPr>
    </w:p>
    <w:p w:rsidR="00C317C8" w:rsidRPr="00C317C8" w:rsidRDefault="00C317C8" w:rsidP="00C317C8">
      <w:pPr>
        <w:jc w:val="center"/>
        <w:rPr>
          <w:noProof/>
          <w:lang w:val="es-CO" w:eastAsia="es-CO"/>
        </w:rPr>
      </w:pPr>
    </w:p>
    <w:p w:rsidR="00C317C8" w:rsidRPr="00C317C8" w:rsidRDefault="00C317C8" w:rsidP="00C317C8">
      <w:pPr>
        <w:jc w:val="center"/>
        <w:rPr>
          <w:noProof/>
          <w:lang w:val="es-CO" w:eastAsia="es-CO"/>
        </w:rPr>
      </w:pPr>
    </w:p>
    <w:p w:rsidR="00C317C8" w:rsidRPr="00C317C8" w:rsidRDefault="00C317C8" w:rsidP="00C317C8">
      <w:pPr>
        <w:jc w:val="center"/>
        <w:rPr>
          <w:rFonts w:ascii="Arial Narrow" w:hAnsi="Arial Narrow" w:cs="Gisha"/>
          <w:b/>
          <w:bCs/>
          <w:iCs/>
        </w:rPr>
      </w:pPr>
    </w:p>
    <w:p w:rsidR="00C317C8" w:rsidRPr="00C317C8" w:rsidRDefault="00C317C8" w:rsidP="00C317C8">
      <w:pPr>
        <w:jc w:val="center"/>
        <w:rPr>
          <w:rFonts w:ascii="Arial Narrow" w:hAnsi="Arial Narrow" w:cs="Gisha"/>
          <w:b/>
          <w:bCs/>
          <w:iCs/>
        </w:rPr>
      </w:pPr>
    </w:p>
    <w:p w:rsidR="00C317C8" w:rsidRPr="00C317C8" w:rsidRDefault="00C317C8" w:rsidP="00C317C8">
      <w:pPr>
        <w:jc w:val="center"/>
        <w:rPr>
          <w:rFonts w:ascii="Arial Narrow" w:hAnsi="Arial Narrow" w:cs="Gisha"/>
          <w:b/>
          <w:bCs/>
          <w:iCs/>
        </w:rPr>
      </w:pPr>
    </w:p>
    <w:p w:rsidR="00C317C8" w:rsidRPr="00C317C8" w:rsidRDefault="00C317C8" w:rsidP="00C317C8">
      <w:pPr>
        <w:jc w:val="center"/>
        <w:rPr>
          <w:rFonts w:ascii="Arial Narrow" w:hAnsi="Arial Narrow" w:cs="Gisha"/>
          <w:b/>
          <w:bCs/>
          <w:iCs/>
        </w:rPr>
      </w:pPr>
    </w:p>
    <w:p w:rsidR="00C317C8" w:rsidRPr="00C317C8" w:rsidRDefault="00C317C8" w:rsidP="00C317C8">
      <w:pPr>
        <w:jc w:val="center"/>
        <w:rPr>
          <w:rFonts w:ascii="Arial Narrow" w:hAnsi="Arial Narrow" w:cs="Gisha"/>
          <w:b/>
          <w:bCs/>
          <w:iCs/>
        </w:rPr>
      </w:pPr>
    </w:p>
    <w:p w:rsidR="00FF45C7" w:rsidRDefault="00486B49" w:rsidP="00C317C8">
      <w:pPr>
        <w:jc w:val="center"/>
      </w:pPr>
      <w:r w:rsidRPr="00486B49">
        <w:rPr>
          <w:noProof/>
          <w:lang w:val="es-CO" w:eastAsia="es-CO"/>
        </w:rPr>
        <w:drawing>
          <wp:inline distT="0" distB="0" distL="0" distR="0">
            <wp:extent cx="5819775" cy="7439025"/>
            <wp:effectExtent l="0" t="0" r="9525" b="9525"/>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19775" cy="7439025"/>
                    </a:xfrm>
                    <a:prstGeom prst="rect">
                      <a:avLst/>
                    </a:prstGeom>
                    <a:noFill/>
                    <a:ln>
                      <a:noFill/>
                    </a:ln>
                  </pic:spPr>
                </pic:pic>
              </a:graphicData>
            </a:graphic>
          </wp:inline>
        </w:drawing>
      </w:r>
    </w:p>
    <w:p w:rsidR="00FF45C7" w:rsidRDefault="00FF45C7" w:rsidP="00C317C8">
      <w:pPr>
        <w:jc w:val="center"/>
      </w:pPr>
    </w:p>
    <w:p w:rsidR="00FF45C7" w:rsidRDefault="00B9534F" w:rsidP="00C317C8">
      <w:pPr>
        <w:jc w:val="center"/>
      </w:pPr>
      <w:r w:rsidRPr="00B9534F">
        <w:rPr>
          <w:noProof/>
          <w:lang w:val="es-CO" w:eastAsia="es-CO"/>
        </w:rPr>
        <w:lastRenderedPageBreak/>
        <w:drawing>
          <wp:inline distT="0" distB="0" distL="0" distR="0">
            <wp:extent cx="5819775" cy="7934325"/>
            <wp:effectExtent l="0" t="0" r="9525" b="9525"/>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19775" cy="7934325"/>
                    </a:xfrm>
                    <a:prstGeom prst="rect">
                      <a:avLst/>
                    </a:prstGeom>
                    <a:noFill/>
                    <a:ln>
                      <a:noFill/>
                    </a:ln>
                  </pic:spPr>
                </pic:pic>
              </a:graphicData>
            </a:graphic>
          </wp:inline>
        </w:drawing>
      </w:r>
    </w:p>
    <w:p w:rsidR="00C317C8" w:rsidRDefault="00D70829" w:rsidP="00C317C8">
      <w:pPr>
        <w:jc w:val="center"/>
        <w:rPr>
          <w:rFonts w:ascii="Arial Narrow" w:hAnsi="Arial Narrow" w:cs="Gisha"/>
          <w:b/>
          <w:bCs/>
          <w:iCs/>
        </w:rPr>
      </w:pPr>
      <w:r w:rsidRPr="00D70829">
        <w:rPr>
          <w:noProof/>
          <w:lang w:val="es-CO" w:eastAsia="es-CO"/>
        </w:rPr>
        <w:lastRenderedPageBreak/>
        <w:drawing>
          <wp:inline distT="0" distB="0" distL="0" distR="0">
            <wp:extent cx="5819775" cy="7762875"/>
            <wp:effectExtent l="0" t="0" r="9525" b="9525"/>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19775" cy="7762875"/>
                    </a:xfrm>
                    <a:prstGeom prst="rect">
                      <a:avLst/>
                    </a:prstGeom>
                    <a:noFill/>
                    <a:ln>
                      <a:noFill/>
                    </a:ln>
                  </pic:spPr>
                </pic:pic>
              </a:graphicData>
            </a:graphic>
          </wp:inline>
        </w:drawing>
      </w:r>
    </w:p>
    <w:p w:rsidR="00FF45C7" w:rsidRDefault="00D70829" w:rsidP="00C317C8">
      <w:pPr>
        <w:jc w:val="center"/>
        <w:rPr>
          <w:rFonts w:ascii="Arial Narrow" w:hAnsi="Arial Narrow" w:cs="Gisha"/>
          <w:b/>
          <w:bCs/>
          <w:iCs/>
        </w:rPr>
      </w:pPr>
      <w:r w:rsidRPr="00D70829">
        <w:rPr>
          <w:noProof/>
          <w:lang w:val="es-CO" w:eastAsia="es-CO"/>
        </w:rPr>
        <w:lastRenderedPageBreak/>
        <w:drawing>
          <wp:inline distT="0" distB="0" distL="0" distR="0">
            <wp:extent cx="5819775" cy="3124200"/>
            <wp:effectExtent l="0" t="0" r="9525"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19775" cy="3124200"/>
                    </a:xfrm>
                    <a:prstGeom prst="rect">
                      <a:avLst/>
                    </a:prstGeom>
                    <a:noFill/>
                    <a:ln>
                      <a:noFill/>
                    </a:ln>
                  </pic:spPr>
                </pic:pic>
              </a:graphicData>
            </a:graphic>
          </wp:inline>
        </w:drawing>
      </w:r>
    </w:p>
    <w:p w:rsidR="00C317C8" w:rsidRPr="00C317C8" w:rsidRDefault="00C317C8" w:rsidP="00C317C8">
      <w:pPr>
        <w:jc w:val="center"/>
        <w:rPr>
          <w:noProof/>
          <w:lang w:val="es-CO" w:eastAsia="es-CO"/>
        </w:rPr>
      </w:pPr>
    </w:p>
    <w:p w:rsidR="00C317C8" w:rsidRPr="00C317C8" w:rsidRDefault="002C01C8" w:rsidP="00C317C8">
      <w:pPr>
        <w:jc w:val="center"/>
        <w:rPr>
          <w:noProof/>
          <w:lang w:val="es-CO" w:eastAsia="es-CO"/>
        </w:rPr>
      </w:pPr>
      <w:r w:rsidRPr="002C01C8">
        <w:rPr>
          <w:noProof/>
          <w:lang w:val="es-CO" w:eastAsia="es-CO"/>
        </w:rPr>
        <w:drawing>
          <wp:inline distT="0" distB="0" distL="0" distR="0" wp14:anchorId="51E1B797" wp14:editId="5B4CF3BF">
            <wp:extent cx="6332220" cy="4505325"/>
            <wp:effectExtent l="0" t="0" r="0" b="9525"/>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32220" cy="4505325"/>
                    </a:xfrm>
                    <a:prstGeom prst="rect">
                      <a:avLst/>
                    </a:prstGeom>
                    <a:noFill/>
                    <a:ln>
                      <a:noFill/>
                    </a:ln>
                  </pic:spPr>
                </pic:pic>
              </a:graphicData>
            </a:graphic>
          </wp:inline>
        </w:drawing>
      </w:r>
    </w:p>
    <w:p w:rsidR="00C317C8" w:rsidRDefault="00F617B5" w:rsidP="00C317C8">
      <w:pPr>
        <w:jc w:val="center"/>
        <w:rPr>
          <w:noProof/>
          <w:lang w:val="es-CO" w:eastAsia="es-CO"/>
        </w:rPr>
      </w:pPr>
      <w:r w:rsidRPr="00F617B5">
        <w:rPr>
          <w:noProof/>
          <w:lang w:val="es-CO" w:eastAsia="es-CO"/>
        </w:rPr>
        <w:lastRenderedPageBreak/>
        <w:drawing>
          <wp:inline distT="0" distB="0" distL="0" distR="0">
            <wp:extent cx="6331585" cy="7953375"/>
            <wp:effectExtent l="0" t="0" r="0" b="9525"/>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39650" cy="7963506"/>
                    </a:xfrm>
                    <a:prstGeom prst="rect">
                      <a:avLst/>
                    </a:prstGeom>
                    <a:noFill/>
                    <a:ln>
                      <a:noFill/>
                    </a:ln>
                  </pic:spPr>
                </pic:pic>
              </a:graphicData>
            </a:graphic>
          </wp:inline>
        </w:drawing>
      </w:r>
    </w:p>
    <w:p w:rsidR="006716EA" w:rsidRDefault="00433FDD" w:rsidP="00C317C8">
      <w:pPr>
        <w:jc w:val="center"/>
        <w:rPr>
          <w:noProof/>
          <w:lang w:val="es-CO" w:eastAsia="es-CO"/>
        </w:rPr>
      </w:pPr>
      <w:r w:rsidRPr="00433FDD">
        <w:rPr>
          <w:noProof/>
          <w:lang w:val="es-CO" w:eastAsia="es-CO"/>
        </w:rPr>
        <w:lastRenderedPageBreak/>
        <w:drawing>
          <wp:inline distT="0" distB="0" distL="0" distR="0">
            <wp:extent cx="5962650" cy="8086725"/>
            <wp:effectExtent l="0" t="0" r="0" b="9525"/>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62650" cy="8086725"/>
                    </a:xfrm>
                    <a:prstGeom prst="rect">
                      <a:avLst/>
                    </a:prstGeom>
                    <a:noFill/>
                    <a:ln>
                      <a:noFill/>
                    </a:ln>
                  </pic:spPr>
                </pic:pic>
              </a:graphicData>
            </a:graphic>
          </wp:inline>
        </w:drawing>
      </w:r>
    </w:p>
    <w:p w:rsidR="00433FDD" w:rsidRDefault="005A5012" w:rsidP="00C317C8">
      <w:pPr>
        <w:jc w:val="center"/>
        <w:rPr>
          <w:noProof/>
          <w:lang w:val="es-CO" w:eastAsia="es-CO"/>
        </w:rPr>
      </w:pPr>
      <w:r w:rsidRPr="005A5012">
        <w:rPr>
          <w:noProof/>
          <w:lang w:val="es-CO" w:eastAsia="es-CO"/>
        </w:rPr>
        <w:lastRenderedPageBreak/>
        <w:drawing>
          <wp:inline distT="0" distB="0" distL="0" distR="0">
            <wp:extent cx="5962650" cy="7362825"/>
            <wp:effectExtent l="0" t="0" r="0" b="9525"/>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62650" cy="7362825"/>
                    </a:xfrm>
                    <a:prstGeom prst="rect">
                      <a:avLst/>
                    </a:prstGeom>
                    <a:noFill/>
                    <a:ln>
                      <a:noFill/>
                    </a:ln>
                  </pic:spPr>
                </pic:pic>
              </a:graphicData>
            </a:graphic>
          </wp:inline>
        </w:drawing>
      </w:r>
    </w:p>
    <w:p w:rsidR="00433FDD" w:rsidRPr="00C317C8" w:rsidRDefault="00433FDD" w:rsidP="00C317C8">
      <w:pPr>
        <w:jc w:val="center"/>
        <w:rPr>
          <w:noProof/>
          <w:lang w:val="es-CO" w:eastAsia="es-CO"/>
        </w:rPr>
      </w:pPr>
    </w:p>
    <w:p w:rsidR="00C317C8" w:rsidRDefault="00C317C8" w:rsidP="00C317C8">
      <w:pPr>
        <w:jc w:val="center"/>
      </w:pPr>
    </w:p>
    <w:p w:rsidR="00433FDD" w:rsidRDefault="005A5012" w:rsidP="00C317C8">
      <w:pPr>
        <w:jc w:val="center"/>
      </w:pPr>
      <w:r w:rsidRPr="005A5012">
        <w:rPr>
          <w:noProof/>
          <w:lang w:val="es-CO" w:eastAsia="es-CO"/>
        </w:rPr>
        <w:lastRenderedPageBreak/>
        <w:drawing>
          <wp:inline distT="0" distB="0" distL="0" distR="0">
            <wp:extent cx="5962650" cy="7820025"/>
            <wp:effectExtent l="0" t="0" r="0" b="9525"/>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62650" cy="7820025"/>
                    </a:xfrm>
                    <a:prstGeom prst="rect">
                      <a:avLst/>
                    </a:prstGeom>
                    <a:noFill/>
                    <a:ln>
                      <a:noFill/>
                    </a:ln>
                  </pic:spPr>
                </pic:pic>
              </a:graphicData>
            </a:graphic>
          </wp:inline>
        </w:drawing>
      </w:r>
    </w:p>
    <w:p w:rsidR="00BD199C" w:rsidRDefault="005A5012" w:rsidP="00C317C8">
      <w:pPr>
        <w:jc w:val="center"/>
        <w:rPr>
          <w:noProof/>
          <w:lang w:val="es-CO" w:eastAsia="es-CO"/>
        </w:rPr>
      </w:pPr>
      <w:r w:rsidRPr="005A5012">
        <w:rPr>
          <w:noProof/>
          <w:lang w:val="es-CO" w:eastAsia="es-CO"/>
        </w:rPr>
        <w:lastRenderedPageBreak/>
        <w:drawing>
          <wp:inline distT="0" distB="0" distL="0" distR="0">
            <wp:extent cx="5962650" cy="7820025"/>
            <wp:effectExtent l="0" t="0" r="0" b="9525"/>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62650" cy="7820025"/>
                    </a:xfrm>
                    <a:prstGeom prst="rect">
                      <a:avLst/>
                    </a:prstGeom>
                    <a:noFill/>
                    <a:ln>
                      <a:noFill/>
                    </a:ln>
                  </pic:spPr>
                </pic:pic>
              </a:graphicData>
            </a:graphic>
          </wp:inline>
        </w:drawing>
      </w:r>
    </w:p>
    <w:p w:rsidR="00FF45C7" w:rsidRDefault="005A5012" w:rsidP="00C317C8">
      <w:pPr>
        <w:jc w:val="center"/>
        <w:rPr>
          <w:noProof/>
          <w:lang w:val="es-CO" w:eastAsia="es-CO"/>
        </w:rPr>
      </w:pPr>
      <w:r w:rsidRPr="005A5012">
        <w:rPr>
          <w:noProof/>
          <w:lang w:val="es-CO" w:eastAsia="es-CO"/>
        </w:rPr>
        <w:lastRenderedPageBreak/>
        <w:drawing>
          <wp:inline distT="0" distB="0" distL="0" distR="0">
            <wp:extent cx="5962650" cy="7820025"/>
            <wp:effectExtent l="0" t="0" r="0" b="9525"/>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62650" cy="7820025"/>
                    </a:xfrm>
                    <a:prstGeom prst="rect">
                      <a:avLst/>
                    </a:prstGeom>
                    <a:noFill/>
                    <a:ln>
                      <a:noFill/>
                    </a:ln>
                  </pic:spPr>
                </pic:pic>
              </a:graphicData>
            </a:graphic>
          </wp:inline>
        </w:drawing>
      </w:r>
    </w:p>
    <w:p w:rsidR="00FF45C7" w:rsidRDefault="005A5012" w:rsidP="00C317C8">
      <w:pPr>
        <w:jc w:val="center"/>
        <w:rPr>
          <w:noProof/>
          <w:lang w:val="es-CO" w:eastAsia="es-CO"/>
        </w:rPr>
      </w:pPr>
      <w:r w:rsidRPr="005A5012">
        <w:rPr>
          <w:noProof/>
          <w:lang w:val="es-CO" w:eastAsia="es-CO"/>
        </w:rPr>
        <w:lastRenderedPageBreak/>
        <w:drawing>
          <wp:inline distT="0" distB="0" distL="0" distR="0">
            <wp:extent cx="5962650" cy="4562475"/>
            <wp:effectExtent l="0" t="0" r="0" b="9525"/>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62650" cy="4562475"/>
                    </a:xfrm>
                    <a:prstGeom prst="rect">
                      <a:avLst/>
                    </a:prstGeom>
                    <a:noFill/>
                    <a:ln>
                      <a:noFill/>
                    </a:ln>
                  </pic:spPr>
                </pic:pic>
              </a:graphicData>
            </a:graphic>
          </wp:inline>
        </w:drawing>
      </w:r>
    </w:p>
    <w:p w:rsidR="00FF45C7" w:rsidRDefault="00FF45C7" w:rsidP="00C317C8">
      <w:pPr>
        <w:jc w:val="center"/>
        <w:rPr>
          <w:noProof/>
          <w:lang w:val="es-CO" w:eastAsia="es-CO"/>
        </w:rPr>
      </w:pPr>
    </w:p>
    <w:p w:rsidR="008F4F36" w:rsidRDefault="008F4F36" w:rsidP="00C317C8">
      <w:pPr>
        <w:jc w:val="center"/>
        <w:rPr>
          <w:noProof/>
          <w:lang w:val="es-CO" w:eastAsia="es-CO"/>
        </w:rPr>
      </w:pPr>
    </w:p>
    <w:p w:rsidR="008F4F36" w:rsidRDefault="008F4F36" w:rsidP="00C317C8">
      <w:pPr>
        <w:jc w:val="center"/>
        <w:rPr>
          <w:noProof/>
          <w:lang w:val="es-CO" w:eastAsia="es-CO"/>
        </w:rPr>
      </w:pPr>
    </w:p>
    <w:p w:rsidR="00FF45C7" w:rsidRDefault="008F4F36" w:rsidP="00C317C8">
      <w:pPr>
        <w:jc w:val="center"/>
      </w:pPr>
      <w:r w:rsidRPr="008F4F36">
        <w:rPr>
          <w:noProof/>
          <w:lang w:val="es-CO" w:eastAsia="es-CO"/>
        </w:rPr>
        <w:drawing>
          <wp:inline distT="0" distB="0" distL="0" distR="0">
            <wp:extent cx="5962650" cy="1600200"/>
            <wp:effectExtent l="0" t="0" r="0" b="0"/>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62650" cy="1600200"/>
                    </a:xfrm>
                    <a:prstGeom prst="rect">
                      <a:avLst/>
                    </a:prstGeom>
                    <a:noFill/>
                    <a:ln>
                      <a:noFill/>
                    </a:ln>
                  </pic:spPr>
                </pic:pic>
              </a:graphicData>
            </a:graphic>
          </wp:inline>
        </w:drawing>
      </w:r>
    </w:p>
    <w:p w:rsidR="00DB39A6" w:rsidRDefault="00DB39A6" w:rsidP="00C317C8">
      <w:pPr>
        <w:jc w:val="center"/>
      </w:pPr>
    </w:p>
    <w:p w:rsidR="00DB39A6" w:rsidRDefault="00DB39A6" w:rsidP="00C317C8">
      <w:pPr>
        <w:jc w:val="center"/>
      </w:pPr>
    </w:p>
    <w:p w:rsidR="00DB39A6" w:rsidRDefault="00DB39A6" w:rsidP="00C317C8">
      <w:pPr>
        <w:jc w:val="center"/>
      </w:pPr>
    </w:p>
    <w:p w:rsidR="00DB39A6" w:rsidRDefault="00DB39A6" w:rsidP="00C317C8">
      <w:pPr>
        <w:jc w:val="center"/>
      </w:pPr>
    </w:p>
    <w:p w:rsidR="00433FDD" w:rsidRDefault="00433FDD" w:rsidP="00C317C8">
      <w:pPr>
        <w:jc w:val="center"/>
      </w:pPr>
    </w:p>
    <w:p w:rsidR="00433FDD" w:rsidRDefault="00433FDD" w:rsidP="00C317C8">
      <w:pPr>
        <w:jc w:val="center"/>
      </w:pPr>
    </w:p>
    <w:p w:rsidR="00DB39A6" w:rsidRDefault="003B59C8" w:rsidP="00C317C8">
      <w:pPr>
        <w:jc w:val="center"/>
        <w:rPr>
          <w:noProof/>
          <w:lang w:val="es-CO" w:eastAsia="es-CO"/>
        </w:rPr>
      </w:pPr>
      <w:r w:rsidRPr="003B59C8">
        <w:rPr>
          <w:noProof/>
          <w:lang w:val="es-CO" w:eastAsia="es-CO"/>
        </w:rPr>
        <w:lastRenderedPageBreak/>
        <w:drawing>
          <wp:inline distT="0" distB="0" distL="0" distR="0">
            <wp:extent cx="6331020" cy="2419350"/>
            <wp:effectExtent l="0" t="0" r="0" b="0"/>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333200" cy="2420183"/>
                    </a:xfrm>
                    <a:prstGeom prst="rect">
                      <a:avLst/>
                    </a:prstGeom>
                    <a:noFill/>
                    <a:ln>
                      <a:noFill/>
                    </a:ln>
                  </pic:spPr>
                </pic:pic>
              </a:graphicData>
            </a:graphic>
          </wp:inline>
        </w:drawing>
      </w:r>
    </w:p>
    <w:p w:rsidR="005E1219" w:rsidRDefault="005E1219" w:rsidP="00C317C8">
      <w:pPr>
        <w:jc w:val="center"/>
        <w:rPr>
          <w:noProof/>
          <w:lang w:val="es-CO" w:eastAsia="es-CO"/>
        </w:rPr>
      </w:pPr>
    </w:p>
    <w:p w:rsidR="005E1219" w:rsidRDefault="005E1219" w:rsidP="00C317C8">
      <w:pPr>
        <w:jc w:val="center"/>
        <w:rPr>
          <w:noProof/>
          <w:lang w:val="es-CO" w:eastAsia="es-CO"/>
        </w:rPr>
      </w:pPr>
    </w:p>
    <w:p w:rsidR="005E1219" w:rsidRDefault="005E1219" w:rsidP="00C317C8">
      <w:pPr>
        <w:jc w:val="center"/>
        <w:rPr>
          <w:noProof/>
          <w:lang w:val="es-CO" w:eastAsia="es-CO"/>
        </w:rPr>
      </w:pPr>
    </w:p>
    <w:p w:rsidR="005E1219" w:rsidRDefault="005E1219" w:rsidP="00C317C8">
      <w:pPr>
        <w:jc w:val="center"/>
        <w:rPr>
          <w:noProof/>
          <w:lang w:val="es-CO" w:eastAsia="es-CO"/>
        </w:rPr>
      </w:pPr>
    </w:p>
    <w:p w:rsidR="00FF45C7" w:rsidRDefault="00FF45C7" w:rsidP="00C317C8">
      <w:pPr>
        <w:jc w:val="center"/>
        <w:rPr>
          <w:noProof/>
          <w:lang w:val="es-CO" w:eastAsia="es-CO"/>
        </w:rPr>
      </w:pPr>
    </w:p>
    <w:p w:rsidR="00FF45C7" w:rsidRDefault="00FF45C7" w:rsidP="00C317C8">
      <w:pPr>
        <w:jc w:val="center"/>
        <w:rPr>
          <w:noProof/>
          <w:lang w:val="es-CO" w:eastAsia="es-CO"/>
        </w:rPr>
      </w:pPr>
    </w:p>
    <w:p w:rsidR="005E1219" w:rsidRDefault="005E1219" w:rsidP="00C317C8">
      <w:pPr>
        <w:jc w:val="center"/>
        <w:rPr>
          <w:noProof/>
          <w:lang w:val="es-CO" w:eastAsia="es-CO"/>
        </w:rPr>
      </w:pPr>
    </w:p>
    <w:p w:rsidR="00FF45C7" w:rsidRDefault="00FF45C7" w:rsidP="00C317C8">
      <w:pPr>
        <w:jc w:val="center"/>
        <w:rPr>
          <w:noProof/>
          <w:lang w:val="es-CO" w:eastAsia="es-CO"/>
        </w:rPr>
      </w:pPr>
    </w:p>
    <w:p w:rsidR="005E1219" w:rsidRDefault="005E1219" w:rsidP="00C317C8">
      <w:pPr>
        <w:jc w:val="center"/>
        <w:rPr>
          <w:noProof/>
          <w:lang w:val="es-CO" w:eastAsia="es-CO"/>
        </w:rPr>
      </w:pPr>
    </w:p>
    <w:p w:rsidR="005E1219" w:rsidRDefault="005E1219" w:rsidP="00C317C8">
      <w:pPr>
        <w:jc w:val="center"/>
        <w:rPr>
          <w:noProof/>
          <w:lang w:val="es-CO" w:eastAsia="es-CO"/>
        </w:rPr>
      </w:pPr>
    </w:p>
    <w:p w:rsidR="005E1219" w:rsidRDefault="005E1219" w:rsidP="00C317C8">
      <w:pPr>
        <w:jc w:val="center"/>
        <w:rPr>
          <w:noProof/>
          <w:lang w:val="es-CO" w:eastAsia="es-CO"/>
        </w:rPr>
      </w:pPr>
    </w:p>
    <w:p w:rsidR="005E1219" w:rsidRDefault="005E1219" w:rsidP="00C317C8">
      <w:pPr>
        <w:jc w:val="center"/>
        <w:rPr>
          <w:noProof/>
          <w:lang w:val="es-CO" w:eastAsia="es-CO"/>
        </w:rPr>
      </w:pPr>
    </w:p>
    <w:p w:rsidR="005E1219" w:rsidRDefault="005E1219" w:rsidP="00C317C8">
      <w:pPr>
        <w:jc w:val="center"/>
        <w:rPr>
          <w:noProof/>
          <w:lang w:val="es-CO" w:eastAsia="es-CO"/>
        </w:rPr>
      </w:pPr>
    </w:p>
    <w:p w:rsidR="005E1219" w:rsidRDefault="005E1219" w:rsidP="00C317C8">
      <w:pPr>
        <w:jc w:val="center"/>
        <w:rPr>
          <w:noProof/>
          <w:lang w:val="es-CO" w:eastAsia="es-CO"/>
        </w:rPr>
      </w:pPr>
    </w:p>
    <w:p w:rsidR="005E1219" w:rsidRDefault="005E1219" w:rsidP="00C317C8">
      <w:pPr>
        <w:jc w:val="center"/>
        <w:rPr>
          <w:noProof/>
          <w:lang w:val="es-CO" w:eastAsia="es-CO"/>
        </w:rPr>
      </w:pPr>
    </w:p>
    <w:p w:rsidR="005E1219" w:rsidRDefault="005E1219" w:rsidP="00C317C8">
      <w:pPr>
        <w:jc w:val="center"/>
        <w:rPr>
          <w:noProof/>
          <w:lang w:val="es-CO" w:eastAsia="es-CO"/>
        </w:rPr>
      </w:pPr>
    </w:p>
    <w:p w:rsidR="005E1219" w:rsidRDefault="005E1219" w:rsidP="00C317C8">
      <w:pPr>
        <w:jc w:val="center"/>
        <w:rPr>
          <w:noProof/>
          <w:lang w:val="es-CO" w:eastAsia="es-CO"/>
        </w:rPr>
      </w:pPr>
    </w:p>
    <w:p w:rsidR="005E1219" w:rsidRDefault="005E1219" w:rsidP="00C317C8">
      <w:pPr>
        <w:jc w:val="center"/>
        <w:rPr>
          <w:noProof/>
          <w:lang w:val="es-CO" w:eastAsia="es-CO"/>
        </w:rPr>
      </w:pPr>
    </w:p>
    <w:p w:rsidR="005E1219" w:rsidRDefault="005E1219" w:rsidP="00C317C8">
      <w:pPr>
        <w:jc w:val="center"/>
        <w:rPr>
          <w:noProof/>
          <w:lang w:val="es-CO" w:eastAsia="es-CO"/>
        </w:rPr>
      </w:pPr>
    </w:p>
    <w:p w:rsidR="005E1219" w:rsidRDefault="005E1219" w:rsidP="00C317C8">
      <w:pPr>
        <w:jc w:val="center"/>
        <w:rPr>
          <w:noProof/>
          <w:lang w:val="es-CO" w:eastAsia="es-CO"/>
        </w:rPr>
      </w:pPr>
    </w:p>
    <w:p w:rsidR="005E1219" w:rsidRPr="00C317C8" w:rsidRDefault="005E1219" w:rsidP="00C317C8">
      <w:pPr>
        <w:jc w:val="center"/>
        <w:rPr>
          <w:noProof/>
          <w:lang w:val="es-CO" w:eastAsia="es-CO"/>
        </w:rPr>
      </w:pPr>
    </w:p>
    <w:p w:rsidR="00C317C8" w:rsidRPr="00C317C8" w:rsidRDefault="00C317C8" w:rsidP="00C317C8">
      <w:pPr>
        <w:jc w:val="center"/>
        <w:rPr>
          <w:noProof/>
          <w:lang w:val="es-CO" w:eastAsia="es-CO"/>
        </w:rPr>
      </w:pPr>
    </w:p>
    <w:p w:rsidR="00C317C8" w:rsidRPr="00C317C8" w:rsidRDefault="00C317C8" w:rsidP="00C317C8">
      <w:pPr>
        <w:jc w:val="center"/>
        <w:rPr>
          <w:rFonts w:ascii="Arial Narrow" w:hAnsi="Arial Narrow" w:cs="Gisha"/>
          <w:b/>
          <w:bCs/>
          <w:iCs/>
        </w:rPr>
      </w:pPr>
    </w:p>
    <w:p w:rsidR="00C317C8" w:rsidRPr="00C317C8" w:rsidRDefault="00C317C8" w:rsidP="00C317C8">
      <w:pPr>
        <w:jc w:val="center"/>
        <w:rPr>
          <w:rFonts w:ascii="Arial Narrow" w:hAnsi="Arial Narrow" w:cs="Gisha"/>
          <w:b/>
          <w:bCs/>
          <w:i/>
          <w:iCs/>
        </w:rPr>
      </w:pPr>
    </w:p>
    <w:p w:rsidR="00C317C8" w:rsidRPr="00C317C8" w:rsidRDefault="00C317C8" w:rsidP="00C317C8">
      <w:pPr>
        <w:jc w:val="center"/>
        <w:rPr>
          <w:rFonts w:ascii="Arial Narrow" w:hAnsi="Arial Narrow" w:cs="Gisha"/>
          <w:b/>
          <w:bCs/>
          <w:i/>
          <w:iCs/>
        </w:rPr>
      </w:pPr>
    </w:p>
    <w:p w:rsidR="00C317C8" w:rsidRPr="00C317C8" w:rsidRDefault="00C317C8" w:rsidP="00C317C8">
      <w:pPr>
        <w:jc w:val="center"/>
        <w:rPr>
          <w:rFonts w:ascii="Arial Narrow" w:hAnsi="Arial Narrow" w:cs="Gisha"/>
          <w:b/>
          <w:bCs/>
          <w:i/>
          <w:iCs/>
        </w:rPr>
      </w:pPr>
    </w:p>
    <w:p w:rsidR="00C317C8" w:rsidRPr="00C317C8" w:rsidRDefault="00C317C8" w:rsidP="00C317C8">
      <w:pPr>
        <w:jc w:val="center"/>
        <w:rPr>
          <w:rFonts w:ascii="Arial Narrow" w:hAnsi="Arial Narrow" w:cs="Gisha"/>
          <w:b/>
          <w:bCs/>
          <w:i/>
          <w:iCs/>
        </w:rPr>
      </w:pPr>
    </w:p>
    <w:p w:rsidR="00C317C8" w:rsidRPr="00C317C8" w:rsidRDefault="00C317C8" w:rsidP="00C317C8">
      <w:pPr>
        <w:jc w:val="center"/>
        <w:rPr>
          <w:rFonts w:ascii="Arial Narrow" w:hAnsi="Arial Narrow" w:cs="Gisha"/>
          <w:b/>
          <w:bCs/>
          <w:i/>
          <w:iCs/>
        </w:rPr>
      </w:pPr>
    </w:p>
    <w:p w:rsidR="00C317C8" w:rsidRPr="00C317C8" w:rsidRDefault="00C317C8" w:rsidP="00C317C8">
      <w:pPr>
        <w:jc w:val="center"/>
        <w:rPr>
          <w:rFonts w:ascii="Arial Narrow" w:hAnsi="Arial Narrow" w:cs="Gisha"/>
          <w:b/>
          <w:bCs/>
          <w:i/>
          <w:iCs/>
        </w:rPr>
      </w:pPr>
    </w:p>
    <w:p w:rsidR="00C317C8" w:rsidRPr="00C317C8" w:rsidRDefault="00C317C8" w:rsidP="00C317C8">
      <w:pPr>
        <w:jc w:val="center"/>
        <w:rPr>
          <w:rFonts w:ascii="Arial Narrow" w:hAnsi="Arial Narrow" w:cs="Gisha"/>
          <w:b/>
          <w:bCs/>
          <w:i/>
          <w:iCs/>
        </w:rPr>
      </w:pPr>
    </w:p>
    <w:p w:rsidR="00C317C8" w:rsidRPr="00C317C8" w:rsidRDefault="00C317C8" w:rsidP="00C317C8">
      <w:pPr>
        <w:jc w:val="center"/>
        <w:rPr>
          <w:rFonts w:ascii="Arial Narrow" w:hAnsi="Arial Narrow" w:cs="Gisha"/>
          <w:b/>
          <w:bCs/>
          <w:i/>
          <w:iCs/>
        </w:rPr>
      </w:pPr>
    </w:p>
    <w:p w:rsidR="00C317C8" w:rsidRPr="00C317C8" w:rsidRDefault="002D2749" w:rsidP="00C317C8">
      <w:pPr>
        <w:jc w:val="center"/>
        <w:rPr>
          <w:rFonts w:ascii="Arial Narrow" w:hAnsi="Arial Narrow" w:cs="Gisha"/>
          <w:b/>
          <w:bCs/>
          <w:i/>
          <w:iCs/>
        </w:rPr>
      </w:pPr>
      <w:r w:rsidRPr="002D2749">
        <w:rPr>
          <w:noProof/>
          <w:lang w:val="es-CO" w:eastAsia="es-CO"/>
        </w:rPr>
        <w:lastRenderedPageBreak/>
        <w:drawing>
          <wp:inline distT="0" distB="0" distL="0" distR="0">
            <wp:extent cx="6332220" cy="5971699"/>
            <wp:effectExtent l="0" t="0" r="0" b="0"/>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32220" cy="5971699"/>
                    </a:xfrm>
                    <a:prstGeom prst="rect">
                      <a:avLst/>
                    </a:prstGeom>
                    <a:noFill/>
                    <a:ln>
                      <a:noFill/>
                    </a:ln>
                  </pic:spPr>
                </pic:pic>
              </a:graphicData>
            </a:graphic>
          </wp:inline>
        </w:drawing>
      </w:r>
    </w:p>
    <w:p w:rsidR="00C317C8" w:rsidRPr="00C317C8" w:rsidRDefault="00C317C8" w:rsidP="00C317C8">
      <w:pPr>
        <w:jc w:val="center"/>
        <w:rPr>
          <w:rFonts w:ascii="Arial Narrow" w:hAnsi="Arial Narrow" w:cs="Gisha"/>
          <w:b/>
          <w:bCs/>
          <w:i/>
          <w:iCs/>
        </w:rPr>
      </w:pPr>
    </w:p>
    <w:p w:rsidR="00C317C8" w:rsidRPr="00C317C8" w:rsidRDefault="00C317C8" w:rsidP="00C317C8">
      <w:pPr>
        <w:jc w:val="center"/>
        <w:rPr>
          <w:rFonts w:ascii="Arial Narrow" w:hAnsi="Arial Narrow" w:cs="Gisha"/>
          <w:b/>
          <w:bCs/>
          <w:i/>
          <w:iCs/>
        </w:rPr>
      </w:pPr>
    </w:p>
    <w:p w:rsidR="00C317C8" w:rsidRDefault="00C317C8" w:rsidP="00C317C8">
      <w:pPr>
        <w:jc w:val="center"/>
        <w:rPr>
          <w:rFonts w:ascii="Arial Narrow" w:hAnsi="Arial Narrow" w:cs="Gisha"/>
          <w:b/>
          <w:bCs/>
          <w:i/>
          <w:iCs/>
        </w:rPr>
      </w:pPr>
    </w:p>
    <w:p w:rsidR="002D2749" w:rsidRDefault="002D2749" w:rsidP="00C317C8">
      <w:pPr>
        <w:jc w:val="center"/>
        <w:rPr>
          <w:rFonts w:ascii="Arial Narrow" w:hAnsi="Arial Narrow" w:cs="Gisha"/>
          <w:b/>
          <w:bCs/>
          <w:i/>
          <w:iCs/>
        </w:rPr>
      </w:pPr>
    </w:p>
    <w:p w:rsidR="002D2749" w:rsidRDefault="002D2749" w:rsidP="00C317C8">
      <w:pPr>
        <w:jc w:val="center"/>
        <w:rPr>
          <w:rFonts w:ascii="Arial Narrow" w:hAnsi="Arial Narrow" w:cs="Gisha"/>
          <w:b/>
          <w:bCs/>
          <w:i/>
          <w:iCs/>
        </w:rPr>
      </w:pPr>
    </w:p>
    <w:p w:rsidR="002D2749" w:rsidRDefault="002D2749" w:rsidP="00C317C8">
      <w:pPr>
        <w:jc w:val="center"/>
        <w:rPr>
          <w:rFonts w:ascii="Arial Narrow" w:hAnsi="Arial Narrow" w:cs="Gisha"/>
          <w:b/>
          <w:bCs/>
          <w:i/>
          <w:iCs/>
        </w:rPr>
      </w:pPr>
    </w:p>
    <w:p w:rsidR="002D2749" w:rsidRDefault="002D2749" w:rsidP="00C317C8">
      <w:pPr>
        <w:jc w:val="center"/>
        <w:rPr>
          <w:rFonts w:ascii="Arial Narrow" w:hAnsi="Arial Narrow" w:cs="Gisha"/>
          <w:b/>
          <w:bCs/>
          <w:i/>
          <w:iCs/>
        </w:rPr>
      </w:pPr>
    </w:p>
    <w:p w:rsidR="002D2749" w:rsidRDefault="002D2749" w:rsidP="00C317C8">
      <w:pPr>
        <w:jc w:val="center"/>
        <w:rPr>
          <w:rFonts w:ascii="Arial Narrow" w:hAnsi="Arial Narrow" w:cs="Gisha"/>
          <w:b/>
          <w:bCs/>
          <w:i/>
          <w:iCs/>
        </w:rPr>
      </w:pPr>
    </w:p>
    <w:p w:rsidR="002D2749" w:rsidRDefault="002D2749" w:rsidP="00C317C8">
      <w:pPr>
        <w:jc w:val="center"/>
        <w:rPr>
          <w:rFonts w:ascii="Arial Narrow" w:hAnsi="Arial Narrow" w:cs="Gisha"/>
          <w:b/>
          <w:bCs/>
          <w:i/>
          <w:iCs/>
        </w:rPr>
      </w:pPr>
    </w:p>
    <w:p w:rsidR="002D2749" w:rsidRDefault="002D2749" w:rsidP="00C317C8">
      <w:pPr>
        <w:jc w:val="center"/>
        <w:rPr>
          <w:rFonts w:ascii="Arial Narrow" w:hAnsi="Arial Narrow" w:cs="Gisha"/>
          <w:b/>
          <w:bCs/>
          <w:i/>
          <w:iCs/>
        </w:rPr>
      </w:pPr>
    </w:p>
    <w:p w:rsidR="003A6A43" w:rsidRDefault="003A6A43" w:rsidP="00C317C8">
      <w:pPr>
        <w:jc w:val="center"/>
        <w:rPr>
          <w:rFonts w:ascii="Arial Narrow" w:hAnsi="Arial Narrow" w:cs="Gisha"/>
          <w:b/>
          <w:bCs/>
          <w:i/>
          <w:iCs/>
        </w:rPr>
      </w:pPr>
    </w:p>
    <w:p w:rsidR="003A6A43" w:rsidRDefault="003A6A43" w:rsidP="00C317C8">
      <w:pPr>
        <w:jc w:val="center"/>
        <w:rPr>
          <w:rFonts w:ascii="Arial Narrow" w:hAnsi="Arial Narrow" w:cs="Gisha"/>
          <w:b/>
          <w:bCs/>
          <w:i/>
          <w:iCs/>
        </w:rPr>
      </w:pPr>
    </w:p>
    <w:p w:rsidR="002D2749" w:rsidRDefault="002D2749" w:rsidP="00C317C8">
      <w:pPr>
        <w:jc w:val="center"/>
        <w:rPr>
          <w:rFonts w:ascii="Arial Narrow" w:hAnsi="Arial Narrow" w:cs="Gisha"/>
          <w:b/>
          <w:bCs/>
          <w:i/>
          <w:iCs/>
        </w:rPr>
      </w:pPr>
    </w:p>
    <w:p w:rsidR="002D2749" w:rsidRPr="00C317C8" w:rsidRDefault="003A6A43" w:rsidP="00C317C8">
      <w:pPr>
        <w:jc w:val="center"/>
        <w:rPr>
          <w:rFonts w:ascii="Arial Narrow" w:hAnsi="Arial Narrow" w:cs="Gisha"/>
          <w:b/>
          <w:bCs/>
          <w:i/>
          <w:iCs/>
        </w:rPr>
      </w:pPr>
      <w:r w:rsidRPr="003A6A43">
        <w:rPr>
          <w:noProof/>
          <w:lang w:val="es-CO" w:eastAsia="es-CO"/>
        </w:rPr>
        <w:drawing>
          <wp:inline distT="0" distB="0" distL="0" distR="0">
            <wp:extent cx="6332220" cy="592886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32220" cy="5928865"/>
                    </a:xfrm>
                    <a:prstGeom prst="rect">
                      <a:avLst/>
                    </a:prstGeom>
                    <a:noFill/>
                    <a:ln>
                      <a:noFill/>
                    </a:ln>
                  </pic:spPr>
                </pic:pic>
              </a:graphicData>
            </a:graphic>
          </wp:inline>
        </w:drawing>
      </w:r>
    </w:p>
    <w:p w:rsidR="003A6A43" w:rsidRDefault="003A6A43" w:rsidP="00C317C8">
      <w:pPr>
        <w:jc w:val="center"/>
        <w:rPr>
          <w:rFonts w:ascii="Arial Narrow" w:hAnsi="Arial Narrow" w:cs="Gisha"/>
          <w:b/>
          <w:bCs/>
          <w:iCs/>
        </w:rPr>
      </w:pPr>
    </w:p>
    <w:p w:rsidR="003A6A43" w:rsidRDefault="003A6A43" w:rsidP="00C317C8">
      <w:pPr>
        <w:jc w:val="center"/>
        <w:rPr>
          <w:rFonts w:ascii="Arial Narrow" w:hAnsi="Arial Narrow" w:cs="Gisha"/>
          <w:b/>
          <w:bCs/>
          <w:iCs/>
        </w:rPr>
      </w:pPr>
    </w:p>
    <w:p w:rsidR="003A6A43" w:rsidRDefault="003A6A43" w:rsidP="00C317C8">
      <w:pPr>
        <w:jc w:val="center"/>
        <w:rPr>
          <w:rFonts w:ascii="Arial Narrow" w:hAnsi="Arial Narrow" w:cs="Gisha"/>
          <w:b/>
          <w:bCs/>
          <w:iCs/>
        </w:rPr>
      </w:pPr>
    </w:p>
    <w:p w:rsidR="003A6A43" w:rsidRDefault="003A6A43" w:rsidP="00C317C8">
      <w:pPr>
        <w:jc w:val="center"/>
        <w:rPr>
          <w:rFonts w:ascii="Arial Narrow" w:hAnsi="Arial Narrow" w:cs="Gisha"/>
          <w:b/>
          <w:bCs/>
          <w:iCs/>
        </w:rPr>
      </w:pPr>
    </w:p>
    <w:p w:rsidR="003A6A43" w:rsidRDefault="003A6A43" w:rsidP="00C317C8">
      <w:pPr>
        <w:jc w:val="center"/>
        <w:rPr>
          <w:rFonts w:ascii="Arial Narrow" w:hAnsi="Arial Narrow" w:cs="Gisha"/>
          <w:b/>
          <w:bCs/>
          <w:iCs/>
        </w:rPr>
      </w:pPr>
    </w:p>
    <w:p w:rsidR="003A6A43" w:rsidRDefault="003A6A43" w:rsidP="00C317C8">
      <w:pPr>
        <w:jc w:val="center"/>
        <w:rPr>
          <w:rFonts w:ascii="Arial Narrow" w:hAnsi="Arial Narrow" w:cs="Gisha"/>
          <w:b/>
          <w:bCs/>
          <w:iCs/>
        </w:rPr>
      </w:pPr>
    </w:p>
    <w:p w:rsidR="003A6A43" w:rsidRDefault="003A6A43" w:rsidP="00C317C8">
      <w:pPr>
        <w:jc w:val="center"/>
        <w:rPr>
          <w:rFonts w:ascii="Arial Narrow" w:hAnsi="Arial Narrow" w:cs="Gisha"/>
          <w:b/>
          <w:bCs/>
          <w:iCs/>
        </w:rPr>
      </w:pPr>
    </w:p>
    <w:p w:rsidR="003A6A43" w:rsidRDefault="003A6A43" w:rsidP="00C317C8">
      <w:pPr>
        <w:jc w:val="center"/>
        <w:rPr>
          <w:rFonts w:ascii="Arial Narrow" w:hAnsi="Arial Narrow" w:cs="Gisha"/>
          <w:b/>
          <w:bCs/>
          <w:iCs/>
        </w:rPr>
      </w:pPr>
    </w:p>
    <w:p w:rsidR="003A6A43" w:rsidRDefault="003A6A43" w:rsidP="00C317C8">
      <w:pPr>
        <w:jc w:val="center"/>
        <w:rPr>
          <w:rFonts w:ascii="Arial Narrow" w:hAnsi="Arial Narrow" w:cs="Gisha"/>
          <w:b/>
          <w:bCs/>
          <w:iCs/>
        </w:rPr>
      </w:pPr>
    </w:p>
    <w:p w:rsidR="003A6A43" w:rsidRDefault="00285764" w:rsidP="00C317C8">
      <w:pPr>
        <w:jc w:val="center"/>
        <w:rPr>
          <w:rFonts w:ascii="Arial Narrow" w:hAnsi="Arial Narrow" w:cs="Gisha"/>
          <w:b/>
          <w:bCs/>
          <w:iCs/>
        </w:rPr>
      </w:pPr>
      <w:r w:rsidRPr="00285764">
        <w:rPr>
          <w:noProof/>
          <w:lang w:val="es-CO" w:eastAsia="es-CO"/>
        </w:rPr>
        <w:lastRenderedPageBreak/>
        <w:drawing>
          <wp:inline distT="0" distB="0" distL="0" distR="0">
            <wp:extent cx="5815584" cy="7644466"/>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822905" cy="7654089"/>
                    </a:xfrm>
                    <a:prstGeom prst="rect">
                      <a:avLst/>
                    </a:prstGeom>
                    <a:noFill/>
                    <a:ln>
                      <a:noFill/>
                    </a:ln>
                  </pic:spPr>
                </pic:pic>
              </a:graphicData>
            </a:graphic>
          </wp:inline>
        </w:drawing>
      </w:r>
    </w:p>
    <w:p w:rsidR="009B7409" w:rsidRDefault="009B7409" w:rsidP="00C317C8">
      <w:pPr>
        <w:jc w:val="center"/>
        <w:rPr>
          <w:rFonts w:ascii="Arial Narrow" w:hAnsi="Arial Narrow" w:cs="Gisha"/>
          <w:b/>
          <w:bCs/>
          <w:iCs/>
        </w:rPr>
      </w:pPr>
    </w:p>
    <w:p w:rsidR="003A6A43" w:rsidRDefault="00787290" w:rsidP="00C317C8">
      <w:pPr>
        <w:jc w:val="center"/>
        <w:rPr>
          <w:rFonts w:ascii="Arial Narrow" w:hAnsi="Arial Narrow" w:cs="Gisha"/>
          <w:b/>
          <w:bCs/>
          <w:iCs/>
        </w:rPr>
      </w:pPr>
      <w:r w:rsidRPr="00787290">
        <w:rPr>
          <w:noProof/>
          <w:lang w:val="es-CO" w:eastAsia="es-CO"/>
        </w:rPr>
        <w:lastRenderedPageBreak/>
        <w:drawing>
          <wp:inline distT="0" distB="0" distL="0" distR="0">
            <wp:extent cx="6332220" cy="5960321"/>
            <wp:effectExtent l="0" t="0" r="0" b="254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32220" cy="5960321"/>
                    </a:xfrm>
                    <a:prstGeom prst="rect">
                      <a:avLst/>
                    </a:prstGeom>
                    <a:noFill/>
                    <a:ln>
                      <a:noFill/>
                    </a:ln>
                  </pic:spPr>
                </pic:pic>
              </a:graphicData>
            </a:graphic>
          </wp:inline>
        </w:drawing>
      </w:r>
    </w:p>
    <w:p w:rsidR="003A6A43" w:rsidRDefault="003A6A43" w:rsidP="00C317C8">
      <w:pPr>
        <w:jc w:val="center"/>
        <w:rPr>
          <w:rFonts w:ascii="Arial Narrow" w:hAnsi="Arial Narrow" w:cs="Gisha"/>
          <w:b/>
          <w:bCs/>
          <w:iCs/>
        </w:rPr>
      </w:pPr>
    </w:p>
    <w:p w:rsidR="003A6A43" w:rsidRDefault="003A6A43" w:rsidP="00C317C8">
      <w:pPr>
        <w:jc w:val="center"/>
        <w:rPr>
          <w:rFonts w:ascii="Arial Narrow" w:hAnsi="Arial Narrow" w:cs="Gisha"/>
          <w:b/>
          <w:bCs/>
          <w:iCs/>
        </w:rPr>
      </w:pPr>
    </w:p>
    <w:p w:rsidR="009B7409" w:rsidRDefault="009B7409" w:rsidP="00C317C8">
      <w:pPr>
        <w:jc w:val="center"/>
        <w:rPr>
          <w:rFonts w:ascii="Arial Narrow" w:hAnsi="Arial Narrow" w:cs="Gisha"/>
          <w:b/>
          <w:bCs/>
          <w:iCs/>
        </w:rPr>
      </w:pPr>
    </w:p>
    <w:p w:rsidR="009B7409" w:rsidRDefault="009B7409" w:rsidP="00C317C8">
      <w:pPr>
        <w:jc w:val="center"/>
        <w:rPr>
          <w:rFonts w:ascii="Arial Narrow" w:hAnsi="Arial Narrow" w:cs="Gisha"/>
          <w:b/>
          <w:bCs/>
          <w:iCs/>
        </w:rPr>
      </w:pPr>
    </w:p>
    <w:p w:rsidR="009B7409" w:rsidRDefault="009B7409" w:rsidP="00C317C8">
      <w:pPr>
        <w:jc w:val="center"/>
        <w:rPr>
          <w:rFonts w:ascii="Arial Narrow" w:hAnsi="Arial Narrow" w:cs="Gisha"/>
          <w:b/>
          <w:bCs/>
          <w:iCs/>
        </w:rPr>
      </w:pPr>
    </w:p>
    <w:p w:rsidR="009B7409" w:rsidRDefault="009B7409" w:rsidP="00C317C8">
      <w:pPr>
        <w:jc w:val="center"/>
        <w:rPr>
          <w:rFonts w:ascii="Arial Narrow" w:hAnsi="Arial Narrow" w:cs="Gisha"/>
          <w:b/>
          <w:bCs/>
          <w:iCs/>
        </w:rPr>
      </w:pPr>
    </w:p>
    <w:p w:rsidR="009B7409" w:rsidRDefault="009B7409" w:rsidP="00C317C8">
      <w:pPr>
        <w:jc w:val="center"/>
        <w:rPr>
          <w:rFonts w:ascii="Arial Narrow" w:hAnsi="Arial Narrow" w:cs="Gisha"/>
          <w:b/>
          <w:bCs/>
          <w:iCs/>
        </w:rPr>
      </w:pPr>
    </w:p>
    <w:p w:rsidR="009B7409" w:rsidRDefault="009B7409" w:rsidP="00C317C8">
      <w:pPr>
        <w:jc w:val="center"/>
        <w:rPr>
          <w:rFonts w:ascii="Arial Narrow" w:hAnsi="Arial Narrow" w:cs="Gisha"/>
          <w:b/>
          <w:bCs/>
          <w:iCs/>
        </w:rPr>
      </w:pPr>
    </w:p>
    <w:p w:rsidR="009B7409" w:rsidRDefault="009B7409" w:rsidP="00C317C8">
      <w:pPr>
        <w:jc w:val="center"/>
        <w:rPr>
          <w:rFonts w:ascii="Arial Narrow" w:hAnsi="Arial Narrow" w:cs="Gisha"/>
          <w:b/>
          <w:bCs/>
          <w:iCs/>
        </w:rPr>
      </w:pPr>
    </w:p>
    <w:p w:rsidR="009B7409" w:rsidRDefault="009B7409" w:rsidP="00C317C8">
      <w:pPr>
        <w:jc w:val="center"/>
        <w:rPr>
          <w:rFonts w:ascii="Arial Narrow" w:hAnsi="Arial Narrow" w:cs="Gisha"/>
          <w:b/>
          <w:bCs/>
          <w:iCs/>
        </w:rPr>
      </w:pPr>
    </w:p>
    <w:p w:rsidR="009B7409" w:rsidRDefault="00E71C2E" w:rsidP="00C317C8">
      <w:pPr>
        <w:jc w:val="center"/>
        <w:rPr>
          <w:rFonts w:ascii="Arial Narrow" w:hAnsi="Arial Narrow" w:cs="Gisha"/>
          <w:b/>
          <w:bCs/>
          <w:iCs/>
        </w:rPr>
      </w:pPr>
      <w:r w:rsidRPr="00E71C2E">
        <w:rPr>
          <w:noProof/>
          <w:lang w:val="es-CO" w:eastAsia="es-CO"/>
        </w:rPr>
        <w:lastRenderedPageBreak/>
        <w:drawing>
          <wp:inline distT="0" distB="0" distL="0" distR="0">
            <wp:extent cx="6071616" cy="7307961"/>
            <wp:effectExtent l="0" t="0" r="5715" b="762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076443" cy="7313771"/>
                    </a:xfrm>
                    <a:prstGeom prst="rect">
                      <a:avLst/>
                    </a:prstGeom>
                    <a:noFill/>
                    <a:ln>
                      <a:noFill/>
                    </a:ln>
                  </pic:spPr>
                </pic:pic>
              </a:graphicData>
            </a:graphic>
          </wp:inline>
        </w:drawing>
      </w:r>
    </w:p>
    <w:p w:rsidR="00E71C2E" w:rsidRDefault="00E71C2E" w:rsidP="00C317C8">
      <w:pPr>
        <w:jc w:val="center"/>
        <w:rPr>
          <w:rFonts w:ascii="Arial Narrow" w:hAnsi="Arial Narrow" w:cs="Gisha"/>
          <w:b/>
          <w:bCs/>
          <w:iCs/>
        </w:rPr>
      </w:pPr>
    </w:p>
    <w:p w:rsidR="00E71C2E" w:rsidRDefault="00E71C2E" w:rsidP="00C317C8">
      <w:pPr>
        <w:jc w:val="center"/>
        <w:rPr>
          <w:rFonts w:ascii="Arial Narrow" w:hAnsi="Arial Narrow" w:cs="Gisha"/>
          <w:b/>
          <w:bCs/>
          <w:iCs/>
        </w:rPr>
      </w:pPr>
    </w:p>
    <w:p w:rsidR="00E71C2E" w:rsidRDefault="00E71C2E" w:rsidP="00C317C8">
      <w:pPr>
        <w:jc w:val="center"/>
        <w:rPr>
          <w:rFonts w:ascii="Arial Narrow" w:hAnsi="Arial Narrow" w:cs="Gisha"/>
          <w:b/>
          <w:bCs/>
          <w:iCs/>
        </w:rPr>
      </w:pPr>
    </w:p>
    <w:p w:rsidR="00E71C2E" w:rsidRDefault="00D50CE6" w:rsidP="00C317C8">
      <w:pPr>
        <w:jc w:val="center"/>
        <w:rPr>
          <w:rFonts w:ascii="Arial Narrow" w:hAnsi="Arial Narrow" w:cs="Gisha"/>
          <w:b/>
          <w:bCs/>
          <w:iCs/>
        </w:rPr>
      </w:pPr>
      <w:r w:rsidRPr="00D50CE6">
        <w:rPr>
          <w:noProof/>
          <w:lang w:val="es-CO" w:eastAsia="es-CO"/>
        </w:rPr>
        <w:lastRenderedPageBreak/>
        <w:drawing>
          <wp:inline distT="0" distB="0" distL="0" distR="0">
            <wp:extent cx="6005779" cy="79097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022488" cy="7931741"/>
                    </a:xfrm>
                    <a:prstGeom prst="rect">
                      <a:avLst/>
                    </a:prstGeom>
                    <a:noFill/>
                    <a:ln>
                      <a:noFill/>
                    </a:ln>
                  </pic:spPr>
                </pic:pic>
              </a:graphicData>
            </a:graphic>
          </wp:inline>
        </w:drawing>
      </w:r>
    </w:p>
    <w:p w:rsidR="00D50CE6" w:rsidRDefault="00D50CE6" w:rsidP="00C317C8">
      <w:pPr>
        <w:jc w:val="center"/>
        <w:rPr>
          <w:rFonts w:ascii="Arial Narrow" w:hAnsi="Arial Narrow" w:cs="Gisha"/>
          <w:b/>
          <w:bCs/>
          <w:iCs/>
        </w:rPr>
      </w:pPr>
    </w:p>
    <w:p w:rsidR="00D50CE6" w:rsidRDefault="00D50CE6" w:rsidP="00C317C8">
      <w:pPr>
        <w:jc w:val="center"/>
        <w:rPr>
          <w:rFonts w:ascii="Arial Narrow" w:hAnsi="Arial Narrow" w:cs="Gisha"/>
          <w:b/>
          <w:bCs/>
          <w:iCs/>
        </w:rPr>
      </w:pPr>
    </w:p>
    <w:p w:rsidR="00C712DD" w:rsidRDefault="00C712DD" w:rsidP="00C317C8">
      <w:pPr>
        <w:jc w:val="center"/>
        <w:rPr>
          <w:rFonts w:ascii="Arial Narrow" w:hAnsi="Arial Narrow" w:cs="Gisha"/>
          <w:b/>
          <w:bCs/>
          <w:iCs/>
        </w:rPr>
      </w:pPr>
    </w:p>
    <w:p w:rsidR="00C712DD" w:rsidRDefault="00C712DD" w:rsidP="00C317C8">
      <w:pPr>
        <w:jc w:val="center"/>
        <w:rPr>
          <w:rFonts w:ascii="Arial Narrow" w:hAnsi="Arial Narrow" w:cs="Gisha"/>
          <w:b/>
          <w:bCs/>
          <w:iCs/>
        </w:rPr>
      </w:pPr>
    </w:p>
    <w:p w:rsidR="00C712DD" w:rsidRDefault="00C712DD" w:rsidP="00C317C8">
      <w:pPr>
        <w:jc w:val="center"/>
        <w:rPr>
          <w:rFonts w:ascii="Arial Narrow" w:hAnsi="Arial Narrow" w:cs="Gisha"/>
          <w:b/>
          <w:bCs/>
          <w:iCs/>
        </w:rPr>
      </w:pPr>
    </w:p>
    <w:p w:rsidR="00C712DD" w:rsidRDefault="00C712DD" w:rsidP="00C317C8">
      <w:pPr>
        <w:jc w:val="center"/>
        <w:rPr>
          <w:rFonts w:ascii="Arial Narrow" w:hAnsi="Arial Narrow" w:cs="Gisha"/>
          <w:b/>
          <w:bCs/>
          <w:iCs/>
        </w:rPr>
      </w:pPr>
    </w:p>
    <w:p w:rsidR="00C712DD" w:rsidRDefault="00C712DD" w:rsidP="00C317C8">
      <w:pPr>
        <w:jc w:val="center"/>
        <w:rPr>
          <w:rFonts w:ascii="Arial Narrow" w:hAnsi="Arial Narrow" w:cs="Gisha"/>
          <w:b/>
          <w:bCs/>
          <w:iCs/>
        </w:rPr>
      </w:pPr>
    </w:p>
    <w:p w:rsidR="00C712DD" w:rsidRDefault="00C712DD" w:rsidP="00C317C8">
      <w:pPr>
        <w:jc w:val="center"/>
        <w:rPr>
          <w:rFonts w:ascii="Arial Narrow" w:hAnsi="Arial Narrow" w:cs="Gisha"/>
          <w:b/>
          <w:bCs/>
          <w:iCs/>
        </w:rPr>
      </w:pPr>
    </w:p>
    <w:p w:rsidR="00C712DD" w:rsidRDefault="00C712DD" w:rsidP="00C317C8">
      <w:pPr>
        <w:jc w:val="center"/>
        <w:rPr>
          <w:rFonts w:ascii="Arial Narrow" w:hAnsi="Arial Narrow" w:cs="Gisha"/>
          <w:b/>
          <w:bCs/>
          <w:iCs/>
        </w:rPr>
      </w:pPr>
    </w:p>
    <w:p w:rsidR="00C712DD" w:rsidRDefault="00C712DD" w:rsidP="00C317C8">
      <w:pPr>
        <w:jc w:val="center"/>
        <w:rPr>
          <w:rFonts w:ascii="Arial Narrow" w:hAnsi="Arial Narrow" w:cs="Gisha"/>
          <w:b/>
          <w:bCs/>
          <w:iCs/>
        </w:rPr>
      </w:pPr>
    </w:p>
    <w:p w:rsidR="00C712DD" w:rsidRDefault="00C712DD" w:rsidP="00C317C8">
      <w:pPr>
        <w:jc w:val="center"/>
        <w:rPr>
          <w:rFonts w:ascii="Arial Narrow" w:hAnsi="Arial Narrow" w:cs="Gisha"/>
          <w:b/>
          <w:bCs/>
          <w:iCs/>
        </w:rPr>
      </w:pPr>
    </w:p>
    <w:p w:rsidR="00C712DD" w:rsidRDefault="00C712DD" w:rsidP="00C317C8">
      <w:pPr>
        <w:jc w:val="center"/>
        <w:rPr>
          <w:rFonts w:ascii="Arial Narrow" w:hAnsi="Arial Narrow" w:cs="Gisha"/>
          <w:b/>
          <w:bCs/>
          <w:iCs/>
        </w:rPr>
      </w:pPr>
    </w:p>
    <w:p w:rsidR="00C712DD" w:rsidRDefault="00C712DD" w:rsidP="00C317C8">
      <w:pPr>
        <w:jc w:val="center"/>
        <w:rPr>
          <w:rFonts w:ascii="Arial Narrow" w:hAnsi="Arial Narrow" w:cs="Gisha"/>
          <w:b/>
          <w:bCs/>
          <w:iCs/>
        </w:rPr>
      </w:pPr>
    </w:p>
    <w:p w:rsidR="00C712DD" w:rsidRDefault="00C712DD" w:rsidP="00C317C8">
      <w:pPr>
        <w:jc w:val="center"/>
        <w:rPr>
          <w:rFonts w:ascii="Arial Narrow" w:hAnsi="Arial Narrow" w:cs="Gisha"/>
          <w:b/>
          <w:bCs/>
          <w:iCs/>
        </w:rPr>
      </w:pPr>
    </w:p>
    <w:p w:rsidR="00C712DD" w:rsidRDefault="00C712DD" w:rsidP="00C317C8">
      <w:pPr>
        <w:jc w:val="center"/>
        <w:rPr>
          <w:rFonts w:ascii="Arial Narrow" w:hAnsi="Arial Narrow" w:cs="Gisha"/>
          <w:b/>
          <w:bCs/>
          <w:iCs/>
        </w:rPr>
      </w:pPr>
    </w:p>
    <w:p w:rsidR="00C712DD" w:rsidRDefault="00C712DD" w:rsidP="00C317C8">
      <w:pPr>
        <w:jc w:val="center"/>
        <w:rPr>
          <w:rFonts w:ascii="Arial Narrow" w:hAnsi="Arial Narrow" w:cs="Gisha"/>
          <w:b/>
          <w:bCs/>
          <w:iCs/>
        </w:rPr>
      </w:pPr>
    </w:p>
    <w:p w:rsidR="00C317C8" w:rsidRPr="00C317C8" w:rsidRDefault="00C317C8" w:rsidP="00C317C8">
      <w:pPr>
        <w:jc w:val="center"/>
        <w:rPr>
          <w:rFonts w:ascii="Arial Narrow" w:hAnsi="Arial Narrow" w:cs="Gisha"/>
          <w:b/>
          <w:bCs/>
          <w:iCs/>
        </w:rPr>
      </w:pPr>
      <w:r w:rsidRPr="00C317C8">
        <w:rPr>
          <w:rFonts w:ascii="Arial Narrow" w:hAnsi="Arial Narrow" w:cs="Gisha"/>
          <w:b/>
          <w:bCs/>
          <w:iCs/>
        </w:rPr>
        <w:t xml:space="preserve">ANEXO 11 – </w:t>
      </w:r>
      <w:r w:rsidR="00594CC2">
        <w:rPr>
          <w:rFonts w:ascii="Arial Narrow" w:hAnsi="Arial Narrow" w:cs="Gisha"/>
          <w:b/>
          <w:bCs/>
          <w:iCs/>
        </w:rPr>
        <w:t>FICHA</w:t>
      </w:r>
      <w:r w:rsidRPr="00C317C8">
        <w:rPr>
          <w:rFonts w:ascii="Arial Narrow" w:hAnsi="Arial Narrow" w:cs="Gisha"/>
          <w:b/>
          <w:bCs/>
          <w:iCs/>
        </w:rPr>
        <w:t xml:space="preserve"> CONCESION</w:t>
      </w:r>
      <w:r w:rsidR="00594CC2">
        <w:rPr>
          <w:rFonts w:ascii="Arial Narrow" w:hAnsi="Arial Narrow" w:cs="Gisha"/>
          <w:b/>
          <w:bCs/>
          <w:iCs/>
        </w:rPr>
        <w:t>ES –ANEXO ESTADOS FINANCIEROS</w:t>
      </w:r>
    </w:p>
    <w:p w:rsidR="009F7244" w:rsidRDefault="009F7244" w:rsidP="00DF65EF">
      <w:pPr>
        <w:jc w:val="center"/>
        <w:rPr>
          <w:rFonts w:ascii="Arial Narrow" w:hAnsi="Arial Narrow" w:cs="Tahoma"/>
          <w:b/>
          <w:bCs/>
          <w:sz w:val="72"/>
          <w:szCs w:val="72"/>
          <w:lang w:val="es-CO"/>
        </w:rPr>
      </w:pPr>
    </w:p>
    <w:p w:rsidR="00882C9D" w:rsidRPr="003673ED" w:rsidRDefault="00882C9D" w:rsidP="00532B10">
      <w:pPr>
        <w:pStyle w:val="Encabezado"/>
        <w:tabs>
          <w:tab w:val="clear" w:pos="4252"/>
          <w:tab w:val="clear" w:pos="8504"/>
        </w:tabs>
        <w:jc w:val="center"/>
        <w:rPr>
          <w:rFonts w:ascii="Arial Narrow" w:hAnsi="Arial Narrow" w:cs="Gisha"/>
          <w:b/>
          <w:bCs/>
          <w:i/>
          <w:iCs/>
          <w:vanish/>
          <w:color w:val="auto"/>
        </w:rPr>
      </w:pPr>
    </w:p>
    <w:sectPr w:rsidR="00882C9D" w:rsidRPr="003673ED" w:rsidSect="000B4E4F">
      <w:headerReference w:type="default" r:id="rId43"/>
      <w:footerReference w:type="default" r:id="rId44"/>
      <w:type w:val="continuous"/>
      <w:pgSz w:w="12240" w:h="15840" w:code="1"/>
      <w:pgMar w:top="2127" w:right="1134" w:bottom="1276" w:left="1134" w:header="720" w:footer="567" w:gutter="0"/>
      <w:pgBorders w:offsetFrom="page">
        <w:top w:val="double" w:sz="6" w:space="24" w:color="auto"/>
        <w:left w:val="double" w:sz="6" w:space="24" w:color="auto"/>
        <w:bottom w:val="double" w:sz="6" w:space="24" w:color="auto"/>
        <w:right w:val="double" w:sz="6"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BC5" w:rsidRDefault="003C0BC5">
      <w:r>
        <w:separator/>
      </w:r>
    </w:p>
  </w:endnote>
  <w:endnote w:type="continuationSeparator" w:id="0">
    <w:p w:rsidR="003C0BC5" w:rsidRDefault="003C0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isha">
    <w:panose1 w:val="020B0502040204020203"/>
    <w:charset w:val="00"/>
    <w:family w:val="swiss"/>
    <w:pitch w:val="variable"/>
    <w:sig w:usb0="80000807" w:usb1="40000042" w:usb2="00000000" w:usb3="00000000" w:csb0="0000002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7160333"/>
      <w:docPartObj>
        <w:docPartGallery w:val="Page Numbers (Bottom of Page)"/>
        <w:docPartUnique/>
      </w:docPartObj>
    </w:sdtPr>
    <w:sdtEndPr/>
    <w:sdtContent>
      <w:p w:rsidR="00AB3EF1" w:rsidRDefault="00AB3EF1">
        <w:pPr>
          <w:pStyle w:val="Piedepgina"/>
          <w:jc w:val="right"/>
        </w:pPr>
        <w:r>
          <w:fldChar w:fldCharType="begin"/>
        </w:r>
        <w:r>
          <w:instrText>PAGE   \* MERGEFORMAT</w:instrText>
        </w:r>
        <w:r>
          <w:fldChar w:fldCharType="separate"/>
        </w:r>
        <w:r w:rsidR="00071C5F">
          <w:rPr>
            <w:noProof/>
          </w:rPr>
          <w:t>30</w:t>
        </w:r>
        <w:r>
          <w:fldChar w:fldCharType="end"/>
        </w:r>
      </w:p>
    </w:sdtContent>
  </w:sdt>
  <w:p w:rsidR="005F79C4" w:rsidRDefault="005F79C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BC5" w:rsidRDefault="003C0BC5">
      <w:r>
        <w:separator/>
      </w:r>
    </w:p>
  </w:footnote>
  <w:footnote w:type="continuationSeparator" w:id="0">
    <w:p w:rsidR="003C0BC5" w:rsidRDefault="003C0B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9C4" w:rsidRDefault="005F79C4">
    <w:pPr>
      <w:pStyle w:val="Encabezado"/>
      <w:jc w:val="right"/>
    </w:pPr>
  </w:p>
  <w:p w:rsidR="005F79C4" w:rsidRDefault="005F79C4">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049CA"/>
    <w:multiLevelType w:val="hybridMultilevel"/>
    <w:tmpl w:val="95F6988C"/>
    <w:lvl w:ilvl="0" w:tplc="9DC03D60">
      <w:start w:val="1"/>
      <w:numFmt w:val="decimal"/>
      <w:lvlText w:val="%1."/>
      <w:lvlJc w:val="left"/>
      <w:pPr>
        <w:ind w:left="1080" w:hanging="360"/>
      </w:pPr>
      <w:rPr>
        <w:rFonts w:hint="default"/>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2F80143"/>
    <w:multiLevelType w:val="hybridMultilevel"/>
    <w:tmpl w:val="7CA661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604332"/>
    <w:multiLevelType w:val="hybridMultilevel"/>
    <w:tmpl w:val="BAEC85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3A6E2F"/>
    <w:multiLevelType w:val="hybridMultilevel"/>
    <w:tmpl w:val="BE3A5B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F0D1A29"/>
    <w:multiLevelType w:val="hybridMultilevel"/>
    <w:tmpl w:val="2A566A9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F8933D1"/>
    <w:multiLevelType w:val="hybridMultilevel"/>
    <w:tmpl w:val="AC86FBF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5685975"/>
    <w:multiLevelType w:val="hybridMultilevel"/>
    <w:tmpl w:val="39C0CA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2E7C84"/>
    <w:multiLevelType w:val="hybridMultilevel"/>
    <w:tmpl w:val="506495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CF6529E"/>
    <w:multiLevelType w:val="hybridMultilevel"/>
    <w:tmpl w:val="647429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1795413"/>
    <w:multiLevelType w:val="hybridMultilevel"/>
    <w:tmpl w:val="367EF142"/>
    <w:lvl w:ilvl="0" w:tplc="240A0001">
      <w:start w:val="1"/>
      <w:numFmt w:val="bullet"/>
      <w:lvlText w:val=""/>
      <w:lvlJc w:val="left"/>
      <w:pPr>
        <w:ind w:left="1068" w:hanging="360"/>
      </w:pPr>
      <w:rPr>
        <w:rFonts w:ascii="Symbol" w:hAnsi="Symbol"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1C41DE3"/>
    <w:multiLevelType w:val="hybridMultilevel"/>
    <w:tmpl w:val="557835F8"/>
    <w:lvl w:ilvl="0" w:tplc="080A000F">
      <w:start w:val="1"/>
      <w:numFmt w:val="decimal"/>
      <w:lvlText w:val="%1."/>
      <w:lvlJc w:val="left"/>
      <w:pPr>
        <w:ind w:left="720" w:hanging="360"/>
      </w:pPr>
      <w:rPr>
        <w:rFonts w:hint="default"/>
        <w:i w:val="0"/>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15:restartNumberingAfterBreak="0">
    <w:nsid w:val="252417D4"/>
    <w:multiLevelType w:val="hybridMultilevel"/>
    <w:tmpl w:val="B472EB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9915FEC"/>
    <w:multiLevelType w:val="hybridMultilevel"/>
    <w:tmpl w:val="75EEBE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9CF2E11"/>
    <w:multiLevelType w:val="hybridMultilevel"/>
    <w:tmpl w:val="E5044B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C0E5C6C"/>
    <w:multiLevelType w:val="hybridMultilevel"/>
    <w:tmpl w:val="B8A2C1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2BA3F0E"/>
    <w:multiLevelType w:val="multilevel"/>
    <w:tmpl w:val="58AE748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67D133D"/>
    <w:multiLevelType w:val="hybridMultilevel"/>
    <w:tmpl w:val="4DFAC230"/>
    <w:lvl w:ilvl="0" w:tplc="3F9E10F2">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6DE28C5"/>
    <w:multiLevelType w:val="hybridMultilevel"/>
    <w:tmpl w:val="C73CC0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94D7772"/>
    <w:multiLevelType w:val="hybridMultilevel"/>
    <w:tmpl w:val="E5EC49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CA1397E"/>
    <w:multiLevelType w:val="hybridMultilevel"/>
    <w:tmpl w:val="547C88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EB30A55"/>
    <w:multiLevelType w:val="hybridMultilevel"/>
    <w:tmpl w:val="4404A54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1" w15:restartNumberingAfterBreak="0">
    <w:nsid w:val="40037FB2"/>
    <w:multiLevelType w:val="hybridMultilevel"/>
    <w:tmpl w:val="F7FE5EAC"/>
    <w:lvl w:ilvl="0" w:tplc="240A0013">
      <w:start w:val="1"/>
      <w:numFmt w:val="upperRoman"/>
      <w:lvlText w:val="%1."/>
      <w:lvlJc w:val="right"/>
      <w:pPr>
        <w:ind w:left="720" w:hanging="360"/>
      </w:pPr>
    </w:lvl>
    <w:lvl w:ilvl="1" w:tplc="5BAC4E24">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5B740AE"/>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77395C"/>
    <w:multiLevelType w:val="hybridMultilevel"/>
    <w:tmpl w:val="2D80FB86"/>
    <w:lvl w:ilvl="0" w:tplc="12BAB31E">
      <w:start w:val="14"/>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33D203D"/>
    <w:multiLevelType w:val="hybridMultilevel"/>
    <w:tmpl w:val="0D18C5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77C7852"/>
    <w:multiLevelType w:val="hybridMultilevel"/>
    <w:tmpl w:val="5A6E91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9B77F0D"/>
    <w:multiLevelType w:val="hybridMultilevel"/>
    <w:tmpl w:val="CA68B69E"/>
    <w:lvl w:ilvl="0" w:tplc="4E464B36">
      <w:numFmt w:val="bullet"/>
      <w:lvlText w:val="-"/>
      <w:lvlJc w:val="left"/>
      <w:pPr>
        <w:ind w:left="720" w:hanging="360"/>
      </w:pPr>
      <w:rPr>
        <w:rFonts w:ascii="Arial Narrow" w:eastAsia="Times New Roman" w:hAnsi="Arial Narrow"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C4A3BAE"/>
    <w:multiLevelType w:val="hybridMultilevel"/>
    <w:tmpl w:val="1B9CAD82"/>
    <w:lvl w:ilvl="0" w:tplc="DE1C826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D17161C"/>
    <w:multiLevelType w:val="hybridMultilevel"/>
    <w:tmpl w:val="0DD4F456"/>
    <w:lvl w:ilvl="0" w:tplc="9DC03D6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 w15:restartNumberingAfterBreak="0">
    <w:nsid w:val="5F783B4F"/>
    <w:multiLevelType w:val="hybridMultilevel"/>
    <w:tmpl w:val="43DCCC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3C71FA3"/>
    <w:multiLevelType w:val="hybridMultilevel"/>
    <w:tmpl w:val="B29ED8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C9F4ECA"/>
    <w:multiLevelType w:val="hybridMultilevel"/>
    <w:tmpl w:val="6FB0247C"/>
    <w:lvl w:ilvl="0" w:tplc="A6E4ECD6">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32" w15:restartNumberingAfterBreak="0">
    <w:nsid w:val="76020C0B"/>
    <w:multiLevelType w:val="hybridMultilevel"/>
    <w:tmpl w:val="2EEA2CEC"/>
    <w:lvl w:ilvl="0" w:tplc="1A3A8BD6">
      <w:start w:val="1"/>
      <w:numFmt w:val="bullet"/>
      <w:lvlText w:val=""/>
      <w:lvlJc w:val="left"/>
      <w:pPr>
        <w:ind w:left="720" w:hanging="360"/>
      </w:pPr>
      <w:rPr>
        <w:rFonts w:ascii="Symbol" w:eastAsia="Times New Roman" w:hAnsi="Symbol" w:cs="Gisha"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7D697E7C"/>
    <w:multiLevelType w:val="hybridMultilevel"/>
    <w:tmpl w:val="79401FD8"/>
    <w:lvl w:ilvl="0" w:tplc="240A0001">
      <w:start w:val="1"/>
      <w:numFmt w:val="bullet"/>
      <w:lvlText w:val=""/>
      <w:lvlJc w:val="left"/>
      <w:pPr>
        <w:ind w:left="823" w:hanging="360"/>
      </w:pPr>
      <w:rPr>
        <w:rFonts w:ascii="Symbol" w:hAnsi="Symbol" w:hint="default"/>
      </w:rPr>
    </w:lvl>
    <w:lvl w:ilvl="1" w:tplc="240A0003" w:tentative="1">
      <w:start w:val="1"/>
      <w:numFmt w:val="bullet"/>
      <w:lvlText w:val="o"/>
      <w:lvlJc w:val="left"/>
      <w:pPr>
        <w:ind w:left="1543" w:hanging="360"/>
      </w:pPr>
      <w:rPr>
        <w:rFonts w:ascii="Courier New" w:hAnsi="Courier New" w:cs="Courier New" w:hint="default"/>
      </w:rPr>
    </w:lvl>
    <w:lvl w:ilvl="2" w:tplc="240A0005" w:tentative="1">
      <w:start w:val="1"/>
      <w:numFmt w:val="bullet"/>
      <w:lvlText w:val=""/>
      <w:lvlJc w:val="left"/>
      <w:pPr>
        <w:ind w:left="2263" w:hanging="360"/>
      </w:pPr>
      <w:rPr>
        <w:rFonts w:ascii="Wingdings" w:hAnsi="Wingdings" w:hint="default"/>
      </w:rPr>
    </w:lvl>
    <w:lvl w:ilvl="3" w:tplc="240A0001" w:tentative="1">
      <w:start w:val="1"/>
      <w:numFmt w:val="bullet"/>
      <w:lvlText w:val=""/>
      <w:lvlJc w:val="left"/>
      <w:pPr>
        <w:ind w:left="2983" w:hanging="360"/>
      </w:pPr>
      <w:rPr>
        <w:rFonts w:ascii="Symbol" w:hAnsi="Symbol" w:hint="default"/>
      </w:rPr>
    </w:lvl>
    <w:lvl w:ilvl="4" w:tplc="240A0003" w:tentative="1">
      <w:start w:val="1"/>
      <w:numFmt w:val="bullet"/>
      <w:lvlText w:val="o"/>
      <w:lvlJc w:val="left"/>
      <w:pPr>
        <w:ind w:left="3703" w:hanging="360"/>
      </w:pPr>
      <w:rPr>
        <w:rFonts w:ascii="Courier New" w:hAnsi="Courier New" w:cs="Courier New" w:hint="default"/>
      </w:rPr>
    </w:lvl>
    <w:lvl w:ilvl="5" w:tplc="240A0005" w:tentative="1">
      <w:start w:val="1"/>
      <w:numFmt w:val="bullet"/>
      <w:lvlText w:val=""/>
      <w:lvlJc w:val="left"/>
      <w:pPr>
        <w:ind w:left="4423" w:hanging="360"/>
      </w:pPr>
      <w:rPr>
        <w:rFonts w:ascii="Wingdings" w:hAnsi="Wingdings" w:hint="default"/>
      </w:rPr>
    </w:lvl>
    <w:lvl w:ilvl="6" w:tplc="240A0001" w:tentative="1">
      <w:start w:val="1"/>
      <w:numFmt w:val="bullet"/>
      <w:lvlText w:val=""/>
      <w:lvlJc w:val="left"/>
      <w:pPr>
        <w:ind w:left="5143" w:hanging="360"/>
      </w:pPr>
      <w:rPr>
        <w:rFonts w:ascii="Symbol" w:hAnsi="Symbol" w:hint="default"/>
      </w:rPr>
    </w:lvl>
    <w:lvl w:ilvl="7" w:tplc="240A0003" w:tentative="1">
      <w:start w:val="1"/>
      <w:numFmt w:val="bullet"/>
      <w:lvlText w:val="o"/>
      <w:lvlJc w:val="left"/>
      <w:pPr>
        <w:ind w:left="5863" w:hanging="360"/>
      </w:pPr>
      <w:rPr>
        <w:rFonts w:ascii="Courier New" w:hAnsi="Courier New" w:cs="Courier New" w:hint="default"/>
      </w:rPr>
    </w:lvl>
    <w:lvl w:ilvl="8" w:tplc="240A0005" w:tentative="1">
      <w:start w:val="1"/>
      <w:numFmt w:val="bullet"/>
      <w:lvlText w:val=""/>
      <w:lvlJc w:val="left"/>
      <w:pPr>
        <w:ind w:left="6583" w:hanging="360"/>
      </w:pPr>
      <w:rPr>
        <w:rFonts w:ascii="Wingdings" w:hAnsi="Wingdings" w:hint="default"/>
      </w:rPr>
    </w:lvl>
  </w:abstractNum>
  <w:abstractNum w:abstractNumId="34" w15:restartNumberingAfterBreak="0">
    <w:nsid w:val="7E8914B9"/>
    <w:multiLevelType w:val="hybridMultilevel"/>
    <w:tmpl w:val="413E53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1"/>
  </w:num>
  <w:num w:numId="4">
    <w:abstractNumId w:val="27"/>
  </w:num>
  <w:num w:numId="5">
    <w:abstractNumId w:val="20"/>
  </w:num>
  <w:num w:numId="6">
    <w:abstractNumId w:val="4"/>
  </w:num>
  <w:num w:numId="7">
    <w:abstractNumId w:val="23"/>
  </w:num>
  <w:num w:numId="8">
    <w:abstractNumId w:val="2"/>
  </w:num>
  <w:num w:numId="9">
    <w:abstractNumId w:val="10"/>
  </w:num>
  <w:num w:numId="10">
    <w:abstractNumId w:val="16"/>
  </w:num>
  <w:num w:numId="11">
    <w:abstractNumId w:val="33"/>
  </w:num>
  <w:num w:numId="12">
    <w:abstractNumId w:val="26"/>
  </w:num>
  <w:num w:numId="13">
    <w:abstractNumId w:val="19"/>
  </w:num>
  <w:num w:numId="14">
    <w:abstractNumId w:val="14"/>
  </w:num>
  <w:num w:numId="15">
    <w:abstractNumId w:val="24"/>
  </w:num>
  <w:num w:numId="16">
    <w:abstractNumId w:val="18"/>
  </w:num>
  <w:num w:numId="17">
    <w:abstractNumId w:val="30"/>
  </w:num>
  <w:num w:numId="18">
    <w:abstractNumId w:val="34"/>
  </w:num>
  <w:num w:numId="19">
    <w:abstractNumId w:val="11"/>
  </w:num>
  <w:num w:numId="20">
    <w:abstractNumId w:val="12"/>
  </w:num>
  <w:num w:numId="21">
    <w:abstractNumId w:val="25"/>
  </w:num>
  <w:num w:numId="22">
    <w:abstractNumId w:val="7"/>
  </w:num>
  <w:num w:numId="23">
    <w:abstractNumId w:val="5"/>
  </w:num>
  <w:num w:numId="24">
    <w:abstractNumId w:val="0"/>
  </w:num>
  <w:num w:numId="25">
    <w:abstractNumId w:val="28"/>
  </w:num>
  <w:num w:numId="26">
    <w:abstractNumId w:val="31"/>
  </w:num>
  <w:num w:numId="27">
    <w:abstractNumId w:val="22"/>
  </w:num>
  <w:num w:numId="28">
    <w:abstractNumId w:val="15"/>
  </w:num>
  <w:num w:numId="29">
    <w:abstractNumId w:val="17"/>
  </w:num>
  <w:num w:numId="30">
    <w:abstractNumId w:val="13"/>
  </w:num>
  <w:num w:numId="31">
    <w:abstractNumId w:val="9"/>
  </w:num>
  <w:num w:numId="32">
    <w:abstractNumId w:val="8"/>
  </w:num>
  <w:num w:numId="33">
    <w:abstractNumId w:val="3"/>
  </w:num>
  <w:num w:numId="34">
    <w:abstractNumId w:val="29"/>
  </w:num>
  <w:num w:numId="35">
    <w:abstractNumId w:val="32"/>
  </w:num>
  <w:num w:numId="36">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00E"/>
    <w:rsid w:val="000000EB"/>
    <w:rsid w:val="00000328"/>
    <w:rsid w:val="000008AC"/>
    <w:rsid w:val="00000A0C"/>
    <w:rsid w:val="000014EA"/>
    <w:rsid w:val="00001883"/>
    <w:rsid w:val="0000257F"/>
    <w:rsid w:val="000033AD"/>
    <w:rsid w:val="00003475"/>
    <w:rsid w:val="000037C1"/>
    <w:rsid w:val="00003BD1"/>
    <w:rsid w:val="00005426"/>
    <w:rsid w:val="000056BF"/>
    <w:rsid w:val="00005ACE"/>
    <w:rsid w:val="00005C7B"/>
    <w:rsid w:val="00005E7E"/>
    <w:rsid w:val="00006B0B"/>
    <w:rsid w:val="00006C08"/>
    <w:rsid w:val="000071CA"/>
    <w:rsid w:val="00007C78"/>
    <w:rsid w:val="00010091"/>
    <w:rsid w:val="000100A4"/>
    <w:rsid w:val="00010311"/>
    <w:rsid w:val="000107BD"/>
    <w:rsid w:val="000112D6"/>
    <w:rsid w:val="00011456"/>
    <w:rsid w:val="00011A03"/>
    <w:rsid w:val="00011F92"/>
    <w:rsid w:val="00012138"/>
    <w:rsid w:val="00012331"/>
    <w:rsid w:val="0001240B"/>
    <w:rsid w:val="000138F0"/>
    <w:rsid w:val="000144E7"/>
    <w:rsid w:val="00014597"/>
    <w:rsid w:val="00014CA3"/>
    <w:rsid w:val="00015581"/>
    <w:rsid w:val="00015699"/>
    <w:rsid w:val="00015B75"/>
    <w:rsid w:val="00015C90"/>
    <w:rsid w:val="000167A9"/>
    <w:rsid w:val="00016D98"/>
    <w:rsid w:val="00017AF8"/>
    <w:rsid w:val="00017D6C"/>
    <w:rsid w:val="00017EDE"/>
    <w:rsid w:val="0002052F"/>
    <w:rsid w:val="000207AA"/>
    <w:rsid w:val="00020AF9"/>
    <w:rsid w:val="00020BD6"/>
    <w:rsid w:val="0002124D"/>
    <w:rsid w:val="0002152E"/>
    <w:rsid w:val="0002155A"/>
    <w:rsid w:val="00021A1E"/>
    <w:rsid w:val="00021B73"/>
    <w:rsid w:val="00021B7B"/>
    <w:rsid w:val="00021D90"/>
    <w:rsid w:val="000227DA"/>
    <w:rsid w:val="00022B7B"/>
    <w:rsid w:val="00022EBC"/>
    <w:rsid w:val="00023299"/>
    <w:rsid w:val="00023495"/>
    <w:rsid w:val="0002373A"/>
    <w:rsid w:val="00023F91"/>
    <w:rsid w:val="00024156"/>
    <w:rsid w:val="0002434A"/>
    <w:rsid w:val="0002498F"/>
    <w:rsid w:val="00025406"/>
    <w:rsid w:val="00026B2C"/>
    <w:rsid w:val="000270AD"/>
    <w:rsid w:val="00027956"/>
    <w:rsid w:val="00027C99"/>
    <w:rsid w:val="00030105"/>
    <w:rsid w:val="000307F6"/>
    <w:rsid w:val="00031B62"/>
    <w:rsid w:val="00031C26"/>
    <w:rsid w:val="00031C5D"/>
    <w:rsid w:val="00032281"/>
    <w:rsid w:val="0003260E"/>
    <w:rsid w:val="0003305F"/>
    <w:rsid w:val="000333E9"/>
    <w:rsid w:val="00033615"/>
    <w:rsid w:val="00033942"/>
    <w:rsid w:val="00033C0F"/>
    <w:rsid w:val="0003455D"/>
    <w:rsid w:val="000350F9"/>
    <w:rsid w:val="000357B9"/>
    <w:rsid w:val="00036B7E"/>
    <w:rsid w:val="00036C15"/>
    <w:rsid w:val="000376B6"/>
    <w:rsid w:val="00040189"/>
    <w:rsid w:val="000405F7"/>
    <w:rsid w:val="000407F8"/>
    <w:rsid w:val="000408EB"/>
    <w:rsid w:val="00041820"/>
    <w:rsid w:val="0004237C"/>
    <w:rsid w:val="00042AC8"/>
    <w:rsid w:val="00042B2E"/>
    <w:rsid w:val="00042CC8"/>
    <w:rsid w:val="00042E37"/>
    <w:rsid w:val="000435C5"/>
    <w:rsid w:val="00043687"/>
    <w:rsid w:val="00043906"/>
    <w:rsid w:val="000439EC"/>
    <w:rsid w:val="000443B6"/>
    <w:rsid w:val="00044E49"/>
    <w:rsid w:val="00045FBA"/>
    <w:rsid w:val="000461C8"/>
    <w:rsid w:val="000462BA"/>
    <w:rsid w:val="00046635"/>
    <w:rsid w:val="000466E8"/>
    <w:rsid w:val="000479C8"/>
    <w:rsid w:val="00050A72"/>
    <w:rsid w:val="00050CA8"/>
    <w:rsid w:val="00050E67"/>
    <w:rsid w:val="00051CDB"/>
    <w:rsid w:val="00052141"/>
    <w:rsid w:val="00052793"/>
    <w:rsid w:val="0005291E"/>
    <w:rsid w:val="00052F29"/>
    <w:rsid w:val="00053112"/>
    <w:rsid w:val="000537C5"/>
    <w:rsid w:val="000549B0"/>
    <w:rsid w:val="0005523C"/>
    <w:rsid w:val="0005531E"/>
    <w:rsid w:val="00056AD9"/>
    <w:rsid w:val="000572D8"/>
    <w:rsid w:val="0005774D"/>
    <w:rsid w:val="000602E5"/>
    <w:rsid w:val="0006055C"/>
    <w:rsid w:val="00060737"/>
    <w:rsid w:val="0006125D"/>
    <w:rsid w:val="00061489"/>
    <w:rsid w:val="00062AA8"/>
    <w:rsid w:val="00062E1A"/>
    <w:rsid w:val="0006340B"/>
    <w:rsid w:val="000634AC"/>
    <w:rsid w:val="000638B5"/>
    <w:rsid w:val="00063D85"/>
    <w:rsid w:val="00063F62"/>
    <w:rsid w:val="00064BBB"/>
    <w:rsid w:val="0006557E"/>
    <w:rsid w:val="00066464"/>
    <w:rsid w:val="00066A2E"/>
    <w:rsid w:val="000671E9"/>
    <w:rsid w:val="00067BA1"/>
    <w:rsid w:val="00067FAB"/>
    <w:rsid w:val="000700AA"/>
    <w:rsid w:val="00070776"/>
    <w:rsid w:val="000711AD"/>
    <w:rsid w:val="000716EE"/>
    <w:rsid w:val="00071C5F"/>
    <w:rsid w:val="00072788"/>
    <w:rsid w:val="0007373D"/>
    <w:rsid w:val="00073EC2"/>
    <w:rsid w:val="00074030"/>
    <w:rsid w:val="00074055"/>
    <w:rsid w:val="00074665"/>
    <w:rsid w:val="00075098"/>
    <w:rsid w:val="00075146"/>
    <w:rsid w:val="000752BD"/>
    <w:rsid w:val="0007586B"/>
    <w:rsid w:val="00075C94"/>
    <w:rsid w:val="00076014"/>
    <w:rsid w:val="00076181"/>
    <w:rsid w:val="00076AB5"/>
    <w:rsid w:val="00076B6D"/>
    <w:rsid w:val="000771D9"/>
    <w:rsid w:val="00077615"/>
    <w:rsid w:val="00077A14"/>
    <w:rsid w:val="00077C35"/>
    <w:rsid w:val="000801ED"/>
    <w:rsid w:val="00080F28"/>
    <w:rsid w:val="000811CB"/>
    <w:rsid w:val="00081723"/>
    <w:rsid w:val="000817C9"/>
    <w:rsid w:val="00081A9D"/>
    <w:rsid w:val="00081B2A"/>
    <w:rsid w:val="00081BA8"/>
    <w:rsid w:val="00082867"/>
    <w:rsid w:val="0008335C"/>
    <w:rsid w:val="00083BAD"/>
    <w:rsid w:val="0008405C"/>
    <w:rsid w:val="000844E5"/>
    <w:rsid w:val="00084682"/>
    <w:rsid w:val="00084C15"/>
    <w:rsid w:val="000853EA"/>
    <w:rsid w:val="00085BDA"/>
    <w:rsid w:val="000868DB"/>
    <w:rsid w:val="00086D3F"/>
    <w:rsid w:val="00086F09"/>
    <w:rsid w:val="000871CA"/>
    <w:rsid w:val="00087459"/>
    <w:rsid w:val="00087FB5"/>
    <w:rsid w:val="000905A1"/>
    <w:rsid w:val="00090676"/>
    <w:rsid w:val="0009079F"/>
    <w:rsid w:val="000908C6"/>
    <w:rsid w:val="000909DD"/>
    <w:rsid w:val="00090DE6"/>
    <w:rsid w:val="0009110E"/>
    <w:rsid w:val="0009182B"/>
    <w:rsid w:val="0009210A"/>
    <w:rsid w:val="00092304"/>
    <w:rsid w:val="00092DC0"/>
    <w:rsid w:val="00093399"/>
    <w:rsid w:val="0009367F"/>
    <w:rsid w:val="00093701"/>
    <w:rsid w:val="000938EC"/>
    <w:rsid w:val="000955ED"/>
    <w:rsid w:val="00096226"/>
    <w:rsid w:val="0009662A"/>
    <w:rsid w:val="000966DE"/>
    <w:rsid w:val="00097368"/>
    <w:rsid w:val="00097AAF"/>
    <w:rsid w:val="00097F28"/>
    <w:rsid w:val="000A03E8"/>
    <w:rsid w:val="000A0689"/>
    <w:rsid w:val="000A1579"/>
    <w:rsid w:val="000A164E"/>
    <w:rsid w:val="000A21B5"/>
    <w:rsid w:val="000A2C4D"/>
    <w:rsid w:val="000A30D6"/>
    <w:rsid w:val="000A327C"/>
    <w:rsid w:val="000A38BC"/>
    <w:rsid w:val="000A43B0"/>
    <w:rsid w:val="000A53A0"/>
    <w:rsid w:val="000A53CF"/>
    <w:rsid w:val="000A640F"/>
    <w:rsid w:val="000A734E"/>
    <w:rsid w:val="000A74A9"/>
    <w:rsid w:val="000A7CC0"/>
    <w:rsid w:val="000B1580"/>
    <w:rsid w:val="000B16E3"/>
    <w:rsid w:val="000B17FE"/>
    <w:rsid w:val="000B18D5"/>
    <w:rsid w:val="000B1FDD"/>
    <w:rsid w:val="000B2757"/>
    <w:rsid w:val="000B310A"/>
    <w:rsid w:val="000B34B1"/>
    <w:rsid w:val="000B3B4F"/>
    <w:rsid w:val="000B3B63"/>
    <w:rsid w:val="000B3C91"/>
    <w:rsid w:val="000B3FDF"/>
    <w:rsid w:val="000B47A3"/>
    <w:rsid w:val="000B4CE1"/>
    <w:rsid w:val="000B4E4F"/>
    <w:rsid w:val="000B5296"/>
    <w:rsid w:val="000B5435"/>
    <w:rsid w:val="000B595D"/>
    <w:rsid w:val="000B5AF3"/>
    <w:rsid w:val="000B5C55"/>
    <w:rsid w:val="000B5FDD"/>
    <w:rsid w:val="000B6A1C"/>
    <w:rsid w:val="000B7881"/>
    <w:rsid w:val="000B79F4"/>
    <w:rsid w:val="000B79FB"/>
    <w:rsid w:val="000B7AB6"/>
    <w:rsid w:val="000C0132"/>
    <w:rsid w:val="000C097E"/>
    <w:rsid w:val="000C16DE"/>
    <w:rsid w:val="000C177E"/>
    <w:rsid w:val="000C194C"/>
    <w:rsid w:val="000C1D95"/>
    <w:rsid w:val="000C2BC9"/>
    <w:rsid w:val="000C2F9C"/>
    <w:rsid w:val="000C370F"/>
    <w:rsid w:val="000C3B70"/>
    <w:rsid w:val="000C3F28"/>
    <w:rsid w:val="000C467F"/>
    <w:rsid w:val="000C474F"/>
    <w:rsid w:val="000C4AC1"/>
    <w:rsid w:val="000C4CC5"/>
    <w:rsid w:val="000C5243"/>
    <w:rsid w:val="000C5621"/>
    <w:rsid w:val="000C6037"/>
    <w:rsid w:val="000C62A3"/>
    <w:rsid w:val="000C6429"/>
    <w:rsid w:val="000C6BA3"/>
    <w:rsid w:val="000C70CC"/>
    <w:rsid w:val="000D0034"/>
    <w:rsid w:val="000D00B0"/>
    <w:rsid w:val="000D0B25"/>
    <w:rsid w:val="000D1EE2"/>
    <w:rsid w:val="000D2718"/>
    <w:rsid w:val="000D3105"/>
    <w:rsid w:val="000D3316"/>
    <w:rsid w:val="000D33DD"/>
    <w:rsid w:val="000D3BDD"/>
    <w:rsid w:val="000D414F"/>
    <w:rsid w:val="000D4198"/>
    <w:rsid w:val="000D4A87"/>
    <w:rsid w:val="000D4F68"/>
    <w:rsid w:val="000D5352"/>
    <w:rsid w:val="000D589C"/>
    <w:rsid w:val="000D5E2B"/>
    <w:rsid w:val="000D61A5"/>
    <w:rsid w:val="000D6204"/>
    <w:rsid w:val="000D682F"/>
    <w:rsid w:val="000D6B26"/>
    <w:rsid w:val="000D75AB"/>
    <w:rsid w:val="000D79CC"/>
    <w:rsid w:val="000D7BA1"/>
    <w:rsid w:val="000D7BD9"/>
    <w:rsid w:val="000D7F36"/>
    <w:rsid w:val="000E0348"/>
    <w:rsid w:val="000E065E"/>
    <w:rsid w:val="000E0BB0"/>
    <w:rsid w:val="000E0DF8"/>
    <w:rsid w:val="000E0E28"/>
    <w:rsid w:val="000E0EEC"/>
    <w:rsid w:val="000E1B70"/>
    <w:rsid w:val="000E1EAD"/>
    <w:rsid w:val="000E223A"/>
    <w:rsid w:val="000E2325"/>
    <w:rsid w:val="000E239E"/>
    <w:rsid w:val="000E2BBC"/>
    <w:rsid w:val="000E3615"/>
    <w:rsid w:val="000E4211"/>
    <w:rsid w:val="000E4342"/>
    <w:rsid w:val="000E43BC"/>
    <w:rsid w:val="000E4AF2"/>
    <w:rsid w:val="000E4D7D"/>
    <w:rsid w:val="000E4F04"/>
    <w:rsid w:val="000E6BDF"/>
    <w:rsid w:val="000E7C11"/>
    <w:rsid w:val="000F007A"/>
    <w:rsid w:val="000F032A"/>
    <w:rsid w:val="000F0BA4"/>
    <w:rsid w:val="000F111C"/>
    <w:rsid w:val="000F1B9E"/>
    <w:rsid w:val="000F1CEC"/>
    <w:rsid w:val="000F1E97"/>
    <w:rsid w:val="000F24C3"/>
    <w:rsid w:val="000F273B"/>
    <w:rsid w:val="000F2798"/>
    <w:rsid w:val="000F2910"/>
    <w:rsid w:val="000F3139"/>
    <w:rsid w:val="000F372C"/>
    <w:rsid w:val="000F3F53"/>
    <w:rsid w:val="000F4A60"/>
    <w:rsid w:val="000F4EC2"/>
    <w:rsid w:val="000F56BA"/>
    <w:rsid w:val="000F69F1"/>
    <w:rsid w:val="000F6A03"/>
    <w:rsid w:val="000F6A0E"/>
    <w:rsid w:val="000F6B9F"/>
    <w:rsid w:val="000F7087"/>
    <w:rsid w:val="001002BF"/>
    <w:rsid w:val="00100488"/>
    <w:rsid w:val="001007B8"/>
    <w:rsid w:val="00100B34"/>
    <w:rsid w:val="0010217F"/>
    <w:rsid w:val="00102FE6"/>
    <w:rsid w:val="001037F8"/>
    <w:rsid w:val="00103945"/>
    <w:rsid w:val="00103C35"/>
    <w:rsid w:val="00104D5C"/>
    <w:rsid w:val="00104EAA"/>
    <w:rsid w:val="00105065"/>
    <w:rsid w:val="00105D41"/>
    <w:rsid w:val="001060DE"/>
    <w:rsid w:val="00106681"/>
    <w:rsid w:val="00106DAA"/>
    <w:rsid w:val="00107C24"/>
    <w:rsid w:val="001104DA"/>
    <w:rsid w:val="00111D31"/>
    <w:rsid w:val="00112700"/>
    <w:rsid w:val="00112FDF"/>
    <w:rsid w:val="0011315B"/>
    <w:rsid w:val="001132A9"/>
    <w:rsid w:val="001138C0"/>
    <w:rsid w:val="00113C4B"/>
    <w:rsid w:val="00114170"/>
    <w:rsid w:val="00114285"/>
    <w:rsid w:val="0011450C"/>
    <w:rsid w:val="0011484D"/>
    <w:rsid w:val="0011556C"/>
    <w:rsid w:val="001157C6"/>
    <w:rsid w:val="00115B2F"/>
    <w:rsid w:val="0011659A"/>
    <w:rsid w:val="00116799"/>
    <w:rsid w:val="001168C3"/>
    <w:rsid w:val="00116927"/>
    <w:rsid w:val="00116A25"/>
    <w:rsid w:val="00116C90"/>
    <w:rsid w:val="001170B1"/>
    <w:rsid w:val="001171F3"/>
    <w:rsid w:val="001172B1"/>
    <w:rsid w:val="001179E3"/>
    <w:rsid w:val="00117E1B"/>
    <w:rsid w:val="00120644"/>
    <w:rsid w:val="0012064A"/>
    <w:rsid w:val="00120D76"/>
    <w:rsid w:val="00123251"/>
    <w:rsid w:val="00123265"/>
    <w:rsid w:val="001234AF"/>
    <w:rsid w:val="00123817"/>
    <w:rsid w:val="00126307"/>
    <w:rsid w:val="001264B8"/>
    <w:rsid w:val="00126608"/>
    <w:rsid w:val="00126912"/>
    <w:rsid w:val="0012716B"/>
    <w:rsid w:val="00127660"/>
    <w:rsid w:val="001278DC"/>
    <w:rsid w:val="00127976"/>
    <w:rsid w:val="00130418"/>
    <w:rsid w:val="0013063A"/>
    <w:rsid w:val="001317D8"/>
    <w:rsid w:val="00131A6B"/>
    <w:rsid w:val="00131B05"/>
    <w:rsid w:val="00131E57"/>
    <w:rsid w:val="00132042"/>
    <w:rsid w:val="00132664"/>
    <w:rsid w:val="001326C7"/>
    <w:rsid w:val="00132862"/>
    <w:rsid w:val="00132D14"/>
    <w:rsid w:val="001331E7"/>
    <w:rsid w:val="00134942"/>
    <w:rsid w:val="001358D4"/>
    <w:rsid w:val="001359BC"/>
    <w:rsid w:val="00136823"/>
    <w:rsid w:val="00136B3A"/>
    <w:rsid w:val="00137042"/>
    <w:rsid w:val="0013714F"/>
    <w:rsid w:val="0013718F"/>
    <w:rsid w:val="0013771E"/>
    <w:rsid w:val="0013787E"/>
    <w:rsid w:val="00140E8C"/>
    <w:rsid w:val="0014194D"/>
    <w:rsid w:val="00141D11"/>
    <w:rsid w:val="00141EB9"/>
    <w:rsid w:val="001429A3"/>
    <w:rsid w:val="00142A3F"/>
    <w:rsid w:val="00142CFE"/>
    <w:rsid w:val="00142FFD"/>
    <w:rsid w:val="00143B23"/>
    <w:rsid w:val="001440E3"/>
    <w:rsid w:val="00144172"/>
    <w:rsid w:val="001444DE"/>
    <w:rsid w:val="0014493D"/>
    <w:rsid w:val="00145504"/>
    <w:rsid w:val="0014565A"/>
    <w:rsid w:val="0014586B"/>
    <w:rsid w:val="00145F45"/>
    <w:rsid w:val="00146452"/>
    <w:rsid w:val="00146552"/>
    <w:rsid w:val="00146D42"/>
    <w:rsid w:val="00146E1A"/>
    <w:rsid w:val="00147BAD"/>
    <w:rsid w:val="00147CAA"/>
    <w:rsid w:val="001503D4"/>
    <w:rsid w:val="001506DB"/>
    <w:rsid w:val="00150734"/>
    <w:rsid w:val="00151C90"/>
    <w:rsid w:val="0015217B"/>
    <w:rsid w:val="00153E53"/>
    <w:rsid w:val="00154799"/>
    <w:rsid w:val="00154C3B"/>
    <w:rsid w:val="001559FB"/>
    <w:rsid w:val="0015610A"/>
    <w:rsid w:val="00156196"/>
    <w:rsid w:val="00156653"/>
    <w:rsid w:val="00156EB1"/>
    <w:rsid w:val="00157615"/>
    <w:rsid w:val="00157D19"/>
    <w:rsid w:val="00157E81"/>
    <w:rsid w:val="001606C8"/>
    <w:rsid w:val="001616A8"/>
    <w:rsid w:val="00162248"/>
    <w:rsid w:val="0016339A"/>
    <w:rsid w:val="00163905"/>
    <w:rsid w:val="00164095"/>
    <w:rsid w:val="00164478"/>
    <w:rsid w:val="001645B0"/>
    <w:rsid w:val="00166068"/>
    <w:rsid w:val="0016626E"/>
    <w:rsid w:val="00167341"/>
    <w:rsid w:val="001673A8"/>
    <w:rsid w:val="001673FE"/>
    <w:rsid w:val="00167527"/>
    <w:rsid w:val="00167B78"/>
    <w:rsid w:val="00167DAC"/>
    <w:rsid w:val="001703A4"/>
    <w:rsid w:val="001708D7"/>
    <w:rsid w:val="00170EC9"/>
    <w:rsid w:val="00171722"/>
    <w:rsid w:val="00171C52"/>
    <w:rsid w:val="0017247C"/>
    <w:rsid w:val="0017325B"/>
    <w:rsid w:val="00173286"/>
    <w:rsid w:val="001734FA"/>
    <w:rsid w:val="001743B9"/>
    <w:rsid w:val="00174882"/>
    <w:rsid w:val="0017506C"/>
    <w:rsid w:val="00175411"/>
    <w:rsid w:val="00175500"/>
    <w:rsid w:val="0017559B"/>
    <w:rsid w:val="0017600B"/>
    <w:rsid w:val="00176343"/>
    <w:rsid w:val="00176A09"/>
    <w:rsid w:val="0018102E"/>
    <w:rsid w:val="001815B2"/>
    <w:rsid w:val="00181852"/>
    <w:rsid w:val="00181939"/>
    <w:rsid w:val="00181E73"/>
    <w:rsid w:val="00182B03"/>
    <w:rsid w:val="00183AA4"/>
    <w:rsid w:val="0018433D"/>
    <w:rsid w:val="00184442"/>
    <w:rsid w:val="00185F77"/>
    <w:rsid w:val="001874A6"/>
    <w:rsid w:val="00187819"/>
    <w:rsid w:val="00187CC9"/>
    <w:rsid w:val="00190932"/>
    <w:rsid w:val="001912DB"/>
    <w:rsid w:val="0019267B"/>
    <w:rsid w:val="00192B0E"/>
    <w:rsid w:val="00192E64"/>
    <w:rsid w:val="00193608"/>
    <w:rsid w:val="001936FA"/>
    <w:rsid w:val="00193A33"/>
    <w:rsid w:val="00193F9D"/>
    <w:rsid w:val="0019437D"/>
    <w:rsid w:val="001944BD"/>
    <w:rsid w:val="00195020"/>
    <w:rsid w:val="00195294"/>
    <w:rsid w:val="001956F1"/>
    <w:rsid w:val="00195B0D"/>
    <w:rsid w:val="00197170"/>
    <w:rsid w:val="00197196"/>
    <w:rsid w:val="001973FB"/>
    <w:rsid w:val="00197502"/>
    <w:rsid w:val="00197AC0"/>
    <w:rsid w:val="00197C38"/>
    <w:rsid w:val="00197D92"/>
    <w:rsid w:val="00197EA8"/>
    <w:rsid w:val="001A04FE"/>
    <w:rsid w:val="001A14D7"/>
    <w:rsid w:val="001A1791"/>
    <w:rsid w:val="001A1FCF"/>
    <w:rsid w:val="001A209D"/>
    <w:rsid w:val="001A2B74"/>
    <w:rsid w:val="001A36FB"/>
    <w:rsid w:val="001A38EF"/>
    <w:rsid w:val="001A4E7D"/>
    <w:rsid w:val="001A5A3C"/>
    <w:rsid w:val="001A5BE4"/>
    <w:rsid w:val="001A5F66"/>
    <w:rsid w:val="001A7412"/>
    <w:rsid w:val="001A75D6"/>
    <w:rsid w:val="001A776B"/>
    <w:rsid w:val="001A7A06"/>
    <w:rsid w:val="001B013F"/>
    <w:rsid w:val="001B1C3E"/>
    <w:rsid w:val="001B2CCF"/>
    <w:rsid w:val="001B4342"/>
    <w:rsid w:val="001B445D"/>
    <w:rsid w:val="001B4CE3"/>
    <w:rsid w:val="001B4F7D"/>
    <w:rsid w:val="001B585A"/>
    <w:rsid w:val="001B5925"/>
    <w:rsid w:val="001B7285"/>
    <w:rsid w:val="001B74EB"/>
    <w:rsid w:val="001B7826"/>
    <w:rsid w:val="001B783B"/>
    <w:rsid w:val="001C1C3D"/>
    <w:rsid w:val="001C1F21"/>
    <w:rsid w:val="001C291F"/>
    <w:rsid w:val="001C2B98"/>
    <w:rsid w:val="001C3019"/>
    <w:rsid w:val="001C35E6"/>
    <w:rsid w:val="001C3626"/>
    <w:rsid w:val="001C4AD0"/>
    <w:rsid w:val="001C4AFE"/>
    <w:rsid w:val="001C4C6E"/>
    <w:rsid w:val="001C602F"/>
    <w:rsid w:val="001C6380"/>
    <w:rsid w:val="001C63F8"/>
    <w:rsid w:val="001C6A65"/>
    <w:rsid w:val="001C7530"/>
    <w:rsid w:val="001C7728"/>
    <w:rsid w:val="001C7AAD"/>
    <w:rsid w:val="001C7ADE"/>
    <w:rsid w:val="001C7AEB"/>
    <w:rsid w:val="001C7FBC"/>
    <w:rsid w:val="001D0678"/>
    <w:rsid w:val="001D0696"/>
    <w:rsid w:val="001D07F4"/>
    <w:rsid w:val="001D10F8"/>
    <w:rsid w:val="001D12F3"/>
    <w:rsid w:val="001D152C"/>
    <w:rsid w:val="001D163A"/>
    <w:rsid w:val="001D1C26"/>
    <w:rsid w:val="001D1D1A"/>
    <w:rsid w:val="001D2057"/>
    <w:rsid w:val="001D23CA"/>
    <w:rsid w:val="001D2B3D"/>
    <w:rsid w:val="001D2CC9"/>
    <w:rsid w:val="001D33AC"/>
    <w:rsid w:val="001D3581"/>
    <w:rsid w:val="001D35CC"/>
    <w:rsid w:val="001D3717"/>
    <w:rsid w:val="001D3A73"/>
    <w:rsid w:val="001D43DF"/>
    <w:rsid w:val="001D44B4"/>
    <w:rsid w:val="001D4807"/>
    <w:rsid w:val="001D4C8A"/>
    <w:rsid w:val="001D4E5B"/>
    <w:rsid w:val="001D52C2"/>
    <w:rsid w:val="001D54A2"/>
    <w:rsid w:val="001D5963"/>
    <w:rsid w:val="001D59E0"/>
    <w:rsid w:val="001D5C80"/>
    <w:rsid w:val="001D5EA7"/>
    <w:rsid w:val="001D5FDF"/>
    <w:rsid w:val="001D602A"/>
    <w:rsid w:val="001D6E1F"/>
    <w:rsid w:val="001D7465"/>
    <w:rsid w:val="001D74C4"/>
    <w:rsid w:val="001D7AC3"/>
    <w:rsid w:val="001E0043"/>
    <w:rsid w:val="001E00EF"/>
    <w:rsid w:val="001E0206"/>
    <w:rsid w:val="001E0575"/>
    <w:rsid w:val="001E06BA"/>
    <w:rsid w:val="001E08C8"/>
    <w:rsid w:val="001E15A5"/>
    <w:rsid w:val="001E17A7"/>
    <w:rsid w:val="001E20AB"/>
    <w:rsid w:val="001E2825"/>
    <w:rsid w:val="001E28C3"/>
    <w:rsid w:val="001E2BBB"/>
    <w:rsid w:val="001E2CC1"/>
    <w:rsid w:val="001E2F64"/>
    <w:rsid w:val="001E3CA0"/>
    <w:rsid w:val="001E49F6"/>
    <w:rsid w:val="001E50C1"/>
    <w:rsid w:val="001E527B"/>
    <w:rsid w:val="001E581D"/>
    <w:rsid w:val="001E5E33"/>
    <w:rsid w:val="001E5E96"/>
    <w:rsid w:val="001E612D"/>
    <w:rsid w:val="001E723B"/>
    <w:rsid w:val="001E7FBD"/>
    <w:rsid w:val="001F0533"/>
    <w:rsid w:val="001F131B"/>
    <w:rsid w:val="001F1A04"/>
    <w:rsid w:val="001F1BFD"/>
    <w:rsid w:val="001F1DE0"/>
    <w:rsid w:val="001F28BE"/>
    <w:rsid w:val="001F2FAC"/>
    <w:rsid w:val="001F3196"/>
    <w:rsid w:val="001F3BFB"/>
    <w:rsid w:val="001F3EE3"/>
    <w:rsid w:val="001F4066"/>
    <w:rsid w:val="001F40CC"/>
    <w:rsid w:val="001F49E5"/>
    <w:rsid w:val="001F4CA2"/>
    <w:rsid w:val="001F4CB8"/>
    <w:rsid w:val="001F5131"/>
    <w:rsid w:val="001F5A53"/>
    <w:rsid w:val="001F6F08"/>
    <w:rsid w:val="001F6FA7"/>
    <w:rsid w:val="00200591"/>
    <w:rsid w:val="00202058"/>
    <w:rsid w:val="00203327"/>
    <w:rsid w:val="00203414"/>
    <w:rsid w:val="002035A6"/>
    <w:rsid w:val="00203771"/>
    <w:rsid w:val="002041E9"/>
    <w:rsid w:val="00204744"/>
    <w:rsid w:val="00204F9B"/>
    <w:rsid w:val="002058F9"/>
    <w:rsid w:val="00205AE7"/>
    <w:rsid w:val="00205B2A"/>
    <w:rsid w:val="00205CB2"/>
    <w:rsid w:val="0020646A"/>
    <w:rsid w:val="00207472"/>
    <w:rsid w:val="002077EB"/>
    <w:rsid w:val="00207B49"/>
    <w:rsid w:val="002103EB"/>
    <w:rsid w:val="00210433"/>
    <w:rsid w:val="002104C7"/>
    <w:rsid w:val="00210AB2"/>
    <w:rsid w:val="00210E1B"/>
    <w:rsid w:val="00211147"/>
    <w:rsid w:val="002117DF"/>
    <w:rsid w:val="00211813"/>
    <w:rsid w:val="00211EAA"/>
    <w:rsid w:val="0021266E"/>
    <w:rsid w:val="00212791"/>
    <w:rsid w:val="00212A4A"/>
    <w:rsid w:val="00212B49"/>
    <w:rsid w:val="00213EA4"/>
    <w:rsid w:val="00214265"/>
    <w:rsid w:val="002142B4"/>
    <w:rsid w:val="00214742"/>
    <w:rsid w:val="00214B51"/>
    <w:rsid w:val="00214BF2"/>
    <w:rsid w:val="00214D20"/>
    <w:rsid w:val="00215D1E"/>
    <w:rsid w:val="0021644D"/>
    <w:rsid w:val="00216687"/>
    <w:rsid w:val="002166E4"/>
    <w:rsid w:val="00216C3D"/>
    <w:rsid w:val="00216DA5"/>
    <w:rsid w:val="00220352"/>
    <w:rsid w:val="002206DB"/>
    <w:rsid w:val="00220C50"/>
    <w:rsid w:val="00220C5D"/>
    <w:rsid w:val="00220E12"/>
    <w:rsid w:val="002219C4"/>
    <w:rsid w:val="00222CA8"/>
    <w:rsid w:val="002232C8"/>
    <w:rsid w:val="00223480"/>
    <w:rsid w:val="002237F7"/>
    <w:rsid w:val="00223DC4"/>
    <w:rsid w:val="0022461C"/>
    <w:rsid w:val="0022480A"/>
    <w:rsid w:val="002249C8"/>
    <w:rsid w:val="002249E9"/>
    <w:rsid w:val="00224D60"/>
    <w:rsid w:val="00225219"/>
    <w:rsid w:val="00225FEE"/>
    <w:rsid w:val="00226A37"/>
    <w:rsid w:val="00226F60"/>
    <w:rsid w:val="0022714A"/>
    <w:rsid w:val="002271B4"/>
    <w:rsid w:val="0022768D"/>
    <w:rsid w:val="00227BA8"/>
    <w:rsid w:val="0023056D"/>
    <w:rsid w:val="00230790"/>
    <w:rsid w:val="00231154"/>
    <w:rsid w:val="00231433"/>
    <w:rsid w:val="00231A0B"/>
    <w:rsid w:val="00231B70"/>
    <w:rsid w:val="002322B2"/>
    <w:rsid w:val="0023306B"/>
    <w:rsid w:val="00233138"/>
    <w:rsid w:val="00233571"/>
    <w:rsid w:val="002342C1"/>
    <w:rsid w:val="00234B99"/>
    <w:rsid w:val="00234D47"/>
    <w:rsid w:val="00234FDF"/>
    <w:rsid w:val="00235280"/>
    <w:rsid w:val="002355F2"/>
    <w:rsid w:val="00235A01"/>
    <w:rsid w:val="00235D41"/>
    <w:rsid w:val="00235D8E"/>
    <w:rsid w:val="00235E35"/>
    <w:rsid w:val="002363F7"/>
    <w:rsid w:val="00236C6A"/>
    <w:rsid w:val="00236CDE"/>
    <w:rsid w:val="00236EBA"/>
    <w:rsid w:val="00237466"/>
    <w:rsid w:val="00237743"/>
    <w:rsid w:val="002378BE"/>
    <w:rsid w:val="00240156"/>
    <w:rsid w:val="002401FC"/>
    <w:rsid w:val="00241252"/>
    <w:rsid w:val="002415A4"/>
    <w:rsid w:val="00241BCE"/>
    <w:rsid w:val="00242086"/>
    <w:rsid w:val="002420B5"/>
    <w:rsid w:val="0024272C"/>
    <w:rsid w:val="00242B30"/>
    <w:rsid w:val="0024359F"/>
    <w:rsid w:val="0024373F"/>
    <w:rsid w:val="00243911"/>
    <w:rsid w:val="00243E68"/>
    <w:rsid w:val="00244323"/>
    <w:rsid w:val="002445F7"/>
    <w:rsid w:val="00244932"/>
    <w:rsid w:val="00246AE4"/>
    <w:rsid w:val="00246CD9"/>
    <w:rsid w:val="002470A6"/>
    <w:rsid w:val="0024728C"/>
    <w:rsid w:val="0024736A"/>
    <w:rsid w:val="00250373"/>
    <w:rsid w:val="002503CF"/>
    <w:rsid w:val="00250C61"/>
    <w:rsid w:val="00251255"/>
    <w:rsid w:val="00252324"/>
    <w:rsid w:val="00252668"/>
    <w:rsid w:val="00253727"/>
    <w:rsid w:val="00253D75"/>
    <w:rsid w:val="00254078"/>
    <w:rsid w:val="0025453F"/>
    <w:rsid w:val="00254685"/>
    <w:rsid w:val="00254B0B"/>
    <w:rsid w:val="00254F92"/>
    <w:rsid w:val="00254FBC"/>
    <w:rsid w:val="00255C41"/>
    <w:rsid w:val="002562E6"/>
    <w:rsid w:val="00256CC0"/>
    <w:rsid w:val="00257524"/>
    <w:rsid w:val="00257D83"/>
    <w:rsid w:val="00257E29"/>
    <w:rsid w:val="00257E3C"/>
    <w:rsid w:val="002606E7"/>
    <w:rsid w:val="00261451"/>
    <w:rsid w:val="00261859"/>
    <w:rsid w:val="002620C7"/>
    <w:rsid w:val="00262663"/>
    <w:rsid w:val="00262EED"/>
    <w:rsid w:val="00263B7B"/>
    <w:rsid w:val="00263E28"/>
    <w:rsid w:val="002649A6"/>
    <w:rsid w:val="00264E6F"/>
    <w:rsid w:val="00265DDD"/>
    <w:rsid w:val="002661AF"/>
    <w:rsid w:val="002663A0"/>
    <w:rsid w:val="002666B3"/>
    <w:rsid w:val="00266E49"/>
    <w:rsid w:val="0026706E"/>
    <w:rsid w:val="0027011B"/>
    <w:rsid w:val="002704D7"/>
    <w:rsid w:val="00270E0C"/>
    <w:rsid w:val="002711CB"/>
    <w:rsid w:val="00271688"/>
    <w:rsid w:val="002719A1"/>
    <w:rsid w:val="00271A25"/>
    <w:rsid w:val="00272093"/>
    <w:rsid w:val="0027230C"/>
    <w:rsid w:val="002726A5"/>
    <w:rsid w:val="00273118"/>
    <w:rsid w:val="00273362"/>
    <w:rsid w:val="00273B57"/>
    <w:rsid w:val="00274360"/>
    <w:rsid w:val="00274639"/>
    <w:rsid w:val="0027510C"/>
    <w:rsid w:val="00275E3E"/>
    <w:rsid w:val="002764B9"/>
    <w:rsid w:val="00276A5F"/>
    <w:rsid w:val="00276B32"/>
    <w:rsid w:val="00276D43"/>
    <w:rsid w:val="00276D5C"/>
    <w:rsid w:val="0027710A"/>
    <w:rsid w:val="0027794E"/>
    <w:rsid w:val="00280494"/>
    <w:rsid w:val="00280B01"/>
    <w:rsid w:val="00281B42"/>
    <w:rsid w:val="00282296"/>
    <w:rsid w:val="00282A06"/>
    <w:rsid w:val="00282C5A"/>
    <w:rsid w:val="00282DFC"/>
    <w:rsid w:val="00282FF1"/>
    <w:rsid w:val="002831F5"/>
    <w:rsid w:val="00283D0C"/>
    <w:rsid w:val="00283ED8"/>
    <w:rsid w:val="00284276"/>
    <w:rsid w:val="00285418"/>
    <w:rsid w:val="00285764"/>
    <w:rsid w:val="002857A9"/>
    <w:rsid w:val="00285B69"/>
    <w:rsid w:val="002860B7"/>
    <w:rsid w:val="002861D7"/>
    <w:rsid w:val="00286C40"/>
    <w:rsid w:val="002875CD"/>
    <w:rsid w:val="002875DC"/>
    <w:rsid w:val="002875FE"/>
    <w:rsid w:val="002877F5"/>
    <w:rsid w:val="0029123E"/>
    <w:rsid w:val="00291AF5"/>
    <w:rsid w:val="00291BE8"/>
    <w:rsid w:val="00291C0C"/>
    <w:rsid w:val="002920E6"/>
    <w:rsid w:val="00292D52"/>
    <w:rsid w:val="00293724"/>
    <w:rsid w:val="0029379C"/>
    <w:rsid w:val="00293CC7"/>
    <w:rsid w:val="00293D04"/>
    <w:rsid w:val="00294022"/>
    <w:rsid w:val="00294420"/>
    <w:rsid w:val="00294813"/>
    <w:rsid w:val="00294C01"/>
    <w:rsid w:val="00294D9B"/>
    <w:rsid w:val="00295752"/>
    <w:rsid w:val="0029597A"/>
    <w:rsid w:val="00295C32"/>
    <w:rsid w:val="00295CE0"/>
    <w:rsid w:val="0029606B"/>
    <w:rsid w:val="00296182"/>
    <w:rsid w:val="002962D8"/>
    <w:rsid w:val="002964F8"/>
    <w:rsid w:val="002972F0"/>
    <w:rsid w:val="00297505"/>
    <w:rsid w:val="002A00C4"/>
    <w:rsid w:val="002A04D6"/>
    <w:rsid w:val="002A05D0"/>
    <w:rsid w:val="002A068E"/>
    <w:rsid w:val="002A071F"/>
    <w:rsid w:val="002A086E"/>
    <w:rsid w:val="002A0C6A"/>
    <w:rsid w:val="002A1010"/>
    <w:rsid w:val="002A15B8"/>
    <w:rsid w:val="002A1685"/>
    <w:rsid w:val="002A178F"/>
    <w:rsid w:val="002A1921"/>
    <w:rsid w:val="002A1B49"/>
    <w:rsid w:val="002A1CBA"/>
    <w:rsid w:val="002A1F67"/>
    <w:rsid w:val="002A230A"/>
    <w:rsid w:val="002A2632"/>
    <w:rsid w:val="002A279D"/>
    <w:rsid w:val="002A27E1"/>
    <w:rsid w:val="002A392B"/>
    <w:rsid w:val="002A3C9C"/>
    <w:rsid w:val="002A3CF3"/>
    <w:rsid w:val="002A3FF1"/>
    <w:rsid w:val="002A48B8"/>
    <w:rsid w:val="002A4EB1"/>
    <w:rsid w:val="002A54C8"/>
    <w:rsid w:val="002A5ABA"/>
    <w:rsid w:val="002A62DC"/>
    <w:rsid w:val="002A65BD"/>
    <w:rsid w:val="002A66C2"/>
    <w:rsid w:val="002A68AC"/>
    <w:rsid w:val="002A6E53"/>
    <w:rsid w:val="002A6E83"/>
    <w:rsid w:val="002A75BC"/>
    <w:rsid w:val="002A7778"/>
    <w:rsid w:val="002A7B71"/>
    <w:rsid w:val="002B04FD"/>
    <w:rsid w:val="002B0678"/>
    <w:rsid w:val="002B0A92"/>
    <w:rsid w:val="002B0E80"/>
    <w:rsid w:val="002B0EC4"/>
    <w:rsid w:val="002B1158"/>
    <w:rsid w:val="002B1E9E"/>
    <w:rsid w:val="002B258F"/>
    <w:rsid w:val="002B2B1A"/>
    <w:rsid w:val="002B32BE"/>
    <w:rsid w:val="002B3419"/>
    <w:rsid w:val="002B3761"/>
    <w:rsid w:val="002B3900"/>
    <w:rsid w:val="002B4A93"/>
    <w:rsid w:val="002B56F7"/>
    <w:rsid w:val="002B6E3A"/>
    <w:rsid w:val="002B7B02"/>
    <w:rsid w:val="002C0021"/>
    <w:rsid w:val="002C01C8"/>
    <w:rsid w:val="002C09DA"/>
    <w:rsid w:val="002C0B47"/>
    <w:rsid w:val="002C11E8"/>
    <w:rsid w:val="002C16E9"/>
    <w:rsid w:val="002C2243"/>
    <w:rsid w:val="002C2D04"/>
    <w:rsid w:val="002C3083"/>
    <w:rsid w:val="002C3A87"/>
    <w:rsid w:val="002C45FD"/>
    <w:rsid w:val="002C4CA3"/>
    <w:rsid w:val="002C52DA"/>
    <w:rsid w:val="002C54F6"/>
    <w:rsid w:val="002C5613"/>
    <w:rsid w:val="002C5893"/>
    <w:rsid w:val="002C7484"/>
    <w:rsid w:val="002C7572"/>
    <w:rsid w:val="002C78B5"/>
    <w:rsid w:val="002C7AF4"/>
    <w:rsid w:val="002C7C20"/>
    <w:rsid w:val="002D04FC"/>
    <w:rsid w:val="002D0BF1"/>
    <w:rsid w:val="002D0C29"/>
    <w:rsid w:val="002D14FB"/>
    <w:rsid w:val="002D1615"/>
    <w:rsid w:val="002D1F5B"/>
    <w:rsid w:val="002D25AF"/>
    <w:rsid w:val="002D2749"/>
    <w:rsid w:val="002D2C3C"/>
    <w:rsid w:val="002D2F5F"/>
    <w:rsid w:val="002D3227"/>
    <w:rsid w:val="002D3645"/>
    <w:rsid w:val="002D3716"/>
    <w:rsid w:val="002D3729"/>
    <w:rsid w:val="002D377C"/>
    <w:rsid w:val="002D3840"/>
    <w:rsid w:val="002D3EF9"/>
    <w:rsid w:val="002D4961"/>
    <w:rsid w:val="002D4A9A"/>
    <w:rsid w:val="002D61D9"/>
    <w:rsid w:val="002D6B9B"/>
    <w:rsid w:val="002D6C3D"/>
    <w:rsid w:val="002D701A"/>
    <w:rsid w:val="002D735A"/>
    <w:rsid w:val="002E09EC"/>
    <w:rsid w:val="002E11E0"/>
    <w:rsid w:val="002E13DE"/>
    <w:rsid w:val="002E15BB"/>
    <w:rsid w:val="002E1A6B"/>
    <w:rsid w:val="002E1DCE"/>
    <w:rsid w:val="002E2B6A"/>
    <w:rsid w:val="002E31C3"/>
    <w:rsid w:val="002E36DD"/>
    <w:rsid w:val="002E39DE"/>
    <w:rsid w:val="002E3CA6"/>
    <w:rsid w:val="002E3E9E"/>
    <w:rsid w:val="002E4142"/>
    <w:rsid w:val="002E46CE"/>
    <w:rsid w:val="002E4701"/>
    <w:rsid w:val="002E4BAE"/>
    <w:rsid w:val="002E4CA4"/>
    <w:rsid w:val="002E517B"/>
    <w:rsid w:val="002E55D6"/>
    <w:rsid w:val="002E5648"/>
    <w:rsid w:val="002E5B3F"/>
    <w:rsid w:val="002E5C53"/>
    <w:rsid w:val="002E5FFD"/>
    <w:rsid w:val="002E60DC"/>
    <w:rsid w:val="002E6330"/>
    <w:rsid w:val="002E64EC"/>
    <w:rsid w:val="002E6E42"/>
    <w:rsid w:val="002E759F"/>
    <w:rsid w:val="002E76B9"/>
    <w:rsid w:val="002E7BF2"/>
    <w:rsid w:val="002F0229"/>
    <w:rsid w:val="002F069D"/>
    <w:rsid w:val="002F0D7D"/>
    <w:rsid w:val="002F0FB4"/>
    <w:rsid w:val="002F1AFA"/>
    <w:rsid w:val="002F21F4"/>
    <w:rsid w:val="002F23C3"/>
    <w:rsid w:val="002F32DF"/>
    <w:rsid w:val="002F38C5"/>
    <w:rsid w:val="002F4768"/>
    <w:rsid w:val="002F4CDD"/>
    <w:rsid w:val="002F572B"/>
    <w:rsid w:val="002F5A81"/>
    <w:rsid w:val="002F66B2"/>
    <w:rsid w:val="002F7012"/>
    <w:rsid w:val="002F71A2"/>
    <w:rsid w:val="002F72BF"/>
    <w:rsid w:val="002F767D"/>
    <w:rsid w:val="002F7E2C"/>
    <w:rsid w:val="00301672"/>
    <w:rsid w:val="00301805"/>
    <w:rsid w:val="003019CA"/>
    <w:rsid w:val="00302697"/>
    <w:rsid w:val="00303340"/>
    <w:rsid w:val="0030347A"/>
    <w:rsid w:val="003035E8"/>
    <w:rsid w:val="0030391E"/>
    <w:rsid w:val="003041FF"/>
    <w:rsid w:val="00304FA2"/>
    <w:rsid w:val="0030549D"/>
    <w:rsid w:val="0030586A"/>
    <w:rsid w:val="003058CF"/>
    <w:rsid w:val="00305A26"/>
    <w:rsid w:val="00305CC9"/>
    <w:rsid w:val="00305F6F"/>
    <w:rsid w:val="00306327"/>
    <w:rsid w:val="003063CA"/>
    <w:rsid w:val="00306717"/>
    <w:rsid w:val="00306C4C"/>
    <w:rsid w:val="003075F9"/>
    <w:rsid w:val="0030765E"/>
    <w:rsid w:val="0031039D"/>
    <w:rsid w:val="00310A19"/>
    <w:rsid w:val="00310EC6"/>
    <w:rsid w:val="0031106C"/>
    <w:rsid w:val="00311CAF"/>
    <w:rsid w:val="003122D7"/>
    <w:rsid w:val="0031233B"/>
    <w:rsid w:val="003128B6"/>
    <w:rsid w:val="00312E48"/>
    <w:rsid w:val="00312E57"/>
    <w:rsid w:val="00312F60"/>
    <w:rsid w:val="0031302B"/>
    <w:rsid w:val="00313864"/>
    <w:rsid w:val="00314600"/>
    <w:rsid w:val="00314B56"/>
    <w:rsid w:val="0031511D"/>
    <w:rsid w:val="003156AF"/>
    <w:rsid w:val="003157FB"/>
    <w:rsid w:val="00315B06"/>
    <w:rsid w:val="00315B30"/>
    <w:rsid w:val="00315E5A"/>
    <w:rsid w:val="0031662C"/>
    <w:rsid w:val="003169BC"/>
    <w:rsid w:val="00316DA8"/>
    <w:rsid w:val="00316F2A"/>
    <w:rsid w:val="00316F88"/>
    <w:rsid w:val="0031711C"/>
    <w:rsid w:val="003174E1"/>
    <w:rsid w:val="00320AA4"/>
    <w:rsid w:val="00320C92"/>
    <w:rsid w:val="00320D73"/>
    <w:rsid w:val="00320F90"/>
    <w:rsid w:val="0032112C"/>
    <w:rsid w:val="00321EAE"/>
    <w:rsid w:val="0032207E"/>
    <w:rsid w:val="00322359"/>
    <w:rsid w:val="003225EA"/>
    <w:rsid w:val="003232A0"/>
    <w:rsid w:val="003239BE"/>
    <w:rsid w:val="00323D9F"/>
    <w:rsid w:val="003240EB"/>
    <w:rsid w:val="0032473E"/>
    <w:rsid w:val="0032479B"/>
    <w:rsid w:val="003249DF"/>
    <w:rsid w:val="00325A27"/>
    <w:rsid w:val="00325EA3"/>
    <w:rsid w:val="00326D46"/>
    <w:rsid w:val="003275EE"/>
    <w:rsid w:val="003276B8"/>
    <w:rsid w:val="00327759"/>
    <w:rsid w:val="003277CE"/>
    <w:rsid w:val="00327C83"/>
    <w:rsid w:val="00330CCE"/>
    <w:rsid w:val="003311B4"/>
    <w:rsid w:val="003312EE"/>
    <w:rsid w:val="0033130B"/>
    <w:rsid w:val="00331912"/>
    <w:rsid w:val="00331933"/>
    <w:rsid w:val="00331965"/>
    <w:rsid w:val="00331FA7"/>
    <w:rsid w:val="003320D0"/>
    <w:rsid w:val="003320E8"/>
    <w:rsid w:val="0033251C"/>
    <w:rsid w:val="00333E2C"/>
    <w:rsid w:val="00334032"/>
    <w:rsid w:val="0033454C"/>
    <w:rsid w:val="003349F3"/>
    <w:rsid w:val="00334CCF"/>
    <w:rsid w:val="00336B3A"/>
    <w:rsid w:val="0033761A"/>
    <w:rsid w:val="003379C5"/>
    <w:rsid w:val="00337F2E"/>
    <w:rsid w:val="003408EA"/>
    <w:rsid w:val="0034127D"/>
    <w:rsid w:val="0034184F"/>
    <w:rsid w:val="00341EFD"/>
    <w:rsid w:val="003421D1"/>
    <w:rsid w:val="00342954"/>
    <w:rsid w:val="0034393A"/>
    <w:rsid w:val="00343B38"/>
    <w:rsid w:val="00344399"/>
    <w:rsid w:val="00344B9E"/>
    <w:rsid w:val="003456BA"/>
    <w:rsid w:val="003459CF"/>
    <w:rsid w:val="00345A15"/>
    <w:rsid w:val="00345A61"/>
    <w:rsid w:val="00345BEF"/>
    <w:rsid w:val="00345E12"/>
    <w:rsid w:val="0034621F"/>
    <w:rsid w:val="00346337"/>
    <w:rsid w:val="00346D13"/>
    <w:rsid w:val="00346DA6"/>
    <w:rsid w:val="00347992"/>
    <w:rsid w:val="00347B24"/>
    <w:rsid w:val="003505D9"/>
    <w:rsid w:val="0035062C"/>
    <w:rsid w:val="00350B56"/>
    <w:rsid w:val="003524B8"/>
    <w:rsid w:val="0035296C"/>
    <w:rsid w:val="00353F24"/>
    <w:rsid w:val="00353FA1"/>
    <w:rsid w:val="003540A7"/>
    <w:rsid w:val="003542F6"/>
    <w:rsid w:val="0035500A"/>
    <w:rsid w:val="00355A13"/>
    <w:rsid w:val="00355AA7"/>
    <w:rsid w:val="00355AC3"/>
    <w:rsid w:val="00355C64"/>
    <w:rsid w:val="00355C7B"/>
    <w:rsid w:val="0035648E"/>
    <w:rsid w:val="00356988"/>
    <w:rsid w:val="003574D7"/>
    <w:rsid w:val="00357784"/>
    <w:rsid w:val="003577D3"/>
    <w:rsid w:val="00357817"/>
    <w:rsid w:val="00357D7E"/>
    <w:rsid w:val="003603CF"/>
    <w:rsid w:val="00360FF2"/>
    <w:rsid w:val="0036100A"/>
    <w:rsid w:val="00361677"/>
    <w:rsid w:val="00361A6C"/>
    <w:rsid w:val="00361AF4"/>
    <w:rsid w:val="00362027"/>
    <w:rsid w:val="00362B78"/>
    <w:rsid w:val="0036302B"/>
    <w:rsid w:val="003634BD"/>
    <w:rsid w:val="003636F2"/>
    <w:rsid w:val="00363D0E"/>
    <w:rsid w:val="00365229"/>
    <w:rsid w:val="0036584B"/>
    <w:rsid w:val="00365A19"/>
    <w:rsid w:val="00365F62"/>
    <w:rsid w:val="003669D6"/>
    <w:rsid w:val="00367060"/>
    <w:rsid w:val="00367118"/>
    <w:rsid w:val="003673ED"/>
    <w:rsid w:val="003676BE"/>
    <w:rsid w:val="0037054E"/>
    <w:rsid w:val="0037095A"/>
    <w:rsid w:val="00371988"/>
    <w:rsid w:val="00372453"/>
    <w:rsid w:val="00372771"/>
    <w:rsid w:val="003727F8"/>
    <w:rsid w:val="00372949"/>
    <w:rsid w:val="00372EB2"/>
    <w:rsid w:val="003744CC"/>
    <w:rsid w:val="00374CA0"/>
    <w:rsid w:val="00374F34"/>
    <w:rsid w:val="003754E0"/>
    <w:rsid w:val="00375D93"/>
    <w:rsid w:val="0037646F"/>
    <w:rsid w:val="00377300"/>
    <w:rsid w:val="00377D61"/>
    <w:rsid w:val="00380278"/>
    <w:rsid w:val="003806AF"/>
    <w:rsid w:val="003815C5"/>
    <w:rsid w:val="003815CD"/>
    <w:rsid w:val="0038184F"/>
    <w:rsid w:val="00381A02"/>
    <w:rsid w:val="00381A98"/>
    <w:rsid w:val="00382088"/>
    <w:rsid w:val="003822AC"/>
    <w:rsid w:val="003835A7"/>
    <w:rsid w:val="003835E6"/>
    <w:rsid w:val="003839C5"/>
    <w:rsid w:val="00383C55"/>
    <w:rsid w:val="00384EB8"/>
    <w:rsid w:val="00385245"/>
    <w:rsid w:val="003857DF"/>
    <w:rsid w:val="0038581E"/>
    <w:rsid w:val="00385E88"/>
    <w:rsid w:val="00386C7D"/>
    <w:rsid w:val="0038710A"/>
    <w:rsid w:val="003871F4"/>
    <w:rsid w:val="00387589"/>
    <w:rsid w:val="00387A84"/>
    <w:rsid w:val="00387C9F"/>
    <w:rsid w:val="00390540"/>
    <w:rsid w:val="003909FE"/>
    <w:rsid w:val="00390C4C"/>
    <w:rsid w:val="00391928"/>
    <w:rsid w:val="00391A5E"/>
    <w:rsid w:val="00391D28"/>
    <w:rsid w:val="00392348"/>
    <w:rsid w:val="0039246F"/>
    <w:rsid w:val="00392679"/>
    <w:rsid w:val="00392933"/>
    <w:rsid w:val="003937A7"/>
    <w:rsid w:val="00393B76"/>
    <w:rsid w:val="00393DBF"/>
    <w:rsid w:val="003950B3"/>
    <w:rsid w:val="003951D1"/>
    <w:rsid w:val="0039589F"/>
    <w:rsid w:val="00395EA5"/>
    <w:rsid w:val="003961FC"/>
    <w:rsid w:val="003962AD"/>
    <w:rsid w:val="0039763F"/>
    <w:rsid w:val="003A0325"/>
    <w:rsid w:val="003A0A34"/>
    <w:rsid w:val="003A0AE7"/>
    <w:rsid w:val="003A0B49"/>
    <w:rsid w:val="003A10BF"/>
    <w:rsid w:val="003A13C0"/>
    <w:rsid w:val="003A17BA"/>
    <w:rsid w:val="003A31FE"/>
    <w:rsid w:val="003A37E6"/>
    <w:rsid w:val="003A38F4"/>
    <w:rsid w:val="003A39FC"/>
    <w:rsid w:val="003A4686"/>
    <w:rsid w:val="003A531B"/>
    <w:rsid w:val="003A5583"/>
    <w:rsid w:val="003A5DD6"/>
    <w:rsid w:val="003A616A"/>
    <w:rsid w:val="003A698E"/>
    <w:rsid w:val="003A6A43"/>
    <w:rsid w:val="003A7403"/>
    <w:rsid w:val="003A755A"/>
    <w:rsid w:val="003A7B2D"/>
    <w:rsid w:val="003A7BF8"/>
    <w:rsid w:val="003B02C1"/>
    <w:rsid w:val="003B03E2"/>
    <w:rsid w:val="003B06F4"/>
    <w:rsid w:val="003B0CDA"/>
    <w:rsid w:val="003B1A7C"/>
    <w:rsid w:val="003B1BC2"/>
    <w:rsid w:val="003B1C1F"/>
    <w:rsid w:val="003B1EE5"/>
    <w:rsid w:val="003B26FB"/>
    <w:rsid w:val="003B2E9D"/>
    <w:rsid w:val="003B3209"/>
    <w:rsid w:val="003B37CD"/>
    <w:rsid w:val="003B3A60"/>
    <w:rsid w:val="003B3CA7"/>
    <w:rsid w:val="003B3E29"/>
    <w:rsid w:val="003B4771"/>
    <w:rsid w:val="003B49CA"/>
    <w:rsid w:val="003B5909"/>
    <w:rsid w:val="003B59C8"/>
    <w:rsid w:val="003B5F50"/>
    <w:rsid w:val="003B6054"/>
    <w:rsid w:val="003B639C"/>
    <w:rsid w:val="003B64D1"/>
    <w:rsid w:val="003B6D64"/>
    <w:rsid w:val="003B7496"/>
    <w:rsid w:val="003B77B9"/>
    <w:rsid w:val="003C00A8"/>
    <w:rsid w:val="003C0198"/>
    <w:rsid w:val="003C0B22"/>
    <w:rsid w:val="003C0BC5"/>
    <w:rsid w:val="003C0DE5"/>
    <w:rsid w:val="003C1314"/>
    <w:rsid w:val="003C1E6F"/>
    <w:rsid w:val="003C1E73"/>
    <w:rsid w:val="003C262D"/>
    <w:rsid w:val="003C2646"/>
    <w:rsid w:val="003C2962"/>
    <w:rsid w:val="003C3050"/>
    <w:rsid w:val="003C35BF"/>
    <w:rsid w:val="003C3970"/>
    <w:rsid w:val="003C3AFD"/>
    <w:rsid w:val="003C3C6D"/>
    <w:rsid w:val="003C4477"/>
    <w:rsid w:val="003C4EC0"/>
    <w:rsid w:val="003C5356"/>
    <w:rsid w:val="003C564F"/>
    <w:rsid w:val="003C58ED"/>
    <w:rsid w:val="003C6398"/>
    <w:rsid w:val="003C732A"/>
    <w:rsid w:val="003C755C"/>
    <w:rsid w:val="003C776C"/>
    <w:rsid w:val="003C78F1"/>
    <w:rsid w:val="003D02A8"/>
    <w:rsid w:val="003D0BAB"/>
    <w:rsid w:val="003D127A"/>
    <w:rsid w:val="003D147B"/>
    <w:rsid w:val="003D18F6"/>
    <w:rsid w:val="003D27D4"/>
    <w:rsid w:val="003D2902"/>
    <w:rsid w:val="003D2D33"/>
    <w:rsid w:val="003D3107"/>
    <w:rsid w:val="003D3F53"/>
    <w:rsid w:val="003D43B5"/>
    <w:rsid w:val="003D51D0"/>
    <w:rsid w:val="003D57EB"/>
    <w:rsid w:val="003D5991"/>
    <w:rsid w:val="003D5BAA"/>
    <w:rsid w:val="003D5D42"/>
    <w:rsid w:val="003D6225"/>
    <w:rsid w:val="003D6943"/>
    <w:rsid w:val="003D7136"/>
    <w:rsid w:val="003D75BD"/>
    <w:rsid w:val="003D78F4"/>
    <w:rsid w:val="003D7FEF"/>
    <w:rsid w:val="003E0A67"/>
    <w:rsid w:val="003E1AE8"/>
    <w:rsid w:val="003E1AF9"/>
    <w:rsid w:val="003E1BB5"/>
    <w:rsid w:val="003E1D21"/>
    <w:rsid w:val="003E1DC5"/>
    <w:rsid w:val="003E2957"/>
    <w:rsid w:val="003E2ECB"/>
    <w:rsid w:val="003E3695"/>
    <w:rsid w:val="003E3789"/>
    <w:rsid w:val="003E5C38"/>
    <w:rsid w:val="003E5C3F"/>
    <w:rsid w:val="003E5E2B"/>
    <w:rsid w:val="003E60A0"/>
    <w:rsid w:val="003E6253"/>
    <w:rsid w:val="003E6500"/>
    <w:rsid w:val="003E68FD"/>
    <w:rsid w:val="003E69EB"/>
    <w:rsid w:val="003E6CBB"/>
    <w:rsid w:val="003E6F85"/>
    <w:rsid w:val="003E6FC8"/>
    <w:rsid w:val="003E7652"/>
    <w:rsid w:val="003F09B9"/>
    <w:rsid w:val="003F102C"/>
    <w:rsid w:val="003F1473"/>
    <w:rsid w:val="003F19B1"/>
    <w:rsid w:val="003F26D8"/>
    <w:rsid w:val="003F270E"/>
    <w:rsid w:val="003F2739"/>
    <w:rsid w:val="003F29F4"/>
    <w:rsid w:val="003F2B10"/>
    <w:rsid w:val="003F31A6"/>
    <w:rsid w:val="003F32CF"/>
    <w:rsid w:val="003F32EF"/>
    <w:rsid w:val="003F37FC"/>
    <w:rsid w:val="003F3943"/>
    <w:rsid w:val="003F427D"/>
    <w:rsid w:val="003F4955"/>
    <w:rsid w:val="003F5038"/>
    <w:rsid w:val="003F524E"/>
    <w:rsid w:val="003F587D"/>
    <w:rsid w:val="003F647B"/>
    <w:rsid w:val="003F64E9"/>
    <w:rsid w:val="003F6DEC"/>
    <w:rsid w:val="003F6F19"/>
    <w:rsid w:val="003F72F0"/>
    <w:rsid w:val="003F774D"/>
    <w:rsid w:val="0040041F"/>
    <w:rsid w:val="00400B36"/>
    <w:rsid w:val="00401414"/>
    <w:rsid w:val="00401980"/>
    <w:rsid w:val="00401B4F"/>
    <w:rsid w:val="00402604"/>
    <w:rsid w:val="00402963"/>
    <w:rsid w:val="00402B2B"/>
    <w:rsid w:val="0040345F"/>
    <w:rsid w:val="004043BF"/>
    <w:rsid w:val="004045D3"/>
    <w:rsid w:val="00404B96"/>
    <w:rsid w:val="004052B9"/>
    <w:rsid w:val="004060AC"/>
    <w:rsid w:val="0040681B"/>
    <w:rsid w:val="00406D39"/>
    <w:rsid w:val="0040704F"/>
    <w:rsid w:val="004071BE"/>
    <w:rsid w:val="00407F0B"/>
    <w:rsid w:val="00410004"/>
    <w:rsid w:val="0041049D"/>
    <w:rsid w:val="00410683"/>
    <w:rsid w:val="004109EE"/>
    <w:rsid w:val="00410C16"/>
    <w:rsid w:val="00410FB2"/>
    <w:rsid w:val="00411044"/>
    <w:rsid w:val="00411EFE"/>
    <w:rsid w:val="00412211"/>
    <w:rsid w:val="00412985"/>
    <w:rsid w:val="004133DB"/>
    <w:rsid w:val="004139D9"/>
    <w:rsid w:val="00413E0B"/>
    <w:rsid w:val="0041441E"/>
    <w:rsid w:val="00414C17"/>
    <w:rsid w:val="0041562B"/>
    <w:rsid w:val="004158E6"/>
    <w:rsid w:val="00415AE3"/>
    <w:rsid w:val="00415F6A"/>
    <w:rsid w:val="00415FF1"/>
    <w:rsid w:val="00416741"/>
    <w:rsid w:val="00416EEA"/>
    <w:rsid w:val="0041757A"/>
    <w:rsid w:val="00417C3D"/>
    <w:rsid w:val="0042008E"/>
    <w:rsid w:val="00420315"/>
    <w:rsid w:val="00420398"/>
    <w:rsid w:val="00420BE5"/>
    <w:rsid w:val="0042132E"/>
    <w:rsid w:val="00421D3F"/>
    <w:rsid w:val="004227C2"/>
    <w:rsid w:val="00422AEE"/>
    <w:rsid w:val="00423560"/>
    <w:rsid w:val="00423B89"/>
    <w:rsid w:val="00424341"/>
    <w:rsid w:val="00424561"/>
    <w:rsid w:val="00424F81"/>
    <w:rsid w:val="004272A7"/>
    <w:rsid w:val="0042762D"/>
    <w:rsid w:val="00430272"/>
    <w:rsid w:val="00430359"/>
    <w:rsid w:val="004304F1"/>
    <w:rsid w:val="00431364"/>
    <w:rsid w:val="00431B81"/>
    <w:rsid w:val="00432365"/>
    <w:rsid w:val="004324F3"/>
    <w:rsid w:val="00432E21"/>
    <w:rsid w:val="00433006"/>
    <w:rsid w:val="004332CE"/>
    <w:rsid w:val="004333C3"/>
    <w:rsid w:val="00433400"/>
    <w:rsid w:val="0043340A"/>
    <w:rsid w:val="00433E9C"/>
    <w:rsid w:val="00433EBC"/>
    <w:rsid w:val="00433FDD"/>
    <w:rsid w:val="0043487B"/>
    <w:rsid w:val="00434FB1"/>
    <w:rsid w:val="00436555"/>
    <w:rsid w:val="004369B7"/>
    <w:rsid w:val="00437848"/>
    <w:rsid w:val="004404BA"/>
    <w:rsid w:val="004406C3"/>
    <w:rsid w:val="004409AB"/>
    <w:rsid w:val="0044134C"/>
    <w:rsid w:val="00441693"/>
    <w:rsid w:val="00441970"/>
    <w:rsid w:val="0044242E"/>
    <w:rsid w:val="00442514"/>
    <w:rsid w:val="004434B5"/>
    <w:rsid w:val="00444A4D"/>
    <w:rsid w:val="00444D71"/>
    <w:rsid w:val="00445231"/>
    <w:rsid w:val="00445902"/>
    <w:rsid w:val="00445E5C"/>
    <w:rsid w:val="00446106"/>
    <w:rsid w:val="00446163"/>
    <w:rsid w:val="00446BDA"/>
    <w:rsid w:val="00446F9F"/>
    <w:rsid w:val="0044751D"/>
    <w:rsid w:val="004479E9"/>
    <w:rsid w:val="004503CC"/>
    <w:rsid w:val="0045072C"/>
    <w:rsid w:val="00451218"/>
    <w:rsid w:val="0045311C"/>
    <w:rsid w:val="004531ED"/>
    <w:rsid w:val="00453217"/>
    <w:rsid w:val="00453949"/>
    <w:rsid w:val="00453FFB"/>
    <w:rsid w:val="0045423D"/>
    <w:rsid w:val="0045425A"/>
    <w:rsid w:val="00454F29"/>
    <w:rsid w:val="00455290"/>
    <w:rsid w:val="0045551F"/>
    <w:rsid w:val="0045565C"/>
    <w:rsid w:val="00455869"/>
    <w:rsid w:val="00455C00"/>
    <w:rsid w:val="0045620A"/>
    <w:rsid w:val="004565C7"/>
    <w:rsid w:val="00456BA8"/>
    <w:rsid w:val="00456ED3"/>
    <w:rsid w:val="00457C9D"/>
    <w:rsid w:val="00460EA4"/>
    <w:rsid w:val="00460EFC"/>
    <w:rsid w:val="0046161A"/>
    <w:rsid w:val="00461886"/>
    <w:rsid w:val="0046204C"/>
    <w:rsid w:val="004622C2"/>
    <w:rsid w:val="004624AF"/>
    <w:rsid w:val="00462B9E"/>
    <w:rsid w:val="00462D28"/>
    <w:rsid w:val="00463069"/>
    <w:rsid w:val="00463281"/>
    <w:rsid w:val="0046381D"/>
    <w:rsid w:val="00463C5B"/>
    <w:rsid w:val="00464462"/>
    <w:rsid w:val="00465000"/>
    <w:rsid w:val="00465FB5"/>
    <w:rsid w:val="00466311"/>
    <w:rsid w:val="00466781"/>
    <w:rsid w:val="0046684A"/>
    <w:rsid w:val="0046729E"/>
    <w:rsid w:val="00467388"/>
    <w:rsid w:val="00467CF1"/>
    <w:rsid w:val="00467ED8"/>
    <w:rsid w:val="00470E01"/>
    <w:rsid w:val="00471A24"/>
    <w:rsid w:val="00471B89"/>
    <w:rsid w:val="00471D2F"/>
    <w:rsid w:val="00472A78"/>
    <w:rsid w:val="00472D28"/>
    <w:rsid w:val="00472DB5"/>
    <w:rsid w:val="00472DC5"/>
    <w:rsid w:val="0047305C"/>
    <w:rsid w:val="004734DC"/>
    <w:rsid w:val="004741FB"/>
    <w:rsid w:val="00474604"/>
    <w:rsid w:val="0047466B"/>
    <w:rsid w:val="00475472"/>
    <w:rsid w:val="004765A1"/>
    <w:rsid w:val="00476670"/>
    <w:rsid w:val="00476907"/>
    <w:rsid w:val="00476A21"/>
    <w:rsid w:val="00476AA5"/>
    <w:rsid w:val="004774E6"/>
    <w:rsid w:val="00477A33"/>
    <w:rsid w:val="00477BBA"/>
    <w:rsid w:val="00477CBD"/>
    <w:rsid w:val="00477D8A"/>
    <w:rsid w:val="00477DF8"/>
    <w:rsid w:val="004801D5"/>
    <w:rsid w:val="00480343"/>
    <w:rsid w:val="004807F5"/>
    <w:rsid w:val="004808C8"/>
    <w:rsid w:val="004808D9"/>
    <w:rsid w:val="00480A9C"/>
    <w:rsid w:val="0048104B"/>
    <w:rsid w:val="00481305"/>
    <w:rsid w:val="0048131B"/>
    <w:rsid w:val="00481E37"/>
    <w:rsid w:val="004823D7"/>
    <w:rsid w:val="00482447"/>
    <w:rsid w:val="0048276C"/>
    <w:rsid w:val="0048283C"/>
    <w:rsid w:val="00483F09"/>
    <w:rsid w:val="00484B73"/>
    <w:rsid w:val="004850DF"/>
    <w:rsid w:val="00485CE5"/>
    <w:rsid w:val="00486426"/>
    <w:rsid w:val="004864D5"/>
    <w:rsid w:val="00486746"/>
    <w:rsid w:val="004868FE"/>
    <w:rsid w:val="00486B49"/>
    <w:rsid w:val="0048719E"/>
    <w:rsid w:val="004873D8"/>
    <w:rsid w:val="0048763E"/>
    <w:rsid w:val="004876EC"/>
    <w:rsid w:val="00487900"/>
    <w:rsid w:val="00487907"/>
    <w:rsid w:val="004879EE"/>
    <w:rsid w:val="00490140"/>
    <w:rsid w:val="004908D2"/>
    <w:rsid w:val="00490B80"/>
    <w:rsid w:val="004917D8"/>
    <w:rsid w:val="00492333"/>
    <w:rsid w:val="00492A5A"/>
    <w:rsid w:val="00493D5A"/>
    <w:rsid w:val="0049536E"/>
    <w:rsid w:val="004954D6"/>
    <w:rsid w:val="00495584"/>
    <w:rsid w:val="00496480"/>
    <w:rsid w:val="00496541"/>
    <w:rsid w:val="00496A30"/>
    <w:rsid w:val="004971F8"/>
    <w:rsid w:val="00497374"/>
    <w:rsid w:val="004976F1"/>
    <w:rsid w:val="00497BB3"/>
    <w:rsid w:val="00497CE5"/>
    <w:rsid w:val="004A01FA"/>
    <w:rsid w:val="004A04A8"/>
    <w:rsid w:val="004A09A3"/>
    <w:rsid w:val="004A17BA"/>
    <w:rsid w:val="004A1A39"/>
    <w:rsid w:val="004A1A50"/>
    <w:rsid w:val="004A2766"/>
    <w:rsid w:val="004A2CEC"/>
    <w:rsid w:val="004A36AC"/>
    <w:rsid w:val="004A391A"/>
    <w:rsid w:val="004A3F82"/>
    <w:rsid w:val="004A42A0"/>
    <w:rsid w:val="004A42E7"/>
    <w:rsid w:val="004A471D"/>
    <w:rsid w:val="004A4D3F"/>
    <w:rsid w:val="004A5133"/>
    <w:rsid w:val="004A55BA"/>
    <w:rsid w:val="004A6AA4"/>
    <w:rsid w:val="004A6F6B"/>
    <w:rsid w:val="004A7A98"/>
    <w:rsid w:val="004B02DD"/>
    <w:rsid w:val="004B0603"/>
    <w:rsid w:val="004B0651"/>
    <w:rsid w:val="004B0752"/>
    <w:rsid w:val="004B08EB"/>
    <w:rsid w:val="004B0EE4"/>
    <w:rsid w:val="004B131D"/>
    <w:rsid w:val="004B188F"/>
    <w:rsid w:val="004B1A97"/>
    <w:rsid w:val="004B1F30"/>
    <w:rsid w:val="004B2CB2"/>
    <w:rsid w:val="004B321A"/>
    <w:rsid w:val="004B34BF"/>
    <w:rsid w:val="004B3537"/>
    <w:rsid w:val="004B35D6"/>
    <w:rsid w:val="004B367A"/>
    <w:rsid w:val="004B3725"/>
    <w:rsid w:val="004B3A0C"/>
    <w:rsid w:val="004B3E66"/>
    <w:rsid w:val="004B4268"/>
    <w:rsid w:val="004B4538"/>
    <w:rsid w:val="004B49BC"/>
    <w:rsid w:val="004B4DE2"/>
    <w:rsid w:val="004B5070"/>
    <w:rsid w:val="004B5F02"/>
    <w:rsid w:val="004B6218"/>
    <w:rsid w:val="004B6EAB"/>
    <w:rsid w:val="004B707A"/>
    <w:rsid w:val="004B75C0"/>
    <w:rsid w:val="004B77FF"/>
    <w:rsid w:val="004B7F3E"/>
    <w:rsid w:val="004C00F1"/>
    <w:rsid w:val="004C0650"/>
    <w:rsid w:val="004C0ED5"/>
    <w:rsid w:val="004C1183"/>
    <w:rsid w:val="004C12D2"/>
    <w:rsid w:val="004C1628"/>
    <w:rsid w:val="004C192E"/>
    <w:rsid w:val="004C1B3A"/>
    <w:rsid w:val="004C218E"/>
    <w:rsid w:val="004C35FB"/>
    <w:rsid w:val="004C51AE"/>
    <w:rsid w:val="004C5829"/>
    <w:rsid w:val="004C614E"/>
    <w:rsid w:val="004C61F3"/>
    <w:rsid w:val="004C75A3"/>
    <w:rsid w:val="004C770D"/>
    <w:rsid w:val="004D06D0"/>
    <w:rsid w:val="004D11E1"/>
    <w:rsid w:val="004D1466"/>
    <w:rsid w:val="004D1C35"/>
    <w:rsid w:val="004D4880"/>
    <w:rsid w:val="004D499F"/>
    <w:rsid w:val="004D52FE"/>
    <w:rsid w:val="004D57BE"/>
    <w:rsid w:val="004D5888"/>
    <w:rsid w:val="004D5F4F"/>
    <w:rsid w:val="004D6193"/>
    <w:rsid w:val="004D642D"/>
    <w:rsid w:val="004D64B6"/>
    <w:rsid w:val="004D6E5B"/>
    <w:rsid w:val="004D727A"/>
    <w:rsid w:val="004D77DF"/>
    <w:rsid w:val="004E0430"/>
    <w:rsid w:val="004E06EA"/>
    <w:rsid w:val="004E110B"/>
    <w:rsid w:val="004E1804"/>
    <w:rsid w:val="004E1852"/>
    <w:rsid w:val="004E309B"/>
    <w:rsid w:val="004E33E2"/>
    <w:rsid w:val="004E36E4"/>
    <w:rsid w:val="004E3D33"/>
    <w:rsid w:val="004E3ED0"/>
    <w:rsid w:val="004E3FE1"/>
    <w:rsid w:val="004E4382"/>
    <w:rsid w:val="004E4714"/>
    <w:rsid w:val="004E4A07"/>
    <w:rsid w:val="004E51B7"/>
    <w:rsid w:val="004E58CB"/>
    <w:rsid w:val="004E5B14"/>
    <w:rsid w:val="004E6273"/>
    <w:rsid w:val="004E648C"/>
    <w:rsid w:val="004E73D3"/>
    <w:rsid w:val="004E74C0"/>
    <w:rsid w:val="004E75C8"/>
    <w:rsid w:val="004E7D25"/>
    <w:rsid w:val="004E7FA1"/>
    <w:rsid w:val="004E7FC2"/>
    <w:rsid w:val="004F0195"/>
    <w:rsid w:val="004F0198"/>
    <w:rsid w:val="004F0699"/>
    <w:rsid w:val="004F0E56"/>
    <w:rsid w:val="004F12D3"/>
    <w:rsid w:val="004F132B"/>
    <w:rsid w:val="004F191F"/>
    <w:rsid w:val="004F2103"/>
    <w:rsid w:val="004F2978"/>
    <w:rsid w:val="004F29DC"/>
    <w:rsid w:val="004F3151"/>
    <w:rsid w:val="004F3370"/>
    <w:rsid w:val="004F3ECB"/>
    <w:rsid w:val="004F4362"/>
    <w:rsid w:val="004F46B3"/>
    <w:rsid w:val="004F4FF3"/>
    <w:rsid w:val="004F51DF"/>
    <w:rsid w:val="004F5BC1"/>
    <w:rsid w:val="004F5F4B"/>
    <w:rsid w:val="004F62C5"/>
    <w:rsid w:val="004F6796"/>
    <w:rsid w:val="004F6815"/>
    <w:rsid w:val="004F6C9A"/>
    <w:rsid w:val="004F727A"/>
    <w:rsid w:val="004F7B9F"/>
    <w:rsid w:val="004F7E0C"/>
    <w:rsid w:val="00500136"/>
    <w:rsid w:val="005014BE"/>
    <w:rsid w:val="00501FD3"/>
    <w:rsid w:val="00502488"/>
    <w:rsid w:val="00503701"/>
    <w:rsid w:val="00503E0A"/>
    <w:rsid w:val="005045D1"/>
    <w:rsid w:val="00504E64"/>
    <w:rsid w:val="005053DA"/>
    <w:rsid w:val="005056CD"/>
    <w:rsid w:val="00505D9F"/>
    <w:rsid w:val="00506427"/>
    <w:rsid w:val="005067EE"/>
    <w:rsid w:val="00506F27"/>
    <w:rsid w:val="00507D54"/>
    <w:rsid w:val="0051089D"/>
    <w:rsid w:val="00510F7D"/>
    <w:rsid w:val="0051135F"/>
    <w:rsid w:val="005116B8"/>
    <w:rsid w:val="00511D4E"/>
    <w:rsid w:val="0051263B"/>
    <w:rsid w:val="00512BAC"/>
    <w:rsid w:val="00512DC0"/>
    <w:rsid w:val="00513346"/>
    <w:rsid w:val="00513504"/>
    <w:rsid w:val="005149C7"/>
    <w:rsid w:val="00514B9C"/>
    <w:rsid w:val="00514D6F"/>
    <w:rsid w:val="005158B9"/>
    <w:rsid w:val="005158D1"/>
    <w:rsid w:val="00515A44"/>
    <w:rsid w:val="00516C66"/>
    <w:rsid w:val="00517047"/>
    <w:rsid w:val="00517197"/>
    <w:rsid w:val="0051757D"/>
    <w:rsid w:val="0051758D"/>
    <w:rsid w:val="005175DB"/>
    <w:rsid w:val="005177BE"/>
    <w:rsid w:val="00517BB1"/>
    <w:rsid w:val="005202D4"/>
    <w:rsid w:val="00520345"/>
    <w:rsid w:val="0052035F"/>
    <w:rsid w:val="00520D71"/>
    <w:rsid w:val="005211CE"/>
    <w:rsid w:val="00521E6F"/>
    <w:rsid w:val="00522311"/>
    <w:rsid w:val="00522607"/>
    <w:rsid w:val="00522B82"/>
    <w:rsid w:val="0052311B"/>
    <w:rsid w:val="0052391B"/>
    <w:rsid w:val="00523A03"/>
    <w:rsid w:val="00523A47"/>
    <w:rsid w:val="00524499"/>
    <w:rsid w:val="00524749"/>
    <w:rsid w:val="005249D2"/>
    <w:rsid w:val="00524BB4"/>
    <w:rsid w:val="00524C3A"/>
    <w:rsid w:val="00524EF4"/>
    <w:rsid w:val="00525198"/>
    <w:rsid w:val="00525219"/>
    <w:rsid w:val="005274FB"/>
    <w:rsid w:val="0052753F"/>
    <w:rsid w:val="00527B8E"/>
    <w:rsid w:val="00527C2B"/>
    <w:rsid w:val="00527C3A"/>
    <w:rsid w:val="00530001"/>
    <w:rsid w:val="0053061E"/>
    <w:rsid w:val="0053077C"/>
    <w:rsid w:val="005314C7"/>
    <w:rsid w:val="005326CC"/>
    <w:rsid w:val="0053271B"/>
    <w:rsid w:val="00532B10"/>
    <w:rsid w:val="00533016"/>
    <w:rsid w:val="005333E4"/>
    <w:rsid w:val="005334D9"/>
    <w:rsid w:val="0053392C"/>
    <w:rsid w:val="005339FE"/>
    <w:rsid w:val="00533B99"/>
    <w:rsid w:val="0053413B"/>
    <w:rsid w:val="00534153"/>
    <w:rsid w:val="005347B3"/>
    <w:rsid w:val="00534B64"/>
    <w:rsid w:val="005355EC"/>
    <w:rsid w:val="00535E6E"/>
    <w:rsid w:val="00536839"/>
    <w:rsid w:val="005368E9"/>
    <w:rsid w:val="00536979"/>
    <w:rsid w:val="00536E68"/>
    <w:rsid w:val="00537339"/>
    <w:rsid w:val="00537528"/>
    <w:rsid w:val="0053777F"/>
    <w:rsid w:val="00540B8E"/>
    <w:rsid w:val="005410CF"/>
    <w:rsid w:val="005414A9"/>
    <w:rsid w:val="00542B1D"/>
    <w:rsid w:val="00542CA1"/>
    <w:rsid w:val="00542F85"/>
    <w:rsid w:val="005432C4"/>
    <w:rsid w:val="0054370E"/>
    <w:rsid w:val="00543BF5"/>
    <w:rsid w:val="005445E5"/>
    <w:rsid w:val="005449A8"/>
    <w:rsid w:val="00544D5A"/>
    <w:rsid w:val="005460EE"/>
    <w:rsid w:val="0054633E"/>
    <w:rsid w:val="00546A9C"/>
    <w:rsid w:val="005478E7"/>
    <w:rsid w:val="005479B2"/>
    <w:rsid w:val="00547B6C"/>
    <w:rsid w:val="00547BFA"/>
    <w:rsid w:val="00547D4B"/>
    <w:rsid w:val="00547DEA"/>
    <w:rsid w:val="005504DB"/>
    <w:rsid w:val="005505AD"/>
    <w:rsid w:val="005507C4"/>
    <w:rsid w:val="00550B7E"/>
    <w:rsid w:val="00550E06"/>
    <w:rsid w:val="00551468"/>
    <w:rsid w:val="0055148D"/>
    <w:rsid w:val="00551B41"/>
    <w:rsid w:val="00551BE1"/>
    <w:rsid w:val="00551D19"/>
    <w:rsid w:val="00552014"/>
    <w:rsid w:val="00552775"/>
    <w:rsid w:val="005527C9"/>
    <w:rsid w:val="00552BB4"/>
    <w:rsid w:val="005530B6"/>
    <w:rsid w:val="00553445"/>
    <w:rsid w:val="00553632"/>
    <w:rsid w:val="00553A97"/>
    <w:rsid w:val="00553CBB"/>
    <w:rsid w:val="00553D0B"/>
    <w:rsid w:val="0055463D"/>
    <w:rsid w:val="005548C3"/>
    <w:rsid w:val="00554BA1"/>
    <w:rsid w:val="005551E4"/>
    <w:rsid w:val="00555737"/>
    <w:rsid w:val="00555D37"/>
    <w:rsid w:val="00555D41"/>
    <w:rsid w:val="005560DC"/>
    <w:rsid w:val="005566D3"/>
    <w:rsid w:val="0055684D"/>
    <w:rsid w:val="00556CA4"/>
    <w:rsid w:val="0055707C"/>
    <w:rsid w:val="0055731D"/>
    <w:rsid w:val="00557AFC"/>
    <w:rsid w:val="005602BE"/>
    <w:rsid w:val="005621FA"/>
    <w:rsid w:val="005626E1"/>
    <w:rsid w:val="00562AC2"/>
    <w:rsid w:val="00562D03"/>
    <w:rsid w:val="00562E50"/>
    <w:rsid w:val="00562E86"/>
    <w:rsid w:val="005634D0"/>
    <w:rsid w:val="00563D55"/>
    <w:rsid w:val="00563D83"/>
    <w:rsid w:val="005643B1"/>
    <w:rsid w:val="00564B06"/>
    <w:rsid w:val="005654C9"/>
    <w:rsid w:val="005659CC"/>
    <w:rsid w:val="00565F1B"/>
    <w:rsid w:val="0056608A"/>
    <w:rsid w:val="00566416"/>
    <w:rsid w:val="00566A0B"/>
    <w:rsid w:val="00567268"/>
    <w:rsid w:val="00567DA8"/>
    <w:rsid w:val="00570715"/>
    <w:rsid w:val="0057090C"/>
    <w:rsid w:val="00570EF5"/>
    <w:rsid w:val="00571EF6"/>
    <w:rsid w:val="00572009"/>
    <w:rsid w:val="005722F1"/>
    <w:rsid w:val="0057247F"/>
    <w:rsid w:val="005724D5"/>
    <w:rsid w:val="005727AB"/>
    <w:rsid w:val="00572F61"/>
    <w:rsid w:val="00573583"/>
    <w:rsid w:val="00573588"/>
    <w:rsid w:val="00573872"/>
    <w:rsid w:val="00574B27"/>
    <w:rsid w:val="0057503F"/>
    <w:rsid w:val="0057508D"/>
    <w:rsid w:val="005754B7"/>
    <w:rsid w:val="00575EF6"/>
    <w:rsid w:val="00575F59"/>
    <w:rsid w:val="005762BB"/>
    <w:rsid w:val="00576410"/>
    <w:rsid w:val="00577177"/>
    <w:rsid w:val="00577696"/>
    <w:rsid w:val="005806DA"/>
    <w:rsid w:val="00580E7B"/>
    <w:rsid w:val="005811E2"/>
    <w:rsid w:val="00581333"/>
    <w:rsid w:val="00582194"/>
    <w:rsid w:val="00582612"/>
    <w:rsid w:val="005827AF"/>
    <w:rsid w:val="00582C99"/>
    <w:rsid w:val="00582E61"/>
    <w:rsid w:val="0058341E"/>
    <w:rsid w:val="005835F4"/>
    <w:rsid w:val="00584511"/>
    <w:rsid w:val="00585250"/>
    <w:rsid w:val="0058557D"/>
    <w:rsid w:val="00585A91"/>
    <w:rsid w:val="00586A1E"/>
    <w:rsid w:val="00587507"/>
    <w:rsid w:val="005875E3"/>
    <w:rsid w:val="0058763F"/>
    <w:rsid w:val="0058782F"/>
    <w:rsid w:val="00590169"/>
    <w:rsid w:val="00590B48"/>
    <w:rsid w:val="005910F3"/>
    <w:rsid w:val="00591596"/>
    <w:rsid w:val="0059178B"/>
    <w:rsid w:val="0059293F"/>
    <w:rsid w:val="00592A53"/>
    <w:rsid w:val="00593A76"/>
    <w:rsid w:val="00593B8D"/>
    <w:rsid w:val="00593BDA"/>
    <w:rsid w:val="00594477"/>
    <w:rsid w:val="00594CC2"/>
    <w:rsid w:val="00594E6F"/>
    <w:rsid w:val="005957D4"/>
    <w:rsid w:val="005966FD"/>
    <w:rsid w:val="0059708A"/>
    <w:rsid w:val="005A05E4"/>
    <w:rsid w:val="005A0796"/>
    <w:rsid w:val="005A0F76"/>
    <w:rsid w:val="005A12BF"/>
    <w:rsid w:val="005A13AD"/>
    <w:rsid w:val="005A171C"/>
    <w:rsid w:val="005A17A7"/>
    <w:rsid w:val="005A199A"/>
    <w:rsid w:val="005A2501"/>
    <w:rsid w:val="005A26EA"/>
    <w:rsid w:val="005A30B2"/>
    <w:rsid w:val="005A3E30"/>
    <w:rsid w:val="005A3F09"/>
    <w:rsid w:val="005A45A1"/>
    <w:rsid w:val="005A4E17"/>
    <w:rsid w:val="005A5012"/>
    <w:rsid w:val="005A5205"/>
    <w:rsid w:val="005A5949"/>
    <w:rsid w:val="005A6095"/>
    <w:rsid w:val="005A62DE"/>
    <w:rsid w:val="005A6702"/>
    <w:rsid w:val="005A68A7"/>
    <w:rsid w:val="005A7292"/>
    <w:rsid w:val="005A7308"/>
    <w:rsid w:val="005A7A9F"/>
    <w:rsid w:val="005A7E3C"/>
    <w:rsid w:val="005A7F56"/>
    <w:rsid w:val="005B0209"/>
    <w:rsid w:val="005B026D"/>
    <w:rsid w:val="005B0428"/>
    <w:rsid w:val="005B10AF"/>
    <w:rsid w:val="005B12F6"/>
    <w:rsid w:val="005B1B73"/>
    <w:rsid w:val="005B1CE6"/>
    <w:rsid w:val="005B1E28"/>
    <w:rsid w:val="005B2A57"/>
    <w:rsid w:val="005B42DE"/>
    <w:rsid w:val="005B582A"/>
    <w:rsid w:val="005B63D8"/>
    <w:rsid w:val="005B64E3"/>
    <w:rsid w:val="005B6D16"/>
    <w:rsid w:val="005B6F8E"/>
    <w:rsid w:val="005B7AE7"/>
    <w:rsid w:val="005C0022"/>
    <w:rsid w:val="005C021D"/>
    <w:rsid w:val="005C0E2D"/>
    <w:rsid w:val="005C1BC6"/>
    <w:rsid w:val="005C2116"/>
    <w:rsid w:val="005C23E9"/>
    <w:rsid w:val="005C251A"/>
    <w:rsid w:val="005C2ECD"/>
    <w:rsid w:val="005C3332"/>
    <w:rsid w:val="005C3752"/>
    <w:rsid w:val="005C3CCC"/>
    <w:rsid w:val="005C49EE"/>
    <w:rsid w:val="005C4F1A"/>
    <w:rsid w:val="005C5059"/>
    <w:rsid w:val="005C55EF"/>
    <w:rsid w:val="005C5892"/>
    <w:rsid w:val="005C5C3C"/>
    <w:rsid w:val="005C6009"/>
    <w:rsid w:val="005C6826"/>
    <w:rsid w:val="005C6AD5"/>
    <w:rsid w:val="005C6C0B"/>
    <w:rsid w:val="005C724A"/>
    <w:rsid w:val="005C7647"/>
    <w:rsid w:val="005D0363"/>
    <w:rsid w:val="005D0588"/>
    <w:rsid w:val="005D081B"/>
    <w:rsid w:val="005D089F"/>
    <w:rsid w:val="005D0A5C"/>
    <w:rsid w:val="005D0E28"/>
    <w:rsid w:val="005D1647"/>
    <w:rsid w:val="005D2D49"/>
    <w:rsid w:val="005D3472"/>
    <w:rsid w:val="005D35EA"/>
    <w:rsid w:val="005D385B"/>
    <w:rsid w:val="005D4AD8"/>
    <w:rsid w:val="005D686C"/>
    <w:rsid w:val="005D6893"/>
    <w:rsid w:val="005D6D99"/>
    <w:rsid w:val="005D6E1B"/>
    <w:rsid w:val="005D71FE"/>
    <w:rsid w:val="005D7230"/>
    <w:rsid w:val="005D751F"/>
    <w:rsid w:val="005D7AFC"/>
    <w:rsid w:val="005D7EA7"/>
    <w:rsid w:val="005D7FF0"/>
    <w:rsid w:val="005E0FDC"/>
    <w:rsid w:val="005E1219"/>
    <w:rsid w:val="005E14EF"/>
    <w:rsid w:val="005E1A22"/>
    <w:rsid w:val="005E1C9A"/>
    <w:rsid w:val="005E444B"/>
    <w:rsid w:val="005E46BD"/>
    <w:rsid w:val="005E7222"/>
    <w:rsid w:val="005E7E69"/>
    <w:rsid w:val="005F0A41"/>
    <w:rsid w:val="005F0EDF"/>
    <w:rsid w:val="005F2E18"/>
    <w:rsid w:val="005F2E40"/>
    <w:rsid w:val="005F336D"/>
    <w:rsid w:val="005F3775"/>
    <w:rsid w:val="005F43D3"/>
    <w:rsid w:val="005F459B"/>
    <w:rsid w:val="005F45F5"/>
    <w:rsid w:val="005F48F9"/>
    <w:rsid w:val="005F5242"/>
    <w:rsid w:val="005F5714"/>
    <w:rsid w:val="005F581A"/>
    <w:rsid w:val="005F5A16"/>
    <w:rsid w:val="005F5B7E"/>
    <w:rsid w:val="005F64AF"/>
    <w:rsid w:val="005F6514"/>
    <w:rsid w:val="005F6892"/>
    <w:rsid w:val="005F73E9"/>
    <w:rsid w:val="005F75F1"/>
    <w:rsid w:val="005F79C4"/>
    <w:rsid w:val="005F7DEA"/>
    <w:rsid w:val="0060005B"/>
    <w:rsid w:val="00600075"/>
    <w:rsid w:val="00601E60"/>
    <w:rsid w:val="006031ED"/>
    <w:rsid w:val="006035C1"/>
    <w:rsid w:val="006035FA"/>
    <w:rsid w:val="0060366F"/>
    <w:rsid w:val="00603E3C"/>
    <w:rsid w:val="00604315"/>
    <w:rsid w:val="00604C34"/>
    <w:rsid w:val="00604CCA"/>
    <w:rsid w:val="00606B45"/>
    <w:rsid w:val="00606BF4"/>
    <w:rsid w:val="00606EAF"/>
    <w:rsid w:val="006073BA"/>
    <w:rsid w:val="006073D2"/>
    <w:rsid w:val="006079C2"/>
    <w:rsid w:val="00607FCC"/>
    <w:rsid w:val="006107D4"/>
    <w:rsid w:val="00611789"/>
    <w:rsid w:val="00611A74"/>
    <w:rsid w:val="0061202B"/>
    <w:rsid w:val="00612639"/>
    <w:rsid w:val="00612863"/>
    <w:rsid w:val="00612C9D"/>
    <w:rsid w:val="00612F8B"/>
    <w:rsid w:val="00612FF3"/>
    <w:rsid w:val="00613059"/>
    <w:rsid w:val="00614098"/>
    <w:rsid w:val="00614CDE"/>
    <w:rsid w:val="00615408"/>
    <w:rsid w:val="0061543F"/>
    <w:rsid w:val="00616133"/>
    <w:rsid w:val="00617146"/>
    <w:rsid w:val="006174E2"/>
    <w:rsid w:val="00617778"/>
    <w:rsid w:val="0061796A"/>
    <w:rsid w:val="00621EF3"/>
    <w:rsid w:val="006223DA"/>
    <w:rsid w:val="006225F9"/>
    <w:rsid w:val="00622FE1"/>
    <w:rsid w:val="00623349"/>
    <w:rsid w:val="00623432"/>
    <w:rsid w:val="00623936"/>
    <w:rsid w:val="00623C4C"/>
    <w:rsid w:val="00623EF5"/>
    <w:rsid w:val="00624EE9"/>
    <w:rsid w:val="0062513B"/>
    <w:rsid w:val="00625445"/>
    <w:rsid w:val="00625A9A"/>
    <w:rsid w:val="00625DF4"/>
    <w:rsid w:val="0062608F"/>
    <w:rsid w:val="0062661D"/>
    <w:rsid w:val="00626A46"/>
    <w:rsid w:val="00626EC0"/>
    <w:rsid w:val="00630187"/>
    <w:rsid w:val="00630288"/>
    <w:rsid w:val="0063052C"/>
    <w:rsid w:val="00630970"/>
    <w:rsid w:val="00630C85"/>
    <w:rsid w:val="006314CF"/>
    <w:rsid w:val="00631689"/>
    <w:rsid w:val="0063248C"/>
    <w:rsid w:val="00633360"/>
    <w:rsid w:val="00633E0B"/>
    <w:rsid w:val="0063430B"/>
    <w:rsid w:val="00634F3F"/>
    <w:rsid w:val="0063541B"/>
    <w:rsid w:val="00635AE0"/>
    <w:rsid w:val="00636148"/>
    <w:rsid w:val="00636775"/>
    <w:rsid w:val="00636906"/>
    <w:rsid w:val="00636A1F"/>
    <w:rsid w:val="00636CD2"/>
    <w:rsid w:val="00636F77"/>
    <w:rsid w:val="0063727B"/>
    <w:rsid w:val="00637761"/>
    <w:rsid w:val="006377ED"/>
    <w:rsid w:val="00637B23"/>
    <w:rsid w:val="006401CB"/>
    <w:rsid w:val="006402F1"/>
    <w:rsid w:val="00641BD8"/>
    <w:rsid w:val="00642950"/>
    <w:rsid w:val="00642953"/>
    <w:rsid w:val="00642D96"/>
    <w:rsid w:val="00643CBF"/>
    <w:rsid w:val="00644192"/>
    <w:rsid w:val="0064445A"/>
    <w:rsid w:val="006449ED"/>
    <w:rsid w:val="006449F0"/>
    <w:rsid w:val="00645466"/>
    <w:rsid w:val="006469DC"/>
    <w:rsid w:val="006502F4"/>
    <w:rsid w:val="0065089D"/>
    <w:rsid w:val="00650BBB"/>
    <w:rsid w:val="00651438"/>
    <w:rsid w:val="0065262A"/>
    <w:rsid w:val="0065283F"/>
    <w:rsid w:val="0065286F"/>
    <w:rsid w:val="00652C0D"/>
    <w:rsid w:val="0065327E"/>
    <w:rsid w:val="006532D6"/>
    <w:rsid w:val="006533E6"/>
    <w:rsid w:val="006535DA"/>
    <w:rsid w:val="00653C7D"/>
    <w:rsid w:val="00653D92"/>
    <w:rsid w:val="006541E4"/>
    <w:rsid w:val="00654210"/>
    <w:rsid w:val="00654B9E"/>
    <w:rsid w:val="00654EC8"/>
    <w:rsid w:val="00655057"/>
    <w:rsid w:val="00655D18"/>
    <w:rsid w:val="0065640C"/>
    <w:rsid w:val="00657496"/>
    <w:rsid w:val="00660132"/>
    <w:rsid w:val="00660141"/>
    <w:rsid w:val="006601E7"/>
    <w:rsid w:val="00660A18"/>
    <w:rsid w:val="00660D5D"/>
    <w:rsid w:val="006619F5"/>
    <w:rsid w:val="00661B62"/>
    <w:rsid w:val="00661F49"/>
    <w:rsid w:val="006624B5"/>
    <w:rsid w:val="00662BCC"/>
    <w:rsid w:val="00663514"/>
    <w:rsid w:val="00663CA1"/>
    <w:rsid w:val="00664203"/>
    <w:rsid w:val="00664AAA"/>
    <w:rsid w:val="006652C1"/>
    <w:rsid w:val="0066756B"/>
    <w:rsid w:val="006677A4"/>
    <w:rsid w:val="00667FB5"/>
    <w:rsid w:val="006707FA"/>
    <w:rsid w:val="00671220"/>
    <w:rsid w:val="006712AC"/>
    <w:rsid w:val="006716EA"/>
    <w:rsid w:val="00671C6E"/>
    <w:rsid w:val="00671EAA"/>
    <w:rsid w:val="00672ECD"/>
    <w:rsid w:val="006733E8"/>
    <w:rsid w:val="006742BF"/>
    <w:rsid w:val="00674474"/>
    <w:rsid w:val="00674A16"/>
    <w:rsid w:val="00674B6F"/>
    <w:rsid w:val="0067666F"/>
    <w:rsid w:val="006767A7"/>
    <w:rsid w:val="00676894"/>
    <w:rsid w:val="00676984"/>
    <w:rsid w:val="00676BDD"/>
    <w:rsid w:val="00677531"/>
    <w:rsid w:val="00677A94"/>
    <w:rsid w:val="00677B49"/>
    <w:rsid w:val="00677D16"/>
    <w:rsid w:val="00677E82"/>
    <w:rsid w:val="006814B9"/>
    <w:rsid w:val="006816C2"/>
    <w:rsid w:val="00681B2D"/>
    <w:rsid w:val="006823B5"/>
    <w:rsid w:val="006827EE"/>
    <w:rsid w:val="00682817"/>
    <w:rsid w:val="006829FC"/>
    <w:rsid w:val="0068305D"/>
    <w:rsid w:val="006832B9"/>
    <w:rsid w:val="00684833"/>
    <w:rsid w:val="00685834"/>
    <w:rsid w:val="006858B7"/>
    <w:rsid w:val="006859BC"/>
    <w:rsid w:val="00686179"/>
    <w:rsid w:val="00687554"/>
    <w:rsid w:val="00687592"/>
    <w:rsid w:val="00687694"/>
    <w:rsid w:val="0068784D"/>
    <w:rsid w:val="006906F1"/>
    <w:rsid w:val="00690876"/>
    <w:rsid w:val="00690CFD"/>
    <w:rsid w:val="00690F63"/>
    <w:rsid w:val="0069197E"/>
    <w:rsid w:val="00691BEC"/>
    <w:rsid w:val="00691D23"/>
    <w:rsid w:val="00692234"/>
    <w:rsid w:val="006923DC"/>
    <w:rsid w:val="00693072"/>
    <w:rsid w:val="006932D3"/>
    <w:rsid w:val="006938E4"/>
    <w:rsid w:val="00693B71"/>
    <w:rsid w:val="00693C10"/>
    <w:rsid w:val="006947C7"/>
    <w:rsid w:val="00695BEC"/>
    <w:rsid w:val="00695C26"/>
    <w:rsid w:val="00696980"/>
    <w:rsid w:val="00696E93"/>
    <w:rsid w:val="0069793C"/>
    <w:rsid w:val="006A03F5"/>
    <w:rsid w:val="006A08EE"/>
    <w:rsid w:val="006A0EE0"/>
    <w:rsid w:val="006A126B"/>
    <w:rsid w:val="006A2100"/>
    <w:rsid w:val="006A2397"/>
    <w:rsid w:val="006A2491"/>
    <w:rsid w:val="006A261A"/>
    <w:rsid w:val="006A2C7E"/>
    <w:rsid w:val="006A2E02"/>
    <w:rsid w:val="006A3103"/>
    <w:rsid w:val="006A33CF"/>
    <w:rsid w:val="006A36F2"/>
    <w:rsid w:val="006A39A3"/>
    <w:rsid w:val="006A3AAC"/>
    <w:rsid w:val="006A3D2D"/>
    <w:rsid w:val="006A4145"/>
    <w:rsid w:val="006A4B57"/>
    <w:rsid w:val="006A52DD"/>
    <w:rsid w:val="006A5588"/>
    <w:rsid w:val="006A5E75"/>
    <w:rsid w:val="006A60BE"/>
    <w:rsid w:val="006A6583"/>
    <w:rsid w:val="006A65AC"/>
    <w:rsid w:val="006A68C8"/>
    <w:rsid w:val="006B02C5"/>
    <w:rsid w:val="006B0500"/>
    <w:rsid w:val="006B05C1"/>
    <w:rsid w:val="006B06DC"/>
    <w:rsid w:val="006B06EA"/>
    <w:rsid w:val="006B1157"/>
    <w:rsid w:val="006B1218"/>
    <w:rsid w:val="006B2574"/>
    <w:rsid w:val="006B2667"/>
    <w:rsid w:val="006B27A8"/>
    <w:rsid w:val="006B2E00"/>
    <w:rsid w:val="006B3FE7"/>
    <w:rsid w:val="006B4544"/>
    <w:rsid w:val="006B4FC3"/>
    <w:rsid w:val="006B5107"/>
    <w:rsid w:val="006B5A1A"/>
    <w:rsid w:val="006B5E10"/>
    <w:rsid w:val="006B6620"/>
    <w:rsid w:val="006B667C"/>
    <w:rsid w:val="006B6A40"/>
    <w:rsid w:val="006B6ABD"/>
    <w:rsid w:val="006B6B93"/>
    <w:rsid w:val="006B7E7E"/>
    <w:rsid w:val="006C01B5"/>
    <w:rsid w:val="006C02AA"/>
    <w:rsid w:val="006C04B0"/>
    <w:rsid w:val="006C0920"/>
    <w:rsid w:val="006C10FE"/>
    <w:rsid w:val="006C1A1F"/>
    <w:rsid w:val="006C23CE"/>
    <w:rsid w:val="006C2A41"/>
    <w:rsid w:val="006C2F5B"/>
    <w:rsid w:val="006C35C1"/>
    <w:rsid w:val="006C42A5"/>
    <w:rsid w:val="006C487B"/>
    <w:rsid w:val="006C4FAE"/>
    <w:rsid w:val="006C4FF6"/>
    <w:rsid w:val="006C54F0"/>
    <w:rsid w:val="006C5546"/>
    <w:rsid w:val="006C58FF"/>
    <w:rsid w:val="006C5A4A"/>
    <w:rsid w:val="006C5E92"/>
    <w:rsid w:val="006C6004"/>
    <w:rsid w:val="006C697B"/>
    <w:rsid w:val="006C75B1"/>
    <w:rsid w:val="006C7AD3"/>
    <w:rsid w:val="006C7BD7"/>
    <w:rsid w:val="006C7D3A"/>
    <w:rsid w:val="006C7F4C"/>
    <w:rsid w:val="006D0961"/>
    <w:rsid w:val="006D0B9A"/>
    <w:rsid w:val="006D1106"/>
    <w:rsid w:val="006D1452"/>
    <w:rsid w:val="006D1466"/>
    <w:rsid w:val="006D1745"/>
    <w:rsid w:val="006D2525"/>
    <w:rsid w:val="006D29C8"/>
    <w:rsid w:val="006D2C08"/>
    <w:rsid w:val="006D2F55"/>
    <w:rsid w:val="006D3434"/>
    <w:rsid w:val="006D3B75"/>
    <w:rsid w:val="006D3E1A"/>
    <w:rsid w:val="006D48D8"/>
    <w:rsid w:val="006D4C14"/>
    <w:rsid w:val="006D57B4"/>
    <w:rsid w:val="006D5C47"/>
    <w:rsid w:val="006D6613"/>
    <w:rsid w:val="006D6BF2"/>
    <w:rsid w:val="006D6BFE"/>
    <w:rsid w:val="006D7144"/>
    <w:rsid w:val="006D7548"/>
    <w:rsid w:val="006D7A5E"/>
    <w:rsid w:val="006E1C18"/>
    <w:rsid w:val="006E1CC7"/>
    <w:rsid w:val="006E1F91"/>
    <w:rsid w:val="006E2022"/>
    <w:rsid w:val="006E2238"/>
    <w:rsid w:val="006E2D47"/>
    <w:rsid w:val="006E3546"/>
    <w:rsid w:val="006E365C"/>
    <w:rsid w:val="006E36E5"/>
    <w:rsid w:val="006E374B"/>
    <w:rsid w:val="006E3BA2"/>
    <w:rsid w:val="006E3EA4"/>
    <w:rsid w:val="006E5A6E"/>
    <w:rsid w:val="006E5BFF"/>
    <w:rsid w:val="006E5E63"/>
    <w:rsid w:val="006E6250"/>
    <w:rsid w:val="006E7273"/>
    <w:rsid w:val="006E7386"/>
    <w:rsid w:val="006E75F1"/>
    <w:rsid w:val="006F01E0"/>
    <w:rsid w:val="006F06E1"/>
    <w:rsid w:val="006F0995"/>
    <w:rsid w:val="006F181E"/>
    <w:rsid w:val="006F25FC"/>
    <w:rsid w:val="006F2744"/>
    <w:rsid w:val="006F27E6"/>
    <w:rsid w:val="006F357C"/>
    <w:rsid w:val="006F366A"/>
    <w:rsid w:val="006F4512"/>
    <w:rsid w:val="006F482A"/>
    <w:rsid w:val="006F49C8"/>
    <w:rsid w:val="006F5380"/>
    <w:rsid w:val="006F54B0"/>
    <w:rsid w:val="006F55EB"/>
    <w:rsid w:val="006F56E5"/>
    <w:rsid w:val="006F6094"/>
    <w:rsid w:val="006F647D"/>
    <w:rsid w:val="006F686F"/>
    <w:rsid w:val="006F687B"/>
    <w:rsid w:val="006F6A58"/>
    <w:rsid w:val="006F6E8E"/>
    <w:rsid w:val="006F70DF"/>
    <w:rsid w:val="006F713A"/>
    <w:rsid w:val="006F74F4"/>
    <w:rsid w:val="006F7FCA"/>
    <w:rsid w:val="006F7FDE"/>
    <w:rsid w:val="007001AF"/>
    <w:rsid w:val="0070149E"/>
    <w:rsid w:val="007026E4"/>
    <w:rsid w:val="00702C91"/>
    <w:rsid w:val="00702DAB"/>
    <w:rsid w:val="00702FF3"/>
    <w:rsid w:val="00703318"/>
    <w:rsid w:val="00703358"/>
    <w:rsid w:val="0070351E"/>
    <w:rsid w:val="007037A7"/>
    <w:rsid w:val="00703CC3"/>
    <w:rsid w:val="007057CA"/>
    <w:rsid w:val="007058FF"/>
    <w:rsid w:val="007064CE"/>
    <w:rsid w:val="0070716B"/>
    <w:rsid w:val="007075E1"/>
    <w:rsid w:val="00707CC5"/>
    <w:rsid w:val="00707F43"/>
    <w:rsid w:val="007100AD"/>
    <w:rsid w:val="00710249"/>
    <w:rsid w:val="00710594"/>
    <w:rsid w:val="007108E0"/>
    <w:rsid w:val="00711310"/>
    <w:rsid w:val="007121F3"/>
    <w:rsid w:val="007126C7"/>
    <w:rsid w:val="007127A0"/>
    <w:rsid w:val="00712FA8"/>
    <w:rsid w:val="007130CD"/>
    <w:rsid w:val="0071350F"/>
    <w:rsid w:val="00713974"/>
    <w:rsid w:val="00713DC7"/>
    <w:rsid w:val="00714746"/>
    <w:rsid w:val="00714A10"/>
    <w:rsid w:val="007150E6"/>
    <w:rsid w:val="007153F3"/>
    <w:rsid w:val="00715AF7"/>
    <w:rsid w:val="00715FD1"/>
    <w:rsid w:val="007162D2"/>
    <w:rsid w:val="007165D9"/>
    <w:rsid w:val="00716B74"/>
    <w:rsid w:val="00716BA2"/>
    <w:rsid w:val="00720EED"/>
    <w:rsid w:val="00721807"/>
    <w:rsid w:val="00721EAD"/>
    <w:rsid w:val="00721EC8"/>
    <w:rsid w:val="0072249C"/>
    <w:rsid w:val="0072252F"/>
    <w:rsid w:val="007236F4"/>
    <w:rsid w:val="0072388D"/>
    <w:rsid w:val="00723AA7"/>
    <w:rsid w:val="00723C29"/>
    <w:rsid w:val="00723FD8"/>
    <w:rsid w:val="00724115"/>
    <w:rsid w:val="007247AB"/>
    <w:rsid w:val="00724830"/>
    <w:rsid w:val="00724C4D"/>
    <w:rsid w:val="00724E59"/>
    <w:rsid w:val="007260EE"/>
    <w:rsid w:val="007264B4"/>
    <w:rsid w:val="00726807"/>
    <w:rsid w:val="00726AA4"/>
    <w:rsid w:val="00726ABE"/>
    <w:rsid w:val="00726E50"/>
    <w:rsid w:val="00726FF2"/>
    <w:rsid w:val="007275CA"/>
    <w:rsid w:val="00727839"/>
    <w:rsid w:val="007302E2"/>
    <w:rsid w:val="007303B7"/>
    <w:rsid w:val="00730544"/>
    <w:rsid w:val="00730851"/>
    <w:rsid w:val="00731155"/>
    <w:rsid w:val="00731E6E"/>
    <w:rsid w:val="0073201F"/>
    <w:rsid w:val="007324D5"/>
    <w:rsid w:val="00732835"/>
    <w:rsid w:val="007329D9"/>
    <w:rsid w:val="00732B0B"/>
    <w:rsid w:val="00732F33"/>
    <w:rsid w:val="00733183"/>
    <w:rsid w:val="00733519"/>
    <w:rsid w:val="00734D75"/>
    <w:rsid w:val="00734F24"/>
    <w:rsid w:val="00735749"/>
    <w:rsid w:val="00735B74"/>
    <w:rsid w:val="007363BA"/>
    <w:rsid w:val="007363BC"/>
    <w:rsid w:val="00736D08"/>
    <w:rsid w:val="00736E07"/>
    <w:rsid w:val="007371C0"/>
    <w:rsid w:val="00737614"/>
    <w:rsid w:val="00737862"/>
    <w:rsid w:val="00737968"/>
    <w:rsid w:val="00740112"/>
    <w:rsid w:val="00740688"/>
    <w:rsid w:val="007410A2"/>
    <w:rsid w:val="00741826"/>
    <w:rsid w:val="00741906"/>
    <w:rsid w:val="00742DAB"/>
    <w:rsid w:val="00742DC9"/>
    <w:rsid w:val="00742DE0"/>
    <w:rsid w:val="00743B3A"/>
    <w:rsid w:val="00743C8B"/>
    <w:rsid w:val="007448C0"/>
    <w:rsid w:val="00744D34"/>
    <w:rsid w:val="00745DC7"/>
    <w:rsid w:val="007462A3"/>
    <w:rsid w:val="0075096C"/>
    <w:rsid w:val="00750A50"/>
    <w:rsid w:val="00750AB9"/>
    <w:rsid w:val="0075119B"/>
    <w:rsid w:val="00751375"/>
    <w:rsid w:val="00752042"/>
    <w:rsid w:val="00752331"/>
    <w:rsid w:val="00752736"/>
    <w:rsid w:val="00752B05"/>
    <w:rsid w:val="0075308B"/>
    <w:rsid w:val="00753F3E"/>
    <w:rsid w:val="0075455C"/>
    <w:rsid w:val="007546EE"/>
    <w:rsid w:val="007548B2"/>
    <w:rsid w:val="007568AA"/>
    <w:rsid w:val="00756B3F"/>
    <w:rsid w:val="00756E9E"/>
    <w:rsid w:val="00757529"/>
    <w:rsid w:val="00757BDA"/>
    <w:rsid w:val="00760124"/>
    <w:rsid w:val="007616A5"/>
    <w:rsid w:val="00761781"/>
    <w:rsid w:val="00762159"/>
    <w:rsid w:val="007621E5"/>
    <w:rsid w:val="00762D4B"/>
    <w:rsid w:val="00763588"/>
    <w:rsid w:val="007641DC"/>
    <w:rsid w:val="007650FC"/>
    <w:rsid w:val="0076516C"/>
    <w:rsid w:val="007653B7"/>
    <w:rsid w:val="007654AF"/>
    <w:rsid w:val="0076583D"/>
    <w:rsid w:val="00765B31"/>
    <w:rsid w:val="00765D88"/>
    <w:rsid w:val="00765F3C"/>
    <w:rsid w:val="00766000"/>
    <w:rsid w:val="007660AE"/>
    <w:rsid w:val="00766767"/>
    <w:rsid w:val="00766E0F"/>
    <w:rsid w:val="0076724B"/>
    <w:rsid w:val="00767BB8"/>
    <w:rsid w:val="00767DFD"/>
    <w:rsid w:val="00767F70"/>
    <w:rsid w:val="00770302"/>
    <w:rsid w:val="007707A4"/>
    <w:rsid w:val="00770865"/>
    <w:rsid w:val="00770CF1"/>
    <w:rsid w:val="00770EC3"/>
    <w:rsid w:val="007710BF"/>
    <w:rsid w:val="00771258"/>
    <w:rsid w:val="0077152E"/>
    <w:rsid w:val="00771E2F"/>
    <w:rsid w:val="00772239"/>
    <w:rsid w:val="007722CD"/>
    <w:rsid w:val="00772871"/>
    <w:rsid w:val="00774134"/>
    <w:rsid w:val="007746CF"/>
    <w:rsid w:val="00775344"/>
    <w:rsid w:val="00775965"/>
    <w:rsid w:val="007759A8"/>
    <w:rsid w:val="00775D65"/>
    <w:rsid w:val="00777122"/>
    <w:rsid w:val="0077728E"/>
    <w:rsid w:val="007773D6"/>
    <w:rsid w:val="0077750A"/>
    <w:rsid w:val="00777D2F"/>
    <w:rsid w:val="0078013F"/>
    <w:rsid w:val="007807CF"/>
    <w:rsid w:val="00780C0E"/>
    <w:rsid w:val="00780DC0"/>
    <w:rsid w:val="00780EDB"/>
    <w:rsid w:val="007813DC"/>
    <w:rsid w:val="00781674"/>
    <w:rsid w:val="007816EA"/>
    <w:rsid w:val="00782B8D"/>
    <w:rsid w:val="00782D75"/>
    <w:rsid w:val="007830B9"/>
    <w:rsid w:val="00783799"/>
    <w:rsid w:val="00783ACC"/>
    <w:rsid w:val="00783E0B"/>
    <w:rsid w:val="00784B36"/>
    <w:rsid w:val="00784B47"/>
    <w:rsid w:val="00784C82"/>
    <w:rsid w:val="00784D5B"/>
    <w:rsid w:val="00784E96"/>
    <w:rsid w:val="00784FE9"/>
    <w:rsid w:val="0078510D"/>
    <w:rsid w:val="00786719"/>
    <w:rsid w:val="0078682F"/>
    <w:rsid w:val="00786848"/>
    <w:rsid w:val="0078699E"/>
    <w:rsid w:val="00787290"/>
    <w:rsid w:val="007875D3"/>
    <w:rsid w:val="00787FA1"/>
    <w:rsid w:val="007901D4"/>
    <w:rsid w:val="0079063C"/>
    <w:rsid w:val="0079088E"/>
    <w:rsid w:val="007925A2"/>
    <w:rsid w:val="00792610"/>
    <w:rsid w:val="007926C9"/>
    <w:rsid w:val="00792ED3"/>
    <w:rsid w:val="0079309A"/>
    <w:rsid w:val="007936C7"/>
    <w:rsid w:val="00793CD4"/>
    <w:rsid w:val="00793D50"/>
    <w:rsid w:val="00793E3D"/>
    <w:rsid w:val="0079422E"/>
    <w:rsid w:val="00794760"/>
    <w:rsid w:val="00794BED"/>
    <w:rsid w:val="00794FA9"/>
    <w:rsid w:val="00795614"/>
    <w:rsid w:val="00795957"/>
    <w:rsid w:val="00795A3F"/>
    <w:rsid w:val="00796315"/>
    <w:rsid w:val="0079783B"/>
    <w:rsid w:val="007A03E5"/>
    <w:rsid w:val="007A05E1"/>
    <w:rsid w:val="007A0920"/>
    <w:rsid w:val="007A0966"/>
    <w:rsid w:val="007A0FC7"/>
    <w:rsid w:val="007A1377"/>
    <w:rsid w:val="007A1961"/>
    <w:rsid w:val="007A1D1D"/>
    <w:rsid w:val="007A2B80"/>
    <w:rsid w:val="007A2F84"/>
    <w:rsid w:val="007A3603"/>
    <w:rsid w:val="007A3C78"/>
    <w:rsid w:val="007A46DE"/>
    <w:rsid w:val="007A48B7"/>
    <w:rsid w:val="007A4BBE"/>
    <w:rsid w:val="007A4C3F"/>
    <w:rsid w:val="007A4E9F"/>
    <w:rsid w:val="007A5242"/>
    <w:rsid w:val="007A5345"/>
    <w:rsid w:val="007A545D"/>
    <w:rsid w:val="007A5ADF"/>
    <w:rsid w:val="007A5D0C"/>
    <w:rsid w:val="007A7C67"/>
    <w:rsid w:val="007A7C92"/>
    <w:rsid w:val="007A7CB2"/>
    <w:rsid w:val="007B01B2"/>
    <w:rsid w:val="007B01F4"/>
    <w:rsid w:val="007B0574"/>
    <w:rsid w:val="007B0A60"/>
    <w:rsid w:val="007B0CE8"/>
    <w:rsid w:val="007B1153"/>
    <w:rsid w:val="007B1978"/>
    <w:rsid w:val="007B22A6"/>
    <w:rsid w:val="007B26B6"/>
    <w:rsid w:val="007B2BCA"/>
    <w:rsid w:val="007B2C38"/>
    <w:rsid w:val="007B3559"/>
    <w:rsid w:val="007B358D"/>
    <w:rsid w:val="007B3D43"/>
    <w:rsid w:val="007B40DE"/>
    <w:rsid w:val="007B42D0"/>
    <w:rsid w:val="007B45CA"/>
    <w:rsid w:val="007B466A"/>
    <w:rsid w:val="007B4E54"/>
    <w:rsid w:val="007B51C0"/>
    <w:rsid w:val="007B56BC"/>
    <w:rsid w:val="007B61A0"/>
    <w:rsid w:val="007B6DCD"/>
    <w:rsid w:val="007B6FEC"/>
    <w:rsid w:val="007B74CE"/>
    <w:rsid w:val="007B7BDC"/>
    <w:rsid w:val="007C05C0"/>
    <w:rsid w:val="007C0E65"/>
    <w:rsid w:val="007C1608"/>
    <w:rsid w:val="007C1B55"/>
    <w:rsid w:val="007C1C1B"/>
    <w:rsid w:val="007C2608"/>
    <w:rsid w:val="007C2C57"/>
    <w:rsid w:val="007C3192"/>
    <w:rsid w:val="007C3515"/>
    <w:rsid w:val="007C3CAB"/>
    <w:rsid w:val="007C3E14"/>
    <w:rsid w:val="007C3E7D"/>
    <w:rsid w:val="007C512F"/>
    <w:rsid w:val="007C5BB0"/>
    <w:rsid w:val="007C5F57"/>
    <w:rsid w:val="007C608D"/>
    <w:rsid w:val="007C6644"/>
    <w:rsid w:val="007C675D"/>
    <w:rsid w:val="007C6857"/>
    <w:rsid w:val="007C6B30"/>
    <w:rsid w:val="007D021D"/>
    <w:rsid w:val="007D046C"/>
    <w:rsid w:val="007D053D"/>
    <w:rsid w:val="007D1194"/>
    <w:rsid w:val="007D1940"/>
    <w:rsid w:val="007D21BC"/>
    <w:rsid w:val="007D33B3"/>
    <w:rsid w:val="007D3952"/>
    <w:rsid w:val="007D3C43"/>
    <w:rsid w:val="007D4139"/>
    <w:rsid w:val="007D4297"/>
    <w:rsid w:val="007D443A"/>
    <w:rsid w:val="007D447A"/>
    <w:rsid w:val="007D5CD8"/>
    <w:rsid w:val="007D5ECB"/>
    <w:rsid w:val="007D6363"/>
    <w:rsid w:val="007D68DA"/>
    <w:rsid w:val="007D6FE5"/>
    <w:rsid w:val="007D7349"/>
    <w:rsid w:val="007D7AA8"/>
    <w:rsid w:val="007E0D14"/>
    <w:rsid w:val="007E2052"/>
    <w:rsid w:val="007E20C2"/>
    <w:rsid w:val="007E247A"/>
    <w:rsid w:val="007E2734"/>
    <w:rsid w:val="007E27CC"/>
    <w:rsid w:val="007E2A5D"/>
    <w:rsid w:val="007E2C25"/>
    <w:rsid w:val="007E3142"/>
    <w:rsid w:val="007E316D"/>
    <w:rsid w:val="007E37FA"/>
    <w:rsid w:val="007E3957"/>
    <w:rsid w:val="007E447A"/>
    <w:rsid w:val="007E4BDA"/>
    <w:rsid w:val="007E5157"/>
    <w:rsid w:val="007E51A9"/>
    <w:rsid w:val="007E5CD5"/>
    <w:rsid w:val="007E5E09"/>
    <w:rsid w:val="007E68D8"/>
    <w:rsid w:val="007E6DD6"/>
    <w:rsid w:val="007E6FBA"/>
    <w:rsid w:val="007E70F9"/>
    <w:rsid w:val="007E7652"/>
    <w:rsid w:val="007E76B8"/>
    <w:rsid w:val="007E78E5"/>
    <w:rsid w:val="007F0680"/>
    <w:rsid w:val="007F06DE"/>
    <w:rsid w:val="007F082B"/>
    <w:rsid w:val="007F0876"/>
    <w:rsid w:val="007F0B90"/>
    <w:rsid w:val="007F0E46"/>
    <w:rsid w:val="007F0EE3"/>
    <w:rsid w:val="007F18FE"/>
    <w:rsid w:val="007F19E2"/>
    <w:rsid w:val="007F1FDF"/>
    <w:rsid w:val="007F2684"/>
    <w:rsid w:val="007F2DFF"/>
    <w:rsid w:val="007F2FC5"/>
    <w:rsid w:val="007F3027"/>
    <w:rsid w:val="007F304C"/>
    <w:rsid w:val="007F31D0"/>
    <w:rsid w:val="007F34C8"/>
    <w:rsid w:val="007F34CB"/>
    <w:rsid w:val="007F360C"/>
    <w:rsid w:val="007F381A"/>
    <w:rsid w:val="007F3A39"/>
    <w:rsid w:val="007F3DF2"/>
    <w:rsid w:val="007F45A7"/>
    <w:rsid w:val="007F4A56"/>
    <w:rsid w:val="007F4E83"/>
    <w:rsid w:val="007F4EE0"/>
    <w:rsid w:val="007F4FB0"/>
    <w:rsid w:val="007F5895"/>
    <w:rsid w:val="007F6198"/>
    <w:rsid w:val="007F6238"/>
    <w:rsid w:val="007F70CE"/>
    <w:rsid w:val="007F74CD"/>
    <w:rsid w:val="007F7513"/>
    <w:rsid w:val="007F76F4"/>
    <w:rsid w:val="00800C1C"/>
    <w:rsid w:val="0080113E"/>
    <w:rsid w:val="00801A55"/>
    <w:rsid w:val="00801A56"/>
    <w:rsid w:val="00801D8B"/>
    <w:rsid w:val="00801DEC"/>
    <w:rsid w:val="00801EA6"/>
    <w:rsid w:val="0080256D"/>
    <w:rsid w:val="00802DA7"/>
    <w:rsid w:val="00802E9A"/>
    <w:rsid w:val="008030EE"/>
    <w:rsid w:val="00803190"/>
    <w:rsid w:val="008031D2"/>
    <w:rsid w:val="00803679"/>
    <w:rsid w:val="00803B4C"/>
    <w:rsid w:val="00803B6E"/>
    <w:rsid w:val="00803FFA"/>
    <w:rsid w:val="008041E6"/>
    <w:rsid w:val="00805001"/>
    <w:rsid w:val="008053C9"/>
    <w:rsid w:val="00805D08"/>
    <w:rsid w:val="00805DE4"/>
    <w:rsid w:val="008065EB"/>
    <w:rsid w:val="00806A86"/>
    <w:rsid w:val="00806F8D"/>
    <w:rsid w:val="00807349"/>
    <w:rsid w:val="00807A54"/>
    <w:rsid w:val="008102E9"/>
    <w:rsid w:val="00810B1C"/>
    <w:rsid w:val="0081185B"/>
    <w:rsid w:val="00811A36"/>
    <w:rsid w:val="00811B0D"/>
    <w:rsid w:val="00811F13"/>
    <w:rsid w:val="0081203A"/>
    <w:rsid w:val="008124AE"/>
    <w:rsid w:val="008128E9"/>
    <w:rsid w:val="008139D6"/>
    <w:rsid w:val="00814443"/>
    <w:rsid w:val="00814520"/>
    <w:rsid w:val="00815A5E"/>
    <w:rsid w:val="00816618"/>
    <w:rsid w:val="0081671B"/>
    <w:rsid w:val="0081673B"/>
    <w:rsid w:val="00816861"/>
    <w:rsid w:val="00816D33"/>
    <w:rsid w:val="00816D8D"/>
    <w:rsid w:val="00817323"/>
    <w:rsid w:val="0081765C"/>
    <w:rsid w:val="00817B42"/>
    <w:rsid w:val="00817CA5"/>
    <w:rsid w:val="00820381"/>
    <w:rsid w:val="008205B0"/>
    <w:rsid w:val="008222AF"/>
    <w:rsid w:val="0082234A"/>
    <w:rsid w:val="00822885"/>
    <w:rsid w:val="008237C0"/>
    <w:rsid w:val="00823867"/>
    <w:rsid w:val="0082501E"/>
    <w:rsid w:val="0082550D"/>
    <w:rsid w:val="00825778"/>
    <w:rsid w:val="00825FAF"/>
    <w:rsid w:val="00826065"/>
    <w:rsid w:val="00826FCD"/>
    <w:rsid w:val="00827697"/>
    <w:rsid w:val="00827863"/>
    <w:rsid w:val="00830653"/>
    <w:rsid w:val="00830A69"/>
    <w:rsid w:val="008318B5"/>
    <w:rsid w:val="00831FE8"/>
    <w:rsid w:val="00832131"/>
    <w:rsid w:val="0083261F"/>
    <w:rsid w:val="00832B50"/>
    <w:rsid w:val="00833633"/>
    <w:rsid w:val="00834222"/>
    <w:rsid w:val="00834553"/>
    <w:rsid w:val="00834D38"/>
    <w:rsid w:val="00835353"/>
    <w:rsid w:val="00836193"/>
    <w:rsid w:val="0083626E"/>
    <w:rsid w:val="0083662D"/>
    <w:rsid w:val="008370D3"/>
    <w:rsid w:val="00837F62"/>
    <w:rsid w:val="0084028B"/>
    <w:rsid w:val="008406AD"/>
    <w:rsid w:val="00840CEE"/>
    <w:rsid w:val="00840FD4"/>
    <w:rsid w:val="008418FD"/>
    <w:rsid w:val="0084341D"/>
    <w:rsid w:val="00843605"/>
    <w:rsid w:val="00843B3C"/>
    <w:rsid w:val="008447B3"/>
    <w:rsid w:val="00844A24"/>
    <w:rsid w:val="00844A83"/>
    <w:rsid w:val="00844BCD"/>
    <w:rsid w:val="00845484"/>
    <w:rsid w:val="0084563E"/>
    <w:rsid w:val="00845895"/>
    <w:rsid w:val="00845C0C"/>
    <w:rsid w:val="00845FEE"/>
    <w:rsid w:val="00846042"/>
    <w:rsid w:val="008460C2"/>
    <w:rsid w:val="008465FF"/>
    <w:rsid w:val="00846CA9"/>
    <w:rsid w:val="00846ED4"/>
    <w:rsid w:val="00847139"/>
    <w:rsid w:val="00847AEC"/>
    <w:rsid w:val="0085037D"/>
    <w:rsid w:val="0085062D"/>
    <w:rsid w:val="00850DA1"/>
    <w:rsid w:val="00852E8C"/>
    <w:rsid w:val="008530C9"/>
    <w:rsid w:val="00853256"/>
    <w:rsid w:val="0085338B"/>
    <w:rsid w:val="008534F6"/>
    <w:rsid w:val="0085354C"/>
    <w:rsid w:val="00853B3A"/>
    <w:rsid w:val="00853C40"/>
    <w:rsid w:val="00853F78"/>
    <w:rsid w:val="00854E36"/>
    <w:rsid w:val="008554BA"/>
    <w:rsid w:val="008557CB"/>
    <w:rsid w:val="00855846"/>
    <w:rsid w:val="0085652F"/>
    <w:rsid w:val="008566E1"/>
    <w:rsid w:val="008569E1"/>
    <w:rsid w:val="00856A56"/>
    <w:rsid w:val="00856C3C"/>
    <w:rsid w:val="008573F7"/>
    <w:rsid w:val="00860629"/>
    <w:rsid w:val="008608C3"/>
    <w:rsid w:val="008609C7"/>
    <w:rsid w:val="00860CF6"/>
    <w:rsid w:val="00860FAA"/>
    <w:rsid w:val="0086132C"/>
    <w:rsid w:val="00861F6A"/>
    <w:rsid w:val="00862505"/>
    <w:rsid w:val="00862511"/>
    <w:rsid w:val="008625C3"/>
    <w:rsid w:val="008629C9"/>
    <w:rsid w:val="00862B44"/>
    <w:rsid w:val="008632C1"/>
    <w:rsid w:val="00863DDB"/>
    <w:rsid w:val="00863E1E"/>
    <w:rsid w:val="00864080"/>
    <w:rsid w:val="00864124"/>
    <w:rsid w:val="00864494"/>
    <w:rsid w:val="00864778"/>
    <w:rsid w:val="008649F6"/>
    <w:rsid w:val="00864A2F"/>
    <w:rsid w:val="00864AA2"/>
    <w:rsid w:val="00864AFA"/>
    <w:rsid w:val="008656FB"/>
    <w:rsid w:val="008659A9"/>
    <w:rsid w:val="00865AAF"/>
    <w:rsid w:val="00866562"/>
    <w:rsid w:val="0086673A"/>
    <w:rsid w:val="00866B8F"/>
    <w:rsid w:val="00866BE8"/>
    <w:rsid w:val="00867D19"/>
    <w:rsid w:val="00867F67"/>
    <w:rsid w:val="0087085F"/>
    <w:rsid w:val="00871101"/>
    <w:rsid w:val="0087164C"/>
    <w:rsid w:val="0087199E"/>
    <w:rsid w:val="00872113"/>
    <w:rsid w:val="00873358"/>
    <w:rsid w:val="00873635"/>
    <w:rsid w:val="00873777"/>
    <w:rsid w:val="00874902"/>
    <w:rsid w:val="00874A22"/>
    <w:rsid w:val="00874B44"/>
    <w:rsid w:val="00874E88"/>
    <w:rsid w:val="00874F9E"/>
    <w:rsid w:val="00875912"/>
    <w:rsid w:val="00875C9D"/>
    <w:rsid w:val="00875D09"/>
    <w:rsid w:val="008761C5"/>
    <w:rsid w:val="00876204"/>
    <w:rsid w:val="008766FD"/>
    <w:rsid w:val="008768CC"/>
    <w:rsid w:val="00876945"/>
    <w:rsid w:val="00880075"/>
    <w:rsid w:val="00880290"/>
    <w:rsid w:val="00880591"/>
    <w:rsid w:val="00880644"/>
    <w:rsid w:val="00881456"/>
    <w:rsid w:val="008819FA"/>
    <w:rsid w:val="00881D45"/>
    <w:rsid w:val="0088252C"/>
    <w:rsid w:val="0088269E"/>
    <w:rsid w:val="00882C9D"/>
    <w:rsid w:val="0088304A"/>
    <w:rsid w:val="008836DA"/>
    <w:rsid w:val="00883A42"/>
    <w:rsid w:val="0088427B"/>
    <w:rsid w:val="008844B6"/>
    <w:rsid w:val="00884A18"/>
    <w:rsid w:val="00884D8A"/>
    <w:rsid w:val="008850A0"/>
    <w:rsid w:val="008850F6"/>
    <w:rsid w:val="00885496"/>
    <w:rsid w:val="008857CB"/>
    <w:rsid w:val="00885A80"/>
    <w:rsid w:val="00885CF0"/>
    <w:rsid w:val="008860AE"/>
    <w:rsid w:val="008860B9"/>
    <w:rsid w:val="0088641D"/>
    <w:rsid w:val="0088686A"/>
    <w:rsid w:val="00886D44"/>
    <w:rsid w:val="008870F3"/>
    <w:rsid w:val="0088764B"/>
    <w:rsid w:val="00887DE1"/>
    <w:rsid w:val="00890387"/>
    <w:rsid w:val="00890422"/>
    <w:rsid w:val="008909E2"/>
    <w:rsid w:val="00890BFB"/>
    <w:rsid w:val="00891624"/>
    <w:rsid w:val="00891B88"/>
    <w:rsid w:val="00892C4A"/>
    <w:rsid w:val="00892D73"/>
    <w:rsid w:val="00892EA1"/>
    <w:rsid w:val="00892F24"/>
    <w:rsid w:val="0089322B"/>
    <w:rsid w:val="0089368A"/>
    <w:rsid w:val="00893AA0"/>
    <w:rsid w:val="00894022"/>
    <w:rsid w:val="0089442F"/>
    <w:rsid w:val="00894651"/>
    <w:rsid w:val="00895267"/>
    <w:rsid w:val="00896065"/>
    <w:rsid w:val="0089658E"/>
    <w:rsid w:val="00896764"/>
    <w:rsid w:val="00896824"/>
    <w:rsid w:val="00896A96"/>
    <w:rsid w:val="0089759C"/>
    <w:rsid w:val="00897C9F"/>
    <w:rsid w:val="008A04B1"/>
    <w:rsid w:val="008A053F"/>
    <w:rsid w:val="008A05A4"/>
    <w:rsid w:val="008A0DF3"/>
    <w:rsid w:val="008A10BC"/>
    <w:rsid w:val="008A2144"/>
    <w:rsid w:val="008A231C"/>
    <w:rsid w:val="008A2343"/>
    <w:rsid w:val="008A274D"/>
    <w:rsid w:val="008A2CE5"/>
    <w:rsid w:val="008A2E95"/>
    <w:rsid w:val="008A3703"/>
    <w:rsid w:val="008A3798"/>
    <w:rsid w:val="008A3B26"/>
    <w:rsid w:val="008A458F"/>
    <w:rsid w:val="008A48AD"/>
    <w:rsid w:val="008A49D5"/>
    <w:rsid w:val="008A4D31"/>
    <w:rsid w:val="008A5607"/>
    <w:rsid w:val="008A56F7"/>
    <w:rsid w:val="008A5732"/>
    <w:rsid w:val="008A6001"/>
    <w:rsid w:val="008A6510"/>
    <w:rsid w:val="008A6843"/>
    <w:rsid w:val="008A7858"/>
    <w:rsid w:val="008B0B96"/>
    <w:rsid w:val="008B0E55"/>
    <w:rsid w:val="008B13FE"/>
    <w:rsid w:val="008B1478"/>
    <w:rsid w:val="008B1EE0"/>
    <w:rsid w:val="008B2139"/>
    <w:rsid w:val="008B2255"/>
    <w:rsid w:val="008B2486"/>
    <w:rsid w:val="008B2626"/>
    <w:rsid w:val="008B262B"/>
    <w:rsid w:val="008B2F6C"/>
    <w:rsid w:val="008B3588"/>
    <w:rsid w:val="008B3972"/>
    <w:rsid w:val="008B3A4A"/>
    <w:rsid w:val="008B3AEA"/>
    <w:rsid w:val="008B3F99"/>
    <w:rsid w:val="008B467E"/>
    <w:rsid w:val="008B47BD"/>
    <w:rsid w:val="008B4D99"/>
    <w:rsid w:val="008B520A"/>
    <w:rsid w:val="008B5B35"/>
    <w:rsid w:val="008B5D77"/>
    <w:rsid w:val="008B64E2"/>
    <w:rsid w:val="008B6554"/>
    <w:rsid w:val="008B6C50"/>
    <w:rsid w:val="008B6F5C"/>
    <w:rsid w:val="008B722E"/>
    <w:rsid w:val="008B7ACF"/>
    <w:rsid w:val="008C00D8"/>
    <w:rsid w:val="008C0325"/>
    <w:rsid w:val="008C04E1"/>
    <w:rsid w:val="008C0904"/>
    <w:rsid w:val="008C09A9"/>
    <w:rsid w:val="008C0C8B"/>
    <w:rsid w:val="008C0CF7"/>
    <w:rsid w:val="008C1BC1"/>
    <w:rsid w:val="008C1E97"/>
    <w:rsid w:val="008C1EE8"/>
    <w:rsid w:val="008C2873"/>
    <w:rsid w:val="008C2B53"/>
    <w:rsid w:val="008C343D"/>
    <w:rsid w:val="008C477E"/>
    <w:rsid w:val="008C4A8A"/>
    <w:rsid w:val="008C4A93"/>
    <w:rsid w:val="008C4FEA"/>
    <w:rsid w:val="008C67AD"/>
    <w:rsid w:val="008C68AE"/>
    <w:rsid w:val="008C73BB"/>
    <w:rsid w:val="008D023B"/>
    <w:rsid w:val="008D0375"/>
    <w:rsid w:val="008D0ACC"/>
    <w:rsid w:val="008D0B94"/>
    <w:rsid w:val="008D0C64"/>
    <w:rsid w:val="008D120D"/>
    <w:rsid w:val="008D1B13"/>
    <w:rsid w:val="008D25BD"/>
    <w:rsid w:val="008D268D"/>
    <w:rsid w:val="008D2D0C"/>
    <w:rsid w:val="008D30A1"/>
    <w:rsid w:val="008D36C4"/>
    <w:rsid w:val="008D411C"/>
    <w:rsid w:val="008D431A"/>
    <w:rsid w:val="008D4C76"/>
    <w:rsid w:val="008D4FE1"/>
    <w:rsid w:val="008D5AB1"/>
    <w:rsid w:val="008D700E"/>
    <w:rsid w:val="008D787C"/>
    <w:rsid w:val="008D7F43"/>
    <w:rsid w:val="008E0965"/>
    <w:rsid w:val="008E1233"/>
    <w:rsid w:val="008E1EE2"/>
    <w:rsid w:val="008E24AC"/>
    <w:rsid w:val="008E2CB8"/>
    <w:rsid w:val="008E309A"/>
    <w:rsid w:val="008E3C58"/>
    <w:rsid w:val="008E440A"/>
    <w:rsid w:val="008E5081"/>
    <w:rsid w:val="008E550D"/>
    <w:rsid w:val="008E6B59"/>
    <w:rsid w:val="008E7058"/>
    <w:rsid w:val="008E7219"/>
    <w:rsid w:val="008E77C2"/>
    <w:rsid w:val="008E7897"/>
    <w:rsid w:val="008E7CB5"/>
    <w:rsid w:val="008E7E78"/>
    <w:rsid w:val="008F0135"/>
    <w:rsid w:val="008F01C2"/>
    <w:rsid w:val="008F0681"/>
    <w:rsid w:val="008F0726"/>
    <w:rsid w:val="008F0B1F"/>
    <w:rsid w:val="008F10FE"/>
    <w:rsid w:val="008F1206"/>
    <w:rsid w:val="008F126D"/>
    <w:rsid w:val="008F2247"/>
    <w:rsid w:val="008F248C"/>
    <w:rsid w:val="008F3400"/>
    <w:rsid w:val="008F35AA"/>
    <w:rsid w:val="008F4F36"/>
    <w:rsid w:val="008F5F89"/>
    <w:rsid w:val="008F62CF"/>
    <w:rsid w:val="008F6915"/>
    <w:rsid w:val="008F6B12"/>
    <w:rsid w:val="008F7293"/>
    <w:rsid w:val="008F7360"/>
    <w:rsid w:val="0090015A"/>
    <w:rsid w:val="00900401"/>
    <w:rsid w:val="00900A9B"/>
    <w:rsid w:val="0090185B"/>
    <w:rsid w:val="00901B9B"/>
    <w:rsid w:val="00901C57"/>
    <w:rsid w:val="00901D36"/>
    <w:rsid w:val="00901D95"/>
    <w:rsid w:val="00902231"/>
    <w:rsid w:val="00902692"/>
    <w:rsid w:val="00902F34"/>
    <w:rsid w:val="00903624"/>
    <w:rsid w:val="00903D02"/>
    <w:rsid w:val="00904468"/>
    <w:rsid w:val="00904500"/>
    <w:rsid w:val="009059CE"/>
    <w:rsid w:val="00905D02"/>
    <w:rsid w:val="0090627F"/>
    <w:rsid w:val="00906752"/>
    <w:rsid w:val="00906CF1"/>
    <w:rsid w:val="00907025"/>
    <w:rsid w:val="00907157"/>
    <w:rsid w:val="0090781D"/>
    <w:rsid w:val="0090786F"/>
    <w:rsid w:val="00907974"/>
    <w:rsid w:val="009102D9"/>
    <w:rsid w:val="009108A7"/>
    <w:rsid w:val="00910DE6"/>
    <w:rsid w:val="00911ECE"/>
    <w:rsid w:val="00912939"/>
    <w:rsid w:val="0091293C"/>
    <w:rsid w:val="00913506"/>
    <w:rsid w:val="009136DA"/>
    <w:rsid w:val="009138C4"/>
    <w:rsid w:val="00913BF4"/>
    <w:rsid w:val="00914354"/>
    <w:rsid w:val="009143E9"/>
    <w:rsid w:val="00914CF3"/>
    <w:rsid w:val="00915074"/>
    <w:rsid w:val="0091609D"/>
    <w:rsid w:val="0091621D"/>
    <w:rsid w:val="009162FA"/>
    <w:rsid w:val="00916A38"/>
    <w:rsid w:val="00916C28"/>
    <w:rsid w:val="009174FB"/>
    <w:rsid w:val="00917DCC"/>
    <w:rsid w:val="00917FE0"/>
    <w:rsid w:val="00920B61"/>
    <w:rsid w:val="00920C35"/>
    <w:rsid w:val="00920E9C"/>
    <w:rsid w:val="00922022"/>
    <w:rsid w:val="00923BE1"/>
    <w:rsid w:val="00924784"/>
    <w:rsid w:val="00924906"/>
    <w:rsid w:val="00924CEB"/>
    <w:rsid w:val="00924E6B"/>
    <w:rsid w:val="0092637C"/>
    <w:rsid w:val="00926BC5"/>
    <w:rsid w:val="009273A9"/>
    <w:rsid w:val="009273FC"/>
    <w:rsid w:val="0092778E"/>
    <w:rsid w:val="00927DD7"/>
    <w:rsid w:val="0093133F"/>
    <w:rsid w:val="00931393"/>
    <w:rsid w:val="00931DF6"/>
    <w:rsid w:val="00931EAC"/>
    <w:rsid w:val="009323FE"/>
    <w:rsid w:val="00932A2D"/>
    <w:rsid w:val="00932E4F"/>
    <w:rsid w:val="00933867"/>
    <w:rsid w:val="00933B22"/>
    <w:rsid w:val="00933F5F"/>
    <w:rsid w:val="0093459B"/>
    <w:rsid w:val="0093588F"/>
    <w:rsid w:val="0093596E"/>
    <w:rsid w:val="00935C34"/>
    <w:rsid w:val="00935D20"/>
    <w:rsid w:val="00935D9E"/>
    <w:rsid w:val="0093649F"/>
    <w:rsid w:val="00936A1E"/>
    <w:rsid w:val="00936E8F"/>
    <w:rsid w:val="00940669"/>
    <w:rsid w:val="0094077A"/>
    <w:rsid w:val="00940BC3"/>
    <w:rsid w:val="00940DA8"/>
    <w:rsid w:val="00940F40"/>
    <w:rsid w:val="009411D6"/>
    <w:rsid w:val="00941C76"/>
    <w:rsid w:val="00941D99"/>
    <w:rsid w:val="00941F42"/>
    <w:rsid w:val="009422B8"/>
    <w:rsid w:val="0094243C"/>
    <w:rsid w:val="00942841"/>
    <w:rsid w:val="00942947"/>
    <w:rsid w:val="009429C7"/>
    <w:rsid w:val="00942F8C"/>
    <w:rsid w:val="009430F1"/>
    <w:rsid w:val="00943791"/>
    <w:rsid w:val="00943976"/>
    <w:rsid w:val="009447B9"/>
    <w:rsid w:val="00944BFB"/>
    <w:rsid w:val="00945459"/>
    <w:rsid w:val="00945FB1"/>
    <w:rsid w:val="00946C69"/>
    <w:rsid w:val="00946F18"/>
    <w:rsid w:val="009472EF"/>
    <w:rsid w:val="00947E57"/>
    <w:rsid w:val="00950464"/>
    <w:rsid w:val="00950A28"/>
    <w:rsid w:val="00951960"/>
    <w:rsid w:val="009519D3"/>
    <w:rsid w:val="00951A9A"/>
    <w:rsid w:val="00951DD8"/>
    <w:rsid w:val="00952100"/>
    <w:rsid w:val="00952CAC"/>
    <w:rsid w:val="009531C7"/>
    <w:rsid w:val="00953A49"/>
    <w:rsid w:val="00953B18"/>
    <w:rsid w:val="00953E88"/>
    <w:rsid w:val="009542FC"/>
    <w:rsid w:val="009546E4"/>
    <w:rsid w:val="009549C7"/>
    <w:rsid w:val="00954C8A"/>
    <w:rsid w:val="00955144"/>
    <w:rsid w:val="00955652"/>
    <w:rsid w:val="00955C9F"/>
    <w:rsid w:val="009564CC"/>
    <w:rsid w:val="00956C2E"/>
    <w:rsid w:val="0095793C"/>
    <w:rsid w:val="00957A6A"/>
    <w:rsid w:val="00957B36"/>
    <w:rsid w:val="00960043"/>
    <w:rsid w:val="009601E8"/>
    <w:rsid w:val="009606B5"/>
    <w:rsid w:val="009610D9"/>
    <w:rsid w:val="00961299"/>
    <w:rsid w:val="00961A92"/>
    <w:rsid w:val="00962077"/>
    <w:rsid w:val="00962C95"/>
    <w:rsid w:val="00962E87"/>
    <w:rsid w:val="00962F22"/>
    <w:rsid w:val="009633ED"/>
    <w:rsid w:val="009638FB"/>
    <w:rsid w:val="009642F3"/>
    <w:rsid w:val="009648BC"/>
    <w:rsid w:val="00964B35"/>
    <w:rsid w:val="00964BDD"/>
    <w:rsid w:val="00964F28"/>
    <w:rsid w:val="00964FD9"/>
    <w:rsid w:val="009650D2"/>
    <w:rsid w:val="009658C8"/>
    <w:rsid w:val="00965D09"/>
    <w:rsid w:val="00966566"/>
    <w:rsid w:val="0096746D"/>
    <w:rsid w:val="009704B7"/>
    <w:rsid w:val="0097098C"/>
    <w:rsid w:val="00970CBF"/>
    <w:rsid w:val="0097159A"/>
    <w:rsid w:val="009718E0"/>
    <w:rsid w:val="009719A0"/>
    <w:rsid w:val="00971F03"/>
    <w:rsid w:val="009731C5"/>
    <w:rsid w:val="00973515"/>
    <w:rsid w:val="00973545"/>
    <w:rsid w:val="009736B4"/>
    <w:rsid w:val="009737FE"/>
    <w:rsid w:val="009738FF"/>
    <w:rsid w:val="00973CCC"/>
    <w:rsid w:val="00973E57"/>
    <w:rsid w:val="009745AC"/>
    <w:rsid w:val="00974ACB"/>
    <w:rsid w:val="009759A5"/>
    <w:rsid w:val="00975B67"/>
    <w:rsid w:val="00975CA7"/>
    <w:rsid w:val="00975F95"/>
    <w:rsid w:val="00976C1F"/>
    <w:rsid w:val="00977604"/>
    <w:rsid w:val="00977830"/>
    <w:rsid w:val="00977A15"/>
    <w:rsid w:val="00977ABE"/>
    <w:rsid w:val="00977AC4"/>
    <w:rsid w:val="009802B6"/>
    <w:rsid w:val="00980F06"/>
    <w:rsid w:val="00980F6B"/>
    <w:rsid w:val="009819EF"/>
    <w:rsid w:val="00982AF9"/>
    <w:rsid w:val="00982DBE"/>
    <w:rsid w:val="00983269"/>
    <w:rsid w:val="009832EE"/>
    <w:rsid w:val="00983655"/>
    <w:rsid w:val="00983C51"/>
    <w:rsid w:val="00984349"/>
    <w:rsid w:val="00984554"/>
    <w:rsid w:val="00984AA6"/>
    <w:rsid w:val="009858AF"/>
    <w:rsid w:val="0098658A"/>
    <w:rsid w:val="00986794"/>
    <w:rsid w:val="00986D59"/>
    <w:rsid w:val="00986E68"/>
    <w:rsid w:val="00986EDF"/>
    <w:rsid w:val="009871C7"/>
    <w:rsid w:val="00987700"/>
    <w:rsid w:val="00987A28"/>
    <w:rsid w:val="00987A55"/>
    <w:rsid w:val="00987D12"/>
    <w:rsid w:val="00990844"/>
    <w:rsid w:val="00990C32"/>
    <w:rsid w:val="00991BDC"/>
    <w:rsid w:val="00991E7C"/>
    <w:rsid w:val="00992091"/>
    <w:rsid w:val="009921E0"/>
    <w:rsid w:val="009929E5"/>
    <w:rsid w:val="00992BB6"/>
    <w:rsid w:val="00993F5F"/>
    <w:rsid w:val="00994020"/>
    <w:rsid w:val="0099497A"/>
    <w:rsid w:val="009949B5"/>
    <w:rsid w:val="00994A2A"/>
    <w:rsid w:val="00994FEF"/>
    <w:rsid w:val="00995349"/>
    <w:rsid w:val="00995771"/>
    <w:rsid w:val="00995C8E"/>
    <w:rsid w:val="00997D6A"/>
    <w:rsid w:val="009A1064"/>
    <w:rsid w:val="009A1C1E"/>
    <w:rsid w:val="009A1EF4"/>
    <w:rsid w:val="009A2313"/>
    <w:rsid w:val="009A2AB1"/>
    <w:rsid w:val="009A2F66"/>
    <w:rsid w:val="009A33D2"/>
    <w:rsid w:val="009A3E56"/>
    <w:rsid w:val="009A481D"/>
    <w:rsid w:val="009A4A78"/>
    <w:rsid w:val="009A4B3A"/>
    <w:rsid w:val="009A4C88"/>
    <w:rsid w:val="009A4F67"/>
    <w:rsid w:val="009A50B6"/>
    <w:rsid w:val="009A5239"/>
    <w:rsid w:val="009A5459"/>
    <w:rsid w:val="009A5A94"/>
    <w:rsid w:val="009A609C"/>
    <w:rsid w:val="009A637A"/>
    <w:rsid w:val="009A69DC"/>
    <w:rsid w:val="009A7300"/>
    <w:rsid w:val="009A77FD"/>
    <w:rsid w:val="009A79EA"/>
    <w:rsid w:val="009B054C"/>
    <w:rsid w:val="009B06B4"/>
    <w:rsid w:val="009B082D"/>
    <w:rsid w:val="009B0CCD"/>
    <w:rsid w:val="009B0D63"/>
    <w:rsid w:val="009B12D4"/>
    <w:rsid w:val="009B1E56"/>
    <w:rsid w:val="009B215F"/>
    <w:rsid w:val="009B24D4"/>
    <w:rsid w:val="009B3672"/>
    <w:rsid w:val="009B3836"/>
    <w:rsid w:val="009B3FFA"/>
    <w:rsid w:val="009B4C66"/>
    <w:rsid w:val="009B50DC"/>
    <w:rsid w:val="009B5A2E"/>
    <w:rsid w:val="009B5B90"/>
    <w:rsid w:val="009B675D"/>
    <w:rsid w:val="009B67F9"/>
    <w:rsid w:val="009B6F7F"/>
    <w:rsid w:val="009B73BC"/>
    <w:rsid w:val="009B7409"/>
    <w:rsid w:val="009B7921"/>
    <w:rsid w:val="009B7A12"/>
    <w:rsid w:val="009B7C06"/>
    <w:rsid w:val="009B7DED"/>
    <w:rsid w:val="009C09A9"/>
    <w:rsid w:val="009C09B8"/>
    <w:rsid w:val="009C15D3"/>
    <w:rsid w:val="009C17E9"/>
    <w:rsid w:val="009C196F"/>
    <w:rsid w:val="009C1F6C"/>
    <w:rsid w:val="009C244A"/>
    <w:rsid w:val="009C32AB"/>
    <w:rsid w:val="009C360F"/>
    <w:rsid w:val="009C3D2F"/>
    <w:rsid w:val="009C3EDC"/>
    <w:rsid w:val="009C5322"/>
    <w:rsid w:val="009C5547"/>
    <w:rsid w:val="009C55DA"/>
    <w:rsid w:val="009C5851"/>
    <w:rsid w:val="009C5935"/>
    <w:rsid w:val="009C5BB0"/>
    <w:rsid w:val="009C5EC9"/>
    <w:rsid w:val="009C6725"/>
    <w:rsid w:val="009C6CBC"/>
    <w:rsid w:val="009C6D07"/>
    <w:rsid w:val="009C7926"/>
    <w:rsid w:val="009C7E89"/>
    <w:rsid w:val="009D04A9"/>
    <w:rsid w:val="009D06D0"/>
    <w:rsid w:val="009D0890"/>
    <w:rsid w:val="009D0BDE"/>
    <w:rsid w:val="009D0C0D"/>
    <w:rsid w:val="009D0FF5"/>
    <w:rsid w:val="009D1D88"/>
    <w:rsid w:val="009D2041"/>
    <w:rsid w:val="009D214D"/>
    <w:rsid w:val="009D2339"/>
    <w:rsid w:val="009D2729"/>
    <w:rsid w:val="009D2E60"/>
    <w:rsid w:val="009D3CD9"/>
    <w:rsid w:val="009D4311"/>
    <w:rsid w:val="009D4317"/>
    <w:rsid w:val="009D4D15"/>
    <w:rsid w:val="009D4F29"/>
    <w:rsid w:val="009D4FE3"/>
    <w:rsid w:val="009D5EC3"/>
    <w:rsid w:val="009D5EED"/>
    <w:rsid w:val="009D5FA8"/>
    <w:rsid w:val="009D6056"/>
    <w:rsid w:val="009D605C"/>
    <w:rsid w:val="009D637D"/>
    <w:rsid w:val="009D661C"/>
    <w:rsid w:val="009D6925"/>
    <w:rsid w:val="009D73DC"/>
    <w:rsid w:val="009D76CF"/>
    <w:rsid w:val="009D7E01"/>
    <w:rsid w:val="009E0394"/>
    <w:rsid w:val="009E03FB"/>
    <w:rsid w:val="009E04C9"/>
    <w:rsid w:val="009E07A6"/>
    <w:rsid w:val="009E0AE9"/>
    <w:rsid w:val="009E1314"/>
    <w:rsid w:val="009E2241"/>
    <w:rsid w:val="009E2303"/>
    <w:rsid w:val="009E2411"/>
    <w:rsid w:val="009E2467"/>
    <w:rsid w:val="009E2DDE"/>
    <w:rsid w:val="009E4589"/>
    <w:rsid w:val="009E5F4D"/>
    <w:rsid w:val="009E62CF"/>
    <w:rsid w:val="009E6AEE"/>
    <w:rsid w:val="009E6EA5"/>
    <w:rsid w:val="009E702E"/>
    <w:rsid w:val="009E708C"/>
    <w:rsid w:val="009E7198"/>
    <w:rsid w:val="009E753F"/>
    <w:rsid w:val="009E75B4"/>
    <w:rsid w:val="009E75DE"/>
    <w:rsid w:val="009E7691"/>
    <w:rsid w:val="009E7A6D"/>
    <w:rsid w:val="009F0204"/>
    <w:rsid w:val="009F0C68"/>
    <w:rsid w:val="009F0D1F"/>
    <w:rsid w:val="009F0DE1"/>
    <w:rsid w:val="009F1CE6"/>
    <w:rsid w:val="009F1EAA"/>
    <w:rsid w:val="009F1FAA"/>
    <w:rsid w:val="009F2870"/>
    <w:rsid w:val="009F2E93"/>
    <w:rsid w:val="009F2F74"/>
    <w:rsid w:val="009F3278"/>
    <w:rsid w:val="009F35BA"/>
    <w:rsid w:val="009F37FB"/>
    <w:rsid w:val="009F3924"/>
    <w:rsid w:val="009F466E"/>
    <w:rsid w:val="009F48A0"/>
    <w:rsid w:val="009F595C"/>
    <w:rsid w:val="009F5AE5"/>
    <w:rsid w:val="009F6549"/>
    <w:rsid w:val="009F6DFC"/>
    <w:rsid w:val="009F7244"/>
    <w:rsid w:val="009F73DE"/>
    <w:rsid w:val="009F7809"/>
    <w:rsid w:val="009F79B7"/>
    <w:rsid w:val="009F7A15"/>
    <w:rsid w:val="009F7C1D"/>
    <w:rsid w:val="009F7E57"/>
    <w:rsid w:val="00A0065E"/>
    <w:rsid w:val="00A00D4C"/>
    <w:rsid w:val="00A00D7C"/>
    <w:rsid w:val="00A00DBE"/>
    <w:rsid w:val="00A00FCE"/>
    <w:rsid w:val="00A0136C"/>
    <w:rsid w:val="00A01409"/>
    <w:rsid w:val="00A019D9"/>
    <w:rsid w:val="00A01CE8"/>
    <w:rsid w:val="00A0264F"/>
    <w:rsid w:val="00A026C2"/>
    <w:rsid w:val="00A02914"/>
    <w:rsid w:val="00A02F2F"/>
    <w:rsid w:val="00A033E2"/>
    <w:rsid w:val="00A03680"/>
    <w:rsid w:val="00A0382A"/>
    <w:rsid w:val="00A03C6A"/>
    <w:rsid w:val="00A03FCA"/>
    <w:rsid w:val="00A043DF"/>
    <w:rsid w:val="00A04910"/>
    <w:rsid w:val="00A049B8"/>
    <w:rsid w:val="00A04F45"/>
    <w:rsid w:val="00A05FC9"/>
    <w:rsid w:val="00A0687E"/>
    <w:rsid w:val="00A0689E"/>
    <w:rsid w:val="00A06F90"/>
    <w:rsid w:val="00A06FE0"/>
    <w:rsid w:val="00A071C4"/>
    <w:rsid w:val="00A0745D"/>
    <w:rsid w:val="00A079B0"/>
    <w:rsid w:val="00A07A5A"/>
    <w:rsid w:val="00A07B9F"/>
    <w:rsid w:val="00A07CAD"/>
    <w:rsid w:val="00A07D6B"/>
    <w:rsid w:val="00A07FA1"/>
    <w:rsid w:val="00A10C3A"/>
    <w:rsid w:val="00A10D90"/>
    <w:rsid w:val="00A10E83"/>
    <w:rsid w:val="00A11403"/>
    <w:rsid w:val="00A115A5"/>
    <w:rsid w:val="00A116AF"/>
    <w:rsid w:val="00A119AF"/>
    <w:rsid w:val="00A1224B"/>
    <w:rsid w:val="00A12259"/>
    <w:rsid w:val="00A126A3"/>
    <w:rsid w:val="00A12851"/>
    <w:rsid w:val="00A12940"/>
    <w:rsid w:val="00A134AF"/>
    <w:rsid w:val="00A13723"/>
    <w:rsid w:val="00A138C3"/>
    <w:rsid w:val="00A13F01"/>
    <w:rsid w:val="00A15925"/>
    <w:rsid w:val="00A15E94"/>
    <w:rsid w:val="00A16449"/>
    <w:rsid w:val="00A16E1A"/>
    <w:rsid w:val="00A17BAB"/>
    <w:rsid w:val="00A20721"/>
    <w:rsid w:val="00A20DE6"/>
    <w:rsid w:val="00A21520"/>
    <w:rsid w:val="00A22B98"/>
    <w:rsid w:val="00A22EA9"/>
    <w:rsid w:val="00A23036"/>
    <w:rsid w:val="00A23176"/>
    <w:rsid w:val="00A237CF"/>
    <w:rsid w:val="00A238F6"/>
    <w:rsid w:val="00A23D07"/>
    <w:rsid w:val="00A2467C"/>
    <w:rsid w:val="00A24C6F"/>
    <w:rsid w:val="00A24CB5"/>
    <w:rsid w:val="00A24DB0"/>
    <w:rsid w:val="00A24E4A"/>
    <w:rsid w:val="00A25121"/>
    <w:rsid w:val="00A251EB"/>
    <w:rsid w:val="00A252BB"/>
    <w:rsid w:val="00A25F5C"/>
    <w:rsid w:val="00A2641C"/>
    <w:rsid w:val="00A27463"/>
    <w:rsid w:val="00A300B5"/>
    <w:rsid w:val="00A302CF"/>
    <w:rsid w:val="00A30876"/>
    <w:rsid w:val="00A30A21"/>
    <w:rsid w:val="00A30DB4"/>
    <w:rsid w:val="00A31129"/>
    <w:rsid w:val="00A3256C"/>
    <w:rsid w:val="00A32775"/>
    <w:rsid w:val="00A335DE"/>
    <w:rsid w:val="00A337B6"/>
    <w:rsid w:val="00A33DB4"/>
    <w:rsid w:val="00A346CF"/>
    <w:rsid w:val="00A34EB0"/>
    <w:rsid w:val="00A3522D"/>
    <w:rsid w:val="00A3578B"/>
    <w:rsid w:val="00A357CF"/>
    <w:rsid w:val="00A35B36"/>
    <w:rsid w:val="00A35BF6"/>
    <w:rsid w:val="00A35D5F"/>
    <w:rsid w:val="00A362DF"/>
    <w:rsid w:val="00A362FD"/>
    <w:rsid w:val="00A3649E"/>
    <w:rsid w:val="00A36847"/>
    <w:rsid w:val="00A36B65"/>
    <w:rsid w:val="00A36B8F"/>
    <w:rsid w:val="00A36D62"/>
    <w:rsid w:val="00A372AA"/>
    <w:rsid w:val="00A3736C"/>
    <w:rsid w:val="00A374C2"/>
    <w:rsid w:val="00A401C0"/>
    <w:rsid w:val="00A4097F"/>
    <w:rsid w:val="00A4151A"/>
    <w:rsid w:val="00A43126"/>
    <w:rsid w:val="00A438EB"/>
    <w:rsid w:val="00A43B3F"/>
    <w:rsid w:val="00A4413B"/>
    <w:rsid w:val="00A441A0"/>
    <w:rsid w:val="00A44ED8"/>
    <w:rsid w:val="00A45462"/>
    <w:rsid w:val="00A4555F"/>
    <w:rsid w:val="00A46013"/>
    <w:rsid w:val="00A46219"/>
    <w:rsid w:val="00A47B0B"/>
    <w:rsid w:val="00A517F2"/>
    <w:rsid w:val="00A520C2"/>
    <w:rsid w:val="00A5362B"/>
    <w:rsid w:val="00A53CCE"/>
    <w:rsid w:val="00A53E0B"/>
    <w:rsid w:val="00A5402C"/>
    <w:rsid w:val="00A544F0"/>
    <w:rsid w:val="00A549D5"/>
    <w:rsid w:val="00A553ED"/>
    <w:rsid w:val="00A5548E"/>
    <w:rsid w:val="00A55A2E"/>
    <w:rsid w:val="00A55DC6"/>
    <w:rsid w:val="00A56044"/>
    <w:rsid w:val="00A56074"/>
    <w:rsid w:val="00A567A4"/>
    <w:rsid w:val="00A56C59"/>
    <w:rsid w:val="00A56ECC"/>
    <w:rsid w:val="00A5739C"/>
    <w:rsid w:val="00A578D3"/>
    <w:rsid w:val="00A579DB"/>
    <w:rsid w:val="00A57F25"/>
    <w:rsid w:val="00A60E61"/>
    <w:rsid w:val="00A6132B"/>
    <w:rsid w:val="00A615EF"/>
    <w:rsid w:val="00A619C3"/>
    <w:rsid w:val="00A62506"/>
    <w:rsid w:val="00A625FF"/>
    <w:rsid w:val="00A6263F"/>
    <w:rsid w:val="00A62A18"/>
    <w:rsid w:val="00A636B7"/>
    <w:rsid w:val="00A6379C"/>
    <w:rsid w:val="00A63D53"/>
    <w:rsid w:val="00A63D84"/>
    <w:rsid w:val="00A63F66"/>
    <w:rsid w:val="00A64882"/>
    <w:rsid w:val="00A64A61"/>
    <w:rsid w:val="00A64A8F"/>
    <w:rsid w:val="00A64C7C"/>
    <w:rsid w:val="00A6525E"/>
    <w:rsid w:val="00A652A8"/>
    <w:rsid w:val="00A65960"/>
    <w:rsid w:val="00A65C17"/>
    <w:rsid w:val="00A6637D"/>
    <w:rsid w:val="00A66B15"/>
    <w:rsid w:val="00A66C54"/>
    <w:rsid w:val="00A66E54"/>
    <w:rsid w:val="00A67287"/>
    <w:rsid w:val="00A6730E"/>
    <w:rsid w:val="00A67A85"/>
    <w:rsid w:val="00A700B3"/>
    <w:rsid w:val="00A7021B"/>
    <w:rsid w:val="00A70236"/>
    <w:rsid w:val="00A702D3"/>
    <w:rsid w:val="00A705E6"/>
    <w:rsid w:val="00A70742"/>
    <w:rsid w:val="00A707F2"/>
    <w:rsid w:val="00A70915"/>
    <w:rsid w:val="00A71582"/>
    <w:rsid w:val="00A71685"/>
    <w:rsid w:val="00A71AB6"/>
    <w:rsid w:val="00A71CB6"/>
    <w:rsid w:val="00A71E28"/>
    <w:rsid w:val="00A721A9"/>
    <w:rsid w:val="00A736C4"/>
    <w:rsid w:val="00A743EA"/>
    <w:rsid w:val="00A744A1"/>
    <w:rsid w:val="00A747BF"/>
    <w:rsid w:val="00A748A5"/>
    <w:rsid w:val="00A74CAE"/>
    <w:rsid w:val="00A74E9D"/>
    <w:rsid w:val="00A753C4"/>
    <w:rsid w:val="00A760CA"/>
    <w:rsid w:val="00A7617E"/>
    <w:rsid w:val="00A76651"/>
    <w:rsid w:val="00A76722"/>
    <w:rsid w:val="00A76CBF"/>
    <w:rsid w:val="00A773CD"/>
    <w:rsid w:val="00A777BB"/>
    <w:rsid w:val="00A8049E"/>
    <w:rsid w:val="00A8070B"/>
    <w:rsid w:val="00A80A57"/>
    <w:rsid w:val="00A80C2D"/>
    <w:rsid w:val="00A81818"/>
    <w:rsid w:val="00A819FC"/>
    <w:rsid w:val="00A82126"/>
    <w:rsid w:val="00A82BF2"/>
    <w:rsid w:val="00A837BA"/>
    <w:rsid w:val="00A83960"/>
    <w:rsid w:val="00A8476C"/>
    <w:rsid w:val="00A849AE"/>
    <w:rsid w:val="00A84BDD"/>
    <w:rsid w:val="00A84C33"/>
    <w:rsid w:val="00A85078"/>
    <w:rsid w:val="00A85CAE"/>
    <w:rsid w:val="00A85CB6"/>
    <w:rsid w:val="00A85E9A"/>
    <w:rsid w:val="00A86585"/>
    <w:rsid w:val="00A86C6E"/>
    <w:rsid w:val="00A86D17"/>
    <w:rsid w:val="00A87324"/>
    <w:rsid w:val="00A90327"/>
    <w:rsid w:val="00A905DC"/>
    <w:rsid w:val="00A910A4"/>
    <w:rsid w:val="00A92467"/>
    <w:rsid w:val="00A9307F"/>
    <w:rsid w:val="00A931C0"/>
    <w:rsid w:val="00A9341A"/>
    <w:rsid w:val="00A93491"/>
    <w:rsid w:val="00A93F0F"/>
    <w:rsid w:val="00A942EE"/>
    <w:rsid w:val="00A94503"/>
    <w:rsid w:val="00A94CBD"/>
    <w:rsid w:val="00A94D9C"/>
    <w:rsid w:val="00A94DEB"/>
    <w:rsid w:val="00A95094"/>
    <w:rsid w:val="00A95316"/>
    <w:rsid w:val="00A95378"/>
    <w:rsid w:val="00A95968"/>
    <w:rsid w:val="00A96347"/>
    <w:rsid w:val="00A9641B"/>
    <w:rsid w:val="00A96FAA"/>
    <w:rsid w:val="00A9706E"/>
    <w:rsid w:val="00A9709B"/>
    <w:rsid w:val="00A97757"/>
    <w:rsid w:val="00AA028B"/>
    <w:rsid w:val="00AA053C"/>
    <w:rsid w:val="00AA187A"/>
    <w:rsid w:val="00AA1FFE"/>
    <w:rsid w:val="00AA22EF"/>
    <w:rsid w:val="00AA254E"/>
    <w:rsid w:val="00AA269C"/>
    <w:rsid w:val="00AA2D33"/>
    <w:rsid w:val="00AA2EAC"/>
    <w:rsid w:val="00AA3404"/>
    <w:rsid w:val="00AA35AD"/>
    <w:rsid w:val="00AA379A"/>
    <w:rsid w:val="00AA3E51"/>
    <w:rsid w:val="00AA3E87"/>
    <w:rsid w:val="00AA40BA"/>
    <w:rsid w:val="00AA480E"/>
    <w:rsid w:val="00AA48B4"/>
    <w:rsid w:val="00AA544C"/>
    <w:rsid w:val="00AA56CD"/>
    <w:rsid w:val="00AA6D95"/>
    <w:rsid w:val="00AA754B"/>
    <w:rsid w:val="00AA78F8"/>
    <w:rsid w:val="00AA7956"/>
    <w:rsid w:val="00AB000D"/>
    <w:rsid w:val="00AB0844"/>
    <w:rsid w:val="00AB0E30"/>
    <w:rsid w:val="00AB11F4"/>
    <w:rsid w:val="00AB1273"/>
    <w:rsid w:val="00AB168E"/>
    <w:rsid w:val="00AB22EA"/>
    <w:rsid w:val="00AB2CD3"/>
    <w:rsid w:val="00AB30C2"/>
    <w:rsid w:val="00AB3EF1"/>
    <w:rsid w:val="00AB3F09"/>
    <w:rsid w:val="00AB4086"/>
    <w:rsid w:val="00AB412F"/>
    <w:rsid w:val="00AB5341"/>
    <w:rsid w:val="00AB5679"/>
    <w:rsid w:val="00AB5A89"/>
    <w:rsid w:val="00AB5C19"/>
    <w:rsid w:val="00AB5C8D"/>
    <w:rsid w:val="00AB5F4E"/>
    <w:rsid w:val="00AB6E31"/>
    <w:rsid w:val="00AB7160"/>
    <w:rsid w:val="00AB766E"/>
    <w:rsid w:val="00AB7783"/>
    <w:rsid w:val="00AB7989"/>
    <w:rsid w:val="00AB7C74"/>
    <w:rsid w:val="00AC04F5"/>
    <w:rsid w:val="00AC1306"/>
    <w:rsid w:val="00AC1355"/>
    <w:rsid w:val="00AC1724"/>
    <w:rsid w:val="00AC2028"/>
    <w:rsid w:val="00AC22A1"/>
    <w:rsid w:val="00AC31EB"/>
    <w:rsid w:val="00AC3326"/>
    <w:rsid w:val="00AC3A4D"/>
    <w:rsid w:val="00AC3E7E"/>
    <w:rsid w:val="00AC428B"/>
    <w:rsid w:val="00AC4B4A"/>
    <w:rsid w:val="00AC508D"/>
    <w:rsid w:val="00AC5188"/>
    <w:rsid w:val="00AC530B"/>
    <w:rsid w:val="00AC54ED"/>
    <w:rsid w:val="00AC67EB"/>
    <w:rsid w:val="00AC6CD9"/>
    <w:rsid w:val="00AC6DF7"/>
    <w:rsid w:val="00AC6E66"/>
    <w:rsid w:val="00AC78BE"/>
    <w:rsid w:val="00AC7D02"/>
    <w:rsid w:val="00AD0136"/>
    <w:rsid w:val="00AD052E"/>
    <w:rsid w:val="00AD11B7"/>
    <w:rsid w:val="00AD177B"/>
    <w:rsid w:val="00AD21A6"/>
    <w:rsid w:val="00AD2D21"/>
    <w:rsid w:val="00AD2F66"/>
    <w:rsid w:val="00AD376B"/>
    <w:rsid w:val="00AD44A0"/>
    <w:rsid w:val="00AD44A6"/>
    <w:rsid w:val="00AD4DCA"/>
    <w:rsid w:val="00AD4F29"/>
    <w:rsid w:val="00AD58AA"/>
    <w:rsid w:val="00AD6E39"/>
    <w:rsid w:val="00AD78E3"/>
    <w:rsid w:val="00AD792F"/>
    <w:rsid w:val="00AD7FD7"/>
    <w:rsid w:val="00AE071D"/>
    <w:rsid w:val="00AE11A3"/>
    <w:rsid w:val="00AE1AC4"/>
    <w:rsid w:val="00AE214D"/>
    <w:rsid w:val="00AE3474"/>
    <w:rsid w:val="00AE35B4"/>
    <w:rsid w:val="00AE392C"/>
    <w:rsid w:val="00AE4176"/>
    <w:rsid w:val="00AE4440"/>
    <w:rsid w:val="00AE4458"/>
    <w:rsid w:val="00AE4524"/>
    <w:rsid w:val="00AE4CF4"/>
    <w:rsid w:val="00AE584D"/>
    <w:rsid w:val="00AE5B9A"/>
    <w:rsid w:val="00AE5CED"/>
    <w:rsid w:val="00AE5E42"/>
    <w:rsid w:val="00AE5EB4"/>
    <w:rsid w:val="00AE6843"/>
    <w:rsid w:val="00AE77A7"/>
    <w:rsid w:val="00AE7EAC"/>
    <w:rsid w:val="00AF00C1"/>
    <w:rsid w:val="00AF0A32"/>
    <w:rsid w:val="00AF148F"/>
    <w:rsid w:val="00AF1949"/>
    <w:rsid w:val="00AF1A1E"/>
    <w:rsid w:val="00AF20FE"/>
    <w:rsid w:val="00AF256E"/>
    <w:rsid w:val="00AF28BA"/>
    <w:rsid w:val="00AF2A99"/>
    <w:rsid w:val="00AF2F81"/>
    <w:rsid w:val="00AF30C6"/>
    <w:rsid w:val="00AF393F"/>
    <w:rsid w:val="00AF39EE"/>
    <w:rsid w:val="00AF50EF"/>
    <w:rsid w:val="00AF56B5"/>
    <w:rsid w:val="00AF5EF4"/>
    <w:rsid w:val="00AF6B13"/>
    <w:rsid w:val="00AF6C29"/>
    <w:rsid w:val="00AF6C7C"/>
    <w:rsid w:val="00AF716A"/>
    <w:rsid w:val="00AF762E"/>
    <w:rsid w:val="00AF7A19"/>
    <w:rsid w:val="00B00EEB"/>
    <w:rsid w:val="00B00F7D"/>
    <w:rsid w:val="00B01279"/>
    <w:rsid w:val="00B016C5"/>
    <w:rsid w:val="00B0172C"/>
    <w:rsid w:val="00B01F11"/>
    <w:rsid w:val="00B02876"/>
    <w:rsid w:val="00B02DE7"/>
    <w:rsid w:val="00B034C2"/>
    <w:rsid w:val="00B04683"/>
    <w:rsid w:val="00B057CC"/>
    <w:rsid w:val="00B059EA"/>
    <w:rsid w:val="00B0632C"/>
    <w:rsid w:val="00B06A84"/>
    <w:rsid w:val="00B070ED"/>
    <w:rsid w:val="00B07184"/>
    <w:rsid w:val="00B07C70"/>
    <w:rsid w:val="00B1024B"/>
    <w:rsid w:val="00B11993"/>
    <w:rsid w:val="00B11E97"/>
    <w:rsid w:val="00B11FEA"/>
    <w:rsid w:val="00B120AF"/>
    <w:rsid w:val="00B12118"/>
    <w:rsid w:val="00B122FB"/>
    <w:rsid w:val="00B127B0"/>
    <w:rsid w:val="00B12D80"/>
    <w:rsid w:val="00B12E4B"/>
    <w:rsid w:val="00B133B3"/>
    <w:rsid w:val="00B13ADB"/>
    <w:rsid w:val="00B13CC3"/>
    <w:rsid w:val="00B13F80"/>
    <w:rsid w:val="00B14049"/>
    <w:rsid w:val="00B143C0"/>
    <w:rsid w:val="00B143F7"/>
    <w:rsid w:val="00B146FF"/>
    <w:rsid w:val="00B14793"/>
    <w:rsid w:val="00B1480D"/>
    <w:rsid w:val="00B14F68"/>
    <w:rsid w:val="00B154F7"/>
    <w:rsid w:val="00B161E1"/>
    <w:rsid w:val="00B16339"/>
    <w:rsid w:val="00B1638C"/>
    <w:rsid w:val="00B1686E"/>
    <w:rsid w:val="00B1724D"/>
    <w:rsid w:val="00B1787E"/>
    <w:rsid w:val="00B20607"/>
    <w:rsid w:val="00B212CD"/>
    <w:rsid w:val="00B21B13"/>
    <w:rsid w:val="00B226A3"/>
    <w:rsid w:val="00B22D3E"/>
    <w:rsid w:val="00B23F51"/>
    <w:rsid w:val="00B24722"/>
    <w:rsid w:val="00B24A6E"/>
    <w:rsid w:val="00B24C67"/>
    <w:rsid w:val="00B252F6"/>
    <w:rsid w:val="00B2544B"/>
    <w:rsid w:val="00B2563B"/>
    <w:rsid w:val="00B26000"/>
    <w:rsid w:val="00B26442"/>
    <w:rsid w:val="00B267ED"/>
    <w:rsid w:val="00B26C0E"/>
    <w:rsid w:val="00B26EC5"/>
    <w:rsid w:val="00B279A3"/>
    <w:rsid w:val="00B27A3D"/>
    <w:rsid w:val="00B27A7B"/>
    <w:rsid w:val="00B27D27"/>
    <w:rsid w:val="00B3000C"/>
    <w:rsid w:val="00B301FB"/>
    <w:rsid w:val="00B31E45"/>
    <w:rsid w:val="00B31FBF"/>
    <w:rsid w:val="00B3226E"/>
    <w:rsid w:val="00B323F9"/>
    <w:rsid w:val="00B32401"/>
    <w:rsid w:val="00B325C5"/>
    <w:rsid w:val="00B330D3"/>
    <w:rsid w:val="00B3488E"/>
    <w:rsid w:val="00B34D6B"/>
    <w:rsid w:val="00B34D9D"/>
    <w:rsid w:val="00B35F6C"/>
    <w:rsid w:val="00B360FE"/>
    <w:rsid w:val="00B36345"/>
    <w:rsid w:val="00B3661A"/>
    <w:rsid w:val="00B3667A"/>
    <w:rsid w:val="00B368D6"/>
    <w:rsid w:val="00B3720F"/>
    <w:rsid w:val="00B37482"/>
    <w:rsid w:val="00B40D7F"/>
    <w:rsid w:val="00B40D81"/>
    <w:rsid w:val="00B41619"/>
    <w:rsid w:val="00B422DD"/>
    <w:rsid w:val="00B431A9"/>
    <w:rsid w:val="00B43455"/>
    <w:rsid w:val="00B43C03"/>
    <w:rsid w:val="00B43E27"/>
    <w:rsid w:val="00B4412A"/>
    <w:rsid w:val="00B44225"/>
    <w:rsid w:val="00B443A9"/>
    <w:rsid w:val="00B4452B"/>
    <w:rsid w:val="00B447BB"/>
    <w:rsid w:val="00B4487A"/>
    <w:rsid w:val="00B44DF5"/>
    <w:rsid w:val="00B45107"/>
    <w:rsid w:val="00B4524F"/>
    <w:rsid w:val="00B45338"/>
    <w:rsid w:val="00B4577A"/>
    <w:rsid w:val="00B46317"/>
    <w:rsid w:val="00B46421"/>
    <w:rsid w:val="00B4645D"/>
    <w:rsid w:val="00B46551"/>
    <w:rsid w:val="00B4759B"/>
    <w:rsid w:val="00B4776E"/>
    <w:rsid w:val="00B501A3"/>
    <w:rsid w:val="00B50581"/>
    <w:rsid w:val="00B5059C"/>
    <w:rsid w:val="00B50E29"/>
    <w:rsid w:val="00B51144"/>
    <w:rsid w:val="00B51333"/>
    <w:rsid w:val="00B518EC"/>
    <w:rsid w:val="00B52674"/>
    <w:rsid w:val="00B52BC9"/>
    <w:rsid w:val="00B52D21"/>
    <w:rsid w:val="00B54381"/>
    <w:rsid w:val="00B54431"/>
    <w:rsid w:val="00B544B4"/>
    <w:rsid w:val="00B54B6C"/>
    <w:rsid w:val="00B55EE3"/>
    <w:rsid w:val="00B565A9"/>
    <w:rsid w:val="00B56C14"/>
    <w:rsid w:val="00B56FA2"/>
    <w:rsid w:val="00B57303"/>
    <w:rsid w:val="00B57308"/>
    <w:rsid w:val="00B57753"/>
    <w:rsid w:val="00B57A60"/>
    <w:rsid w:val="00B60400"/>
    <w:rsid w:val="00B6063B"/>
    <w:rsid w:val="00B60754"/>
    <w:rsid w:val="00B61FDD"/>
    <w:rsid w:val="00B62D6F"/>
    <w:rsid w:val="00B635EF"/>
    <w:rsid w:val="00B638A5"/>
    <w:rsid w:val="00B63A96"/>
    <w:rsid w:val="00B63B20"/>
    <w:rsid w:val="00B63B78"/>
    <w:rsid w:val="00B63E1A"/>
    <w:rsid w:val="00B64452"/>
    <w:rsid w:val="00B646D9"/>
    <w:rsid w:val="00B6474E"/>
    <w:rsid w:val="00B64D08"/>
    <w:rsid w:val="00B6536F"/>
    <w:rsid w:val="00B664F6"/>
    <w:rsid w:val="00B671FB"/>
    <w:rsid w:val="00B67AE4"/>
    <w:rsid w:val="00B70D9F"/>
    <w:rsid w:val="00B70F67"/>
    <w:rsid w:val="00B71885"/>
    <w:rsid w:val="00B71DAC"/>
    <w:rsid w:val="00B71ED6"/>
    <w:rsid w:val="00B724E1"/>
    <w:rsid w:val="00B725A6"/>
    <w:rsid w:val="00B7263D"/>
    <w:rsid w:val="00B72764"/>
    <w:rsid w:val="00B7300C"/>
    <w:rsid w:val="00B740C1"/>
    <w:rsid w:val="00B74711"/>
    <w:rsid w:val="00B7571F"/>
    <w:rsid w:val="00B75803"/>
    <w:rsid w:val="00B75841"/>
    <w:rsid w:val="00B75B0E"/>
    <w:rsid w:val="00B75D22"/>
    <w:rsid w:val="00B76A7C"/>
    <w:rsid w:val="00B76B3F"/>
    <w:rsid w:val="00B77325"/>
    <w:rsid w:val="00B77518"/>
    <w:rsid w:val="00B777FD"/>
    <w:rsid w:val="00B779A1"/>
    <w:rsid w:val="00B8075B"/>
    <w:rsid w:val="00B80F1F"/>
    <w:rsid w:val="00B80F8A"/>
    <w:rsid w:val="00B81018"/>
    <w:rsid w:val="00B810AA"/>
    <w:rsid w:val="00B8121D"/>
    <w:rsid w:val="00B8132C"/>
    <w:rsid w:val="00B81A11"/>
    <w:rsid w:val="00B81E80"/>
    <w:rsid w:val="00B822EC"/>
    <w:rsid w:val="00B82392"/>
    <w:rsid w:val="00B8250E"/>
    <w:rsid w:val="00B82564"/>
    <w:rsid w:val="00B82B68"/>
    <w:rsid w:val="00B82CDE"/>
    <w:rsid w:val="00B83015"/>
    <w:rsid w:val="00B8365B"/>
    <w:rsid w:val="00B83884"/>
    <w:rsid w:val="00B83BC4"/>
    <w:rsid w:val="00B8421E"/>
    <w:rsid w:val="00B84F60"/>
    <w:rsid w:val="00B85064"/>
    <w:rsid w:val="00B85662"/>
    <w:rsid w:val="00B86515"/>
    <w:rsid w:val="00B86D9F"/>
    <w:rsid w:val="00B86EA6"/>
    <w:rsid w:val="00B8724B"/>
    <w:rsid w:val="00B8758D"/>
    <w:rsid w:val="00B90176"/>
    <w:rsid w:val="00B90A6A"/>
    <w:rsid w:val="00B913E7"/>
    <w:rsid w:val="00B917E0"/>
    <w:rsid w:val="00B918F3"/>
    <w:rsid w:val="00B91EBF"/>
    <w:rsid w:val="00B9233C"/>
    <w:rsid w:val="00B92EFF"/>
    <w:rsid w:val="00B93230"/>
    <w:rsid w:val="00B936A5"/>
    <w:rsid w:val="00B937B3"/>
    <w:rsid w:val="00B94275"/>
    <w:rsid w:val="00B94FF6"/>
    <w:rsid w:val="00B9500E"/>
    <w:rsid w:val="00B9534F"/>
    <w:rsid w:val="00B95E48"/>
    <w:rsid w:val="00B9636B"/>
    <w:rsid w:val="00B963EF"/>
    <w:rsid w:val="00B96B07"/>
    <w:rsid w:val="00B97D5E"/>
    <w:rsid w:val="00B97DAB"/>
    <w:rsid w:val="00B97F32"/>
    <w:rsid w:val="00BA015E"/>
    <w:rsid w:val="00BA071A"/>
    <w:rsid w:val="00BA161E"/>
    <w:rsid w:val="00BA2A9E"/>
    <w:rsid w:val="00BA2BAA"/>
    <w:rsid w:val="00BA2DDF"/>
    <w:rsid w:val="00BA3461"/>
    <w:rsid w:val="00BA3A87"/>
    <w:rsid w:val="00BA40D9"/>
    <w:rsid w:val="00BA4780"/>
    <w:rsid w:val="00BA4FDC"/>
    <w:rsid w:val="00BA5217"/>
    <w:rsid w:val="00BA5C6A"/>
    <w:rsid w:val="00BA5FF5"/>
    <w:rsid w:val="00BA71FD"/>
    <w:rsid w:val="00BA72E5"/>
    <w:rsid w:val="00BB05E6"/>
    <w:rsid w:val="00BB05F9"/>
    <w:rsid w:val="00BB07D0"/>
    <w:rsid w:val="00BB0B21"/>
    <w:rsid w:val="00BB0B8B"/>
    <w:rsid w:val="00BB1281"/>
    <w:rsid w:val="00BB1C88"/>
    <w:rsid w:val="00BB1F2F"/>
    <w:rsid w:val="00BB21C3"/>
    <w:rsid w:val="00BB268C"/>
    <w:rsid w:val="00BB344B"/>
    <w:rsid w:val="00BB386B"/>
    <w:rsid w:val="00BB3EA3"/>
    <w:rsid w:val="00BB4A48"/>
    <w:rsid w:val="00BB4CB0"/>
    <w:rsid w:val="00BB4E56"/>
    <w:rsid w:val="00BB54E4"/>
    <w:rsid w:val="00BB601F"/>
    <w:rsid w:val="00BB631A"/>
    <w:rsid w:val="00BB70FA"/>
    <w:rsid w:val="00BB713B"/>
    <w:rsid w:val="00BB719C"/>
    <w:rsid w:val="00BB7B33"/>
    <w:rsid w:val="00BC058F"/>
    <w:rsid w:val="00BC0918"/>
    <w:rsid w:val="00BC0A7F"/>
    <w:rsid w:val="00BC0A96"/>
    <w:rsid w:val="00BC0AD3"/>
    <w:rsid w:val="00BC114A"/>
    <w:rsid w:val="00BC1152"/>
    <w:rsid w:val="00BC11D2"/>
    <w:rsid w:val="00BC19C1"/>
    <w:rsid w:val="00BC1C6E"/>
    <w:rsid w:val="00BC23C7"/>
    <w:rsid w:val="00BC27F9"/>
    <w:rsid w:val="00BC2CAB"/>
    <w:rsid w:val="00BC2DC4"/>
    <w:rsid w:val="00BC2F32"/>
    <w:rsid w:val="00BC34D0"/>
    <w:rsid w:val="00BC4131"/>
    <w:rsid w:val="00BC4374"/>
    <w:rsid w:val="00BC439F"/>
    <w:rsid w:val="00BC4422"/>
    <w:rsid w:val="00BC4DBC"/>
    <w:rsid w:val="00BC559A"/>
    <w:rsid w:val="00BC573D"/>
    <w:rsid w:val="00BC5803"/>
    <w:rsid w:val="00BC5852"/>
    <w:rsid w:val="00BC5CA5"/>
    <w:rsid w:val="00BC6003"/>
    <w:rsid w:val="00BC601A"/>
    <w:rsid w:val="00BC651B"/>
    <w:rsid w:val="00BC668F"/>
    <w:rsid w:val="00BC66D5"/>
    <w:rsid w:val="00BC7235"/>
    <w:rsid w:val="00BD0B23"/>
    <w:rsid w:val="00BD199C"/>
    <w:rsid w:val="00BD24C5"/>
    <w:rsid w:val="00BD2AC5"/>
    <w:rsid w:val="00BD4936"/>
    <w:rsid w:val="00BD4E15"/>
    <w:rsid w:val="00BD4E1F"/>
    <w:rsid w:val="00BD50DA"/>
    <w:rsid w:val="00BD517F"/>
    <w:rsid w:val="00BD5567"/>
    <w:rsid w:val="00BD566F"/>
    <w:rsid w:val="00BD59F7"/>
    <w:rsid w:val="00BD5E6C"/>
    <w:rsid w:val="00BD6F50"/>
    <w:rsid w:val="00BD73E8"/>
    <w:rsid w:val="00BE051C"/>
    <w:rsid w:val="00BE0637"/>
    <w:rsid w:val="00BE0743"/>
    <w:rsid w:val="00BE0EF8"/>
    <w:rsid w:val="00BE1547"/>
    <w:rsid w:val="00BE1C3E"/>
    <w:rsid w:val="00BE20C6"/>
    <w:rsid w:val="00BE2207"/>
    <w:rsid w:val="00BE2B01"/>
    <w:rsid w:val="00BE2BC9"/>
    <w:rsid w:val="00BE2E54"/>
    <w:rsid w:val="00BE3459"/>
    <w:rsid w:val="00BE35DA"/>
    <w:rsid w:val="00BE36A4"/>
    <w:rsid w:val="00BE3C2D"/>
    <w:rsid w:val="00BE46EC"/>
    <w:rsid w:val="00BE47C2"/>
    <w:rsid w:val="00BE48C2"/>
    <w:rsid w:val="00BE4A79"/>
    <w:rsid w:val="00BE4E47"/>
    <w:rsid w:val="00BE4E53"/>
    <w:rsid w:val="00BE5324"/>
    <w:rsid w:val="00BE5587"/>
    <w:rsid w:val="00BE5EE9"/>
    <w:rsid w:val="00BE6682"/>
    <w:rsid w:val="00BE66CB"/>
    <w:rsid w:val="00BE6CD9"/>
    <w:rsid w:val="00BE6D4A"/>
    <w:rsid w:val="00BE6F18"/>
    <w:rsid w:val="00BE7086"/>
    <w:rsid w:val="00BE7205"/>
    <w:rsid w:val="00BE7E46"/>
    <w:rsid w:val="00BE7EC4"/>
    <w:rsid w:val="00BF032C"/>
    <w:rsid w:val="00BF05CE"/>
    <w:rsid w:val="00BF1034"/>
    <w:rsid w:val="00BF1621"/>
    <w:rsid w:val="00BF2841"/>
    <w:rsid w:val="00BF431F"/>
    <w:rsid w:val="00BF5375"/>
    <w:rsid w:val="00BF56BE"/>
    <w:rsid w:val="00BF57FA"/>
    <w:rsid w:val="00BF5BC9"/>
    <w:rsid w:val="00BF5E2F"/>
    <w:rsid w:val="00BF5F21"/>
    <w:rsid w:val="00BF62B4"/>
    <w:rsid w:val="00BF6A15"/>
    <w:rsid w:val="00BF6BAC"/>
    <w:rsid w:val="00BF72F9"/>
    <w:rsid w:val="00C00590"/>
    <w:rsid w:val="00C00B58"/>
    <w:rsid w:val="00C01755"/>
    <w:rsid w:val="00C01A85"/>
    <w:rsid w:val="00C02BF4"/>
    <w:rsid w:val="00C03014"/>
    <w:rsid w:val="00C036A1"/>
    <w:rsid w:val="00C04225"/>
    <w:rsid w:val="00C044A2"/>
    <w:rsid w:val="00C0506F"/>
    <w:rsid w:val="00C059EE"/>
    <w:rsid w:val="00C05AB3"/>
    <w:rsid w:val="00C06121"/>
    <w:rsid w:val="00C07B9F"/>
    <w:rsid w:val="00C10814"/>
    <w:rsid w:val="00C108ED"/>
    <w:rsid w:val="00C10921"/>
    <w:rsid w:val="00C109D9"/>
    <w:rsid w:val="00C10CF1"/>
    <w:rsid w:val="00C11412"/>
    <w:rsid w:val="00C117DB"/>
    <w:rsid w:val="00C11A1F"/>
    <w:rsid w:val="00C11CD9"/>
    <w:rsid w:val="00C12414"/>
    <w:rsid w:val="00C126A3"/>
    <w:rsid w:val="00C12C10"/>
    <w:rsid w:val="00C1408F"/>
    <w:rsid w:val="00C14E98"/>
    <w:rsid w:val="00C15529"/>
    <w:rsid w:val="00C15BE0"/>
    <w:rsid w:val="00C15EB6"/>
    <w:rsid w:val="00C16199"/>
    <w:rsid w:val="00C1642D"/>
    <w:rsid w:val="00C1662A"/>
    <w:rsid w:val="00C166B9"/>
    <w:rsid w:val="00C16D97"/>
    <w:rsid w:val="00C16EAB"/>
    <w:rsid w:val="00C17732"/>
    <w:rsid w:val="00C17B00"/>
    <w:rsid w:val="00C17C2A"/>
    <w:rsid w:val="00C17CD5"/>
    <w:rsid w:val="00C202FD"/>
    <w:rsid w:val="00C2043D"/>
    <w:rsid w:val="00C2062A"/>
    <w:rsid w:val="00C20D01"/>
    <w:rsid w:val="00C21A96"/>
    <w:rsid w:val="00C226F2"/>
    <w:rsid w:val="00C227BE"/>
    <w:rsid w:val="00C22813"/>
    <w:rsid w:val="00C2284F"/>
    <w:rsid w:val="00C232B0"/>
    <w:rsid w:val="00C232C2"/>
    <w:rsid w:val="00C23498"/>
    <w:rsid w:val="00C2361C"/>
    <w:rsid w:val="00C240CF"/>
    <w:rsid w:val="00C24438"/>
    <w:rsid w:val="00C24A38"/>
    <w:rsid w:val="00C25193"/>
    <w:rsid w:val="00C258FB"/>
    <w:rsid w:val="00C25A90"/>
    <w:rsid w:val="00C263B9"/>
    <w:rsid w:val="00C26D33"/>
    <w:rsid w:val="00C30486"/>
    <w:rsid w:val="00C30AF6"/>
    <w:rsid w:val="00C30BAB"/>
    <w:rsid w:val="00C30F2C"/>
    <w:rsid w:val="00C31041"/>
    <w:rsid w:val="00C317C8"/>
    <w:rsid w:val="00C31B8E"/>
    <w:rsid w:val="00C31EC5"/>
    <w:rsid w:val="00C31F6F"/>
    <w:rsid w:val="00C322D8"/>
    <w:rsid w:val="00C322DD"/>
    <w:rsid w:val="00C32685"/>
    <w:rsid w:val="00C32A56"/>
    <w:rsid w:val="00C3358C"/>
    <w:rsid w:val="00C33A3E"/>
    <w:rsid w:val="00C342BE"/>
    <w:rsid w:val="00C34457"/>
    <w:rsid w:val="00C349C9"/>
    <w:rsid w:val="00C34AA8"/>
    <w:rsid w:val="00C34D8D"/>
    <w:rsid w:val="00C34E00"/>
    <w:rsid w:val="00C35038"/>
    <w:rsid w:val="00C3542A"/>
    <w:rsid w:val="00C35666"/>
    <w:rsid w:val="00C35B7C"/>
    <w:rsid w:val="00C35B7F"/>
    <w:rsid w:val="00C35B97"/>
    <w:rsid w:val="00C35CBB"/>
    <w:rsid w:val="00C35EB8"/>
    <w:rsid w:val="00C3629E"/>
    <w:rsid w:val="00C3639B"/>
    <w:rsid w:val="00C36441"/>
    <w:rsid w:val="00C36ACF"/>
    <w:rsid w:val="00C36C35"/>
    <w:rsid w:val="00C37271"/>
    <w:rsid w:val="00C37AC8"/>
    <w:rsid w:val="00C40314"/>
    <w:rsid w:val="00C40F50"/>
    <w:rsid w:val="00C4119D"/>
    <w:rsid w:val="00C41E35"/>
    <w:rsid w:val="00C42395"/>
    <w:rsid w:val="00C43002"/>
    <w:rsid w:val="00C434E5"/>
    <w:rsid w:val="00C43B79"/>
    <w:rsid w:val="00C43C51"/>
    <w:rsid w:val="00C441B2"/>
    <w:rsid w:val="00C44B44"/>
    <w:rsid w:val="00C44C40"/>
    <w:rsid w:val="00C4506F"/>
    <w:rsid w:val="00C451AE"/>
    <w:rsid w:val="00C45250"/>
    <w:rsid w:val="00C456F1"/>
    <w:rsid w:val="00C46075"/>
    <w:rsid w:val="00C4637C"/>
    <w:rsid w:val="00C47064"/>
    <w:rsid w:val="00C475ED"/>
    <w:rsid w:val="00C47E89"/>
    <w:rsid w:val="00C50443"/>
    <w:rsid w:val="00C50989"/>
    <w:rsid w:val="00C50A8A"/>
    <w:rsid w:val="00C51743"/>
    <w:rsid w:val="00C518F4"/>
    <w:rsid w:val="00C523F6"/>
    <w:rsid w:val="00C529EB"/>
    <w:rsid w:val="00C52B20"/>
    <w:rsid w:val="00C53ABC"/>
    <w:rsid w:val="00C5595C"/>
    <w:rsid w:val="00C56049"/>
    <w:rsid w:val="00C564B5"/>
    <w:rsid w:val="00C573F9"/>
    <w:rsid w:val="00C574D8"/>
    <w:rsid w:val="00C57536"/>
    <w:rsid w:val="00C607D6"/>
    <w:rsid w:val="00C6154D"/>
    <w:rsid w:val="00C616D8"/>
    <w:rsid w:val="00C619F2"/>
    <w:rsid w:val="00C61DC9"/>
    <w:rsid w:val="00C61E7D"/>
    <w:rsid w:val="00C61EC5"/>
    <w:rsid w:val="00C621D1"/>
    <w:rsid w:val="00C62667"/>
    <w:rsid w:val="00C6336A"/>
    <w:rsid w:val="00C63E2A"/>
    <w:rsid w:val="00C65110"/>
    <w:rsid w:val="00C653B2"/>
    <w:rsid w:val="00C65A34"/>
    <w:rsid w:val="00C65B86"/>
    <w:rsid w:val="00C661F1"/>
    <w:rsid w:val="00C66504"/>
    <w:rsid w:val="00C66F31"/>
    <w:rsid w:val="00C6739F"/>
    <w:rsid w:val="00C67403"/>
    <w:rsid w:val="00C67849"/>
    <w:rsid w:val="00C67A83"/>
    <w:rsid w:val="00C67B64"/>
    <w:rsid w:val="00C67EDB"/>
    <w:rsid w:val="00C70457"/>
    <w:rsid w:val="00C705AA"/>
    <w:rsid w:val="00C707A9"/>
    <w:rsid w:val="00C708E6"/>
    <w:rsid w:val="00C70E78"/>
    <w:rsid w:val="00C712DD"/>
    <w:rsid w:val="00C71364"/>
    <w:rsid w:val="00C72B38"/>
    <w:rsid w:val="00C72CBE"/>
    <w:rsid w:val="00C73436"/>
    <w:rsid w:val="00C7363F"/>
    <w:rsid w:val="00C73E3C"/>
    <w:rsid w:val="00C74CFE"/>
    <w:rsid w:val="00C74EAB"/>
    <w:rsid w:val="00C7534E"/>
    <w:rsid w:val="00C755BA"/>
    <w:rsid w:val="00C75ECB"/>
    <w:rsid w:val="00C76611"/>
    <w:rsid w:val="00C76E63"/>
    <w:rsid w:val="00C76FDF"/>
    <w:rsid w:val="00C77D64"/>
    <w:rsid w:val="00C801EF"/>
    <w:rsid w:val="00C80532"/>
    <w:rsid w:val="00C807DC"/>
    <w:rsid w:val="00C809AF"/>
    <w:rsid w:val="00C818F8"/>
    <w:rsid w:val="00C81948"/>
    <w:rsid w:val="00C8206F"/>
    <w:rsid w:val="00C82CF3"/>
    <w:rsid w:val="00C8318C"/>
    <w:rsid w:val="00C836E3"/>
    <w:rsid w:val="00C8527B"/>
    <w:rsid w:val="00C8565E"/>
    <w:rsid w:val="00C85B50"/>
    <w:rsid w:val="00C86808"/>
    <w:rsid w:val="00C86904"/>
    <w:rsid w:val="00C87121"/>
    <w:rsid w:val="00C875AD"/>
    <w:rsid w:val="00C900DD"/>
    <w:rsid w:val="00C9029D"/>
    <w:rsid w:val="00C90570"/>
    <w:rsid w:val="00C908C3"/>
    <w:rsid w:val="00C90A2F"/>
    <w:rsid w:val="00C90E92"/>
    <w:rsid w:val="00C90F28"/>
    <w:rsid w:val="00C90F6D"/>
    <w:rsid w:val="00C913B3"/>
    <w:rsid w:val="00C91489"/>
    <w:rsid w:val="00C921FE"/>
    <w:rsid w:val="00C92482"/>
    <w:rsid w:val="00C928CA"/>
    <w:rsid w:val="00C934DE"/>
    <w:rsid w:val="00C947F9"/>
    <w:rsid w:val="00C94BD8"/>
    <w:rsid w:val="00C9605B"/>
    <w:rsid w:val="00C967FE"/>
    <w:rsid w:val="00C969EE"/>
    <w:rsid w:val="00C96AF8"/>
    <w:rsid w:val="00C97D71"/>
    <w:rsid w:val="00CA00DD"/>
    <w:rsid w:val="00CA0314"/>
    <w:rsid w:val="00CA0CB6"/>
    <w:rsid w:val="00CA0EFA"/>
    <w:rsid w:val="00CA1149"/>
    <w:rsid w:val="00CA11D5"/>
    <w:rsid w:val="00CA1347"/>
    <w:rsid w:val="00CA1594"/>
    <w:rsid w:val="00CA17B7"/>
    <w:rsid w:val="00CA193C"/>
    <w:rsid w:val="00CA1B09"/>
    <w:rsid w:val="00CA260C"/>
    <w:rsid w:val="00CA27DA"/>
    <w:rsid w:val="00CA2901"/>
    <w:rsid w:val="00CA49F3"/>
    <w:rsid w:val="00CA5748"/>
    <w:rsid w:val="00CA57B2"/>
    <w:rsid w:val="00CA5B48"/>
    <w:rsid w:val="00CA6C69"/>
    <w:rsid w:val="00CB0631"/>
    <w:rsid w:val="00CB0CF8"/>
    <w:rsid w:val="00CB0D71"/>
    <w:rsid w:val="00CB11AA"/>
    <w:rsid w:val="00CB191E"/>
    <w:rsid w:val="00CB28C8"/>
    <w:rsid w:val="00CB2F25"/>
    <w:rsid w:val="00CB55B3"/>
    <w:rsid w:val="00CB5714"/>
    <w:rsid w:val="00CB5787"/>
    <w:rsid w:val="00CB5ABF"/>
    <w:rsid w:val="00CB6283"/>
    <w:rsid w:val="00CB63FA"/>
    <w:rsid w:val="00CB710A"/>
    <w:rsid w:val="00CB788C"/>
    <w:rsid w:val="00CB7BB9"/>
    <w:rsid w:val="00CB7ED2"/>
    <w:rsid w:val="00CC00D8"/>
    <w:rsid w:val="00CC045C"/>
    <w:rsid w:val="00CC0733"/>
    <w:rsid w:val="00CC1314"/>
    <w:rsid w:val="00CC1658"/>
    <w:rsid w:val="00CC1B48"/>
    <w:rsid w:val="00CC1C7C"/>
    <w:rsid w:val="00CC2152"/>
    <w:rsid w:val="00CC2A82"/>
    <w:rsid w:val="00CC4597"/>
    <w:rsid w:val="00CC535F"/>
    <w:rsid w:val="00CC5D1A"/>
    <w:rsid w:val="00CC616C"/>
    <w:rsid w:val="00CC65AA"/>
    <w:rsid w:val="00CC6DFA"/>
    <w:rsid w:val="00CC74C4"/>
    <w:rsid w:val="00CC781E"/>
    <w:rsid w:val="00CC7DD9"/>
    <w:rsid w:val="00CD0AF9"/>
    <w:rsid w:val="00CD0B16"/>
    <w:rsid w:val="00CD0DF7"/>
    <w:rsid w:val="00CD1574"/>
    <w:rsid w:val="00CD201B"/>
    <w:rsid w:val="00CD3E20"/>
    <w:rsid w:val="00CD40DF"/>
    <w:rsid w:val="00CD4FC3"/>
    <w:rsid w:val="00CD61DF"/>
    <w:rsid w:val="00CD684B"/>
    <w:rsid w:val="00CD6D55"/>
    <w:rsid w:val="00CD6F0F"/>
    <w:rsid w:val="00CD70CD"/>
    <w:rsid w:val="00CE01D6"/>
    <w:rsid w:val="00CE05CE"/>
    <w:rsid w:val="00CE1678"/>
    <w:rsid w:val="00CE240C"/>
    <w:rsid w:val="00CE2AD7"/>
    <w:rsid w:val="00CE2BC9"/>
    <w:rsid w:val="00CE2D02"/>
    <w:rsid w:val="00CE39AB"/>
    <w:rsid w:val="00CE4691"/>
    <w:rsid w:val="00CE492C"/>
    <w:rsid w:val="00CE49E7"/>
    <w:rsid w:val="00CE547C"/>
    <w:rsid w:val="00CE583E"/>
    <w:rsid w:val="00CE69A1"/>
    <w:rsid w:val="00CE6AE6"/>
    <w:rsid w:val="00CE6EF5"/>
    <w:rsid w:val="00CE71B2"/>
    <w:rsid w:val="00CE7B58"/>
    <w:rsid w:val="00CF0197"/>
    <w:rsid w:val="00CF0630"/>
    <w:rsid w:val="00CF090A"/>
    <w:rsid w:val="00CF09CE"/>
    <w:rsid w:val="00CF0A0E"/>
    <w:rsid w:val="00CF173B"/>
    <w:rsid w:val="00CF17A5"/>
    <w:rsid w:val="00CF227B"/>
    <w:rsid w:val="00CF26D7"/>
    <w:rsid w:val="00CF2C52"/>
    <w:rsid w:val="00CF2F54"/>
    <w:rsid w:val="00CF31B4"/>
    <w:rsid w:val="00CF3951"/>
    <w:rsid w:val="00CF4168"/>
    <w:rsid w:val="00CF4D7B"/>
    <w:rsid w:val="00CF5CB7"/>
    <w:rsid w:val="00CF5E1A"/>
    <w:rsid w:val="00CF61FB"/>
    <w:rsid w:val="00CF6415"/>
    <w:rsid w:val="00CF6786"/>
    <w:rsid w:val="00CF69E2"/>
    <w:rsid w:val="00CF6BB6"/>
    <w:rsid w:val="00CF6BE1"/>
    <w:rsid w:val="00CF711A"/>
    <w:rsid w:val="00CF7341"/>
    <w:rsid w:val="00CF73C9"/>
    <w:rsid w:val="00CF75AD"/>
    <w:rsid w:val="00CF7B6A"/>
    <w:rsid w:val="00D00A62"/>
    <w:rsid w:val="00D0182C"/>
    <w:rsid w:val="00D0192E"/>
    <w:rsid w:val="00D021B0"/>
    <w:rsid w:val="00D0245A"/>
    <w:rsid w:val="00D02ACD"/>
    <w:rsid w:val="00D03946"/>
    <w:rsid w:val="00D03A29"/>
    <w:rsid w:val="00D04264"/>
    <w:rsid w:val="00D04629"/>
    <w:rsid w:val="00D05363"/>
    <w:rsid w:val="00D058CC"/>
    <w:rsid w:val="00D0595F"/>
    <w:rsid w:val="00D06162"/>
    <w:rsid w:val="00D071A4"/>
    <w:rsid w:val="00D078DE"/>
    <w:rsid w:val="00D07906"/>
    <w:rsid w:val="00D10148"/>
    <w:rsid w:val="00D10B77"/>
    <w:rsid w:val="00D10C82"/>
    <w:rsid w:val="00D10DD5"/>
    <w:rsid w:val="00D11582"/>
    <w:rsid w:val="00D11739"/>
    <w:rsid w:val="00D11D2E"/>
    <w:rsid w:val="00D11F2A"/>
    <w:rsid w:val="00D122D3"/>
    <w:rsid w:val="00D1276E"/>
    <w:rsid w:val="00D12DC0"/>
    <w:rsid w:val="00D12F50"/>
    <w:rsid w:val="00D137FB"/>
    <w:rsid w:val="00D138FB"/>
    <w:rsid w:val="00D13A17"/>
    <w:rsid w:val="00D13CD6"/>
    <w:rsid w:val="00D13E7F"/>
    <w:rsid w:val="00D1436D"/>
    <w:rsid w:val="00D148F8"/>
    <w:rsid w:val="00D14FFB"/>
    <w:rsid w:val="00D15125"/>
    <w:rsid w:val="00D15533"/>
    <w:rsid w:val="00D15DC9"/>
    <w:rsid w:val="00D1640F"/>
    <w:rsid w:val="00D164F6"/>
    <w:rsid w:val="00D169C9"/>
    <w:rsid w:val="00D173C3"/>
    <w:rsid w:val="00D174BF"/>
    <w:rsid w:val="00D17996"/>
    <w:rsid w:val="00D20948"/>
    <w:rsid w:val="00D209AE"/>
    <w:rsid w:val="00D213F9"/>
    <w:rsid w:val="00D2169C"/>
    <w:rsid w:val="00D224B0"/>
    <w:rsid w:val="00D22BA4"/>
    <w:rsid w:val="00D236FC"/>
    <w:rsid w:val="00D2372C"/>
    <w:rsid w:val="00D237B4"/>
    <w:rsid w:val="00D23A01"/>
    <w:rsid w:val="00D24089"/>
    <w:rsid w:val="00D240A9"/>
    <w:rsid w:val="00D24332"/>
    <w:rsid w:val="00D247EB"/>
    <w:rsid w:val="00D24FFD"/>
    <w:rsid w:val="00D25374"/>
    <w:rsid w:val="00D25521"/>
    <w:rsid w:val="00D273AF"/>
    <w:rsid w:val="00D274BA"/>
    <w:rsid w:val="00D277B8"/>
    <w:rsid w:val="00D307DC"/>
    <w:rsid w:val="00D30A50"/>
    <w:rsid w:val="00D30FF3"/>
    <w:rsid w:val="00D32160"/>
    <w:rsid w:val="00D326E0"/>
    <w:rsid w:val="00D3289C"/>
    <w:rsid w:val="00D32EE3"/>
    <w:rsid w:val="00D3316B"/>
    <w:rsid w:val="00D33ACF"/>
    <w:rsid w:val="00D33B81"/>
    <w:rsid w:val="00D33D30"/>
    <w:rsid w:val="00D349AA"/>
    <w:rsid w:val="00D359F7"/>
    <w:rsid w:val="00D35DAF"/>
    <w:rsid w:val="00D35F92"/>
    <w:rsid w:val="00D36732"/>
    <w:rsid w:val="00D36816"/>
    <w:rsid w:val="00D36CAA"/>
    <w:rsid w:val="00D36EE8"/>
    <w:rsid w:val="00D379A3"/>
    <w:rsid w:val="00D37DAF"/>
    <w:rsid w:val="00D404BC"/>
    <w:rsid w:val="00D41D1E"/>
    <w:rsid w:val="00D41E1D"/>
    <w:rsid w:val="00D42323"/>
    <w:rsid w:val="00D42B43"/>
    <w:rsid w:val="00D43D62"/>
    <w:rsid w:val="00D44357"/>
    <w:rsid w:val="00D447B2"/>
    <w:rsid w:val="00D44889"/>
    <w:rsid w:val="00D44947"/>
    <w:rsid w:val="00D4562C"/>
    <w:rsid w:val="00D459D8"/>
    <w:rsid w:val="00D4644E"/>
    <w:rsid w:val="00D465BE"/>
    <w:rsid w:val="00D469C1"/>
    <w:rsid w:val="00D46EA5"/>
    <w:rsid w:val="00D47595"/>
    <w:rsid w:val="00D4774E"/>
    <w:rsid w:val="00D479B2"/>
    <w:rsid w:val="00D47ECC"/>
    <w:rsid w:val="00D5044B"/>
    <w:rsid w:val="00D50477"/>
    <w:rsid w:val="00D507A9"/>
    <w:rsid w:val="00D50CBF"/>
    <w:rsid w:val="00D50CE6"/>
    <w:rsid w:val="00D50E80"/>
    <w:rsid w:val="00D51423"/>
    <w:rsid w:val="00D5196D"/>
    <w:rsid w:val="00D519F3"/>
    <w:rsid w:val="00D51BFD"/>
    <w:rsid w:val="00D528E4"/>
    <w:rsid w:val="00D5366E"/>
    <w:rsid w:val="00D53B69"/>
    <w:rsid w:val="00D53DAD"/>
    <w:rsid w:val="00D53F46"/>
    <w:rsid w:val="00D55316"/>
    <w:rsid w:val="00D555B6"/>
    <w:rsid w:val="00D555FF"/>
    <w:rsid w:val="00D56590"/>
    <w:rsid w:val="00D56B63"/>
    <w:rsid w:val="00D56F83"/>
    <w:rsid w:val="00D57340"/>
    <w:rsid w:val="00D573C4"/>
    <w:rsid w:val="00D5744E"/>
    <w:rsid w:val="00D57E65"/>
    <w:rsid w:val="00D61205"/>
    <w:rsid w:val="00D63A70"/>
    <w:rsid w:val="00D643DE"/>
    <w:rsid w:val="00D6451B"/>
    <w:rsid w:val="00D64F8E"/>
    <w:rsid w:val="00D6509A"/>
    <w:rsid w:val="00D65404"/>
    <w:rsid w:val="00D65472"/>
    <w:rsid w:val="00D6582D"/>
    <w:rsid w:val="00D658E4"/>
    <w:rsid w:val="00D663DC"/>
    <w:rsid w:val="00D66DEB"/>
    <w:rsid w:val="00D67457"/>
    <w:rsid w:val="00D674C9"/>
    <w:rsid w:val="00D705C3"/>
    <w:rsid w:val="00D70829"/>
    <w:rsid w:val="00D71085"/>
    <w:rsid w:val="00D711E6"/>
    <w:rsid w:val="00D71FA4"/>
    <w:rsid w:val="00D72637"/>
    <w:rsid w:val="00D72B2B"/>
    <w:rsid w:val="00D72CA1"/>
    <w:rsid w:val="00D730DB"/>
    <w:rsid w:val="00D735FF"/>
    <w:rsid w:val="00D73892"/>
    <w:rsid w:val="00D739DB"/>
    <w:rsid w:val="00D73B95"/>
    <w:rsid w:val="00D73C1F"/>
    <w:rsid w:val="00D73D2F"/>
    <w:rsid w:val="00D73E44"/>
    <w:rsid w:val="00D74231"/>
    <w:rsid w:val="00D74E13"/>
    <w:rsid w:val="00D7510F"/>
    <w:rsid w:val="00D753C3"/>
    <w:rsid w:val="00D75698"/>
    <w:rsid w:val="00D75EC8"/>
    <w:rsid w:val="00D75FA5"/>
    <w:rsid w:val="00D7632F"/>
    <w:rsid w:val="00D76EEB"/>
    <w:rsid w:val="00D772D7"/>
    <w:rsid w:val="00D80DA6"/>
    <w:rsid w:val="00D8111E"/>
    <w:rsid w:val="00D82168"/>
    <w:rsid w:val="00D82CE3"/>
    <w:rsid w:val="00D82DA1"/>
    <w:rsid w:val="00D832AC"/>
    <w:rsid w:val="00D8352C"/>
    <w:rsid w:val="00D8379F"/>
    <w:rsid w:val="00D840C1"/>
    <w:rsid w:val="00D84D4D"/>
    <w:rsid w:val="00D851C0"/>
    <w:rsid w:val="00D85568"/>
    <w:rsid w:val="00D85959"/>
    <w:rsid w:val="00D85B12"/>
    <w:rsid w:val="00D85B95"/>
    <w:rsid w:val="00D86407"/>
    <w:rsid w:val="00D86B6F"/>
    <w:rsid w:val="00D86ED0"/>
    <w:rsid w:val="00D87507"/>
    <w:rsid w:val="00D8761F"/>
    <w:rsid w:val="00D878D0"/>
    <w:rsid w:val="00D87FB1"/>
    <w:rsid w:val="00D90389"/>
    <w:rsid w:val="00D903F0"/>
    <w:rsid w:val="00D9054D"/>
    <w:rsid w:val="00D90A13"/>
    <w:rsid w:val="00D91847"/>
    <w:rsid w:val="00D918AD"/>
    <w:rsid w:val="00D9222B"/>
    <w:rsid w:val="00D92680"/>
    <w:rsid w:val="00D92D9D"/>
    <w:rsid w:val="00D92DCE"/>
    <w:rsid w:val="00D936DC"/>
    <w:rsid w:val="00D93B2C"/>
    <w:rsid w:val="00D93CCF"/>
    <w:rsid w:val="00D94503"/>
    <w:rsid w:val="00D94577"/>
    <w:rsid w:val="00D94733"/>
    <w:rsid w:val="00D9660B"/>
    <w:rsid w:val="00D96DFF"/>
    <w:rsid w:val="00D96F0F"/>
    <w:rsid w:val="00D975A1"/>
    <w:rsid w:val="00D9799B"/>
    <w:rsid w:val="00DA0196"/>
    <w:rsid w:val="00DA06CB"/>
    <w:rsid w:val="00DA0918"/>
    <w:rsid w:val="00DA09D6"/>
    <w:rsid w:val="00DA09E8"/>
    <w:rsid w:val="00DA0F42"/>
    <w:rsid w:val="00DA1A4B"/>
    <w:rsid w:val="00DA1D11"/>
    <w:rsid w:val="00DA2266"/>
    <w:rsid w:val="00DA2A40"/>
    <w:rsid w:val="00DA3C94"/>
    <w:rsid w:val="00DA4025"/>
    <w:rsid w:val="00DA4589"/>
    <w:rsid w:val="00DA4650"/>
    <w:rsid w:val="00DA4E45"/>
    <w:rsid w:val="00DA54E3"/>
    <w:rsid w:val="00DA59D1"/>
    <w:rsid w:val="00DA62C7"/>
    <w:rsid w:val="00DA6A31"/>
    <w:rsid w:val="00DA6D40"/>
    <w:rsid w:val="00DA6DAF"/>
    <w:rsid w:val="00DA7CD6"/>
    <w:rsid w:val="00DB02A2"/>
    <w:rsid w:val="00DB05BB"/>
    <w:rsid w:val="00DB1FC4"/>
    <w:rsid w:val="00DB1FD6"/>
    <w:rsid w:val="00DB2BA5"/>
    <w:rsid w:val="00DB2DF8"/>
    <w:rsid w:val="00DB3615"/>
    <w:rsid w:val="00DB39A6"/>
    <w:rsid w:val="00DB3CCB"/>
    <w:rsid w:val="00DB43D7"/>
    <w:rsid w:val="00DB502E"/>
    <w:rsid w:val="00DB5583"/>
    <w:rsid w:val="00DB5AF5"/>
    <w:rsid w:val="00DB5C32"/>
    <w:rsid w:val="00DB6650"/>
    <w:rsid w:val="00DB6795"/>
    <w:rsid w:val="00DB6A3A"/>
    <w:rsid w:val="00DB6D3E"/>
    <w:rsid w:val="00DB7F3A"/>
    <w:rsid w:val="00DC0387"/>
    <w:rsid w:val="00DC03A4"/>
    <w:rsid w:val="00DC132F"/>
    <w:rsid w:val="00DC194F"/>
    <w:rsid w:val="00DC1ABD"/>
    <w:rsid w:val="00DC1B9E"/>
    <w:rsid w:val="00DC2164"/>
    <w:rsid w:val="00DC2808"/>
    <w:rsid w:val="00DC2B1D"/>
    <w:rsid w:val="00DC2D8A"/>
    <w:rsid w:val="00DC2E29"/>
    <w:rsid w:val="00DC3588"/>
    <w:rsid w:val="00DC384C"/>
    <w:rsid w:val="00DC3C5C"/>
    <w:rsid w:val="00DC3DD2"/>
    <w:rsid w:val="00DC41E4"/>
    <w:rsid w:val="00DC4289"/>
    <w:rsid w:val="00DC4424"/>
    <w:rsid w:val="00DC4B46"/>
    <w:rsid w:val="00DC5D68"/>
    <w:rsid w:val="00DC6154"/>
    <w:rsid w:val="00DC7043"/>
    <w:rsid w:val="00DD031E"/>
    <w:rsid w:val="00DD0975"/>
    <w:rsid w:val="00DD0A27"/>
    <w:rsid w:val="00DD117E"/>
    <w:rsid w:val="00DD14BD"/>
    <w:rsid w:val="00DD1B6E"/>
    <w:rsid w:val="00DD1EC3"/>
    <w:rsid w:val="00DD2EDB"/>
    <w:rsid w:val="00DD3694"/>
    <w:rsid w:val="00DD38DC"/>
    <w:rsid w:val="00DD39DE"/>
    <w:rsid w:val="00DD417A"/>
    <w:rsid w:val="00DD484E"/>
    <w:rsid w:val="00DD49A8"/>
    <w:rsid w:val="00DD4E45"/>
    <w:rsid w:val="00DD4FFF"/>
    <w:rsid w:val="00DD530D"/>
    <w:rsid w:val="00DD5495"/>
    <w:rsid w:val="00DD589D"/>
    <w:rsid w:val="00DD5BDA"/>
    <w:rsid w:val="00DD61D0"/>
    <w:rsid w:val="00DD634D"/>
    <w:rsid w:val="00DD71D2"/>
    <w:rsid w:val="00DD7B9B"/>
    <w:rsid w:val="00DE0F8D"/>
    <w:rsid w:val="00DE17B2"/>
    <w:rsid w:val="00DE1CA7"/>
    <w:rsid w:val="00DE224C"/>
    <w:rsid w:val="00DE27DC"/>
    <w:rsid w:val="00DE2D55"/>
    <w:rsid w:val="00DE391F"/>
    <w:rsid w:val="00DE3B24"/>
    <w:rsid w:val="00DE4564"/>
    <w:rsid w:val="00DE4FE9"/>
    <w:rsid w:val="00DE549D"/>
    <w:rsid w:val="00DE5FB5"/>
    <w:rsid w:val="00DE6136"/>
    <w:rsid w:val="00DE621D"/>
    <w:rsid w:val="00DE6B5A"/>
    <w:rsid w:val="00DE6CE8"/>
    <w:rsid w:val="00DE7C9E"/>
    <w:rsid w:val="00DF071E"/>
    <w:rsid w:val="00DF1B5D"/>
    <w:rsid w:val="00DF1B69"/>
    <w:rsid w:val="00DF2433"/>
    <w:rsid w:val="00DF2783"/>
    <w:rsid w:val="00DF376D"/>
    <w:rsid w:val="00DF381A"/>
    <w:rsid w:val="00DF3BD7"/>
    <w:rsid w:val="00DF3CF9"/>
    <w:rsid w:val="00DF469A"/>
    <w:rsid w:val="00DF49AE"/>
    <w:rsid w:val="00DF4C9A"/>
    <w:rsid w:val="00DF5681"/>
    <w:rsid w:val="00DF65EF"/>
    <w:rsid w:val="00DF6885"/>
    <w:rsid w:val="00DF7364"/>
    <w:rsid w:val="00DF741A"/>
    <w:rsid w:val="00DF7AD8"/>
    <w:rsid w:val="00DF7EF5"/>
    <w:rsid w:val="00DF7FAE"/>
    <w:rsid w:val="00E000CA"/>
    <w:rsid w:val="00E00113"/>
    <w:rsid w:val="00E0186B"/>
    <w:rsid w:val="00E0198A"/>
    <w:rsid w:val="00E01D7A"/>
    <w:rsid w:val="00E01DD1"/>
    <w:rsid w:val="00E01EFB"/>
    <w:rsid w:val="00E01F96"/>
    <w:rsid w:val="00E02159"/>
    <w:rsid w:val="00E0237F"/>
    <w:rsid w:val="00E02874"/>
    <w:rsid w:val="00E028AB"/>
    <w:rsid w:val="00E02E3E"/>
    <w:rsid w:val="00E0347A"/>
    <w:rsid w:val="00E03502"/>
    <w:rsid w:val="00E03A83"/>
    <w:rsid w:val="00E03C09"/>
    <w:rsid w:val="00E03C15"/>
    <w:rsid w:val="00E03F96"/>
    <w:rsid w:val="00E04042"/>
    <w:rsid w:val="00E04593"/>
    <w:rsid w:val="00E04BD7"/>
    <w:rsid w:val="00E0511B"/>
    <w:rsid w:val="00E05280"/>
    <w:rsid w:val="00E054CB"/>
    <w:rsid w:val="00E059AA"/>
    <w:rsid w:val="00E06068"/>
    <w:rsid w:val="00E06178"/>
    <w:rsid w:val="00E062D9"/>
    <w:rsid w:val="00E06A38"/>
    <w:rsid w:val="00E070BE"/>
    <w:rsid w:val="00E073BD"/>
    <w:rsid w:val="00E077C6"/>
    <w:rsid w:val="00E10FCC"/>
    <w:rsid w:val="00E11582"/>
    <w:rsid w:val="00E1191E"/>
    <w:rsid w:val="00E12707"/>
    <w:rsid w:val="00E12D13"/>
    <w:rsid w:val="00E12DF1"/>
    <w:rsid w:val="00E141CF"/>
    <w:rsid w:val="00E14823"/>
    <w:rsid w:val="00E14A1F"/>
    <w:rsid w:val="00E14E4A"/>
    <w:rsid w:val="00E14EF8"/>
    <w:rsid w:val="00E14FA1"/>
    <w:rsid w:val="00E15049"/>
    <w:rsid w:val="00E151B4"/>
    <w:rsid w:val="00E15278"/>
    <w:rsid w:val="00E15405"/>
    <w:rsid w:val="00E15E1F"/>
    <w:rsid w:val="00E15EF3"/>
    <w:rsid w:val="00E15F08"/>
    <w:rsid w:val="00E16D4D"/>
    <w:rsid w:val="00E16E88"/>
    <w:rsid w:val="00E17243"/>
    <w:rsid w:val="00E17389"/>
    <w:rsid w:val="00E175A8"/>
    <w:rsid w:val="00E17A1B"/>
    <w:rsid w:val="00E17E45"/>
    <w:rsid w:val="00E20447"/>
    <w:rsid w:val="00E21047"/>
    <w:rsid w:val="00E21606"/>
    <w:rsid w:val="00E21A11"/>
    <w:rsid w:val="00E21A30"/>
    <w:rsid w:val="00E21E7C"/>
    <w:rsid w:val="00E22266"/>
    <w:rsid w:val="00E23D02"/>
    <w:rsid w:val="00E2430C"/>
    <w:rsid w:val="00E24315"/>
    <w:rsid w:val="00E2464C"/>
    <w:rsid w:val="00E248F3"/>
    <w:rsid w:val="00E24ED1"/>
    <w:rsid w:val="00E250FA"/>
    <w:rsid w:val="00E25222"/>
    <w:rsid w:val="00E252E4"/>
    <w:rsid w:val="00E2567A"/>
    <w:rsid w:val="00E2570C"/>
    <w:rsid w:val="00E259D2"/>
    <w:rsid w:val="00E26252"/>
    <w:rsid w:val="00E267DD"/>
    <w:rsid w:val="00E26C09"/>
    <w:rsid w:val="00E26E80"/>
    <w:rsid w:val="00E27687"/>
    <w:rsid w:val="00E27A40"/>
    <w:rsid w:val="00E27AA0"/>
    <w:rsid w:val="00E27F6C"/>
    <w:rsid w:val="00E30500"/>
    <w:rsid w:val="00E31382"/>
    <w:rsid w:val="00E3157D"/>
    <w:rsid w:val="00E3164B"/>
    <w:rsid w:val="00E317A3"/>
    <w:rsid w:val="00E31A88"/>
    <w:rsid w:val="00E321B1"/>
    <w:rsid w:val="00E3283E"/>
    <w:rsid w:val="00E32F91"/>
    <w:rsid w:val="00E339E4"/>
    <w:rsid w:val="00E34195"/>
    <w:rsid w:val="00E344AC"/>
    <w:rsid w:val="00E3460C"/>
    <w:rsid w:val="00E34AE6"/>
    <w:rsid w:val="00E351AA"/>
    <w:rsid w:val="00E35289"/>
    <w:rsid w:val="00E3542C"/>
    <w:rsid w:val="00E3560A"/>
    <w:rsid w:val="00E36710"/>
    <w:rsid w:val="00E36BB1"/>
    <w:rsid w:val="00E36F45"/>
    <w:rsid w:val="00E3745D"/>
    <w:rsid w:val="00E37E9D"/>
    <w:rsid w:val="00E4008A"/>
    <w:rsid w:val="00E42E2F"/>
    <w:rsid w:val="00E45B61"/>
    <w:rsid w:val="00E45BB6"/>
    <w:rsid w:val="00E46190"/>
    <w:rsid w:val="00E463AD"/>
    <w:rsid w:val="00E46C81"/>
    <w:rsid w:val="00E4714C"/>
    <w:rsid w:val="00E472A1"/>
    <w:rsid w:val="00E474BD"/>
    <w:rsid w:val="00E4750A"/>
    <w:rsid w:val="00E4767E"/>
    <w:rsid w:val="00E476F1"/>
    <w:rsid w:val="00E47B59"/>
    <w:rsid w:val="00E47E9E"/>
    <w:rsid w:val="00E5000A"/>
    <w:rsid w:val="00E5045C"/>
    <w:rsid w:val="00E505E3"/>
    <w:rsid w:val="00E509A2"/>
    <w:rsid w:val="00E51612"/>
    <w:rsid w:val="00E51A28"/>
    <w:rsid w:val="00E52335"/>
    <w:rsid w:val="00E524C9"/>
    <w:rsid w:val="00E5298B"/>
    <w:rsid w:val="00E52E61"/>
    <w:rsid w:val="00E53066"/>
    <w:rsid w:val="00E53310"/>
    <w:rsid w:val="00E538DF"/>
    <w:rsid w:val="00E53C78"/>
    <w:rsid w:val="00E53DC4"/>
    <w:rsid w:val="00E54029"/>
    <w:rsid w:val="00E546E3"/>
    <w:rsid w:val="00E55853"/>
    <w:rsid w:val="00E559D6"/>
    <w:rsid w:val="00E560DB"/>
    <w:rsid w:val="00E57ECC"/>
    <w:rsid w:val="00E601BD"/>
    <w:rsid w:val="00E602CE"/>
    <w:rsid w:val="00E6069B"/>
    <w:rsid w:val="00E60DDE"/>
    <w:rsid w:val="00E619AF"/>
    <w:rsid w:val="00E62A75"/>
    <w:rsid w:val="00E63652"/>
    <w:rsid w:val="00E63A3C"/>
    <w:rsid w:val="00E64113"/>
    <w:rsid w:val="00E65047"/>
    <w:rsid w:val="00E65628"/>
    <w:rsid w:val="00E65924"/>
    <w:rsid w:val="00E65A1D"/>
    <w:rsid w:val="00E65F8A"/>
    <w:rsid w:val="00E66351"/>
    <w:rsid w:val="00E666DB"/>
    <w:rsid w:val="00E66849"/>
    <w:rsid w:val="00E67251"/>
    <w:rsid w:val="00E7013A"/>
    <w:rsid w:val="00E7026E"/>
    <w:rsid w:val="00E705A6"/>
    <w:rsid w:val="00E7086D"/>
    <w:rsid w:val="00E70933"/>
    <w:rsid w:val="00E70DEF"/>
    <w:rsid w:val="00E70F55"/>
    <w:rsid w:val="00E7118E"/>
    <w:rsid w:val="00E71C2E"/>
    <w:rsid w:val="00E71C58"/>
    <w:rsid w:val="00E722FC"/>
    <w:rsid w:val="00E72C51"/>
    <w:rsid w:val="00E72DA5"/>
    <w:rsid w:val="00E736C6"/>
    <w:rsid w:val="00E7393B"/>
    <w:rsid w:val="00E748F5"/>
    <w:rsid w:val="00E75337"/>
    <w:rsid w:val="00E76841"/>
    <w:rsid w:val="00E768CD"/>
    <w:rsid w:val="00E77028"/>
    <w:rsid w:val="00E80A88"/>
    <w:rsid w:val="00E80F70"/>
    <w:rsid w:val="00E8164C"/>
    <w:rsid w:val="00E81803"/>
    <w:rsid w:val="00E81A9C"/>
    <w:rsid w:val="00E820F4"/>
    <w:rsid w:val="00E8228A"/>
    <w:rsid w:val="00E8259B"/>
    <w:rsid w:val="00E82B39"/>
    <w:rsid w:val="00E82C4F"/>
    <w:rsid w:val="00E83402"/>
    <w:rsid w:val="00E83815"/>
    <w:rsid w:val="00E8395D"/>
    <w:rsid w:val="00E839F1"/>
    <w:rsid w:val="00E83B5D"/>
    <w:rsid w:val="00E84222"/>
    <w:rsid w:val="00E8470B"/>
    <w:rsid w:val="00E84E04"/>
    <w:rsid w:val="00E84ED0"/>
    <w:rsid w:val="00E85A2B"/>
    <w:rsid w:val="00E85A3E"/>
    <w:rsid w:val="00E85C97"/>
    <w:rsid w:val="00E861CF"/>
    <w:rsid w:val="00E8622A"/>
    <w:rsid w:val="00E86845"/>
    <w:rsid w:val="00E86DF1"/>
    <w:rsid w:val="00E870C7"/>
    <w:rsid w:val="00E87859"/>
    <w:rsid w:val="00E878A0"/>
    <w:rsid w:val="00E87A11"/>
    <w:rsid w:val="00E87B0C"/>
    <w:rsid w:val="00E87D0F"/>
    <w:rsid w:val="00E87D99"/>
    <w:rsid w:val="00E87E64"/>
    <w:rsid w:val="00E9022D"/>
    <w:rsid w:val="00E90E92"/>
    <w:rsid w:val="00E917DF"/>
    <w:rsid w:val="00E91966"/>
    <w:rsid w:val="00E9222C"/>
    <w:rsid w:val="00E92DEE"/>
    <w:rsid w:val="00E92DEF"/>
    <w:rsid w:val="00E93699"/>
    <w:rsid w:val="00E93884"/>
    <w:rsid w:val="00E93945"/>
    <w:rsid w:val="00E93994"/>
    <w:rsid w:val="00E939EC"/>
    <w:rsid w:val="00E93F74"/>
    <w:rsid w:val="00E93FDF"/>
    <w:rsid w:val="00E94560"/>
    <w:rsid w:val="00E947AF"/>
    <w:rsid w:val="00E94A3D"/>
    <w:rsid w:val="00E94D79"/>
    <w:rsid w:val="00E950BC"/>
    <w:rsid w:val="00E95834"/>
    <w:rsid w:val="00E9602B"/>
    <w:rsid w:val="00E962A3"/>
    <w:rsid w:val="00E962DE"/>
    <w:rsid w:val="00E97636"/>
    <w:rsid w:val="00E978FC"/>
    <w:rsid w:val="00E97C07"/>
    <w:rsid w:val="00E97D0D"/>
    <w:rsid w:val="00EA1050"/>
    <w:rsid w:val="00EA132F"/>
    <w:rsid w:val="00EA1413"/>
    <w:rsid w:val="00EA1E16"/>
    <w:rsid w:val="00EA3458"/>
    <w:rsid w:val="00EA37BB"/>
    <w:rsid w:val="00EA3F06"/>
    <w:rsid w:val="00EA4334"/>
    <w:rsid w:val="00EA4362"/>
    <w:rsid w:val="00EA44AD"/>
    <w:rsid w:val="00EA45D5"/>
    <w:rsid w:val="00EA4968"/>
    <w:rsid w:val="00EA4D08"/>
    <w:rsid w:val="00EA563A"/>
    <w:rsid w:val="00EA58C7"/>
    <w:rsid w:val="00EA5C58"/>
    <w:rsid w:val="00EA5F6C"/>
    <w:rsid w:val="00EA6B13"/>
    <w:rsid w:val="00EA7057"/>
    <w:rsid w:val="00EA7512"/>
    <w:rsid w:val="00EB02ED"/>
    <w:rsid w:val="00EB0512"/>
    <w:rsid w:val="00EB14B7"/>
    <w:rsid w:val="00EB162D"/>
    <w:rsid w:val="00EB1750"/>
    <w:rsid w:val="00EB1845"/>
    <w:rsid w:val="00EB201C"/>
    <w:rsid w:val="00EB21D8"/>
    <w:rsid w:val="00EB2241"/>
    <w:rsid w:val="00EB2CBD"/>
    <w:rsid w:val="00EB3931"/>
    <w:rsid w:val="00EB3D73"/>
    <w:rsid w:val="00EB4099"/>
    <w:rsid w:val="00EB472A"/>
    <w:rsid w:val="00EB4913"/>
    <w:rsid w:val="00EB4B5D"/>
    <w:rsid w:val="00EB4EFD"/>
    <w:rsid w:val="00EB59DB"/>
    <w:rsid w:val="00EB6590"/>
    <w:rsid w:val="00EB74D5"/>
    <w:rsid w:val="00EB7A1C"/>
    <w:rsid w:val="00EB7F55"/>
    <w:rsid w:val="00EC03D3"/>
    <w:rsid w:val="00EC089D"/>
    <w:rsid w:val="00EC1678"/>
    <w:rsid w:val="00EC1FF7"/>
    <w:rsid w:val="00EC21DE"/>
    <w:rsid w:val="00EC2C66"/>
    <w:rsid w:val="00EC2E02"/>
    <w:rsid w:val="00EC2EBB"/>
    <w:rsid w:val="00EC30A9"/>
    <w:rsid w:val="00EC3160"/>
    <w:rsid w:val="00EC366D"/>
    <w:rsid w:val="00EC4153"/>
    <w:rsid w:val="00EC45DD"/>
    <w:rsid w:val="00EC471F"/>
    <w:rsid w:val="00EC489F"/>
    <w:rsid w:val="00EC5301"/>
    <w:rsid w:val="00EC5898"/>
    <w:rsid w:val="00EC5B7A"/>
    <w:rsid w:val="00EC6AD6"/>
    <w:rsid w:val="00EC7BA6"/>
    <w:rsid w:val="00ED0262"/>
    <w:rsid w:val="00ED0301"/>
    <w:rsid w:val="00ED0B73"/>
    <w:rsid w:val="00ED15C2"/>
    <w:rsid w:val="00ED1A6C"/>
    <w:rsid w:val="00ED21C8"/>
    <w:rsid w:val="00ED2F0A"/>
    <w:rsid w:val="00ED385F"/>
    <w:rsid w:val="00ED483E"/>
    <w:rsid w:val="00ED4935"/>
    <w:rsid w:val="00ED5088"/>
    <w:rsid w:val="00ED508D"/>
    <w:rsid w:val="00ED58F7"/>
    <w:rsid w:val="00ED5BAF"/>
    <w:rsid w:val="00ED648E"/>
    <w:rsid w:val="00ED6C1E"/>
    <w:rsid w:val="00ED6F11"/>
    <w:rsid w:val="00ED6F3B"/>
    <w:rsid w:val="00ED6F7E"/>
    <w:rsid w:val="00ED70B4"/>
    <w:rsid w:val="00ED7517"/>
    <w:rsid w:val="00ED752A"/>
    <w:rsid w:val="00ED7597"/>
    <w:rsid w:val="00EE06DB"/>
    <w:rsid w:val="00EE1DBE"/>
    <w:rsid w:val="00EE22DB"/>
    <w:rsid w:val="00EE23C7"/>
    <w:rsid w:val="00EE2404"/>
    <w:rsid w:val="00EE267C"/>
    <w:rsid w:val="00EE32E7"/>
    <w:rsid w:val="00EE39EE"/>
    <w:rsid w:val="00EE3CC0"/>
    <w:rsid w:val="00EE403B"/>
    <w:rsid w:val="00EE406E"/>
    <w:rsid w:val="00EE590A"/>
    <w:rsid w:val="00EE67B0"/>
    <w:rsid w:val="00EE67E9"/>
    <w:rsid w:val="00EE6F6B"/>
    <w:rsid w:val="00EE74C4"/>
    <w:rsid w:val="00EF0083"/>
    <w:rsid w:val="00EF01C1"/>
    <w:rsid w:val="00EF0D1F"/>
    <w:rsid w:val="00EF1794"/>
    <w:rsid w:val="00EF191C"/>
    <w:rsid w:val="00EF21CF"/>
    <w:rsid w:val="00EF367E"/>
    <w:rsid w:val="00EF39BE"/>
    <w:rsid w:val="00EF3BC2"/>
    <w:rsid w:val="00EF41D3"/>
    <w:rsid w:val="00EF45EA"/>
    <w:rsid w:val="00EF4906"/>
    <w:rsid w:val="00EF4F87"/>
    <w:rsid w:val="00EF5619"/>
    <w:rsid w:val="00EF59D1"/>
    <w:rsid w:val="00EF59F4"/>
    <w:rsid w:val="00EF5ADD"/>
    <w:rsid w:val="00EF74BE"/>
    <w:rsid w:val="00EF7DD2"/>
    <w:rsid w:val="00F00409"/>
    <w:rsid w:val="00F004E3"/>
    <w:rsid w:val="00F008A2"/>
    <w:rsid w:val="00F00CB1"/>
    <w:rsid w:val="00F00CD2"/>
    <w:rsid w:val="00F01B37"/>
    <w:rsid w:val="00F02687"/>
    <w:rsid w:val="00F02BAB"/>
    <w:rsid w:val="00F02FAE"/>
    <w:rsid w:val="00F037AA"/>
    <w:rsid w:val="00F037EC"/>
    <w:rsid w:val="00F03919"/>
    <w:rsid w:val="00F03A3A"/>
    <w:rsid w:val="00F04A96"/>
    <w:rsid w:val="00F051AB"/>
    <w:rsid w:val="00F0550E"/>
    <w:rsid w:val="00F0565D"/>
    <w:rsid w:val="00F05A79"/>
    <w:rsid w:val="00F05CFC"/>
    <w:rsid w:val="00F0619B"/>
    <w:rsid w:val="00F065E2"/>
    <w:rsid w:val="00F0675D"/>
    <w:rsid w:val="00F10299"/>
    <w:rsid w:val="00F10561"/>
    <w:rsid w:val="00F105AA"/>
    <w:rsid w:val="00F10840"/>
    <w:rsid w:val="00F1084A"/>
    <w:rsid w:val="00F10901"/>
    <w:rsid w:val="00F10D36"/>
    <w:rsid w:val="00F10E9B"/>
    <w:rsid w:val="00F11A16"/>
    <w:rsid w:val="00F11DC8"/>
    <w:rsid w:val="00F124D5"/>
    <w:rsid w:val="00F126F3"/>
    <w:rsid w:val="00F126FB"/>
    <w:rsid w:val="00F12C5E"/>
    <w:rsid w:val="00F12C7C"/>
    <w:rsid w:val="00F1334B"/>
    <w:rsid w:val="00F134F7"/>
    <w:rsid w:val="00F1371B"/>
    <w:rsid w:val="00F13D99"/>
    <w:rsid w:val="00F13F5E"/>
    <w:rsid w:val="00F14547"/>
    <w:rsid w:val="00F14E86"/>
    <w:rsid w:val="00F1543A"/>
    <w:rsid w:val="00F154B5"/>
    <w:rsid w:val="00F15859"/>
    <w:rsid w:val="00F15886"/>
    <w:rsid w:val="00F15AD2"/>
    <w:rsid w:val="00F15D3E"/>
    <w:rsid w:val="00F1602E"/>
    <w:rsid w:val="00F171AA"/>
    <w:rsid w:val="00F17C4F"/>
    <w:rsid w:val="00F2004C"/>
    <w:rsid w:val="00F2073C"/>
    <w:rsid w:val="00F21211"/>
    <w:rsid w:val="00F214FE"/>
    <w:rsid w:val="00F22A0B"/>
    <w:rsid w:val="00F22C1D"/>
    <w:rsid w:val="00F22F63"/>
    <w:rsid w:val="00F23053"/>
    <w:rsid w:val="00F230EA"/>
    <w:rsid w:val="00F23776"/>
    <w:rsid w:val="00F2383E"/>
    <w:rsid w:val="00F238CF"/>
    <w:rsid w:val="00F23ED3"/>
    <w:rsid w:val="00F240B3"/>
    <w:rsid w:val="00F241D5"/>
    <w:rsid w:val="00F24A6B"/>
    <w:rsid w:val="00F24A98"/>
    <w:rsid w:val="00F25B3D"/>
    <w:rsid w:val="00F26D11"/>
    <w:rsid w:val="00F26D7E"/>
    <w:rsid w:val="00F27015"/>
    <w:rsid w:val="00F276A2"/>
    <w:rsid w:val="00F276BB"/>
    <w:rsid w:val="00F27844"/>
    <w:rsid w:val="00F27AF0"/>
    <w:rsid w:val="00F30132"/>
    <w:rsid w:val="00F30507"/>
    <w:rsid w:val="00F30854"/>
    <w:rsid w:val="00F31EFA"/>
    <w:rsid w:val="00F32A8E"/>
    <w:rsid w:val="00F334C5"/>
    <w:rsid w:val="00F342D5"/>
    <w:rsid w:val="00F3527A"/>
    <w:rsid w:val="00F35790"/>
    <w:rsid w:val="00F360CE"/>
    <w:rsid w:val="00F37244"/>
    <w:rsid w:val="00F3751A"/>
    <w:rsid w:val="00F37DD5"/>
    <w:rsid w:val="00F40478"/>
    <w:rsid w:val="00F4067D"/>
    <w:rsid w:val="00F4087F"/>
    <w:rsid w:val="00F409E0"/>
    <w:rsid w:val="00F4118F"/>
    <w:rsid w:val="00F41C5B"/>
    <w:rsid w:val="00F41D62"/>
    <w:rsid w:val="00F426C5"/>
    <w:rsid w:val="00F42AC9"/>
    <w:rsid w:val="00F42B65"/>
    <w:rsid w:val="00F43447"/>
    <w:rsid w:val="00F437E2"/>
    <w:rsid w:val="00F43B5D"/>
    <w:rsid w:val="00F442F6"/>
    <w:rsid w:val="00F449E3"/>
    <w:rsid w:val="00F4518F"/>
    <w:rsid w:val="00F45973"/>
    <w:rsid w:val="00F45CB1"/>
    <w:rsid w:val="00F45FCD"/>
    <w:rsid w:val="00F469FF"/>
    <w:rsid w:val="00F46D46"/>
    <w:rsid w:val="00F47584"/>
    <w:rsid w:val="00F47A51"/>
    <w:rsid w:val="00F47BD8"/>
    <w:rsid w:val="00F50508"/>
    <w:rsid w:val="00F50862"/>
    <w:rsid w:val="00F509DB"/>
    <w:rsid w:val="00F50BD0"/>
    <w:rsid w:val="00F50EAF"/>
    <w:rsid w:val="00F510B6"/>
    <w:rsid w:val="00F521A8"/>
    <w:rsid w:val="00F521D4"/>
    <w:rsid w:val="00F53B8D"/>
    <w:rsid w:val="00F54B89"/>
    <w:rsid w:val="00F54C6C"/>
    <w:rsid w:val="00F54E8D"/>
    <w:rsid w:val="00F55852"/>
    <w:rsid w:val="00F56F85"/>
    <w:rsid w:val="00F578BE"/>
    <w:rsid w:val="00F579AC"/>
    <w:rsid w:val="00F57CD9"/>
    <w:rsid w:val="00F57D55"/>
    <w:rsid w:val="00F57F3C"/>
    <w:rsid w:val="00F606C7"/>
    <w:rsid w:val="00F60DA4"/>
    <w:rsid w:val="00F617B5"/>
    <w:rsid w:val="00F62061"/>
    <w:rsid w:val="00F62952"/>
    <w:rsid w:val="00F62A44"/>
    <w:rsid w:val="00F62E80"/>
    <w:rsid w:val="00F63449"/>
    <w:rsid w:val="00F63D39"/>
    <w:rsid w:val="00F643B4"/>
    <w:rsid w:val="00F6475A"/>
    <w:rsid w:val="00F64C16"/>
    <w:rsid w:val="00F64D1C"/>
    <w:rsid w:val="00F65DBA"/>
    <w:rsid w:val="00F664E2"/>
    <w:rsid w:val="00F701C0"/>
    <w:rsid w:val="00F70806"/>
    <w:rsid w:val="00F710EB"/>
    <w:rsid w:val="00F71D89"/>
    <w:rsid w:val="00F71FD9"/>
    <w:rsid w:val="00F72540"/>
    <w:rsid w:val="00F72E2A"/>
    <w:rsid w:val="00F72E42"/>
    <w:rsid w:val="00F736AF"/>
    <w:rsid w:val="00F7370C"/>
    <w:rsid w:val="00F73967"/>
    <w:rsid w:val="00F73BC7"/>
    <w:rsid w:val="00F73BD5"/>
    <w:rsid w:val="00F73DB7"/>
    <w:rsid w:val="00F740D1"/>
    <w:rsid w:val="00F74212"/>
    <w:rsid w:val="00F74234"/>
    <w:rsid w:val="00F7465F"/>
    <w:rsid w:val="00F74A1A"/>
    <w:rsid w:val="00F75A91"/>
    <w:rsid w:val="00F7638E"/>
    <w:rsid w:val="00F76884"/>
    <w:rsid w:val="00F76E16"/>
    <w:rsid w:val="00F770A6"/>
    <w:rsid w:val="00F775C2"/>
    <w:rsid w:val="00F806B5"/>
    <w:rsid w:val="00F8096B"/>
    <w:rsid w:val="00F80992"/>
    <w:rsid w:val="00F80BC8"/>
    <w:rsid w:val="00F80F9E"/>
    <w:rsid w:val="00F818D2"/>
    <w:rsid w:val="00F81EE9"/>
    <w:rsid w:val="00F8279E"/>
    <w:rsid w:val="00F8281D"/>
    <w:rsid w:val="00F82CB0"/>
    <w:rsid w:val="00F8308A"/>
    <w:rsid w:val="00F839A8"/>
    <w:rsid w:val="00F83EAC"/>
    <w:rsid w:val="00F83EB2"/>
    <w:rsid w:val="00F83FB9"/>
    <w:rsid w:val="00F8400B"/>
    <w:rsid w:val="00F840ED"/>
    <w:rsid w:val="00F84845"/>
    <w:rsid w:val="00F84A7F"/>
    <w:rsid w:val="00F84ECB"/>
    <w:rsid w:val="00F8511F"/>
    <w:rsid w:val="00F8538C"/>
    <w:rsid w:val="00F856E2"/>
    <w:rsid w:val="00F857FA"/>
    <w:rsid w:val="00F85A34"/>
    <w:rsid w:val="00F85B22"/>
    <w:rsid w:val="00F86048"/>
    <w:rsid w:val="00F8688F"/>
    <w:rsid w:val="00F86B53"/>
    <w:rsid w:val="00F86D01"/>
    <w:rsid w:val="00F86EB1"/>
    <w:rsid w:val="00F87385"/>
    <w:rsid w:val="00F87A8F"/>
    <w:rsid w:val="00F90D59"/>
    <w:rsid w:val="00F91373"/>
    <w:rsid w:val="00F91973"/>
    <w:rsid w:val="00F91F99"/>
    <w:rsid w:val="00F9210B"/>
    <w:rsid w:val="00F93C48"/>
    <w:rsid w:val="00F940BE"/>
    <w:rsid w:val="00F941FF"/>
    <w:rsid w:val="00F95175"/>
    <w:rsid w:val="00F95724"/>
    <w:rsid w:val="00F957E4"/>
    <w:rsid w:val="00F95E37"/>
    <w:rsid w:val="00F96B81"/>
    <w:rsid w:val="00FA0939"/>
    <w:rsid w:val="00FA0FAD"/>
    <w:rsid w:val="00FA11D4"/>
    <w:rsid w:val="00FA13EE"/>
    <w:rsid w:val="00FA186E"/>
    <w:rsid w:val="00FA1B24"/>
    <w:rsid w:val="00FA1E16"/>
    <w:rsid w:val="00FA2342"/>
    <w:rsid w:val="00FA25D2"/>
    <w:rsid w:val="00FA2786"/>
    <w:rsid w:val="00FA2C2E"/>
    <w:rsid w:val="00FA2DA7"/>
    <w:rsid w:val="00FA38F6"/>
    <w:rsid w:val="00FA40F4"/>
    <w:rsid w:val="00FA419F"/>
    <w:rsid w:val="00FA4368"/>
    <w:rsid w:val="00FA44E6"/>
    <w:rsid w:val="00FA4654"/>
    <w:rsid w:val="00FA4D1D"/>
    <w:rsid w:val="00FA4D4F"/>
    <w:rsid w:val="00FA57A0"/>
    <w:rsid w:val="00FA583F"/>
    <w:rsid w:val="00FA58B4"/>
    <w:rsid w:val="00FA5A2A"/>
    <w:rsid w:val="00FA5E3D"/>
    <w:rsid w:val="00FA66F0"/>
    <w:rsid w:val="00FA6C0F"/>
    <w:rsid w:val="00FA78AC"/>
    <w:rsid w:val="00FA79CE"/>
    <w:rsid w:val="00FA7D32"/>
    <w:rsid w:val="00FA7F8B"/>
    <w:rsid w:val="00FB0332"/>
    <w:rsid w:val="00FB0F91"/>
    <w:rsid w:val="00FB1271"/>
    <w:rsid w:val="00FB19B7"/>
    <w:rsid w:val="00FB267A"/>
    <w:rsid w:val="00FB2B5F"/>
    <w:rsid w:val="00FB2C93"/>
    <w:rsid w:val="00FB3398"/>
    <w:rsid w:val="00FB42A8"/>
    <w:rsid w:val="00FB446F"/>
    <w:rsid w:val="00FB4BE5"/>
    <w:rsid w:val="00FB4CBE"/>
    <w:rsid w:val="00FB4CCC"/>
    <w:rsid w:val="00FB4E03"/>
    <w:rsid w:val="00FB5A44"/>
    <w:rsid w:val="00FB5DB4"/>
    <w:rsid w:val="00FB60FA"/>
    <w:rsid w:val="00FB6498"/>
    <w:rsid w:val="00FB663B"/>
    <w:rsid w:val="00FB664A"/>
    <w:rsid w:val="00FB6AC5"/>
    <w:rsid w:val="00FB70CF"/>
    <w:rsid w:val="00FB7341"/>
    <w:rsid w:val="00FB764E"/>
    <w:rsid w:val="00FB76BC"/>
    <w:rsid w:val="00FC02D0"/>
    <w:rsid w:val="00FC05FA"/>
    <w:rsid w:val="00FC15A1"/>
    <w:rsid w:val="00FC17EE"/>
    <w:rsid w:val="00FC182D"/>
    <w:rsid w:val="00FC1CFE"/>
    <w:rsid w:val="00FC25AB"/>
    <w:rsid w:val="00FC2E23"/>
    <w:rsid w:val="00FC37BC"/>
    <w:rsid w:val="00FC3EC4"/>
    <w:rsid w:val="00FC43A7"/>
    <w:rsid w:val="00FC444A"/>
    <w:rsid w:val="00FC4985"/>
    <w:rsid w:val="00FC4C33"/>
    <w:rsid w:val="00FC5254"/>
    <w:rsid w:val="00FC5E06"/>
    <w:rsid w:val="00FC68F6"/>
    <w:rsid w:val="00FC7381"/>
    <w:rsid w:val="00FC7BDB"/>
    <w:rsid w:val="00FD0280"/>
    <w:rsid w:val="00FD03E6"/>
    <w:rsid w:val="00FD0498"/>
    <w:rsid w:val="00FD0BDF"/>
    <w:rsid w:val="00FD148F"/>
    <w:rsid w:val="00FD1668"/>
    <w:rsid w:val="00FD19FC"/>
    <w:rsid w:val="00FD1A60"/>
    <w:rsid w:val="00FD1FD0"/>
    <w:rsid w:val="00FD221D"/>
    <w:rsid w:val="00FD2D50"/>
    <w:rsid w:val="00FD30CA"/>
    <w:rsid w:val="00FD3267"/>
    <w:rsid w:val="00FD3315"/>
    <w:rsid w:val="00FD34E8"/>
    <w:rsid w:val="00FD38D7"/>
    <w:rsid w:val="00FD3947"/>
    <w:rsid w:val="00FD3AAC"/>
    <w:rsid w:val="00FD5116"/>
    <w:rsid w:val="00FD52FD"/>
    <w:rsid w:val="00FD56BE"/>
    <w:rsid w:val="00FD57F2"/>
    <w:rsid w:val="00FD5AB6"/>
    <w:rsid w:val="00FD5BE9"/>
    <w:rsid w:val="00FD7868"/>
    <w:rsid w:val="00FD7895"/>
    <w:rsid w:val="00FE0114"/>
    <w:rsid w:val="00FE02C7"/>
    <w:rsid w:val="00FE034C"/>
    <w:rsid w:val="00FE0CA1"/>
    <w:rsid w:val="00FE0FEA"/>
    <w:rsid w:val="00FE104C"/>
    <w:rsid w:val="00FE1231"/>
    <w:rsid w:val="00FE14E9"/>
    <w:rsid w:val="00FE153A"/>
    <w:rsid w:val="00FE1E4D"/>
    <w:rsid w:val="00FE2837"/>
    <w:rsid w:val="00FE2BE9"/>
    <w:rsid w:val="00FE3137"/>
    <w:rsid w:val="00FE3D9F"/>
    <w:rsid w:val="00FE4169"/>
    <w:rsid w:val="00FE476F"/>
    <w:rsid w:val="00FE48D2"/>
    <w:rsid w:val="00FE4FD7"/>
    <w:rsid w:val="00FE5CA9"/>
    <w:rsid w:val="00FE620D"/>
    <w:rsid w:val="00FE6401"/>
    <w:rsid w:val="00FE6A61"/>
    <w:rsid w:val="00FE6C99"/>
    <w:rsid w:val="00FE7014"/>
    <w:rsid w:val="00FE703B"/>
    <w:rsid w:val="00FE720E"/>
    <w:rsid w:val="00FE727B"/>
    <w:rsid w:val="00FE77CC"/>
    <w:rsid w:val="00FE78FA"/>
    <w:rsid w:val="00FF052A"/>
    <w:rsid w:val="00FF06C7"/>
    <w:rsid w:val="00FF0861"/>
    <w:rsid w:val="00FF09E8"/>
    <w:rsid w:val="00FF0A76"/>
    <w:rsid w:val="00FF0BD1"/>
    <w:rsid w:val="00FF0DB8"/>
    <w:rsid w:val="00FF176C"/>
    <w:rsid w:val="00FF2265"/>
    <w:rsid w:val="00FF2765"/>
    <w:rsid w:val="00FF2F62"/>
    <w:rsid w:val="00FF3148"/>
    <w:rsid w:val="00FF38C0"/>
    <w:rsid w:val="00FF3F34"/>
    <w:rsid w:val="00FF45C7"/>
    <w:rsid w:val="00FF4C0D"/>
    <w:rsid w:val="00FF4C81"/>
    <w:rsid w:val="00FF7655"/>
    <w:rsid w:val="00FF7C4F"/>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009C993C-D3BD-4FEC-9CEA-9820754B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BF8"/>
    <w:rPr>
      <w:sz w:val="24"/>
      <w:szCs w:val="24"/>
      <w:lang w:val="es-ES" w:eastAsia="es-ES"/>
    </w:rPr>
  </w:style>
  <w:style w:type="paragraph" w:styleId="Ttulo1">
    <w:name w:val="heading 1"/>
    <w:basedOn w:val="Normal"/>
    <w:next w:val="Normal"/>
    <w:link w:val="Ttulo1Car"/>
    <w:qFormat/>
    <w:rsid w:val="00365A19"/>
    <w:pPr>
      <w:keepNext/>
      <w:outlineLvl w:val="0"/>
    </w:pPr>
    <w:rPr>
      <w:rFonts w:ascii="Arial" w:hAnsi="Arial" w:cs="Arial"/>
      <w:b/>
      <w:bCs/>
      <w:i/>
      <w:iCs/>
      <w:vanish/>
      <w:color w:val="000080"/>
      <w:u w:val="wave"/>
      <w:lang w:val="es-ES_tradnl"/>
    </w:rPr>
  </w:style>
  <w:style w:type="paragraph" w:styleId="Ttulo2">
    <w:name w:val="heading 2"/>
    <w:basedOn w:val="Normal"/>
    <w:next w:val="Normal"/>
    <w:link w:val="Ttulo2Car"/>
    <w:qFormat/>
    <w:rsid w:val="00365A19"/>
    <w:pPr>
      <w:keepNext/>
      <w:outlineLvl w:val="1"/>
    </w:pPr>
    <w:rPr>
      <w:rFonts w:ascii="Arial" w:hAnsi="Arial" w:cs="Arial"/>
      <w:b/>
      <w:bCs/>
      <w:lang w:val="es-ES_tradnl"/>
    </w:rPr>
  </w:style>
  <w:style w:type="paragraph" w:styleId="Ttulo3">
    <w:name w:val="heading 3"/>
    <w:basedOn w:val="Normal"/>
    <w:next w:val="Normal"/>
    <w:link w:val="Ttulo3Car"/>
    <w:qFormat/>
    <w:rsid w:val="00365A19"/>
    <w:pPr>
      <w:keepNext/>
      <w:outlineLvl w:val="2"/>
    </w:pPr>
    <w:rPr>
      <w:rFonts w:ascii="Arial" w:hAnsi="Arial" w:cs="Arial"/>
      <w:b/>
      <w:bCs/>
      <w:color w:val="000000"/>
      <w:lang w:val="es-ES_tradnl"/>
    </w:rPr>
  </w:style>
  <w:style w:type="paragraph" w:styleId="Ttulo4">
    <w:name w:val="heading 4"/>
    <w:basedOn w:val="Normal"/>
    <w:next w:val="Normal"/>
    <w:link w:val="Ttulo4Car"/>
    <w:qFormat/>
    <w:rsid w:val="00365A19"/>
    <w:pPr>
      <w:keepNext/>
      <w:jc w:val="both"/>
      <w:outlineLvl w:val="3"/>
    </w:pPr>
    <w:rPr>
      <w:rFonts w:ascii="Arial" w:hAnsi="Arial" w:cs="Arial"/>
      <w:b/>
      <w:bCs/>
      <w:color w:val="000000"/>
      <w:lang w:val="es-ES_tradnl"/>
    </w:rPr>
  </w:style>
  <w:style w:type="paragraph" w:styleId="Ttulo5">
    <w:name w:val="heading 5"/>
    <w:basedOn w:val="Normal"/>
    <w:next w:val="Normal"/>
    <w:link w:val="Ttulo5Car"/>
    <w:qFormat/>
    <w:rsid w:val="00365A19"/>
    <w:pPr>
      <w:keepNext/>
      <w:jc w:val="both"/>
      <w:outlineLvl w:val="4"/>
    </w:pPr>
    <w:rPr>
      <w:rFonts w:ascii="Arial" w:hAnsi="Arial" w:cs="Arial"/>
      <w:b/>
      <w:bCs/>
      <w:color w:val="000000"/>
      <w:lang w:val="es-ES_tradnl"/>
    </w:rPr>
  </w:style>
  <w:style w:type="paragraph" w:styleId="Ttulo6">
    <w:name w:val="heading 6"/>
    <w:basedOn w:val="Normal"/>
    <w:next w:val="Normal"/>
    <w:link w:val="Ttulo6Car"/>
    <w:qFormat/>
    <w:rsid w:val="00365A19"/>
    <w:pPr>
      <w:keepNext/>
      <w:outlineLvl w:val="5"/>
    </w:pPr>
    <w:rPr>
      <w:rFonts w:ascii="Arial" w:hAnsi="Arial" w:cs="Arial"/>
      <w:b/>
      <w:bCs/>
      <w:color w:val="000000"/>
    </w:rPr>
  </w:style>
  <w:style w:type="paragraph" w:styleId="Ttulo7">
    <w:name w:val="heading 7"/>
    <w:basedOn w:val="Normal"/>
    <w:next w:val="Normal"/>
    <w:link w:val="Ttulo7Car"/>
    <w:qFormat/>
    <w:rsid w:val="00365A19"/>
    <w:pPr>
      <w:keepNext/>
      <w:jc w:val="center"/>
      <w:outlineLvl w:val="6"/>
    </w:pPr>
    <w:rPr>
      <w:rFonts w:ascii="Arial" w:hAnsi="Arial" w:cs="Arial"/>
      <w:b/>
      <w:bCs/>
      <w:color w:val="000000"/>
      <w:lang w:val="es-ES_tradnl"/>
    </w:rPr>
  </w:style>
  <w:style w:type="paragraph" w:styleId="Ttulo8">
    <w:name w:val="heading 8"/>
    <w:basedOn w:val="Normal"/>
    <w:next w:val="Normal"/>
    <w:link w:val="Ttulo8Car"/>
    <w:qFormat/>
    <w:rsid w:val="00365A19"/>
    <w:pPr>
      <w:keepNext/>
      <w:jc w:val="center"/>
      <w:outlineLvl w:val="7"/>
    </w:pPr>
    <w:rPr>
      <w:rFonts w:ascii="Arial" w:hAnsi="Arial" w:cs="Arial"/>
      <w:b/>
      <w:bCs/>
      <w:lang w:val="es-ES_tradnl"/>
    </w:rPr>
  </w:style>
  <w:style w:type="paragraph" w:styleId="Ttulo9">
    <w:name w:val="heading 9"/>
    <w:basedOn w:val="Normal"/>
    <w:next w:val="Normal"/>
    <w:link w:val="Ttulo9Car"/>
    <w:qFormat/>
    <w:rsid w:val="00365A19"/>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jc w:val="both"/>
      <w:outlineLvl w:val="8"/>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autoRedefine/>
    <w:rsid w:val="00365A19"/>
    <w:pPr>
      <w:widowControl w:val="0"/>
      <w:tabs>
        <w:tab w:val="num" w:pos="360"/>
      </w:tabs>
      <w:ind w:left="360" w:hanging="360"/>
      <w:jc w:val="both"/>
    </w:pPr>
    <w:rPr>
      <w:rFonts w:ascii="Arial" w:hAnsi="Arial" w:cs="Arial"/>
      <w:color w:val="000000"/>
    </w:rPr>
  </w:style>
  <w:style w:type="paragraph" w:styleId="Puesto">
    <w:name w:val="Title"/>
    <w:basedOn w:val="Normal"/>
    <w:link w:val="PuestoCar"/>
    <w:qFormat/>
    <w:rsid w:val="00365A19"/>
    <w:pPr>
      <w:jc w:val="center"/>
    </w:pPr>
    <w:rPr>
      <w:rFonts w:ascii="Arial" w:hAnsi="Arial" w:cs="Arial"/>
      <w:b/>
      <w:bCs/>
      <w:color w:val="000000"/>
    </w:rPr>
  </w:style>
  <w:style w:type="paragraph" w:customStyle="1" w:styleId="cuerpotexto">
    <w:name w:val="cuerpotexto"/>
    <w:basedOn w:val="Normal"/>
    <w:rsid w:val="00365A19"/>
    <w:pPr>
      <w:autoSpaceDE w:val="0"/>
      <w:autoSpaceDN w:val="0"/>
      <w:spacing w:before="28" w:after="28" w:line="210" w:lineRule="atLeast"/>
      <w:ind w:firstLine="283"/>
      <w:jc w:val="both"/>
    </w:pPr>
    <w:rPr>
      <w:color w:val="000000"/>
      <w:sz w:val="19"/>
      <w:szCs w:val="19"/>
    </w:rPr>
  </w:style>
  <w:style w:type="paragraph" w:styleId="Encabezado">
    <w:name w:val="header"/>
    <w:basedOn w:val="Normal"/>
    <w:link w:val="EncabezadoCar"/>
    <w:uiPriority w:val="99"/>
    <w:rsid w:val="00365A19"/>
    <w:pPr>
      <w:tabs>
        <w:tab w:val="center" w:pos="4252"/>
        <w:tab w:val="right" w:pos="8504"/>
      </w:tabs>
    </w:pPr>
    <w:rPr>
      <w:rFonts w:ascii="Arial" w:hAnsi="Arial" w:cs="Arial"/>
      <w:color w:val="000000"/>
    </w:rPr>
  </w:style>
  <w:style w:type="paragraph" w:styleId="Textoindependiente3">
    <w:name w:val="Body Text 3"/>
    <w:basedOn w:val="Normal"/>
    <w:link w:val="Textoindependiente3Car"/>
    <w:rsid w:val="00365A19"/>
    <w:pPr>
      <w:jc w:val="both"/>
    </w:pPr>
    <w:rPr>
      <w:rFonts w:ascii="Arial" w:hAnsi="Arial" w:cs="Arial"/>
      <w:color w:val="000000"/>
    </w:rPr>
  </w:style>
  <w:style w:type="character" w:customStyle="1" w:styleId="Textoindependiente3Car">
    <w:name w:val="Texto independiente 3 Car"/>
    <w:basedOn w:val="Fuentedeprrafopredeter"/>
    <w:link w:val="Textoindependiente3"/>
    <w:rsid w:val="000C5621"/>
    <w:rPr>
      <w:rFonts w:ascii="Arial" w:hAnsi="Arial" w:cs="Arial"/>
      <w:color w:val="000000"/>
      <w:sz w:val="24"/>
      <w:szCs w:val="24"/>
      <w:lang w:val="es-ES" w:eastAsia="es-ES"/>
    </w:rPr>
  </w:style>
  <w:style w:type="paragraph" w:styleId="Piedepgina">
    <w:name w:val="footer"/>
    <w:basedOn w:val="Normal"/>
    <w:link w:val="PiedepginaCar"/>
    <w:uiPriority w:val="99"/>
    <w:rsid w:val="00365A19"/>
    <w:pPr>
      <w:tabs>
        <w:tab w:val="center" w:pos="4252"/>
        <w:tab w:val="right" w:pos="8504"/>
      </w:tabs>
    </w:pPr>
    <w:rPr>
      <w:rFonts w:ascii="Arial" w:hAnsi="Arial" w:cs="Arial"/>
      <w:color w:val="000000"/>
    </w:rPr>
  </w:style>
  <w:style w:type="paragraph" w:styleId="Textoindependiente">
    <w:name w:val="Body Text"/>
    <w:basedOn w:val="Normal"/>
    <w:link w:val="TextoindependienteCar"/>
    <w:rsid w:val="00365A19"/>
    <w:pPr>
      <w:jc w:val="both"/>
    </w:pPr>
    <w:rPr>
      <w:rFonts w:ascii="Arial" w:hAnsi="Arial" w:cs="Arial"/>
      <w:b/>
      <w:bCs/>
      <w:i/>
      <w:iCs/>
      <w:vanish/>
      <w:color w:val="000080"/>
      <w:u w:val="wave"/>
      <w:lang w:val="es-ES_tradnl"/>
    </w:rPr>
  </w:style>
  <w:style w:type="paragraph" w:styleId="Lista">
    <w:name w:val="List"/>
    <w:basedOn w:val="Normal"/>
    <w:rsid w:val="00365A19"/>
    <w:pPr>
      <w:widowControl w:val="0"/>
      <w:ind w:left="283" w:hanging="283"/>
    </w:pPr>
    <w:rPr>
      <w:color w:val="000000"/>
      <w:sz w:val="20"/>
      <w:szCs w:val="20"/>
    </w:rPr>
  </w:style>
  <w:style w:type="paragraph" w:styleId="Textoindependiente2">
    <w:name w:val="Body Text 2"/>
    <w:basedOn w:val="Normal"/>
    <w:link w:val="Textoindependiente2Car"/>
    <w:rsid w:val="00365A19"/>
    <w:pPr>
      <w:jc w:val="both"/>
    </w:pPr>
    <w:rPr>
      <w:rFonts w:ascii="Arial" w:hAnsi="Arial" w:cs="Arial"/>
      <w:b/>
      <w:bCs/>
      <w:color w:val="000000"/>
      <w:lang w:val="es-ES_tradnl"/>
    </w:rPr>
  </w:style>
  <w:style w:type="character" w:customStyle="1" w:styleId="Textoindependiente2Car">
    <w:name w:val="Texto independiente 2 Car"/>
    <w:basedOn w:val="Fuentedeprrafopredeter"/>
    <w:link w:val="Textoindependiente2"/>
    <w:rsid w:val="00712FA8"/>
    <w:rPr>
      <w:rFonts w:ascii="Arial" w:hAnsi="Arial" w:cs="Arial"/>
      <w:b/>
      <w:bCs/>
      <w:color w:val="000000"/>
      <w:sz w:val="24"/>
      <w:szCs w:val="24"/>
      <w:lang w:val="es-ES_tradnl" w:eastAsia="es-ES"/>
    </w:rPr>
  </w:style>
  <w:style w:type="paragraph" w:styleId="Sangra2detindependiente">
    <w:name w:val="Body Text Indent 2"/>
    <w:basedOn w:val="Normal"/>
    <w:link w:val="Sangra2detindependienteCar"/>
    <w:rsid w:val="00365A19"/>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left="283" w:hanging="283"/>
      <w:jc w:val="both"/>
    </w:pPr>
    <w:rPr>
      <w:rFonts w:ascii="Arial" w:hAnsi="Arial" w:cs="Arial"/>
      <w:b/>
      <w:bCs/>
      <w:color w:val="000000"/>
    </w:rPr>
  </w:style>
  <w:style w:type="paragraph" w:styleId="Sangra3detindependiente">
    <w:name w:val="Body Text Indent 3"/>
    <w:basedOn w:val="Normal"/>
    <w:link w:val="Sangra3detindependienteCar"/>
    <w:rsid w:val="00365A1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left="284" w:hanging="284"/>
      <w:jc w:val="both"/>
    </w:pPr>
    <w:rPr>
      <w:rFonts w:ascii="Arial" w:hAnsi="Arial" w:cs="Arial"/>
      <w:color w:val="000000"/>
    </w:rPr>
  </w:style>
  <w:style w:type="paragraph" w:styleId="Subttulo">
    <w:name w:val="Subtitle"/>
    <w:basedOn w:val="Normal"/>
    <w:link w:val="SubttuloCar"/>
    <w:qFormat/>
    <w:rsid w:val="00365A19"/>
    <w:rPr>
      <w:rFonts w:ascii="Arial" w:hAnsi="Arial" w:cs="Arial"/>
      <w:b/>
      <w:bCs/>
      <w:color w:val="000000"/>
    </w:rPr>
  </w:style>
  <w:style w:type="character" w:styleId="Nmerodepgina">
    <w:name w:val="page number"/>
    <w:basedOn w:val="Fuentedeprrafopredeter"/>
    <w:rsid w:val="00365A19"/>
  </w:style>
  <w:style w:type="table" w:styleId="Tablaconcuadrcula">
    <w:name w:val="Table Grid"/>
    <w:basedOn w:val="Tablanormal"/>
    <w:uiPriority w:val="59"/>
    <w:rsid w:val="000B5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rsid w:val="004A391A"/>
    <w:rPr>
      <w:sz w:val="16"/>
      <w:szCs w:val="16"/>
    </w:rPr>
  </w:style>
  <w:style w:type="paragraph" w:styleId="Textocomentario">
    <w:name w:val="annotation text"/>
    <w:basedOn w:val="Normal"/>
    <w:link w:val="TextocomentarioCar"/>
    <w:semiHidden/>
    <w:rsid w:val="004A391A"/>
    <w:rPr>
      <w:sz w:val="20"/>
      <w:szCs w:val="20"/>
    </w:rPr>
  </w:style>
  <w:style w:type="paragraph" w:styleId="Sangradetextonormal">
    <w:name w:val="Body Text Indent"/>
    <w:basedOn w:val="Normal"/>
    <w:link w:val="SangradetextonormalCar"/>
    <w:rsid w:val="00CD40DF"/>
    <w:pPr>
      <w:spacing w:after="120"/>
      <w:ind w:left="283"/>
    </w:pPr>
  </w:style>
  <w:style w:type="paragraph" w:styleId="Prrafodelista">
    <w:name w:val="List Paragraph"/>
    <w:basedOn w:val="Normal"/>
    <w:uiPriority w:val="34"/>
    <w:qFormat/>
    <w:rsid w:val="00463281"/>
    <w:pPr>
      <w:ind w:left="708"/>
    </w:pPr>
    <w:rPr>
      <w:rFonts w:ascii="Arial Narrow" w:hAnsi="Arial Narrow"/>
      <w:szCs w:val="20"/>
      <w:lang w:val="es-CO"/>
    </w:rPr>
  </w:style>
  <w:style w:type="paragraph" w:styleId="Textonotapie">
    <w:name w:val="footnote text"/>
    <w:basedOn w:val="Normal"/>
    <w:link w:val="TextonotapieCar"/>
    <w:rsid w:val="00DD0A27"/>
    <w:rPr>
      <w:sz w:val="20"/>
      <w:szCs w:val="20"/>
    </w:rPr>
  </w:style>
  <w:style w:type="character" w:customStyle="1" w:styleId="TextonotapieCar">
    <w:name w:val="Texto nota pie Car"/>
    <w:basedOn w:val="Fuentedeprrafopredeter"/>
    <w:link w:val="Textonotapie"/>
    <w:rsid w:val="00DD0A27"/>
    <w:rPr>
      <w:lang w:val="es-ES" w:eastAsia="es-ES"/>
    </w:rPr>
  </w:style>
  <w:style w:type="character" w:styleId="Refdenotaalpie">
    <w:name w:val="footnote reference"/>
    <w:basedOn w:val="Fuentedeprrafopredeter"/>
    <w:rsid w:val="00DD0A27"/>
    <w:rPr>
      <w:vertAlign w:val="superscript"/>
    </w:rPr>
  </w:style>
  <w:style w:type="character" w:customStyle="1" w:styleId="EncabezadoCar">
    <w:name w:val="Encabezado Car"/>
    <w:basedOn w:val="Fuentedeprrafopredeter"/>
    <w:link w:val="Encabezado"/>
    <w:uiPriority w:val="99"/>
    <w:locked/>
    <w:rsid w:val="00A033E2"/>
    <w:rPr>
      <w:rFonts w:ascii="Arial" w:hAnsi="Arial" w:cs="Arial"/>
      <w:color w:val="000000"/>
      <w:sz w:val="24"/>
      <w:szCs w:val="24"/>
      <w:lang w:val="es-ES" w:eastAsia="es-ES"/>
    </w:rPr>
  </w:style>
  <w:style w:type="table" w:customStyle="1" w:styleId="Sombreadoclaro1">
    <w:name w:val="Sombreado claro1"/>
    <w:basedOn w:val="Tablanormal"/>
    <w:uiPriority w:val="60"/>
    <w:rsid w:val="00A6132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moderna">
    <w:name w:val="Table Contemporary"/>
    <w:basedOn w:val="Tablanormal"/>
    <w:rsid w:val="00A6132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conefectos3D3">
    <w:name w:val="Table 3D effects 3"/>
    <w:basedOn w:val="Tablanormal"/>
    <w:rsid w:val="00193A3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odeglobo">
    <w:name w:val="Balloon Text"/>
    <w:basedOn w:val="Normal"/>
    <w:link w:val="TextodegloboCar"/>
    <w:uiPriority w:val="99"/>
    <w:rsid w:val="00612C9D"/>
    <w:rPr>
      <w:rFonts w:ascii="Tahoma" w:hAnsi="Tahoma" w:cs="Tahoma"/>
      <w:sz w:val="16"/>
      <w:szCs w:val="16"/>
    </w:rPr>
  </w:style>
  <w:style w:type="character" w:customStyle="1" w:styleId="TextodegloboCar">
    <w:name w:val="Texto de globo Car"/>
    <w:basedOn w:val="Fuentedeprrafopredeter"/>
    <w:link w:val="Textodeglobo"/>
    <w:uiPriority w:val="99"/>
    <w:rsid w:val="00612C9D"/>
    <w:rPr>
      <w:rFonts w:ascii="Tahoma" w:hAnsi="Tahoma" w:cs="Tahoma"/>
      <w:sz w:val="16"/>
      <w:szCs w:val="16"/>
      <w:lang w:val="es-ES" w:eastAsia="es-ES"/>
    </w:rPr>
  </w:style>
  <w:style w:type="character" w:styleId="Hipervnculo">
    <w:name w:val="Hyperlink"/>
    <w:basedOn w:val="Fuentedeprrafopredeter"/>
    <w:uiPriority w:val="99"/>
    <w:rsid w:val="00E60DDE"/>
    <w:rPr>
      <w:color w:val="AD1F1F" w:themeColor="hyperlink"/>
      <w:u w:val="single"/>
    </w:rPr>
  </w:style>
  <w:style w:type="character" w:styleId="Hipervnculovisitado">
    <w:name w:val="FollowedHyperlink"/>
    <w:basedOn w:val="Fuentedeprrafopredeter"/>
    <w:uiPriority w:val="99"/>
    <w:unhideWhenUsed/>
    <w:rsid w:val="00735B74"/>
    <w:rPr>
      <w:color w:val="800080"/>
      <w:u w:val="single"/>
    </w:rPr>
  </w:style>
  <w:style w:type="paragraph" w:customStyle="1" w:styleId="font5">
    <w:name w:val="font5"/>
    <w:basedOn w:val="Normal"/>
    <w:rsid w:val="00735B74"/>
    <w:pPr>
      <w:spacing w:before="100" w:beforeAutospacing="1" w:after="100" w:afterAutospacing="1"/>
    </w:pPr>
    <w:rPr>
      <w:rFonts w:ascii="Arial" w:hAnsi="Arial" w:cs="Arial"/>
      <w:sz w:val="14"/>
      <w:szCs w:val="14"/>
      <w:lang w:val="es-CO" w:eastAsia="es-CO"/>
    </w:rPr>
  </w:style>
  <w:style w:type="paragraph" w:customStyle="1" w:styleId="xl63">
    <w:name w:val="xl63"/>
    <w:basedOn w:val="Normal"/>
    <w:rsid w:val="00735B74"/>
    <w:pPr>
      <w:pBdr>
        <w:top w:val="single" w:sz="8" w:space="0" w:color="auto"/>
        <w:lef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64">
    <w:name w:val="xl64"/>
    <w:basedOn w:val="Normal"/>
    <w:rsid w:val="00735B74"/>
    <w:pPr>
      <w:pBdr>
        <w:top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65">
    <w:name w:val="xl65"/>
    <w:basedOn w:val="Normal"/>
    <w:rsid w:val="00735B74"/>
    <w:pPr>
      <w:pBdr>
        <w:top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66">
    <w:name w:val="xl66"/>
    <w:basedOn w:val="Normal"/>
    <w:rsid w:val="00735B74"/>
    <w:pPr>
      <w:spacing w:before="100" w:beforeAutospacing="1" w:after="100" w:afterAutospacing="1"/>
    </w:pPr>
    <w:rPr>
      <w:rFonts w:ascii="Arial" w:hAnsi="Arial" w:cs="Arial"/>
      <w:lang w:val="es-CO" w:eastAsia="es-CO"/>
    </w:rPr>
  </w:style>
  <w:style w:type="paragraph" w:customStyle="1" w:styleId="xl67">
    <w:name w:val="xl67"/>
    <w:basedOn w:val="Normal"/>
    <w:rsid w:val="00735B74"/>
    <w:pPr>
      <w:pBdr>
        <w:lef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68">
    <w:name w:val="xl68"/>
    <w:basedOn w:val="Normal"/>
    <w:rsid w:val="00735B74"/>
    <w:pPr>
      <w:shd w:val="clear" w:color="000000" w:fill="FFFFFF"/>
      <w:spacing w:before="100" w:beforeAutospacing="1" w:after="100" w:afterAutospacing="1"/>
    </w:pPr>
    <w:rPr>
      <w:rFonts w:ascii="Arial" w:hAnsi="Arial" w:cs="Arial"/>
      <w:b/>
      <w:bCs/>
      <w:lang w:val="es-CO" w:eastAsia="es-CO"/>
    </w:rPr>
  </w:style>
  <w:style w:type="paragraph" w:customStyle="1" w:styleId="xl69">
    <w:name w:val="xl69"/>
    <w:basedOn w:val="Normal"/>
    <w:rsid w:val="00735B74"/>
    <w:pPr>
      <w:shd w:val="clear" w:color="000000" w:fill="FFFFFF"/>
      <w:spacing w:before="100" w:beforeAutospacing="1" w:after="100" w:afterAutospacing="1"/>
    </w:pPr>
    <w:rPr>
      <w:rFonts w:ascii="Arial" w:hAnsi="Arial" w:cs="Arial"/>
      <w:b/>
      <w:bCs/>
      <w:lang w:val="es-CO" w:eastAsia="es-CO"/>
    </w:rPr>
  </w:style>
  <w:style w:type="paragraph" w:customStyle="1" w:styleId="xl70">
    <w:name w:val="xl70"/>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71">
    <w:name w:val="xl71"/>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72">
    <w:name w:val="xl72"/>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73">
    <w:name w:val="xl73"/>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74">
    <w:name w:val="xl74"/>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75">
    <w:name w:val="xl75"/>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76">
    <w:name w:val="xl76"/>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77">
    <w:name w:val="xl77"/>
    <w:basedOn w:val="Normal"/>
    <w:rsid w:val="00735B74"/>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pPr>
    <w:rPr>
      <w:rFonts w:ascii="Arial" w:hAnsi="Arial" w:cs="Arial"/>
      <w:lang w:val="es-CO" w:eastAsia="es-CO"/>
    </w:rPr>
  </w:style>
  <w:style w:type="paragraph" w:customStyle="1" w:styleId="xl78">
    <w:name w:val="xl78"/>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79">
    <w:name w:val="xl79"/>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80">
    <w:name w:val="xl80"/>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81">
    <w:name w:val="xl81"/>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82">
    <w:name w:val="xl82"/>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83">
    <w:name w:val="xl83"/>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pPr>
    <w:rPr>
      <w:rFonts w:ascii="Arial" w:hAnsi="Arial" w:cs="Arial"/>
      <w:lang w:val="es-CO" w:eastAsia="es-CO"/>
    </w:rPr>
  </w:style>
  <w:style w:type="paragraph" w:customStyle="1" w:styleId="xl84">
    <w:name w:val="xl84"/>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85">
    <w:name w:val="xl85"/>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86">
    <w:name w:val="xl86"/>
    <w:basedOn w:val="Normal"/>
    <w:rsid w:val="00735B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87">
    <w:name w:val="xl87"/>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color w:val="000000"/>
      <w:lang w:val="es-CO" w:eastAsia="es-CO"/>
    </w:rPr>
  </w:style>
  <w:style w:type="paragraph" w:customStyle="1" w:styleId="xl88">
    <w:name w:val="xl88"/>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89">
    <w:name w:val="xl89"/>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90">
    <w:name w:val="xl90"/>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91">
    <w:name w:val="xl91"/>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92">
    <w:name w:val="xl92"/>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93">
    <w:name w:val="xl93"/>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sz w:val="18"/>
      <w:szCs w:val="18"/>
      <w:lang w:val="es-CO" w:eastAsia="es-CO"/>
    </w:rPr>
  </w:style>
  <w:style w:type="paragraph" w:customStyle="1" w:styleId="xl94">
    <w:name w:val="xl94"/>
    <w:basedOn w:val="Normal"/>
    <w:rsid w:val="00735B74"/>
    <w:pPr>
      <w:spacing w:before="100" w:beforeAutospacing="1" w:after="100" w:afterAutospacing="1"/>
    </w:pPr>
    <w:rPr>
      <w:rFonts w:ascii="Arial" w:hAnsi="Arial" w:cs="Arial"/>
      <w:lang w:val="es-CO" w:eastAsia="es-CO"/>
    </w:rPr>
  </w:style>
  <w:style w:type="paragraph" w:customStyle="1" w:styleId="xl95">
    <w:name w:val="xl95"/>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96">
    <w:name w:val="xl96"/>
    <w:basedOn w:val="Normal"/>
    <w:rsid w:val="00735B74"/>
    <w:pPr>
      <w:shd w:val="clear" w:color="000000" w:fill="333399"/>
      <w:spacing w:before="100" w:beforeAutospacing="1" w:after="100" w:afterAutospacing="1"/>
    </w:pPr>
    <w:rPr>
      <w:rFonts w:ascii="Arial" w:hAnsi="Arial" w:cs="Arial"/>
      <w:lang w:val="es-CO" w:eastAsia="es-CO"/>
    </w:rPr>
  </w:style>
  <w:style w:type="paragraph" w:customStyle="1" w:styleId="xl97">
    <w:name w:val="xl97"/>
    <w:basedOn w:val="Normal"/>
    <w:rsid w:val="00735B7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98">
    <w:name w:val="xl98"/>
    <w:basedOn w:val="Normal"/>
    <w:rsid w:val="00735B7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99">
    <w:name w:val="xl99"/>
    <w:basedOn w:val="Normal"/>
    <w:rsid w:val="00735B7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100">
    <w:name w:val="xl100"/>
    <w:basedOn w:val="Normal"/>
    <w:rsid w:val="00735B74"/>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01">
    <w:name w:val="xl101"/>
    <w:basedOn w:val="Normal"/>
    <w:rsid w:val="00735B7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102">
    <w:name w:val="xl102"/>
    <w:basedOn w:val="Normal"/>
    <w:rsid w:val="00735B74"/>
    <w:pPr>
      <w:pBdr>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103">
    <w:name w:val="xl103"/>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104">
    <w:name w:val="xl104"/>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105">
    <w:name w:val="xl105"/>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06">
    <w:name w:val="xl106"/>
    <w:basedOn w:val="Normal"/>
    <w:rsid w:val="00735B74"/>
    <w:pPr>
      <w:pBdr>
        <w:left w:val="single" w:sz="8" w:space="0" w:color="auto"/>
        <w:bottom w:val="single" w:sz="12"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07">
    <w:name w:val="xl107"/>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108">
    <w:name w:val="xl108"/>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109">
    <w:name w:val="xl109"/>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10">
    <w:name w:val="xl110"/>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pPr>
    <w:rPr>
      <w:rFonts w:ascii="Arial" w:hAnsi="Arial" w:cs="Arial"/>
      <w:sz w:val="16"/>
      <w:szCs w:val="16"/>
      <w:lang w:val="es-CO" w:eastAsia="es-CO"/>
    </w:rPr>
  </w:style>
  <w:style w:type="paragraph" w:customStyle="1" w:styleId="xl111">
    <w:name w:val="xl111"/>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12">
    <w:name w:val="xl112"/>
    <w:basedOn w:val="Normal"/>
    <w:rsid w:val="00735B74"/>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113">
    <w:name w:val="xl113"/>
    <w:basedOn w:val="Normal"/>
    <w:rsid w:val="00735B74"/>
    <w:pPr>
      <w:pBdr>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114">
    <w:name w:val="xl114"/>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115">
    <w:name w:val="xl115"/>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116">
    <w:name w:val="xl116"/>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117">
    <w:name w:val="xl117"/>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118">
    <w:name w:val="xl118"/>
    <w:basedOn w:val="Normal"/>
    <w:rsid w:val="00735B74"/>
    <w:pPr>
      <w:pBdr>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8"/>
      <w:szCs w:val="18"/>
      <w:lang w:val="es-CO" w:eastAsia="es-CO"/>
    </w:rPr>
  </w:style>
  <w:style w:type="paragraph" w:customStyle="1" w:styleId="xl119">
    <w:name w:val="xl119"/>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20">
    <w:name w:val="xl120"/>
    <w:basedOn w:val="Normal"/>
    <w:rsid w:val="00735B7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121">
    <w:name w:val="xl121"/>
    <w:basedOn w:val="Normal"/>
    <w:rsid w:val="00735B74"/>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s-CO" w:eastAsia="es-CO"/>
    </w:rPr>
  </w:style>
  <w:style w:type="paragraph" w:customStyle="1" w:styleId="xl122">
    <w:name w:val="xl122"/>
    <w:basedOn w:val="Normal"/>
    <w:rsid w:val="00735B7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123">
    <w:name w:val="xl123"/>
    <w:basedOn w:val="Normal"/>
    <w:rsid w:val="00735B7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24">
    <w:name w:val="xl124"/>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125">
    <w:name w:val="xl125"/>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26">
    <w:name w:val="xl126"/>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27">
    <w:name w:val="xl127"/>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sz w:val="18"/>
      <w:szCs w:val="18"/>
      <w:lang w:val="es-CO" w:eastAsia="es-CO"/>
    </w:rPr>
  </w:style>
  <w:style w:type="paragraph" w:customStyle="1" w:styleId="xl128">
    <w:name w:val="xl128"/>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29">
    <w:name w:val="xl129"/>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lang w:val="es-CO" w:eastAsia="es-CO"/>
    </w:rPr>
  </w:style>
  <w:style w:type="paragraph" w:customStyle="1" w:styleId="xl130">
    <w:name w:val="xl130"/>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1">
    <w:name w:val="xl131"/>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2">
    <w:name w:val="xl132"/>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color w:val="000000"/>
      <w:sz w:val="18"/>
      <w:szCs w:val="18"/>
      <w:lang w:val="es-CO" w:eastAsia="es-CO"/>
    </w:rPr>
  </w:style>
  <w:style w:type="paragraph" w:customStyle="1" w:styleId="xl133">
    <w:name w:val="xl133"/>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34">
    <w:name w:val="xl134"/>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5">
    <w:name w:val="xl135"/>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lang w:val="es-CO" w:eastAsia="es-CO"/>
    </w:rPr>
  </w:style>
  <w:style w:type="paragraph" w:customStyle="1" w:styleId="xl136">
    <w:name w:val="xl136"/>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7">
    <w:name w:val="xl137"/>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8">
    <w:name w:val="xl138"/>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39">
    <w:name w:val="xl139"/>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lang w:val="es-CO" w:eastAsia="es-CO"/>
    </w:rPr>
  </w:style>
  <w:style w:type="paragraph" w:customStyle="1" w:styleId="xl140">
    <w:name w:val="xl140"/>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lang w:val="es-CO" w:eastAsia="es-CO"/>
    </w:rPr>
  </w:style>
  <w:style w:type="paragraph" w:customStyle="1" w:styleId="xl141">
    <w:name w:val="xl141"/>
    <w:basedOn w:val="Normal"/>
    <w:rsid w:val="00735B74"/>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pPr>
    <w:rPr>
      <w:rFonts w:ascii="Arial" w:hAnsi="Arial" w:cs="Arial"/>
      <w:lang w:val="es-CO" w:eastAsia="es-CO"/>
    </w:rPr>
  </w:style>
  <w:style w:type="paragraph" w:customStyle="1" w:styleId="xl142">
    <w:name w:val="xl142"/>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lang w:val="es-CO" w:eastAsia="es-CO"/>
    </w:rPr>
  </w:style>
  <w:style w:type="paragraph" w:customStyle="1" w:styleId="xl143">
    <w:name w:val="xl143"/>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lang w:val="es-CO" w:eastAsia="es-CO"/>
    </w:rPr>
  </w:style>
  <w:style w:type="paragraph" w:customStyle="1" w:styleId="xl144">
    <w:name w:val="xl144"/>
    <w:basedOn w:val="Normal"/>
    <w:rsid w:val="00735B74"/>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45">
    <w:name w:val="xl145"/>
    <w:basedOn w:val="Normal"/>
    <w:rsid w:val="00735B74"/>
    <w:pPr>
      <w:pBdr>
        <w:left w:val="single" w:sz="8" w:space="0" w:color="auto"/>
        <w:bottom w:val="single" w:sz="8" w:space="0" w:color="auto"/>
        <w:right w:val="single" w:sz="8" w:space="0" w:color="auto"/>
      </w:pBdr>
      <w:spacing w:before="100" w:beforeAutospacing="1" w:after="100" w:afterAutospacing="1"/>
    </w:pPr>
    <w:rPr>
      <w:rFonts w:ascii="Arial" w:hAnsi="Arial" w:cs="Arial"/>
      <w:b/>
      <w:bCs/>
      <w:lang w:val="es-CO" w:eastAsia="es-CO"/>
    </w:rPr>
  </w:style>
  <w:style w:type="paragraph" w:customStyle="1" w:styleId="xl146">
    <w:name w:val="xl146"/>
    <w:basedOn w:val="Normal"/>
    <w:rsid w:val="00735B74"/>
    <w:pPr>
      <w:spacing w:before="100" w:beforeAutospacing="1" w:after="100" w:afterAutospacing="1"/>
    </w:pPr>
    <w:rPr>
      <w:rFonts w:ascii="Arial" w:hAnsi="Arial" w:cs="Arial"/>
      <w:lang w:val="es-CO" w:eastAsia="es-CO"/>
    </w:rPr>
  </w:style>
  <w:style w:type="paragraph" w:customStyle="1" w:styleId="xl147">
    <w:name w:val="xl147"/>
    <w:basedOn w:val="Normal"/>
    <w:rsid w:val="00735B74"/>
    <w:pPr>
      <w:pBdr>
        <w:left w:val="single" w:sz="8" w:space="0" w:color="auto"/>
      </w:pBdr>
      <w:spacing w:before="100" w:beforeAutospacing="1" w:after="100" w:afterAutospacing="1"/>
      <w:jc w:val="right"/>
    </w:pPr>
    <w:rPr>
      <w:rFonts w:ascii="Arial" w:hAnsi="Arial" w:cs="Arial"/>
      <w:sz w:val="18"/>
      <w:szCs w:val="18"/>
      <w:lang w:val="es-CO" w:eastAsia="es-CO"/>
    </w:rPr>
  </w:style>
  <w:style w:type="paragraph" w:customStyle="1" w:styleId="xl148">
    <w:name w:val="xl148"/>
    <w:basedOn w:val="Normal"/>
    <w:rsid w:val="00735B74"/>
    <w:pPr>
      <w:spacing w:before="100" w:beforeAutospacing="1" w:after="100" w:afterAutospacing="1"/>
    </w:pPr>
    <w:rPr>
      <w:rFonts w:ascii="Arial" w:hAnsi="Arial" w:cs="Arial"/>
      <w:lang w:val="es-CO" w:eastAsia="es-CO"/>
    </w:rPr>
  </w:style>
  <w:style w:type="paragraph" w:customStyle="1" w:styleId="xl149">
    <w:name w:val="xl149"/>
    <w:basedOn w:val="Normal"/>
    <w:rsid w:val="00735B74"/>
    <w:pPr>
      <w:pBdr>
        <w:top w:val="single" w:sz="8" w:space="0" w:color="auto"/>
        <w:left w:val="single" w:sz="8" w:space="0" w:color="auto"/>
        <w:right w:val="single" w:sz="4"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50">
    <w:name w:val="xl150"/>
    <w:basedOn w:val="Normal"/>
    <w:rsid w:val="00735B74"/>
    <w:pPr>
      <w:pBdr>
        <w:top w:val="single" w:sz="8" w:space="0" w:color="auto"/>
        <w:left w:val="single" w:sz="4" w:space="0" w:color="auto"/>
        <w:right w:val="single" w:sz="4" w:space="0" w:color="auto"/>
      </w:pBdr>
      <w:spacing w:before="100" w:beforeAutospacing="1" w:after="100" w:afterAutospacing="1"/>
      <w:jc w:val="center"/>
    </w:pPr>
    <w:rPr>
      <w:rFonts w:ascii="Arial" w:hAnsi="Arial" w:cs="Arial"/>
      <w:b/>
      <w:bCs/>
      <w:lang w:val="es-CO" w:eastAsia="es-CO"/>
    </w:rPr>
  </w:style>
  <w:style w:type="paragraph" w:customStyle="1" w:styleId="xl151">
    <w:name w:val="xl151"/>
    <w:basedOn w:val="Normal"/>
    <w:rsid w:val="00735B7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52">
    <w:name w:val="xl152"/>
    <w:basedOn w:val="Normal"/>
    <w:rsid w:val="00735B74"/>
    <w:pPr>
      <w:pBdr>
        <w:top w:val="single" w:sz="8" w:space="0" w:color="auto"/>
        <w:left w:val="single" w:sz="4" w:space="0" w:color="auto"/>
        <w:right w:val="single" w:sz="4" w:space="0" w:color="auto"/>
      </w:pBdr>
      <w:spacing w:before="100" w:beforeAutospacing="1" w:after="100" w:afterAutospacing="1"/>
      <w:jc w:val="center"/>
    </w:pPr>
    <w:rPr>
      <w:rFonts w:ascii="Arial" w:hAnsi="Arial" w:cs="Arial"/>
      <w:b/>
      <w:bCs/>
      <w:lang w:val="es-CO" w:eastAsia="es-CO"/>
    </w:rPr>
  </w:style>
  <w:style w:type="paragraph" w:customStyle="1" w:styleId="xl153">
    <w:name w:val="xl153"/>
    <w:basedOn w:val="Normal"/>
    <w:rsid w:val="00735B7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54">
    <w:name w:val="xl154"/>
    <w:basedOn w:val="Normal"/>
    <w:rsid w:val="00735B74"/>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155">
    <w:name w:val="xl155"/>
    <w:basedOn w:val="Normal"/>
    <w:rsid w:val="00735B7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156">
    <w:name w:val="xl156"/>
    <w:basedOn w:val="Normal"/>
    <w:rsid w:val="00735B7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57">
    <w:name w:val="xl157"/>
    <w:basedOn w:val="Normal"/>
    <w:rsid w:val="00735B7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58">
    <w:name w:val="xl158"/>
    <w:basedOn w:val="Normal"/>
    <w:rsid w:val="00735B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159">
    <w:name w:val="xl159"/>
    <w:basedOn w:val="Normal"/>
    <w:rsid w:val="00735B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160">
    <w:name w:val="xl160"/>
    <w:basedOn w:val="Normal"/>
    <w:rsid w:val="00735B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s-CO" w:eastAsia="es-CO"/>
    </w:rPr>
  </w:style>
  <w:style w:type="paragraph" w:customStyle="1" w:styleId="xl161">
    <w:name w:val="xl161"/>
    <w:basedOn w:val="Normal"/>
    <w:rsid w:val="00735B74"/>
    <w:pPr>
      <w:pBdr>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62">
    <w:name w:val="xl162"/>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63">
    <w:name w:val="xl163"/>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64">
    <w:name w:val="xl164"/>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65">
    <w:name w:val="xl165"/>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es-CO" w:eastAsia="es-CO"/>
    </w:rPr>
  </w:style>
  <w:style w:type="paragraph" w:customStyle="1" w:styleId="xl166">
    <w:name w:val="xl166"/>
    <w:basedOn w:val="Normal"/>
    <w:rsid w:val="00735B74"/>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67">
    <w:name w:val="xl167"/>
    <w:basedOn w:val="Normal"/>
    <w:rsid w:val="00735B7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68">
    <w:name w:val="xl168"/>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69">
    <w:name w:val="xl169"/>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170">
    <w:name w:val="xl170"/>
    <w:basedOn w:val="Normal"/>
    <w:rsid w:val="00735B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s-CO" w:eastAsia="es-CO"/>
    </w:rPr>
  </w:style>
  <w:style w:type="paragraph" w:customStyle="1" w:styleId="xl171">
    <w:name w:val="xl171"/>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72">
    <w:name w:val="xl172"/>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73">
    <w:name w:val="xl173"/>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sz w:val="18"/>
      <w:szCs w:val="18"/>
      <w:lang w:val="es-CO" w:eastAsia="es-CO"/>
    </w:rPr>
  </w:style>
  <w:style w:type="paragraph" w:customStyle="1" w:styleId="xl174">
    <w:name w:val="xl174"/>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es-CO" w:eastAsia="es-CO"/>
    </w:rPr>
  </w:style>
  <w:style w:type="paragraph" w:customStyle="1" w:styleId="xl175">
    <w:name w:val="xl175"/>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76">
    <w:name w:val="xl176"/>
    <w:basedOn w:val="Normal"/>
    <w:rsid w:val="00735B74"/>
    <w:pPr>
      <w:pBdr>
        <w:left w:val="single" w:sz="8" w:space="0" w:color="auto"/>
        <w:bottom w:val="single" w:sz="8" w:space="0" w:color="auto"/>
        <w:right w:val="single" w:sz="8" w:space="0" w:color="auto"/>
      </w:pBdr>
      <w:spacing w:before="100" w:beforeAutospacing="1" w:after="100" w:afterAutospacing="1"/>
      <w:jc w:val="right"/>
    </w:pPr>
    <w:rPr>
      <w:rFonts w:ascii="Arial" w:hAnsi="Arial" w:cs="Arial"/>
      <w:b/>
      <w:bCs/>
      <w:lang w:val="es-CO" w:eastAsia="es-CO"/>
    </w:rPr>
  </w:style>
  <w:style w:type="paragraph" w:customStyle="1" w:styleId="xl177">
    <w:name w:val="xl177"/>
    <w:basedOn w:val="Normal"/>
    <w:rsid w:val="00735B74"/>
    <w:pPr>
      <w:pBdr>
        <w:left w:val="single" w:sz="8"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178">
    <w:name w:val="xl178"/>
    <w:basedOn w:val="Normal"/>
    <w:rsid w:val="00735B74"/>
    <w:pPr>
      <w:pBdr>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79">
    <w:name w:val="xl179"/>
    <w:basedOn w:val="Normal"/>
    <w:rsid w:val="00735B74"/>
    <w:pPr>
      <w:spacing w:before="100" w:beforeAutospacing="1" w:after="100" w:afterAutospacing="1"/>
      <w:jc w:val="center"/>
    </w:pPr>
    <w:rPr>
      <w:rFonts w:ascii="Arial" w:hAnsi="Arial" w:cs="Arial"/>
      <w:b/>
      <w:bCs/>
      <w:lang w:val="es-CO" w:eastAsia="es-CO"/>
    </w:rPr>
  </w:style>
  <w:style w:type="paragraph" w:customStyle="1" w:styleId="xl180">
    <w:name w:val="xl180"/>
    <w:basedOn w:val="Normal"/>
    <w:rsid w:val="00735B74"/>
    <w:pPr>
      <w:spacing w:before="100" w:beforeAutospacing="1" w:after="100" w:afterAutospacing="1"/>
    </w:pPr>
    <w:rPr>
      <w:rFonts w:ascii="Arial" w:hAnsi="Arial" w:cs="Arial"/>
      <w:b/>
      <w:bCs/>
      <w:lang w:val="es-CO" w:eastAsia="es-CO"/>
    </w:rPr>
  </w:style>
  <w:style w:type="paragraph" w:customStyle="1" w:styleId="xl181">
    <w:name w:val="xl181"/>
    <w:basedOn w:val="Normal"/>
    <w:rsid w:val="00735B74"/>
    <w:pPr>
      <w:pBdr>
        <w:top w:val="single" w:sz="12" w:space="0" w:color="auto"/>
        <w:left w:val="single" w:sz="8" w:space="0" w:color="auto"/>
        <w:bottom w:val="single" w:sz="12" w:space="0" w:color="auto"/>
        <w:right w:val="single" w:sz="4"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82">
    <w:name w:val="xl182"/>
    <w:basedOn w:val="Normal"/>
    <w:rsid w:val="00735B74"/>
    <w:pPr>
      <w:pBdr>
        <w:top w:val="single" w:sz="12"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lang w:val="es-CO" w:eastAsia="es-CO"/>
    </w:rPr>
  </w:style>
  <w:style w:type="paragraph" w:customStyle="1" w:styleId="xl183">
    <w:name w:val="xl183"/>
    <w:basedOn w:val="Normal"/>
    <w:rsid w:val="00735B74"/>
    <w:pPr>
      <w:pBdr>
        <w:top w:val="single" w:sz="12"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84">
    <w:name w:val="xl184"/>
    <w:basedOn w:val="Normal"/>
    <w:rsid w:val="00735B74"/>
    <w:pPr>
      <w:pBdr>
        <w:top w:val="single" w:sz="12"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lang w:val="es-CO" w:eastAsia="es-CO"/>
    </w:rPr>
  </w:style>
  <w:style w:type="paragraph" w:customStyle="1" w:styleId="xl185">
    <w:name w:val="xl185"/>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lang w:val="es-CO" w:eastAsia="es-CO"/>
    </w:rPr>
  </w:style>
  <w:style w:type="paragraph" w:customStyle="1" w:styleId="xl186">
    <w:name w:val="xl186"/>
    <w:basedOn w:val="Normal"/>
    <w:rsid w:val="00735B74"/>
    <w:pPr>
      <w:pBdr>
        <w:top w:val="single" w:sz="12" w:space="0" w:color="auto"/>
        <w:left w:val="single" w:sz="8" w:space="0" w:color="auto"/>
        <w:right w:val="single" w:sz="4" w:space="0" w:color="auto"/>
      </w:pBdr>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187">
    <w:name w:val="xl187"/>
    <w:basedOn w:val="Normal"/>
    <w:rsid w:val="00735B74"/>
    <w:pPr>
      <w:pBdr>
        <w:top w:val="single" w:sz="12"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88">
    <w:name w:val="xl188"/>
    <w:basedOn w:val="Normal"/>
    <w:rsid w:val="00735B74"/>
    <w:pPr>
      <w:pBdr>
        <w:top w:val="single" w:sz="12"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89">
    <w:name w:val="xl189"/>
    <w:basedOn w:val="Normal"/>
    <w:rsid w:val="00735B74"/>
    <w:pPr>
      <w:pBdr>
        <w:top w:val="single" w:sz="12"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90">
    <w:name w:val="xl190"/>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91">
    <w:name w:val="xl191"/>
    <w:basedOn w:val="Normal"/>
    <w:rsid w:val="00735B7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92">
    <w:name w:val="xl192"/>
    <w:basedOn w:val="Normal"/>
    <w:rsid w:val="00735B7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193">
    <w:name w:val="xl193"/>
    <w:basedOn w:val="Normal"/>
    <w:rsid w:val="00735B74"/>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94">
    <w:name w:val="xl194"/>
    <w:basedOn w:val="Normal"/>
    <w:rsid w:val="00735B7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CO" w:eastAsia="es-CO"/>
    </w:rPr>
  </w:style>
  <w:style w:type="paragraph" w:customStyle="1" w:styleId="xl195">
    <w:name w:val="xl195"/>
    <w:basedOn w:val="Normal"/>
    <w:rsid w:val="00735B7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CO" w:eastAsia="es-CO"/>
    </w:rPr>
  </w:style>
  <w:style w:type="paragraph" w:customStyle="1" w:styleId="xl196">
    <w:name w:val="xl196"/>
    <w:basedOn w:val="Normal"/>
    <w:rsid w:val="00735B74"/>
    <w:pPr>
      <w:pBdr>
        <w:left w:val="single" w:sz="8" w:space="0" w:color="auto"/>
      </w:pBdr>
      <w:spacing w:before="100" w:beforeAutospacing="1" w:after="100" w:afterAutospacing="1"/>
    </w:pPr>
    <w:rPr>
      <w:rFonts w:ascii="Arial" w:hAnsi="Arial" w:cs="Arial"/>
      <w:lang w:val="es-CO" w:eastAsia="es-CO"/>
    </w:rPr>
  </w:style>
  <w:style w:type="paragraph" w:customStyle="1" w:styleId="xl197">
    <w:name w:val="xl197"/>
    <w:basedOn w:val="Normal"/>
    <w:rsid w:val="00735B74"/>
    <w:pPr>
      <w:pBdr>
        <w:top w:val="single" w:sz="8" w:space="0" w:color="auto"/>
        <w:left w:val="single" w:sz="8" w:space="0" w:color="auto"/>
        <w:right w:val="single" w:sz="8"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98">
    <w:name w:val="xl198"/>
    <w:basedOn w:val="Normal"/>
    <w:rsid w:val="00735B74"/>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99">
    <w:name w:val="xl199"/>
    <w:basedOn w:val="Normal"/>
    <w:rsid w:val="00735B7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200">
    <w:name w:val="xl200"/>
    <w:basedOn w:val="Normal"/>
    <w:rsid w:val="00735B74"/>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201">
    <w:name w:val="xl201"/>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202">
    <w:name w:val="xl202"/>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03">
    <w:name w:val="xl203"/>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204">
    <w:name w:val="xl204"/>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205">
    <w:name w:val="xl205"/>
    <w:basedOn w:val="Normal"/>
    <w:rsid w:val="00735B74"/>
    <w:pPr>
      <w:pBdr>
        <w:lef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06">
    <w:name w:val="xl206"/>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207">
    <w:name w:val="xl207"/>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208">
    <w:name w:val="xl208"/>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09">
    <w:name w:val="xl209"/>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10">
    <w:name w:val="xl210"/>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11">
    <w:name w:val="xl211"/>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212">
    <w:name w:val="xl212"/>
    <w:basedOn w:val="Normal"/>
    <w:rsid w:val="00735B7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13">
    <w:name w:val="xl213"/>
    <w:basedOn w:val="Normal"/>
    <w:rsid w:val="00735B74"/>
    <w:pPr>
      <w:pBdr>
        <w:top w:val="single" w:sz="8" w:space="0" w:color="auto"/>
        <w:bottom w:val="single" w:sz="8" w:space="0" w:color="auto"/>
      </w:pBdr>
      <w:shd w:val="clear" w:color="000000" w:fill="FFFF00"/>
      <w:spacing w:before="100" w:beforeAutospacing="1" w:after="100" w:afterAutospacing="1"/>
    </w:pPr>
    <w:rPr>
      <w:rFonts w:ascii="Arial" w:hAnsi="Arial" w:cs="Arial"/>
      <w:lang w:val="es-CO" w:eastAsia="es-CO"/>
    </w:rPr>
  </w:style>
  <w:style w:type="paragraph" w:customStyle="1" w:styleId="xl214">
    <w:name w:val="xl214"/>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215">
    <w:name w:val="xl215"/>
    <w:basedOn w:val="Normal"/>
    <w:rsid w:val="00735B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216">
    <w:name w:val="xl216"/>
    <w:basedOn w:val="Normal"/>
    <w:rsid w:val="00735B74"/>
    <w:pPr>
      <w:pBdr>
        <w:top w:val="single" w:sz="8" w:space="0" w:color="auto"/>
        <w:left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217">
    <w:name w:val="xl217"/>
    <w:basedOn w:val="Normal"/>
    <w:rsid w:val="00735B74"/>
    <w:pPr>
      <w:pBdr>
        <w:top w:val="single" w:sz="12"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18">
    <w:name w:val="xl218"/>
    <w:basedOn w:val="Normal"/>
    <w:rsid w:val="00735B74"/>
    <w:pPr>
      <w:pBdr>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219">
    <w:name w:val="xl219"/>
    <w:basedOn w:val="Normal"/>
    <w:rsid w:val="00735B74"/>
    <w:pPr>
      <w:pBdr>
        <w:left w:val="single" w:sz="8" w:space="0" w:color="auto"/>
      </w:pBdr>
      <w:shd w:val="clear" w:color="000000" w:fill="FFFFFF"/>
      <w:spacing w:before="100" w:beforeAutospacing="1" w:after="100" w:afterAutospacing="1"/>
      <w:jc w:val="center"/>
    </w:pPr>
    <w:rPr>
      <w:rFonts w:ascii="Arial" w:hAnsi="Arial" w:cs="Arial"/>
      <w:b/>
      <w:bCs/>
      <w:sz w:val="18"/>
      <w:szCs w:val="18"/>
      <w:lang w:val="es-CO" w:eastAsia="es-CO"/>
    </w:rPr>
  </w:style>
  <w:style w:type="paragraph" w:customStyle="1" w:styleId="xl220">
    <w:name w:val="xl220"/>
    <w:basedOn w:val="Normal"/>
    <w:rsid w:val="00735B74"/>
    <w:pPr>
      <w:shd w:val="clear" w:color="000000" w:fill="FFFFFF"/>
      <w:spacing w:before="100" w:beforeAutospacing="1" w:after="100" w:afterAutospacing="1"/>
      <w:jc w:val="center"/>
    </w:pPr>
    <w:rPr>
      <w:rFonts w:ascii="Arial" w:hAnsi="Arial" w:cs="Arial"/>
      <w:b/>
      <w:bCs/>
      <w:lang w:val="es-CO" w:eastAsia="es-CO"/>
    </w:rPr>
  </w:style>
  <w:style w:type="paragraph" w:customStyle="1" w:styleId="xl221">
    <w:name w:val="xl221"/>
    <w:basedOn w:val="Normal"/>
    <w:rsid w:val="00735B74"/>
    <w:pPr>
      <w:shd w:val="clear" w:color="000000" w:fill="FFFFFF"/>
      <w:spacing w:before="100" w:beforeAutospacing="1" w:after="100" w:afterAutospacing="1"/>
    </w:pPr>
    <w:rPr>
      <w:rFonts w:ascii="Arial" w:hAnsi="Arial" w:cs="Arial"/>
      <w:b/>
      <w:bCs/>
      <w:lang w:val="es-CO" w:eastAsia="es-CO"/>
    </w:rPr>
  </w:style>
  <w:style w:type="paragraph" w:customStyle="1" w:styleId="xl222">
    <w:name w:val="xl222"/>
    <w:basedOn w:val="Normal"/>
    <w:rsid w:val="00735B7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23">
    <w:name w:val="xl223"/>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24">
    <w:name w:val="xl224"/>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25">
    <w:name w:val="xl225"/>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i/>
      <w:iCs/>
      <w:lang w:val="es-CO" w:eastAsia="es-CO"/>
    </w:rPr>
  </w:style>
  <w:style w:type="paragraph" w:customStyle="1" w:styleId="xl226">
    <w:name w:val="xl226"/>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27">
    <w:name w:val="xl227"/>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28">
    <w:name w:val="xl228"/>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29">
    <w:name w:val="xl229"/>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i/>
      <w:iCs/>
      <w:lang w:val="es-CO" w:eastAsia="es-CO"/>
    </w:rPr>
  </w:style>
  <w:style w:type="paragraph" w:customStyle="1" w:styleId="xl230">
    <w:name w:val="xl230"/>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231">
    <w:name w:val="xl231"/>
    <w:basedOn w:val="Normal"/>
    <w:rsid w:val="00735B7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32">
    <w:name w:val="xl232"/>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33">
    <w:name w:val="xl233"/>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34">
    <w:name w:val="xl234"/>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i/>
      <w:iCs/>
      <w:lang w:val="es-CO" w:eastAsia="es-CO"/>
    </w:rPr>
  </w:style>
  <w:style w:type="paragraph" w:customStyle="1" w:styleId="xl235">
    <w:name w:val="xl235"/>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36">
    <w:name w:val="xl236"/>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i/>
      <w:iCs/>
      <w:lang w:val="es-CO" w:eastAsia="es-CO"/>
    </w:rPr>
  </w:style>
  <w:style w:type="paragraph" w:customStyle="1" w:styleId="xl237">
    <w:name w:val="xl237"/>
    <w:basedOn w:val="Normal"/>
    <w:rsid w:val="00735B74"/>
    <w:pPr>
      <w:pBdr>
        <w:top w:val="single" w:sz="12"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38">
    <w:name w:val="xl238"/>
    <w:basedOn w:val="Normal"/>
    <w:rsid w:val="00735B74"/>
    <w:pPr>
      <w:pBdr>
        <w:top w:val="single" w:sz="12"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39">
    <w:name w:val="xl239"/>
    <w:basedOn w:val="Normal"/>
    <w:rsid w:val="00735B74"/>
    <w:pPr>
      <w:pBdr>
        <w:top w:val="single" w:sz="12" w:space="0" w:color="auto"/>
        <w:left w:val="single" w:sz="4"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40">
    <w:name w:val="xl240"/>
    <w:basedOn w:val="Normal"/>
    <w:rsid w:val="00735B74"/>
    <w:pPr>
      <w:pBdr>
        <w:top w:val="single" w:sz="4" w:space="0" w:color="auto"/>
        <w:left w:val="single" w:sz="8"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41">
    <w:name w:val="xl241"/>
    <w:basedOn w:val="Normal"/>
    <w:rsid w:val="00735B74"/>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42">
    <w:name w:val="xl242"/>
    <w:basedOn w:val="Normal"/>
    <w:rsid w:val="00735B74"/>
    <w:pPr>
      <w:pBdr>
        <w:left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43">
    <w:name w:val="xl243"/>
    <w:basedOn w:val="Normal"/>
    <w:rsid w:val="00735B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244">
    <w:name w:val="xl244"/>
    <w:basedOn w:val="Normal"/>
    <w:rsid w:val="00735B74"/>
    <w:pPr>
      <w:pBdr>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45">
    <w:name w:val="xl245"/>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46">
    <w:name w:val="xl246"/>
    <w:basedOn w:val="Normal"/>
    <w:rsid w:val="00735B74"/>
    <w:pPr>
      <w:pBdr>
        <w:top w:val="single" w:sz="8" w:space="0" w:color="auto"/>
        <w:left w:val="single" w:sz="8" w:space="0" w:color="auto"/>
        <w:bottom w:val="single" w:sz="8" w:space="0" w:color="auto"/>
        <w:right w:val="single" w:sz="4" w:space="0" w:color="auto"/>
      </w:pBdr>
      <w:spacing w:before="100" w:beforeAutospacing="1" w:after="100" w:afterAutospacing="1"/>
      <w:jc w:val="right"/>
    </w:pPr>
    <w:rPr>
      <w:rFonts w:ascii="Arial" w:hAnsi="Arial" w:cs="Arial"/>
      <w:sz w:val="18"/>
      <w:szCs w:val="18"/>
      <w:lang w:val="es-CO" w:eastAsia="es-CO"/>
    </w:rPr>
  </w:style>
  <w:style w:type="paragraph" w:customStyle="1" w:styleId="xl247">
    <w:name w:val="xl247"/>
    <w:basedOn w:val="Normal"/>
    <w:rsid w:val="00735B74"/>
    <w:pPr>
      <w:pBdr>
        <w:top w:val="single" w:sz="8" w:space="0" w:color="auto"/>
        <w:left w:val="single" w:sz="4" w:space="0" w:color="auto"/>
        <w:bottom w:val="single" w:sz="8" w:space="0" w:color="auto"/>
      </w:pBdr>
      <w:spacing w:before="100" w:beforeAutospacing="1" w:after="100" w:afterAutospacing="1"/>
    </w:pPr>
    <w:rPr>
      <w:rFonts w:ascii="Arial" w:hAnsi="Arial" w:cs="Arial"/>
      <w:lang w:val="es-CO" w:eastAsia="es-CO"/>
    </w:rPr>
  </w:style>
  <w:style w:type="paragraph" w:customStyle="1" w:styleId="xl248">
    <w:name w:val="xl248"/>
    <w:basedOn w:val="Normal"/>
    <w:rsid w:val="00735B74"/>
    <w:pPr>
      <w:pBdr>
        <w:top w:val="single" w:sz="8" w:space="0" w:color="auto"/>
        <w:bottom w:val="single" w:sz="8" w:space="0" w:color="auto"/>
        <w:right w:val="single" w:sz="4" w:space="0" w:color="auto"/>
      </w:pBdr>
      <w:spacing w:before="100" w:beforeAutospacing="1" w:after="100" w:afterAutospacing="1"/>
    </w:pPr>
    <w:rPr>
      <w:rFonts w:ascii="Arial" w:hAnsi="Arial" w:cs="Arial"/>
      <w:lang w:val="es-CO" w:eastAsia="es-CO"/>
    </w:rPr>
  </w:style>
  <w:style w:type="paragraph" w:customStyle="1" w:styleId="xl249">
    <w:name w:val="xl249"/>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50">
    <w:name w:val="xl250"/>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51">
    <w:name w:val="xl251"/>
    <w:basedOn w:val="Normal"/>
    <w:rsid w:val="00735B74"/>
    <w:pPr>
      <w:pBdr>
        <w:top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252">
    <w:name w:val="xl252"/>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53">
    <w:name w:val="xl253"/>
    <w:basedOn w:val="Normal"/>
    <w:rsid w:val="00735B74"/>
    <w:pPr>
      <w:pBdr>
        <w:top w:val="single" w:sz="8"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sz w:val="18"/>
      <w:szCs w:val="18"/>
      <w:lang w:val="es-CO" w:eastAsia="es-CO"/>
    </w:rPr>
  </w:style>
  <w:style w:type="paragraph" w:customStyle="1" w:styleId="xl254">
    <w:name w:val="xl254"/>
    <w:basedOn w:val="Normal"/>
    <w:rsid w:val="00735B74"/>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255">
    <w:name w:val="xl255"/>
    <w:basedOn w:val="Normal"/>
    <w:rsid w:val="00735B74"/>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256">
    <w:name w:val="xl256"/>
    <w:basedOn w:val="Normal"/>
    <w:rsid w:val="00735B74"/>
    <w:pPr>
      <w:pBdr>
        <w:left w:val="single" w:sz="8" w:space="0" w:color="auto"/>
      </w:pBdr>
      <w:shd w:val="clear" w:color="000000" w:fill="FFFFFF"/>
      <w:spacing w:before="100" w:beforeAutospacing="1" w:after="100" w:afterAutospacing="1"/>
      <w:jc w:val="center"/>
    </w:pPr>
    <w:rPr>
      <w:rFonts w:ascii="Arial" w:hAnsi="Arial" w:cs="Arial"/>
      <w:b/>
      <w:bCs/>
      <w:sz w:val="18"/>
      <w:szCs w:val="18"/>
      <w:lang w:val="es-CO" w:eastAsia="es-CO"/>
    </w:rPr>
  </w:style>
  <w:style w:type="paragraph" w:customStyle="1" w:styleId="xl257">
    <w:name w:val="xl257"/>
    <w:basedOn w:val="Normal"/>
    <w:rsid w:val="00735B74"/>
    <w:pPr>
      <w:shd w:val="clear" w:color="000000" w:fill="FFFFFF"/>
      <w:spacing w:before="100" w:beforeAutospacing="1" w:after="100" w:afterAutospacing="1"/>
      <w:jc w:val="center"/>
    </w:pPr>
    <w:rPr>
      <w:rFonts w:ascii="Arial" w:hAnsi="Arial" w:cs="Arial"/>
      <w:b/>
      <w:bCs/>
      <w:lang w:val="es-CO" w:eastAsia="es-CO"/>
    </w:rPr>
  </w:style>
  <w:style w:type="paragraph" w:customStyle="1" w:styleId="xl258">
    <w:name w:val="xl258"/>
    <w:basedOn w:val="Normal"/>
    <w:rsid w:val="00735B74"/>
    <w:pPr>
      <w:shd w:val="clear" w:color="000000" w:fill="FFFFFF"/>
      <w:spacing w:before="100" w:beforeAutospacing="1" w:after="100" w:afterAutospacing="1"/>
    </w:pPr>
    <w:rPr>
      <w:rFonts w:ascii="Arial" w:hAnsi="Arial" w:cs="Arial"/>
      <w:b/>
      <w:bCs/>
      <w:lang w:val="es-CO" w:eastAsia="es-CO"/>
    </w:rPr>
  </w:style>
  <w:style w:type="paragraph" w:customStyle="1" w:styleId="xl259">
    <w:name w:val="xl259"/>
    <w:basedOn w:val="Normal"/>
    <w:rsid w:val="00735B7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60">
    <w:name w:val="xl260"/>
    <w:basedOn w:val="Normal"/>
    <w:rsid w:val="00735B7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261">
    <w:name w:val="xl261"/>
    <w:basedOn w:val="Normal"/>
    <w:rsid w:val="00735B7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262">
    <w:name w:val="xl262"/>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63">
    <w:name w:val="xl263"/>
    <w:basedOn w:val="Normal"/>
    <w:rsid w:val="00735B74"/>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64">
    <w:name w:val="xl264"/>
    <w:basedOn w:val="Normal"/>
    <w:rsid w:val="00735B74"/>
    <w:pPr>
      <w:pBdr>
        <w:left w:val="single" w:sz="4" w:space="0" w:color="auto"/>
        <w:bottom w:val="single" w:sz="4" w:space="0" w:color="auto"/>
      </w:pBdr>
      <w:spacing w:before="100" w:beforeAutospacing="1" w:after="100" w:afterAutospacing="1"/>
    </w:pPr>
    <w:rPr>
      <w:rFonts w:ascii="Arial" w:hAnsi="Arial" w:cs="Arial"/>
      <w:lang w:val="es-CO" w:eastAsia="es-CO"/>
    </w:rPr>
  </w:style>
  <w:style w:type="paragraph" w:customStyle="1" w:styleId="xl265">
    <w:name w:val="xl265"/>
    <w:basedOn w:val="Normal"/>
    <w:rsid w:val="00735B74"/>
    <w:pPr>
      <w:pBdr>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66">
    <w:name w:val="xl266"/>
    <w:basedOn w:val="Normal"/>
    <w:rsid w:val="00735B74"/>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67">
    <w:name w:val="xl267"/>
    <w:basedOn w:val="Normal"/>
    <w:rsid w:val="00735B74"/>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268">
    <w:name w:val="xl268"/>
    <w:basedOn w:val="Normal"/>
    <w:rsid w:val="00735B74"/>
    <w:pPr>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269">
    <w:name w:val="xl269"/>
    <w:basedOn w:val="Normal"/>
    <w:rsid w:val="00735B74"/>
    <w:pPr>
      <w:pBdr>
        <w:top w:val="single" w:sz="4" w:space="0" w:color="auto"/>
        <w:left w:val="single" w:sz="4" w:space="0" w:color="auto"/>
        <w:bottom w:val="single" w:sz="4" w:space="0" w:color="auto"/>
      </w:pBdr>
      <w:spacing w:before="100" w:beforeAutospacing="1" w:after="100" w:afterAutospacing="1"/>
    </w:pPr>
    <w:rPr>
      <w:rFonts w:ascii="Arial" w:hAnsi="Arial" w:cs="Arial"/>
      <w:lang w:val="es-CO" w:eastAsia="es-CO"/>
    </w:rPr>
  </w:style>
  <w:style w:type="paragraph" w:customStyle="1" w:styleId="xl270">
    <w:name w:val="xl270"/>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71">
    <w:name w:val="xl271"/>
    <w:basedOn w:val="Normal"/>
    <w:rsid w:val="00735B74"/>
    <w:pPr>
      <w:pBdr>
        <w:top w:val="single" w:sz="4" w:space="0" w:color="auto"/>
        <w:left w:val="single" w:sz="8"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72">
    <w:name w:val="xl272"/>
    <w:basedOn w:val="Normal"/>
    <w:rsid w:val="00735B74"/>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73">
    <w:name w:val="xl273"/>
    <w:basedOn w:val="Normal"/>
    <w:rsid w:val="00735B74"/>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274">
    <w:name w:val="xl274"/>
    <w:basedOn w:val="Normal"/>
    <w:rsid w:val="00735B74"/>
    <w:pPr>
      <w:pBdr>
        <w:top w:val="single" w:sz="4" w:space="0" w:color="auto"/>
        <w:left w:val="single" w:sz="4"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275">
    <w:name w:val="xl275"/>
    <w:basedOn w:val="Normal"/>
    <w:rsid w:val="00735B7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76">
    <w:name w:val="xl276"/>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77">
    <w:name w:val="xl277"/>
    <w:basedOn w:val="Normal"/>
    <w:rsid w:val="00735B7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278">
    <w:name w:val="xl278"/>
    <w:basedOn w:val="Normal"/>
    <w:rsid w:val="00735B7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pPr>
    <w:rPr>
      <w:rFonts w:ascii="Arial" w:hAnsi="Arial" w:cs="Arial"/>
      <w:lang w:val="es-CO" w:eastAsia="es-CO"/>
    </w:rPr>
  </w:style>
  <w:style w:type="paragraph" w:customStyle="1" w:styleId="xl279">
    <w:name w:val="xl279"/>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280">
    <w:name w:val="xl280"/>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lang w:val="es-CO" w:eastAsia="es-CO"/>
    </w:rPr>
  </w:style>
  <w:style w:type="paragraph" w:customStyle="1" w:styleId="xl281">
    <w:name w:val="xl281"/>
    <w:basedOn w:val="Normal"/>
    <w:rsid w:val="00735B74"/>
    <w:pPr>
      <w:pBdr>
        <w:left w:val="single" w:sz="8" w:space="0" w:color="auto"/>
        <w:bottom w:val="single" w:sz="8" w:space="0" w:color="auto"/>
      </w:pBdr>
      <w:shd w:val="clear" w:color="000000" w:fill="FFFFFF"/>
      <w:spacing w:before="100" w:beforeAutospacing="1" w:after="100" w:afterAutospacing="1"/>
      <w:jc w:val="center"/>
    </w:pPr>
    <w:rPr>
      <w:rFonts w:ascii="Arial" w:hAnsi="Arial" w:cs="Arial"/>
      <w:b/>
      <w:bCs/>
      <w:sz w:val="18"/>
      <w:szCs w:val="18"/>
      <w:lang w:val="es-CO" w:eastAsia="es-CO"/>
    </w:rPr>
  </w:style>
  <w:style w:type="paragraph" w:customStyle="1" w:styleId="xl282">
    <w:name w:val="xl282"/>
    <w:basedOn w:val="Normal"/>
    <w:rsid w:val="00735B74"/>
    <w:pPr>
      <w:pBdr>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283">
    <w:name w:val="xl283"/>
    <w:basedOn w:val="Normal"/>
    <w:rsid w:val="00735B74"/>
    <w:pPr>
      <w:pBdr>
        <w:bottom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84">
    <w:name w:val="xl284"/>
    <w:basedOn w:val="Normal"/>
    <w:rsid w:val="00735B74"/>
    <w:pPr>
      <w:pBdr>
        <w:bottom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285">
    <w:name w:val="xl285"/>
    <w:basedOn w:val="Normal"/>
    <w:rsid w:val="00735B7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lang w:val="es-CO" w:eastAsia="es-CO"/>
    </w:rPr>
  </w:style>
  <w:style w:type="paragraph" w:customStyle="1" w:styleId="xl286">
    <w:name w:val="xl286"/>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87">
    <w:name w:val="xl287"/>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lang w:val="es-CO" w:eastAsia="es-CO"/>
    </w:rPr>
  </w:style>
  <w:style w:type="paragraph" w:customStyle="1" w:styleId="xl288">
    <w:name w:val="xl288"/>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89">
    <w:name w:val="xl289"/>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lang w:val="es-CO" w:eastAsia="es-CO"/>
    </w:rPr>
  </w:style>
  <w:style w:type="paragraph" w:customStyle="1" w:styleId="xl290">
    <w:name w:val="xl290"/>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91">
    <w:name w:val="xl291"/>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92">
    <w:name w:val="xl292"/>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lang w:val="es-CO" w:eastAsia="es-CO"/>
    </w:rPr>
  </w:style>
  <w:style w:type="paragraph" w:customStyle="1" w:styleId="xl293">
    <w:name w:val="xl293"/>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294">
    <w:name w:val="xl294"/>
    <w:basedOn w:val="Normal"/>
    <w:rsid w:val="00735B74"/>
    <w:pPr>
      <w:spacing w:before="100" w:beforeAutospacing="1" w:after="100" w:afterAutospacing="1"/>
      <w:jc w:val="right"/>
    </w:pPr>
    <w:rPr>
      <w:rFonts w:ascii="Arial" w:hAnsi="Arial" w:cs="Arial"/>
      <w:sz w:val="18"/>
      <w:szCs w:val="18"/>
      <w:lang w:val="es-CO" w:eastAsia="es-CO"/>
    </w:rPr>
  </w:style>
  <w:style w:type="paragraph" w:customStyle="1" w:styleId="xl295">
    <w:name w:val="xl295"/>
    <w:basedOn w:val="Normal"/>
    <w:rsid w:val="00735B74"/>
    <w:pPr>
      <w:pBdr>
        <w:left w:val="single" w:sz="8" w:space="0" w:color="auto"/>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296">
    <w:name w:val="xl296"/>
    <w:basedOn w:val="Normal"/>
    <w:rsid w:val="00735B74"/>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297">
    <w:name w:val="xl297"/>
    <w:basedOn w:val="Normal"/>
    <w:rsid w:val="00735B74"/>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298">
    <w:name w:val="xl298"/>
    <w:basedOn w:val="Normal"/>
    <w:rsid w:val="00735B74"/>
    <w:pPr>
      <w:pBdr>
        <w:top w:val="single" w:sz="8" w:space="0" w:color="auto"/>
        <w:bottom w:val="single" w:sz="8" w:space="0" w:color="auto"/>
        <w:right w:val="single" w:sz="8" w:space="0" w:color="auto"/>
      </w:pBdr>
      <w:spacing w:before="100" w:beforeAutospacing="1" w:after="100" w:afterAutospacing="1"/>
    </w:pPr>
    <w:rPr>
      <w:lang w:val="es-CO" w:eastAsia="es-CO"/>
    </w:rPr>
  </w:style>
  <w:style w:type="paragraph" w:customStyle="1" w:styleId="xl299">
    <w:name w:val="xl299"/>
    <w:basedOn w:val="Normal"/>
    <w:rsid w:val="00735B74"/>
    <w:pPr>
      <w:pBdr>
        <w:top w:val="single" w:sz="8" w:space="0" w:color="auto"/>
        <w:left w:val="single" w:sz="4" w:space="0" w:color="auto"/>
        <w:bottom w:val="single" w:sz="8" w:space="0" w:color="auto"/>
      </w:pBdr>
      <w:spacing w:before="100" w:beforeAutospacing="1" w:after="100" w:afterAutospacing="1"/>
    </w:pPr>
    <w:rPr>
      <w:rFonts w:ascii="Arial" w:hAnsi="Arial" w:cs="Arial"/>
      <w:lang w:val="es-CO" w:eastAsia="es-CO"/>
    </w:rPr>
  </w:style>
  <w:style w:type="paragraph" w:customStyle="1" w:styleId="xl300">
    <w:name w:val="xl300"/>
    <w:basedOn w:val="Normal"/>
    <w:rsid w:val="00735B74"/>
    <w:pPr>
      <w:pBdr>
        <w:top w:val="single" w:sz="8" w:space="0" w:color="auto"/>
        <w:bottom w:val="single" w:sz="8" w:space="0" w:color="auto"/>
        <w:right w:val="single" w:sz="4" w:space="0" w:color="auto"/>
      </w:pBdr>
      <w:spacing w:before="100" w:beforeAutospacing="1" w:after="100" w:afterAutospacing="1"/>
    </w:pPr>
    <w:rPr>
      <w:rFonts w:ascii="Arial" w:hAnsi="Arial" w:cs="Arial"/>
      <w:lang w:val="es-CO" w:eastAsia="es-CO"/>
    </w:rPr>
  </w:style>
  <w:style w:type="paragraph" w:customStyle="1" w:styleId="xl301">
    <w:name w:val="xl301"/>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02">
    <w:name w:val="xl302"/>
    <w:basedOn w:val="Normal"/>
    <w:rsid w:val="00735B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03">
    <w:name w:val="xl303"/>
    <w:basedOn w:val="Normal"/>
    <w:rsid w:val="00735B74"/>
    <w:pPr>
      <w:pBdr>
        <w:top w:val="single" w:sz="8" w:space="0" w:color="auto"/>
        <w:lef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04">
    <w:name w:val="xl304"/>
    <w:basedOn w:val="Normal"/>
    <w:rsid w:val="00735B74"/>
    <w:pPr>
      <w:pBdr>
        <w:top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05">
    <w:name w:val="xl305"/>
    <w:basedOn w:val="Normal"/>
    <w:rsid w:val="00735B74"/>
    <w:pPr>
      <w:pBdr>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06">
    <w:name w:val="xl306"/>
    <w:basedOn w:val="Normal"/>
    <w:rsid w:val="00735B74"/>
    <w:pPr>
      <w:pBdr>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07">
    <w:name w:val="xl307"/>
    <w:basedOn w:val="Normal"/>
    <w:rsid w:val="00735B74"/>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08">
    <w:name w:val="xl308"/>
    <w:basedOn w:val="Normal"/>
    <w:rsid w:val="00735B7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09">
    <w:name w:val="xl309"/>
    <w:basedOn w:val="Normal"/>
    <w:rsid w:val="00735B74"/>
    <w:pPr>
      <w:pBdr>
        <w:top w:val="single" w:sz="8" w:space="0" w:color="auto"/>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310">
    <w:name w:val="xl310"/>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311">
    <w:name w:val="xl311"/>
    <w:basedOn w:val="Normal"/>
    <w:rsid w:val="00735B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312">
    <w:name w:val="xl312"/>
    <w:basedOn w:val="Normal"/>
    <w:rsid w:val="00735B74"/>
    <w:pPr>
      <w:pBdr>
        <w:top w:val="single" w:sz="8" w:space="0" w:color="auto"/>
        <w:left w:val="single" w:sz="4" w:space="0" w:color="auto"/>
        <w:bottom w:val="single" w:sz="4" w:space="0" w:color="auto"/>
      </w:pBdr>
      <w:spacing w:before="100" w:beforeAutospacing="1" w:after="100" w:afterAutospacing="1"/>
    </w:pPr>
    <w:rPr>
      <w:rFonts w:ascii="Arial" w:hAnsi="Arial" w:cs="Arial"/>
      <w:lang w:val="es-CO" w:eastAsia="es-CO"/>
    </w:rPr>
  </w:style>
  <w:style w:type="paragraph" w:customStyle="1" w:styleId="xl313">
    <w:name w:val="xl313"/>
    <w:basedOn w:val="Normal"/>
    <w:rsid w:val="00735B74"/>
    <w:pPr>
      <w:pBdr>
        <w:top w:val="single" w:sz="8"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314">
    <w:name w:val="xl314"/>
    <w:basedOn w:val="Normal"/>
    <w:rsid w:val="00735B74"/>
    <w:pPr>
      <w:pBdr>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5">
    <w:name w:val="xl315"/>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6">
    <w:name w:val="xl316"/>
    <w:basedOn w:val="Normal"/>
    <w:rsid w:val="00735B74"/>
    <w:pPr>
      <w:pBdr>
        <w:top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7">
    <w:name w:val="xl317"/>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8">
    <w:name w:val="xl318"/>
    <w:basedOn w:val="Normal"/>
    <w:rsid w:val="00735B74"/>
    <w:pPr>
      <w:pBdr>
        <w:top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9">
    <w:name w:val="xl319"/>
    <w:basedOn w:val="Normal"/>
    <w:rsid w:val="00735B74"/>
    <w:pPr>
      <w:pBdr>
        <w:top w:val="single" w:sz="8" w:space="0" w:color="auto"/>
        <w:bottom w:val="single" w:sz="8" w:space="0" w:color="auto"/>
        <w:right w:val="single" w:sz="8" w:space="0" w:color="auto"/>
      </w:pBdr>
      <w:spacing w:before="100" w:beforeAutospacing="1" w:after="100" w:afterAutospacing="1"/>
      <w:jc w:val="center"/>
    </w:pPr>
    <w:rPr>
      <w:lang w:val="es-CO" w:eastAsia="es-CO"/>
    </w:rPr>
  </w:style>
  <w:style w:type="paragraph" w:customStyle="1" w:styleId="xl320">
    <w:name w:val="xl320"/>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321">
    <w:name w:val="xl321"/>
    <w:basedOn w:val="Normal"/>
    <w:rsid w:val="00735B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322">
    <w:name w:val="xl322"/>
    <w:basedOn w:val="Normal"/>
    <w:rsid w:val="00735B74"/>
    <w:pPr>
      <w:pBdr>
        <w:left w:val="single" w:sz="8" w:space="0" w:color="auto"/>
        <w:bottom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23">
    <w:name w:val="xl323"/>
    <w:basedOn w:val="Normal"/>
    <w:rsid w:val="00735B74"/>
    <w:pPr>
      <w:pBdr>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24">
    <w:name w:val="xl324"/>
    <w:basedOn w:val="Normal"/>
    <w:rsid w:val="00735B74"/>
    <w:pPr>
      <w:pBdr>
        <w:lef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25">
    <w:name w:val="xl325"/>
    <w:basedOn w:val="Normal"/>
    <w:rsid w:val="00735B74"/>
    <w:pPr>
      <w:shd w:val="clear" w:color="000000" w:fill="FFFFFF"/>
      <w:spacing w:before="100" w:beforeAutospacing="1" w:after="100" w:afterAutospacing="1"/>
      <w:jc w:val="center"/>
    </w:pPr>
    <w:rPr>
      <w:rFonts w:ascii="Arial" w:hAnsi="Arial" w:cs="Arial"/>
      <w:b/>
      <w:bCs/>
      <w:lang w:val="es-CO" w:eastAsia="es-CO"/>
    </w:rPr>
  </w:style>
  <w:style w:type="paragraph" w:customStyle="1" w:styleId="xl326">
    <w:name w:val="xl326"/>
    <w:basedOn w:val="Normal"/>
    <w:rsid w:val="00735B74"/>
    <w:pPr>
      <w:pBdr>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327">
    <w:name w:val="xl327"/>
    <w:basedOn w:val="Normal"/>
    <w:rsid w:val="00735B74"/>
    <w:pPr>
      <w:pBdr>
        <w:top w:val="single" w:sz="12" w:space="0" w:color="auto"/>
        <w:left w:val="single" w:sz="8" w:space="0" w:color="auto"/>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328">
    <w:name w:val="xl328"/>
    <w:basedOn w:val="Normal"/>
    <w:rsid w:val="00735B74"/>
    <w:pPr>
      <w:pBdr>
        <w:top w:val="single" w:sz="12"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329">
    <w:name w:val="xl329"/>
    <w:basedOn w:val="Normal"/>
    <w:rsid w:val="00735B74"/>
    <w:pPr>
      <w:pBdr>
        <w:top w:val="single" w:sz="8" w:space="0" w:color="auto"/>
        <w:left w:val="single" w:sz="8" w:space="0" w:color="auto"/>
        <w:bottom w:val="single" w:sz="8" w:space="0" w:color="auto"/>
        <w:right w:val="single" w:sz="8" w:space="0" w:color="auto"/>
      </w:pBdr>
      <w:shd w:val="clear" w:color="000000" w:fill="8DB4E3"/>
      <w:spacing w:before="100" w:beforeAutospacing="1" w:after="100" w:afterAutospacing="1"/>
    </w:pPr>
    <w:rPr>
      <w:rFonts w:ascii="Arial" w:hAnsi="Arial" w:cs="Arial"/>
      <w:b/>
      <w:bCs/>
      <w:lang w:val="es-CO" w:eastAsia="es-CO"/>
    </w:rPr>
  </w:style>
  <w:style w:type="paragraph" w:customStyle="1" w:styleId="xl330">
    <w:name w:val="xl330"/>
    <w:basedOn w:val="Normal"/>
    <w:rsid w:val="00735B74"/>
    <w:pPr>
      <w:pBdr>
        <w:top w:val="single" w:sz="8" w:space="0" w:color="auto"/>
        <w:left w:val="single" w:sz="8" w:space="0" w:color="auto"/>
        <w:bottom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1">
    <w:name w:val="xl331"/>
    <w:basedOn w:val="Normal"/>
    <w:rsid w:val="00735B74"/>
    <w:pPr>
      <w:pBdr>
        <w:top w:val="single" w:sz="8" w:space="0" w:color="auto"/>
        <w:bottom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2">
    <w:name w:val="xl332"/>
    <w:basedOn w:val="Normal"/>
    <w:rsid w:val="00735B74"/>
    <w:pPr>
      <w:pBdr>
        <w:top w:val="single" w:sz="8" w:space="0" w:color="auto"/>
        <w:bottom w:val="single" w:sz="8" w:space="0" w:color="auto"/>
        <w:right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3">
    <w:name w:val="xl333"/>
    <w:basedOn w:val="Normal"/>
    <w:rsid w:val="00735B74"/>
    <w:pPr>
      <w:pBdr>
        <w:top w:val="single" w:sz="8" w:space="0" w:color="auto"/>
        <w:left w:val="single" w:sz="8" w:space="0" w:color="auto"/>
        <w:bottom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4">
    <w:name w:val="xl334"/>
    <w:basedOn w:val="Normal"/>
    <w:rsid w:val="00735B74"/>
    <w:pPr>
      <w:pBdr>
        <w:top w:val="single" w:sz="8" w:space="0" w:color="auto"/>
        <w:bottom w:val="single" w:sz="8" w:space="0" w:color="auto"/>
        <w:right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5">
    <w:name w:val="xl335"/>
    <w:basedOn w:val="Normal"/>
    <w:rsid w:val="00735B74"/>
    <w:pPr>
      <w:pBdr>
        <w:top w:val="single" w:sz="8" w:space="0" w:color="auto"/>
        <w:bottom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6">
    <w:name w:val="xl336"/>
    <w:basedOn w:val="Normal"/>
    <w:rsid w:val="00735B74"/>
    <w:pPr>
      <w:pBdr>
        <w:top w:val="single" w:sz="8" w:space="0" w:color="auto"/>
        <w:left w:val="single" w:sz="8" w:space="0" w:color="auto"/>
        <w:bottom w:val="single" w:sz="8" w:space="0" w:color="auto"/>
        <w:right w:val="single" w:sz="8" w:space="0" w:color="auto"/>
      </w:pBdr>
      <w:shd w:val="clear" w:color="000000" w:fill="8DB4E3"/>
      <w:spacing w:before="100" w:beforeAutospacing="1" w:after="100" w:afterAutospacing="1"/>
    </w:pPr>
    <w:rPr>
      <w:rFonts w:ascii="Arial" w:hAnsi="Arial" w:cs="Arial"/>
      <w:b/>
      <w:bCs/>
      <w:lang w:val="es-CO" w:eastAsia="es-CO"/>
    </w:rPr>
  </w:style>
  <w:style w:type="paragraph" w:customStyle="1" w:styleId="xl337">
    <w:name w:val="xl337"/>
    <w:basedOn w:val="Normal"/>
    <w:rsid w:val="00735B74"/>
    <w:pPr>
      <w:pBdr>
        <w:left w:val="single" w:sz="8" w:space="0" w:color="auto"/>
      </w:pBdr>
      <w:shd w:val="clear" w:color="000000" w:fill="8DB4E3"/>
      <w:spacing w:before="100" w:beforeAutospacing="1" w:after="100" w:afterAutospacing="1"/>
      <w:jc w:val="right"/>
    </w:pPr>
    <w:rPr>
      <w:rFonts w:ascii="Arial" w:hAnsi="Arial" w:cs="Arial"/>
      <w:sz w:val="18"/>
      <w:szCs w:val="18"/>
      <w:lang w:val="es-CO" w:eastAsia="es-CO"/>
    </w:rPr>
  </w:style>
  <w:style w:type="paragraph" w:customStyle="1" w:styleId="xl338">
    <w:name w:val="xl338"/>
    <w:basedOn w:val="Normal"/>
    <w:rsid w:val="00735B74"/>
    <w:pPr>
      <w:shd w:val="clear" w:color="000000" w:fill="8DB4E3"/>
      <w:spacing w:before="100" w:beforeAutospacing="1" w:after="100" w:afterAutospacing="1"/>
    </w:pPr>
    <w:rPr>
      <w:rFonts w:ascii="Arial" w:hAnsi="Arial" w:cs="Arial"/>
      <w:lang w:val="es-CO" w:eastAsia="es-CO"/>
    </w:rPr>
  </w:style>
  <w:style w:type="paragraph" w:customStyle="1" w:styleId="xl339">
    <w:name w:val="xl339"/>
    <w:basedOn w:val="Normal"/>
    <w:rsid w:val="00735B74"/>
    <w:pPr>
      <w:shd w:val="clear" w:color="000000" w:fill="8DB4E3"/>
      <w:spacing w:before="100" w:beforeAutospacing="1" w:after="100" w:afterAutospacing="1"/>
    </w:pPr>
    <w:rPr>
      <w:rFonts w:ascii="Arial" w:hAnsi="Arial" w:cs="Arial"/>
      <w:lang w:val="es-CO" w:eastAsia="es-CO"/>
    </w:rPr>
  </w:style>
  <w:style w:type="paragraph" w:customStyle="1" w:styleId="xl340">
    <w:name w:val="xl340"/>
    <w:basedOn w:val="Normal"/>
    <w:rsid w:val="00735B74"/>
    <w:pPr>
      <w:pBdr>
        <w:left w:val="single" w:sz="8" w:space="0" w:color="auto"/>
        <w:bottom w:val="single" w:sz="8" w:space="0" w:color="auto"/>
      </w:pBdr>
      <w:shd w:val="clear" w:color="000000" w:fill="8DB4E3"/>
      <w:spacing w:before="100" w:beforeAutospacing="1" w:after="100" w:afterAutospacing="1"/>
      <w:jc w:val="right"/>
    </w:pPr>
    <w:rPr>
      <w:rFonts w:ascii="Arial" w:hAnsi="Arial" w:cs="Arial"/>
      <w:sz w:val="18"/>
      <w:szCs w:val="18"/>
      <w:lang w:val="es-CO" w:eastAsia="es-CO"/>
    </w:rPr>
  </w:style>
  <w:style w:type="paragraph" w:customStyle="1" w:styleId="xl341">
    <w:name w:val="xl341"/>
    <w:basedOn w:val="Normal"/>
    <w:rsid w:val="00735B74"/>
    <w:pPr>
      <w:pBdr>
        <w:bottom w:val="single" w:sz="8" w:space="0" w:color="auto"/>
      </w:pBdr>
      <w:shd w:val="clear" w:color="000000" w:fill="8DB4E3"/>
      <w:spacing w:before="100" w:beforeAutospacing="1" w:after="100" w:afterAutospacing="1"/>
    </w:pPr>
    <w:rPr>
      <w:rFonts w:ascii="Arial" w:hAnsi="Arial" w:cs="Arial"/>
      <w:lang w:val="es-CO" w:eastAsia="es-CO"/>
    </w:rPr>
  </w:style>
  <w:style w:type="paragraph" w:customStyle="1" w:styleId="xl342">
    <w:name w:val="xl342"/>
    <w:basedOn w:val="Normal"/>
    <w:rsid w:val="00735B74"/>
    <w:pPr>
      <w:pBdr>
        <w:bottom w:val="single" w:sz="8" w:space="0" w:color="auto"/>
      </w:pBdr>
      <w:shd w:val="clear" w:color="000000" w:fill="8DB4E3"/>
      <w:spacing w:before="100" w:beforeAutospacing="1" w:after="100" w:afterAutospacing="1"/>
    </w:pPr>
    <w:rPr>
      <w:rFonts w:ascii="Arial" w:hAnsi="Arial" w:cs="Arial"/>
      <w:lang w:val="es-CO" w:eastAsia="es-CO"/>
    </w:rPr>
  </w:style>
  <w:style w:type="paragraph" w:customStyle="1" w:styleId="xl343">
    <w:name w:val="xl343"/>
    <w:basedOn w:val="Normal"/>
    <w:rsid w:val="00735B74"/>
    <w:pPr>
      <w:pBdr>
        <w:top w:val="single" w:sz="8" w:space="0" w:color="auto"/>
        <w:left w:val="single" w:sz="8" w:space="0" w:color="auto"/>
        <w:bottom w:val="single" w:sz="4" w:space="0" w:color="auto"/>
        <w:right w:val="single" w:sz="4" w:space="0" w:color="auto"/>
      </w:pBdr>
      <w:shd w:val="clear" w:color="000000" w:fill="8DB4E3"/>
      <w:spacing w:before="100" w:beforeAutospacing="1" w:after="100" w:afterAutospacing="1"/>
      <w:jc w:val="both"/>
    </w:pPr>
    <w:rPr>
      <w:rFonts w:ascii="Arial" w:hAnsi="Arial" w:cs="Arial"/>
      <w:b/>
      <w:bCs/>
      <w:sz w:val="14"/>
      <w:szCs w:val="14"/>
      <w:lang w:val="es-CO" w:eastAsia="es-CO"/>
    </w:rPr>
  </w:style>
  <w:style w:type="paragraph" w:customStyle="1" w:styleId="xl344">
    <w:name w:val="xl344"/>
    <w:basedOn w:val="Normal"/>
    <w:rsid w:val="00735B74"/>
    <w:pPr>
      <w:pBdr>
        <w:top w:val="single" w:sz="8" w:space="0" w:color="auto"/>
        <w:left w:val="single" w:sz="4" w:space="0" w:color="auto"/>
        <w:bottom w:val="single" w:sz="4" w:space="0" w:color="auto"/>
        <w:right w:val="single" w:sz="8" w:space="0" w:color="auto"/>
      </w:pBdr>
      <w:shd w:val="clear" w:color="000000" w:fill="8DB4E3"/>
      <w:spacing w:before="100" w:beforeAutospacing="1" w:after="100" w:afterAutospacing="1"/>
      <w:jc w:val="both"/>
    </w:pPr>
    <w:rPr>
      <w:rFonts w:ascii="Arial" w:hAnsi="Arial" w:cs="Arial"/>
      <w:sz w:val="14"/>
      <w:szCs w:val="14"/>
      <w:lang w:val="es-CO" w:eastAsia="es-CO"/>
    </w:rPr>
  </w:style>
  <w:style w:type="paragraph" w:customStyle="1" w:styleId="xl345">
    <w:name w:val="xl345"/>
    <w:basedOn w:val="Normal"/>
    <w:rsid w:val="00735B74"/>
    <w:pPr>
      <w:pBdr>
        <w:top w:val="single" w:sz="4" w:space="0" w:color="auto"/>
        <w:left w:val="single" w:sz="8" w:space="0" w:color="auto"/>
        <w:bottom w:val="single" w:sz="4" w:space="0" w:color="auto"/>
        <w:right w:val="single" w:sz="4" w:space="0" w:color="auto"/>
      </w:pBdr>
      <w:shd w:val="clear" w:color="000000" w:fill="8DB4E3"/>
      <w:spacing w:before="100" w:beforeAutospacing="1" w:after="100" w:afterAutospacing="1"/>
      <w:jc w:val="both"/>
    </w:pPr>
    <w:rPr>
      <w:rFonts w:ascii="Arial" w:hAnsi="Arial" w:cs="Arial"/>
      <w:sz w:val="14"/>
      <w:szCs w:val="14"/>
      <w:lang w:val="es-CO" w:eastAsia="es-CO"/>
    </w:rPr>
  </w:style>
  <w:style w:type="paragraph" w:customStyle="1" w:styleId="xl346">
    <w:name w:val="xl346"/>
    <w:basedOn w:val="Normal"/>
    <w:rsid w:val="00735B74"/>
    <w:pPr>
      <w:pBdr>
        <w:top w:val="single" w:sz="4" w:space="0" w:color="auto"/>
        <w:left w:val="single" w:sz="4" w:space="0" w:color="auto"/>
        <w:bottom w:val="single" w:sz="4" w:space="0" w:color="auto"/>
        <w:right w:val="single" w:sz="8" w:space="0" w:color="auto"/>
      </w:pBdr>
      <w:shd w:val="clear" w:color="000000" w:fill="8DB4E3"/>
      <w:spacing w:before="100" w:beforeAutospacing="1" w:after="100" w:afterAutospacing="1"/>
      <w:jc w:val="both"/>
    </w:pPr>
    <w:rPr>
      <w:rFonts w:ascii="Arial" w:hAnsi="Arial" w:cs="Arial"/>
      <w:sz w:val="14"/>
      <w:szCs w:val="14"/>
      <w:lang w:val="es-CO" w:eastAsia="es-CO"/>
    </w:rPr>
  </w:style>
  <w:style w:type="paragraph" w:customStyle="1" w:styleId="xl347">
    <w:name w:val="xl347"/>
    <w:basedOn w:val="Normal"/>
    <w:rsid w:val="00735B74"/>
    <w:pPr>
      <w:pBdr>
        <w:top w:val="single" w:sz="4" w:space="0" w:color="auto"/>
        <w:left w:val="single" w:sz="8" w:space="0" w:color="auto"/>
        <w:bottom w:val="single" w:sz="8" w:space="0" w:color="auto"/>
        <w:right w:val="single" w:sz="4" w:space="0" w:color="auto"/>
      </w:pBdr>
      <w:shd w:val="clear" w:color="000000" w:fill="8DB4E3"/>
      <w:spacing w:before="100" w:beforeAutospacing="1" w:after="100" w:afterAutospacing="1"/>
    </w:pPr>
    <w:rPr>
      <w:rFonts w:ascii="Arial" w:hAnsi="Arial" w:cs="Arial"/>
      <w:sz w:val="14"/>
      <w:szCs w:val="14"/>
      <w:lang w:val="es-CO" w:eastAsia="es-CO"/>
    </w:rPr>
  </w:style>
  <w:style w:type="paragraph" w:customStyle="1" w:styleId="xl348">
    <w:name w:val="xl348"/>
    <w:basedOn w:val="Normal"/>
    <w:rsid w:val="00735B74"/>
    <w:pPr>
      <w:pBdr>
        <w:top w:val="single" w:sz="4" w:space="0" w:color="auto"/>
        <w:left w:val="single" w:sz="4" w:space="0" w:color="auto"/>
        <w:bottom w:val="single" w:sz="8" w:space="0" w:color="auto"/>
        <w:right w:val="single" w:sz="8" w:space="0" w:color="auto"/>
      </w:pBdr>
      <w:shd w:val="clear" w:color="000000" w:fill="8DB4E3"/>
      <w:spacing w:before="100" w:beforeAutospacing="1" w:after="100" w:afterAutospacing="1"/>
    </w:pPr>
    <w:rPr>
      <w:rFonts w:ascii="Arial" w:hAnsi="Arial" w:cs="Arial"/>
      <w:sz w:val="14"/>
      <w:szCs w:val="14"/>
      <w:lang w:val="es-CO" w:eastAsia="es-CO"/>
    </w:rPr>
  </w:style>
  <w:style w:type="paragraph" w:customStyle="1" w:styleId="xl349">
    <w:name w:val="xl349"/>
    <w:basedOn w:val="Normal"/>
    <w:rsid w:val="00735B74"/>
    <w:pPr>
      <w:pBdr>
        <w:top w:val="single" w:sz="4" w:space="0" w:color="auto"/>
        <w:left w:val="single" w:sz="8" w:space="0" w:color="auto"/>
        <w:bottom w:val="single" w:sz="8" w:space="0" w:color="auto"/>
        <w:right w:val="single" w:sz="4" w:space="0" w:color="auto"/>
      </w:pBdr>
      <w:shd w:val="clear" w:color="000000" w:fill="8DB4E3"/>
      <w:spacing w:before="100" w:beforeAutospacing="1" w:after="100" w:afterAutospacing="1"/>
    </w:pPr>
    <w:rPr>
      <w:rFonts w:ascii="Arial" w:hAnsi="Arial" w:cs="Arial"/>
      <w:sz w:val="14"/>
      <w:szCs w:val="14"/>
      <w:lang w:val="es-CO" w:eastAsia="es-CO"/>
    </w:rPr>
  </w:style>
  <w:style w:type="paragraph" w:customStyle="1" w:styleId="xl350">
    <w:name w:val="xl350"/>
    <w:basedOn w:val="Normal"/>
    <w:rsid w:val="00735B74"/>
    <w:pPr>
      <w:pBdr>
        <w:top w:val="single" w:sz="4" w:space="0" w:color="auto"/>
        <w:left w:val="single" w:sz="4" w:space="0" w:color="auto"/>
        <w:bottom w:val="single" w:sz="8" w:space="0" w:color="auto"/>
        <w:right w:val="single" w:sz="8" w:space="0" w:color="auto"/>
      </w:pBdr>
      <w:shd w:val="clear" w:color="000000" w:fill="8DB4E3"/>
      <w:spacing w:before="100" w:beforeAutospacing="1" w:after="100" w:afterAutospacing="1"/>
    </w:pPr>
    <w:rPr>
      <w:rFonts w:ascii="Arial" w:hAnsi="Arial" w:cs="Arial"/>
      <w:sz w:val="14"/>
      <w:szCs w:val="14"/>
      <w:lang w:val="es-CO" w:eastAsia="es-CO"/>
    </w:rPr>
  </w:style>
  <w:style w:type="table" w:styleId="Tablaconlista3">
    <w:name w:val="Table List 3"/>
    <w:basedOn w:val="Tablanormal"/>
    <w:rsid w:val="0004390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Sombreadoclaro2">
    <w:name w:val="Sombreado claro2"/>
    <w:basedOn w:val="Tablanormal"/>
    <w:uiPriority w:val="60"/>
    <w:rsid w:val="0004390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clara1">
    <w:name w:val="Lista clara1"/>
    <w:basedOn w:val="Tablanormal"/>
    <w:uiPriority w:val="61"/>
    <w:rsid w:val="001B7285"/>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tulo1Car">
    <w:name w:val="Título 1 Car"/>
    <w:basedOn w:val="Fuentedeprrafopredeter"/>
    <w:link w:val="Ttulo1"/>
    <w:rsid w:val="00ED6C1E"/>
    <w:rPr>
      <w:rFonts w:ascii="Arial" w:hAnsi="Arial" w:cs="Arial"/>
      <w:b/>
      <w:bCs/>
      <w:i/>
      <w:iCs/>
      <w:vanish/>
      <w:color w:val="000080"/>
      <w:sz w:val="24"/>
      <w:szCs w:val="24"/>
      <w:u w:val="wave"/>
      <w:lang w:val="es-ES_tradnl" w:eastAsia="es-ES"/>
    </w:rPr>
  </w:style>
  <w:style w:type="character" w:customStyle="1" w:styleId="Ttulo2Car">
    <w:name w:val="Título 2 Car"/>
    <w:basedOn w:val="Fuentedeprrafopredeter"/>
    <w:link w:val="Ttulo2"/>
    <w:rsid w:val="00ED6C1E"/>
    <w:rPr>
      <w:rFonts w:ascii="Arial" w:hAnsi="Arial" w:cs="Arial"/>
      <w:b/>
      <w:bCs/>
      <w:sz w:val="24"/>
      <w:szCs w:val="24"/>
      <w:lang w:val="es-ES_tradnl" w:eastAsia="es-ES"/>
    </w:rPr>
  </w:style>
  <w:style w:type="character" w:customStyle="1" w:styleId="Ttulo3Car">
    <w:name w:val="Título 3 Car"/>
    <w:basedOn w:val="Fuentedeprrafopredeter"/>
    <w:link w:val="Ttulo3"/>
    <w:rsid w:val="00ED6C1E"/>
    <w:rPr>
      <w:rFonts w:ascii="Arial" w:hAnsi="Arial" w:cs="Arial"/>
      <w:b/>
      <w:bCs/>
      <w:color w:val="000000"/>
      <w:sz w:val="24"/>
      <w:szCs w:val="24"/>
      <w:lang w:val="es-ES_tradnl" w:eastAsia="es-ES"/>
    </w:rPr>
  </w:style>
  <w:style w:type="character" w:customStyle="1" w:styleId="Ttulo4Car">
    <w:name w:val="Título 4 Car"/>
    <w:basedOn w:val="Fuentedeprrafopredeter"/>
    <w:link w:val="Ttulo4"/>
    <w:rsid w:val="00ED6C1E"/>
    <w:rPr>
      <w:rFonts w:ascii="Arial" w:hAnsi="Arial" w:cs="Arial"/>
      <w:b/>
      <w:bCs/>
      <w:color w:val="000000"/>
      <w:sz w:val="24"/>
      <w:szCs w:val="24"/>
      <w:lang w:val="es-ES_tradnl" w:eastAsia="es-ES"/>
    </w:rPr>
  </w:style>
  <w:style w:type="character" w:customStyle="1" w:styleId="Ttulo5Car">
    <w:name w:val="Título 5 Car"/>
    <w:basedOn w:val="Fuentedeprrafopredeter"/>
    <w:link w:val="Ttulo5"/>
    <w:rsid w:val="00ED6C1E"/>
    <w:rPr>
      <w:rFonts w:ascii="Arial" w:hAnsi="Arial" w:cs="Arial"/>
      <w:b/>
      <w:bCs/>
      <w:color w:val="000000"/>
      <w:sz w:val="24"/>
      <w:szCs w:val="24"/>
      <w:lang w:val="es-ES_tradnl" w:eastAsia="es-ES"/>
    </w:rPr>
  </w:style>
  <w:style w:type="character" w:customStyle="1" w:styleId="Ttulo6Car">
    <w:name w:val="Título 6 Car"/>
    <w:basedOn w:val="Fuentedeprrafopredeter"/>
    <w:link w:val="Ttulo6"/>
    <w:rsid w:val="00ED6C1E"/>
    <w:rPr>
      <w:rFonts w:ascii="Arial" w:hAnsi="Arial" w:cs="Arial"/>
      <w:b/>
      <w:bCs/>
      <w:color w:val="000000"/>
      <w:sz w:val="24"/>
      <w:szCs w:val="24"/>
      <w:lang w:val="es-ES" w:eastAsia="es-ES"/>
    </w:rPr>
  </w:style>
  <w:style w:type="character" w:customStyle="1" w:styleId="Ttulo7Car">
    <w:name w:val="Título 7 Car"/>
    <w:basedOn w:val="Fuentedeprrafopredeter"/>
    <w:link w:val="Ttulo7"/>
    <w:rsid w:val="00ED6C1E"/>
    <w:rPr>
      <w:rFonts w:ascii="Arial" w:hAnsi="Arial" w:cs="Arial"/>
      <w:b/>
      <w:bCs/>
      <w:color w:val="000000"/>
      <w:sz w:val="24"/>
      <w:szCs w:val="24"/>
      <w:lang w:val="es-ES_tradnl" w:eastAsia="es-ES"/>
    </w:rPr>
  </w:style>
  <w:style w:type="character" w:customStyle="1" w:styleId="Ttulo8Car">
    <w:name w:val="Título 8 Car"/>
    <w:basedOn w:val="Fuentedeprrafopredeter"/>
    <w:link w:val="Ttulo8"/>
    <w:rsid w:val="00ED6C1E"/>
    <w:rPr>
      <w:rFonts w:ascii="Arial" w:hAnsi="Arial" w:cs="Arial"/>
      <w:b/>
      <w:bCs/>
      <w:sz w:val="24"/>
      <w:szCs w:val="24"/>
      <w:lang w:val="es-ES_tradnl" w:eastAsia="es-ES"/>
    </w:rPr>
  </w:style>
  <w:style w:type="character" w:customStyle="1" w:styleId="Ttulo9Car">
    <w:name w:val="Título 9 Car"/>
    <w:basedOn w:val="Fuentedeprrafopredeter"/>
    <w:link w:val="Ttulo9"/>
    <w:rsid w:val="00ED6C1E"/>
    <w:rPr>
      <w:rFonts w:ascii="Arial" w:hAnsi="Arial" w:cs="Arial"/>
      <w:b/>
      <w:bCs/>
      <w:sz w:val="24"/>
      <w:szCs w:val="24"/>
      <w:lang w:val="es-ES" w:eastAsia="es-ES"/>
    </w:rPr>
  </w:style>
  <w:style w:type="character" w:customStyle="1" w:styleId="TextocomentarioCar">
    <w:name w:val="Texto comentario Car"/>
    <w:basedOn w:val="Fuentedeprrafopredeter"/>
    <w:link w:val="Textocomentario"/>
    <w:semiHidden/>
    <w:rsid w:val="00ED6C1E"/>
    <w:rPr>
      <w:lang w:val="es-ES" w:eastAsia="es-ES"/>
    </w:rPr>
  </w:style>
  <w:style w:type="character" w:customStyle="1" w:styleId="PiedepginaCar">
    <w:name w:val="Pie de página Car"/>
    <w:basedOn w:val="Fuentedeprrafopredeter"/>
    <w:link w:val="Piedepgina"/>
    <w:uiPriority w:val="99"/>
    <w:rsid w:val="00ED6C1E"/>
    <w:rPr>
      <w:rFonts w:ascii="Arial" w:hAnsi="Arial" w:cs="Arial"/>
      <w:color w:val="000000"/>
      <w:sz w:val="24"/>
      <w:szCs w:val="24"/>
      <w:lang w:val="es-ES" w:eastAsia="es-ES"/>
    </w:rPr>
  </w:style>
  <w:style w:type="character" w:customStyle="1" w:styleId="PuestoCar">
    <w:name w:val="Puesto Car"/>
    <w:basedOn w:val="Fuentedeprrafopredeter"/>
    <w:link w:val="Puesto"/>
    <w:rsid w:val="00ED6C1E"/>
    <w:rPr>
      <w:rFonts w:ascii="Arial" w:hAnsi="Arial" w:cs="Arial"/>
      <w:b/>
      <w:bCs/>
      <w:color w:val="000000"/>
      <w:sz w:val="24"/>
      <w:szCs w:val="24"/>
      <w:lang w:val="es-ES" w:eastAsia="es-ES"/>
    </w:rPr>
  </w:style>
  <w:style w:type="character" w:customStyle="1" w:styleId="TextoindependienteCar">
    <w:name w:val="Texto independiente Car"/>
    <w:basedOn w:val="Fuentedeprrafopredeter"/>
    <w:link w:val="Textoindependiente"/>
    <w:rsid w:val="00ED6C1E"/>
    <w:rPr>
      <w:rFonts w:ascii="Arial" w:hAnsi="Arial" w:cs="Arial"/>
      <w:b/>
      <w:bCs/>
      <w:i/>
      <w:iCs/>
      <w:vanish/>
      <w:color w:val="000080"/>
      <w:sz w:val="24"/>
      <w:szCs w:val="24"/>
      <w:u w:val="wave"/>
      <w:lang w:val="es-ES_tradnl" w:eastAsia="es-ES"/>
    </w:rPr>
  </w:style>
  <w:style w:type="character" w:customStyle="1" w:styleId="SangradetextonormalCar">
    <w:name w:val="Sangría de texto normal Car"/>
    <w:basedOn w:val="Fuentedeprrafopredeter"/>
    <w:link w:val="Sangradetextonormal"/>
    <w:rsid w:val="00ED6C1E"/>
    <w:rPr>
      <w:sz w:val="24"/>
      <w:szCs w:val="24"/>
      <w:lang w:val="es-ES" w:eastAsia="es-ES"/>
    </w:rPr>
  </w:style>
  <w:style w:type="character" w:customStyle="1" w:styleId="SubttuloCar">
    <w:name w:val="Subtítulo Car"/>
    <w:basedOn w:val="Fuentedeprrafopredeter"/>
    <w:link w:val="Subttulo"/>
    <w:rsid w:val="00ED6C1E"/>
    <w:rPr>
      <w:rFonts w:ascii="Arial" w:hAnsi="Arial" w:cs="Arial"/>
      <w:b/>
      <w:bCs/>
      <w:color w:val="000000"/>
      <w:sz w:val="24"/>
      <w:szCs w:val="24"/>
      <w:lang w:val="es-ES" w:eastAsia="es-ES"/>
    </w:rPr>
  </w:style>
  <w:style w:type="character" w:customStyle="1" w:styleId="Sangra2detindependienteCar">
    <w:name w:val="Sangría 2 de t. independiente Car"/>
    <w:basedOn w:val="Fuentedeprrafopredeter"/>
    <w:link w:val="Sangra2detindependiente"/>
    <w:rsid w:val="00ED6C1E"/>
    <w:rPr>
      <w:rFonts w:ascii="Arial" w:hAnsi="Arial" w:cs="Arial"/>
      <w:b/>
      <w:bCs/>
      <w:color w:val="000000"/>
      <w:sz w:val="24"/>
      <w:szCs w:val="24"/>
      <w:lang w:val="es-ES" w:eastAsia="es-ES"/>
    </w:rPr>
  </w:style>
  <w:style w:type="character" w:customStyle="1" w:styleId="Sangra3detindependienteCar">
    <w:name w:val="Sangría 3 de t. independiente Car"/>
    <w:basedOn w:val="Fuentedeprrafopredeter"/>
    <w:link w:val="Sangra3detindependiente"/>
    <w:rsid w:val="00ED6C1E"/>
    <w:rPr>
      <w:rFonts w:ascii="Arial" w:hAnsi="Arial" w:cs="Arial"/>
      <w:color w:val="000000"/>
      <w:sz w:val="24"/>
      <w:szCs w:val="24"/>
      <w:lang w:val="es-ES" w:eastAsia="es-ES"/>
    </w:rPr>
  </w:style>
  <w:style w:type="character" w:styleId="Textoennegrita">
    <w:name w:val="Strong"/>
    <w:basedOn w:val="Fuentedeprrafopredeter"/>
    <w:uiPriority w:val="22"/>
    <w:qFormat/>
    <w:rsid w:val="00A22EA9"/>
    <w:rPr>
      <w:b/>
      <w:bCs/>
    </w:rPr>
  </w:style>
  <w:style w:type="table" w:customStyle="1" w:styleId="Tablanormal11">
    <w:name w:val="Tabla normal 11"/>
    <w:basedOn w:val="Tablanormal"/>
    <w:uiPriority w:val="41"/>
    <w:rsid w:val="00E0186B"/>
    <w:rPr>
      <w:rFonts w:asciiTheme="minorHAnsi" w:eastAsiaTheme="minorHAnsi" w:hAnsiTheme="minorHAnsi" w:cstheme="minorBid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96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1663139">
      <w:bodyDiv w:val="1"/>
      <w:marLeft w:val="0"/>
      <w:marRight w:val="0"/>
      <w:marTop w:val="0"/>
      <w:marBottom w:val="0"/>
      <w:divBdr>
        <w:top w:val="none" w:sz="0" w:space="0" w:color="auto"/>
        <w:left w:val="none" w:sz="0" w:space="0" w:color="auto"/>
        <w:bottom w:val="none" w:sz="0" w:space="0" w:color="auto"/>
        <w:right w:val="none" w:sz="0" w:space="0" w:color="auto"/>
      </w:divBdr>
    </w:div>
    <w:div w:id="1977380">
      <w:bodyDiv w:val="1"/>
      <w:marLeft w:val="0"/>
      <w:marRight w:val="0"/>
      <w:marTop w:val="0"/>
      <w:marBottom w:val="0"/>
      <w:divBdr>
        <w:top w:val="none" w:sz="0" w:space="0" w:color="auto"/>
        <w:left w:val="none" w:sz="0" w:space="0" w:color="auto"/>
        <w:bottom w:val="none" w:sz="0" w:space="0" w:color="auto"/>
        <w:right w:val="none" w:sz="0" w:space="0" w:color="auto"/>
      </w:divBdr>
    </w:div>
    <w:div w:id="4140387">
      <w:bodyDiv w:val="1"/>
      <w:marLeft w:val="0"/>
      <w:marRight w:val="0"/>
      <w:marTop w:val="0"/>
      <w:marBottom w:val="0"/>
      <w:divBdr>
        <w:top w:val="none" w:sz="0" w:space="0" w:color="auto"/>
        <w:left w:val="none" w:sz="0" w:space="0" w:color="auto"/>
        <w:bottom w:val="none" w:sz="0" w:space="0" w:color="auto"/>
        <w:right w:val="none" w:sz="0" w:space="0" w:color="auto"/>
      </w:divBdr>
    </w:div>
    <w:div w:id="10760421">
      <w:bodyDiv w:val="1"/>
      <w:marLeft w:val="0"/>
      <w:marRight w:val="0"/>
      <w:marTop w:val="0"/>
      <w:marBottom w:val="0"/>
      <w:divBdr>
        <w:top w:val="none" w:sz="0" w:space="0" w:color="auto"/>
        <w:left w:val="none" w:sz="0" w:space="0" w:color="auto"/>
        <w:bottom w:val="none" w:sz="0" w:space="0" w:color="auto"/>
        <w:right w:val="none" w:sz="0" w:space="0" w:color="auto"/>
      </w:divBdr>
    </w:div>
    <w:div w:id="25955337">
      <w:bodyDiv w:val="1"/>
      <w:marLeft w:val="0"/>
      <w:marRight w:val="0"/>
      <w:marTop w:val="0"/>
      <w:marBottom w:val="0"/>
      <w:divBdr>
        <w:top w:val="none" w:sz="0" w:space="0" w:color="auto"/>
        <w:left w:val="none" w:sz="0" w:space="0" w:color="auto"/>
        <w:bottom w:val="none" w:sz="0" w:space="0" w:color="auto"/>
        <w:right w:val="none" w:sz="0" w:space="0" w:color="auto"/>
      </w:divBdr>
    </w:div>
    <w:div w:id="26878770">
      <w:bodyDiv w:val="1"/>
      <w:marLeft w:val="0"/>
      <w:marRight w:val="0"/>
      <w:marTop w:val="0"/>
      <w:marBottom w:val="0"/>
      <w:divBdr>
        <w:top w:val="none" w:sz="0" w:space="0" w:color="auto"/>
        <w:left w:val="none" w:sz="0" w:space="0" w:color="auto"/>
        <w:bottom w:val="none" w:sz="0" w:space="0" w:color="auto"/>
        <w:right w:val="none" w:sz="0" w:space="0" w:color="auto"/>
      </w:divBdr>
    </w:div>
    <w:div w:id="67462599">
      <w:bodyDiv w:val="1"/>
      <w:marLeft w:val="0"/>
      <w:marRight w:val="0"/>
      <w:marTop w:val="0"/>
      <w:marBottom w:val="0"/>
      <w:divBdr>
        <w:top w:val="none" w:sz="0" w:space="0" w:color="auto"/>
        <w:left w:val="none" w:sz="0" w:space="0" w:color="auto"/>
        <w:bottom w:val="none" w:sz="0" w:space="0" w:color="auto"/>
        <w:right w:val="none" w:sz="0" w:space="0" w:color="auto"/>
      </w:divBdr>
    </w:div>
    <w:div w:id="71120673">
      <w:bodyDiv w:val="1"/>
      <w:marLeft w:val="0"/>
      <w:marRight w:val="0"/>
      <w:marTop w:val="0"/>
      <w:marBottom w:val="0"/>
      <w:divBdr>
        <w:top w:val="none" w:sz="0" w:space="0" w:color="auto"/>
        <w:left w:val="none" w:sz="0" w:space="0" w:color="auto"/>
        <w:bottom w:val="none" w:sz="0" w:space="0" w:color="auto"/>
        <w:right w:val="none" w:sz="0" w:space="0" w:color="auto"/>
      </w:divBdr>
    </w:div>
    <w:div w:id="72046675">
      <w:bodyDiv w:val="1"/>
      <w:marLeft w:val="0"/>
      <w:marRight w:val="0"/>
      <w:marTop w:val="0"/>
      <w:marBottom w:val="0"/>
      <w:divBdr>
        <w:top w:val="none" w:sz="0" w:space="0" w:color="auto"/>
        <w:left w:val="none" w:sz="0" w:space="0" w:color="auto"/>
        <w:bottom w:val="none" w:sz="0" w:space="0" w:color="auto"/>
        <w:right w:val="none" w:sz="0" w:space="0" w:color="auto"/>
      </w:divBdr>
    </w:div>
    <w:div w:id="81074599">
      <w:bodyDiv w:val="1"/>
      <w:marLeft w:val="0"/>
      <w:marRight w:val="0"/>
      <w:marTop w:val="0"/>
      <w:marBottom w:val="0"/>
      <w:divBdr>
        <w:top w:val="none" w:sz="0" w:space="0" w:color="auto"/>
        <w:left w:val="none" w:sz="0" w:space="0" w:color="auto"/>
        <w:bottom w:val="none" w:sz="0" w:space="0" w:color="auto"/>
        <w:right w:val="none" w:sz="0" w:space="0" w:color="auto"/>
      </w:divBdr>
    </w:div>
    <w:div w:id="104932986">
      <w:bodyDiv w:val="1"/>
      <w:marLeft w:val="0"/>
      <w:marRight w:val="0"/>
      <w:marTop w:val="0"/>
      <w:marBottom w:val="0"/>
      <w:divBdr>
        <w:top w:val="none" w:sz="0" w:space="0" w:color="auto"/>
        <w:left w:val="none" w:sz="0" w:space="0" w:color="auto"/>
        <w:bottom w:val="none" w:sz="0" w:space="0" w:color="auto"/>
        <w:right w:val="none" w:sz="0" w:space="0" w:color="auto"/>
      </w:divBdr>
    </w:div>
    <w:div w:id="131867946">
      <w:bodyDiv w:val="1"/>
      <w:marLeft w:val="0"/>
      <w:marRight w:val="0"/>
      <w:marTop w:val="0"/>
      <w:marBottom w:val="0"/>
      <w:divBdr>
        <w:top w:val="none" w:sz="0" w:space="0" w:color="auto"/>
        <w:left w:val="none" w:sz="0" w:space="0" w:color="auto"/>
        <w:bottom w:val="none" w:sz="0" w:space="0" w:color="auto"/>
        <w:right w:val="none" w:sz="0" w:space="0" w:color="auto"/>
      </w:divBdr>
    </w:div>
    <w:div w:id="145169801">
      <w:bodyDiv w:val="1"/>
      <w:marLeft w:val="0"/>
      <w:marRight w:val="0"/>
      <w:marTop w:val="0"/>
      <w:marBottom w:val="0"/>
      <w:divBdr>
        <w:top w:val="none" w:sz="0" w:space="0" w:color="auto"/>
        <w:left w:val="none" w:sz="0" w:space="0" w:color="auto"/>
        <w:bottom w:val="none" w:sz="0" w:space="0" w:color="auto"/>
        <w:right w:val="none" w:sz="0" w:space="0" w:color="auto"/>
      </w:divBdr>
    </w:div>
    <w:div w:id="147719035">
      <w:bodyDiv w:val="1"/>
      <w:marLeft w:val="0"/>
      <w:marRight w:val="0"/>
      <w:marTop w:val="0"/>
      <w:marBottom w:val="0"/>
      <w:divBdr>
        <w:top w:val="none" w:sz="0" w:space="0" w:color="auto"/>
        <w:left w:val="none" w:sz="0" w:space="0" w:color="auto"/>
        <w:bottom w:val="none" w:sz="0" w:space="0" w:color="auto"/>
        <w:right w:val="none" w:sz="0" w:space="0" w:color="auto"/>
      </w:divBdr>
    </w:div>
    <w:div w:id="150105052">
      <w:bodyDiv w:val="1"/>
      <w:marLeft w:val="0"/>
      <w:marRight w:val="0"/>
      <w:marTop w:val="0"/>
      <w:marBottom w:val="0"/>
      <w:divBdr>
        <w:top w:val="none" w:sz="0" w:space="0" w:color="auto"/>
        <w:left w:val="none" w:sz="0" w:space="0" w:color="auto"/>
        <w:bottom w:val="none" w:sz="0" w:space="0" w:color="auto"/>
        <w:right w:val="none" w:sz="0" w:space="0" w:color="auto"/>
      </w:divBdr>
    </w:div>
    <w:div w:id="157422920">
      <w:bodyDiv w:val="1"/>
      <w:marLeft w:val="0"/>
      <w:marRight w:val="0"/>
      <w:marTop w:val="0"/>
      <w:marBottom w:val="0"/>
      <w:divBdr>
        <w:top w:val="none" w:sz="0" w:space="0" w:color="auto"/>
        <w:left w:val="none" w:sz="0" w:space="0" w:color="auto"/>
        <w:bottom w:val="none" w:sz="0" w:space="0" w:color="auto"/>
        <w:right w:val="none" w:sz="0" w:space="0" w:color="auto"/>
      </w:divBdr>
    </w:div>
    <w:div w:id="157693957">
      <w:bodyDiv w:val="1"/>
      <w:marLeft w:val="0"/>
      <w:marRight w:val="0"/>
      <w:marTop w:val="0"/>
      <w:marBottom w:val="0"/>
      <w:divBdr>
        <w:top w:val="none" w:sz="0" w:space="0" w:color="auto"/>
        <w:left w:val="none" w:sz="0" w:space="0" w:color="auto"/>
        <w:bottom w:val="none" w:sz="0" w:space="0" w:color="auto"/>
        <w:right w:val="none" w:sz="0" w:space="0" w:color="auto"/>
      </w:divBdr>
    </w:div>
    <w:div w:id="189727897">
      <w:bodyDiv w:val="1"/>
      <w:marLeft w:val="0"/>
      <w:marRight w:val="0"/>
      <w:marTop w:val="0"/>
      <w:marBottom w:val="0"/>
      <w:divBdr>
        <w:top w:val="none" w:sz="0" w:space="0" w:color="auto"/>
        <w:left w:val="none" w:sz="0" w:space="0" w:color="auto"/>
        <w:bottom w:val="none" w:sz="0" w:space="0" w:color="auto"/>
        <w:right w:val="none" w:sz="0" w:space="0" w:color="auto"/>
      </w:divBdr>
    </w:div>
    <w:div w:id="191845287">
      <w:bodyDiv w:val="1"/>
      <w:marLeft w:val="0"/>
      <w:marRight w:val="0"/>
      <w:marTop w:val="0"/>
      <w:marBottom w:val="0"/>
      <w:divBdr>
        <w:top w:val="none" w:sz="0" w:space="0" w:color="auto"/>
        <w:left w:val="none" w:sz="0" w:space="0" w:color="auto"/>
        <w:bottom w:val="none" w:sz="0" w:space="0" w:color="auto"/>
        <w:right w:val="none" w:sz="0" w:space="0" w:color="auto"/>
      </w:divBdr>
    </w:div>
    <w:div w:id="231088793">
      <w:bodyDiv w:val="1"/>
      <w:marLeft w:val="0"/>
      <w:marRight w:val="0"/>
      <w:marTop w:val="0"/>
      <w:marBottom w:val="0"/>
      <w:divBdr>
        <w:top w:val="none" w:sz="0" w:space="0" w:color="auto"/>
        <w:left w:val="none" w:sz="0" w:space="0" w:color="auto"/>
        <w:bottom w:val="none" w:sz="0" w:space="0" w:color="auto"/>
        <w:right w:val="none" w:sz="0" w:space="0" w:color="auto"/>
      </w:divBdr>
    </w:div>
    <w:div w:id="236669777">
      <w:bodyDiv w:val="1"/>
      <w:marLeft w:val="0"/>
      <w:marRight w:val="0"/>
      <w:marTop w:val="0"/>
      <w:marBottom w:val="0"/>
      <w:divBdr>
        <w:top w:val="none" w:sz="0" w:space="0" w:color="auto"/>
        <w:left w:val="none" w:sz="0" w:space="0" w:color="auto"/>
        <w:bottom w:val="none" w:sz="0" w:space="0" w:color="auto"/>
        <w:right w:val="none" w:sz="0" w:space="0" w:color="auto"/>
      </w:divBdr>
    </w:div>
    <w:div w:id="246623283">
      <w:bodyDiv w:val="1"/>
      <w:marLeft w:val="0"/>
      <w:marRight w:val="0"/>
      <w:marTop w:val="0"/>
      <w:marBottom w:val="0"/>
      <w:divBdr>
        <w:top w:val="none" w:sz="0" w:space="0" w:color="auto"/>
        <w:left w:val="none" w:sz="0" w:space="0" w:color="auto"/>
        <w:bottom w:val="none" w:sz="0" w:space="0" w:color="auto"/>
        <w:right w:val="none" w:sz="0" w:space="0" w:color="auto"/>
      </w:divBdr>
    </w:div>
    <w:div w:id="247348198">
      <w:bodyDiv w:val="1"/>
      <w:marLeft w:val="0"/>
      <w:marRight w:val="0"/>
      <w:marTop w:val="0"/>
      <w:marBottom w:val="0"/>
      <w:divBdr>
        <w:top w:val="none" w:sz="0" w:space="0" w:color="auto"/>
        <w:left w:val="none" w:sz="0" w:space="0" w:color="auto"/>
        <w:bottom w:val="none" w:sz="0" w:space="0" w:color="auto"/>
        <w:right w:val="none" w:sz="0" w:space="0" w:color="auto"/>
      </w:divBdr>
    </w:div>
    <w:div w:id="256911633">
      <w:bodyDiv w:val="1"/>
      <w:marLeft w:val="0"/>
      <w:marRight w:val="0"/>
      <w:marTop w:val="0"/>
      <w:marBottom w:val="0"/>
      <w:divBdr>
        <w:top w:val="none" w:sz="0" w:space="0" w:color="auto"/>
        <w:left w:val="none" w:sz="0" w:space="0" w:color="auto"/>
        <w:bottom w:val="none" w:sz="0" w:space="0" w:color="auto"/>
        <w:right w:val="none" w:sz="0" w:space="0" w:color="auto"/>
      </w:divBdr>
    </w:div>
    <w:div w:id="258486684">
      <w:bodyDiv w:val="1"/>
      <w:marLeft w:val="0"/>
      <w:marRight w:val="0"/>
      <w:marTop w:val="0"/>
      <w:marBottom w:val="0"/>
      <w:divBdr>
        <w:top w:val="none" w:sz="0" w:space="0" w:color="auto"/>
        <w:left w:val="none" w:sz="0" w:space="0" w:color="auto"/>
        <w:bottom w:val="none" w:sz="0" w:space="0" w:color="auto"/>
        <w:right w:val="none" w:sz="0" w:space="0" w:color="auto"/>
      </w:divBdr>
    </w:div>
    <w:div w:id="263462367">
      <w:bodyDiv w:val="1"/>
      <w:marLeft w:val="0"/>
      <w:marRight w:val="0"/>
      <w:marTop w:val="0"/>
      <w:marBottom w:val="0"/>
      <w:divBdr>
        <w:top w:val="none" w:sz="0" w:space="0" w:color="auto"/>
        <w:left w:val="none" w:sz="0" w:space="0" w:color="auto"/>
        <w:bottom w:val="none" w:sz="0" w:space="0" w:color="auto"/>
        <w:right w:val="none" w:sz="0" w:space="0" w:color="auto"/>
      </w:divBdr>
    </w:div>
    <w:div w:id="266082795">
      <w:bodyDiv w:val="1"/>
      <w:marLeft w:val="0"/>
      <w:marRight w:val="0"/>
      <w:marTop w:val="0"/>
      <w:marBottom w:val="0"/>
      <w:divBdr>
        <w:top w:val="none" w:sz="0" w:space="0" w:color="auto"/>
        <w:left w:val="none" w:sz="0" w:space="0" w:color="auto"/>
        <w:bottom w:val="none" w:sz="0" w:space="0" w:color="auto"/>
        <w:right w:val="none" w:sz="0" w:space="0" w:color="auto"/>
      </w:divBdr>
    </w:div>
    <w:div w:id="268588144">
      <w:bodyDiv w:val="1"/>
      <w:marLeft w:val="0"/>
      <w:marRight w:val="0"/>
      <w:marTop w:val="0"/>
      <w:marBottom w:val="0"/>
      <w:divBdr>
        <w:top w:val="none" w:sz="0" w:space="0" w:color="auto"/>
        <w:left w:val="none" w:sz="0" w:space="0" w:color="auto"/>
        <w:bottom w:val="none" w:sz="0" w:space="0" w:color="auto"/>
        <w:right w:val="none" w:sz="0" w:space="0" w:color="auto"/>
      </w:divBdr>
    </w:div>
    <w:div w:id="277026945">
      <w:bodyDiv w:val="1"/>
      <w:marLeft w:val="0"/>
      <w:marRight w:val="0"/>
      <w:marTop w:val="0"/>
      <w:marBottom w:val="0"/>
      <w:divBdr>
        <w:top w:val="none" w:sz="0" w:space="0" w:color="auto"/>
        <w:left w:val="none" w:sz="0" w:space="0" w:color="auto"/>
        <w:bottom w:val="none" w:sz="0" w:space="0" w:color="auto"/>
        <w:right w:val="none" w:sz="0" w:space="0" w:color="auto"/>
      </w:divBdr>
    </w:div>
    <w:div w:id="279269376">
      <w:bodyDiv w:val="1"/>
      <w:marLeft w:val="0"/>
      <w:marRight w:val="0"/>
      <w:marTop w:val="0"/>
      <w:marBottom w:val="0"/>
      <w:divBdr>
        <w:top w:val="none" w:sz="0" w:space="0" w:color="auto"/>
        <w:left w:val="none" w:sz="0" w:space="0" w:color="auto"/>
        <w:bottom w:val="none" w:sz="0" w:space="0" w:color="auto"/>
        <w:right w:val="none" w:sz="0" w:space="0" w:color="auto"/>
      </w:divBdr>
    </w:div>
    <w:div w:id="291717106">
      <w:bodyDiv w:val="1"/>
      <w:marLeft w:val="0"/>
      <w:marRight w:val="0"/>
      <w:marTop w:val="0"/>
      <w:marBottom w:val="0"/>
      <w:divBdr>
        <w:top w:val="none" w:sz="0" w:space="0" w:color="auto"/>
        <w:left w:val="none" w:sz="0" w:space="0" w:color="auto"/>
        <w:bottom w:val="none" w:sz="0" w:space="0" w:color="auto"/>
        <w:right w:val="none" w:sz="0" w:space="0" w:color="auto"/>
      </w:divBdr>
    </w:div>
    <w:div w:id="298070284">
      <w:bodyDiv w:val="1"/>
      <w:marLeft w:val="0"/>
      <w:marRight w:val="0"/>
      <w:marTop w:val="0"/>
      <w:marBottom w:val="0"/>
      <w:divBdr>
        <w:top w:val="none" w:sz="0" w:space="0" w:color="auto"/>
        <w:left w:val="none" w:sz="0" w:space="0" w:color="auto"/>
        <w:bottom w:val="none" w:sz="0" w:space="0" w:color="auto"/>
        <w:right w:val="none" w:sz="0" w:space="0" w:color="auto"/>
      </w:divBdr>
    </w:div>
    <w:div w:id="298074921">
      <w:bodyDiv w:val="1"/>
      <w:marLeft w:val="0"/>
      <w:marRight w:val="0"/>
      <w:marTop w:val="0"/>
      <w:marBottom w:val="0"/>
      <w:divBdr>
        <w:top w:val="none" w:sz="0" w:space="0" w:color="auto"/>
        <w:left w:val="none" w:sz="0" w:space="0" w:color="auto"/>
        <w:bottom w:val="none" w:sz="0" w:space="0" w:color="auto"/>
        <w:right w:val="none" w:sz="0" w:space="0" w:color="auto"/>
      </w:divBdr>
    </w:div>
    <w:div w:id="299922043">
      <w:bodyDiv w:val="1"/>
      <w:marLeft w:val="0"/>
      <w:marRight w:val="0"/>
      <w:marTop w:val="0"/>
      <w:marBottom w:val="0"/>
      <w:divBdr>
        <w:top w:val="none" w:sz="0" w:space="0" w:color="auto"/>
        <w:left w:val="none" w:sz="0" w:space="0" w:color="auto"/>
        <w:bottom w:val="none" w:sz="0" w:space="0" w:color="auto"/>
        <w:right w:val="none" w:sz="0" w:space="0" w:color="auto"/>
      </w:divBdr>
    </w:div>
    <w:div w:id="323631066">
      <w:bodyDiv w:val="1"/>
      <w:marLeft w:val="0"/>
      <w:marRight w:val="0"/>
      <w:marTop w:val="0"/>
      <w:marBottom w:val="0"/>
      <w:divBdr>
        <w:top w:val="none" w:sz="0" w:space="0" w:color="auto"/>
        <w:left w:val="none" w:sz="0" w:space="0" w:color="auto"/>
        <w:bottom w:val="none" w:sz="0" w:space="0" w:color="auto"/>
        <w:right w:val="none" w:sz="0" w:space="0" w:color="auto"/>
      </w:divBdr>
    </w:div>
    <w:div w:id="324893981">
      <w:bodyDiv w:val="1"/>
      <w:marLeft w:val="0"/>
      <w:marRight w:val="0"/>
      <w:marTop w:val="0"/>
      <w:marBottom w:val="0"/>
      <w:divBdr>
        <w:top w:val="none" w:sz="0" w:space="0" w:color="auto"/>
        <w:left w:val="none" w:sz="0" w:space="0" w:color="auto"/>
        <w:bottom w:val="none" w:sz="0" w:space="0" w:color="auto"/>
        <w:right w:val="none" w:sz="0" w:space="0" w:color="auto"/>
      </w:divBdr>
    </w:div>
    <w:div w:id="331491419">
      <w:bodyDiv w:val="1"/>
      <w:marLeft w:val="0"/>
      <w:marRight w:val="0"/>
      <w:marTop w:val="0"/>
      <w:marBottom w:val="0"/>
      <w:divBdr>
        <w:top w:val="none" w:sz="0" w:space="0" w:color="auto"/>
        <w:left w:val="none" w:sz="0" w:space="0" w:color="auto"/>
        <w:bottom w:val="none" w:sz="0" w:space="0" w:color="auto"/>
        <w:right w:val="none" w:sz="0" w:space="0" w:color="auto"/>
      </w:divBdr>
    </w:div>
    <w:div w:id="333533277">
      <w:bodyDiv w:val="1"/>
      <w:marLeft w:val="0"/>
      <w:marRight w:val="0"/>
      <w:marTop w:val="0"/>
      <w:marBottom w:val="0"/>
      <w:divBdr>
        <w:top w:val="none" w:sz="0" w:space="0" w:color="auto"/>
        <w:left w:val="none" w:sz="0" w:space="0" w:color="auto"/>
        <w:bottom w:val="none" w:sz="0" w:space="0" w:color="auto"/>
        <w:right w:val="none" w:sz="0" w:space="0" w:color="auto"/>
      </w:divBdr>
    </w:div>
    <w:div w:id="351341377">
      <w:bodyDiv w:val="1"/>
      <w:marLeft w:val="0"/>
      <w:marRight w:val="0"/>
      <w:marTop w:val="0"/>
      <w:marBottom w:val="0"/>
      <w:divBdr>
        <w:top w:val="none" w:sz="0" w:space="0" w:color="auto"/>
        <w:left w:val="none" w:sz="0" w:space="0" w:color="auto"/>
        <w:bottom w:val="none" w:sz="0" w:space="0" w:color="auto"/>
        <w:right w:val="none" w:sz="0" w:space="0" w:color="auto"/>
      </w:divBdr>
    </w:div>
    <w:div w:id="364673341">
      <w:bodyDiv w:val="1"/>
      <w:marLeft w:val="0"/>
      <w:marRight w:val="0"/>
      <w:marTop w:val="0"/>
      <w:marBottom w:val="0"/>
      <w:divBdr>
        <w:top w:val="none" w:sz="0" w:space="0" w:color="auto"/>
        <w:left w:val="none" w:sz="0" w:space="0" w:color="auto"/>
        <w:bottom w:val="none" w:sz="0" w:space="0" w:color="auto"/>
        <w:right w:val="none" w:sz="0" w:space="0" w:color="auto"/>
      </w:divBdr>
    </w:div>
    <w:div w:id="372271187">
      <w:bodyDiv w:val="1"/>
      <w:marLeft w:val="0"/>
      <w:marRight w:val="0"/>
      <w:marTop w:val="0"/>
      <w:marBottom w:val="0"/>
      <w:divBdr>
        <w:top w:val="none" w:sz="0" w:space="0" w:color="auto"/>
        <w:left w:val="none" w:sz="0" w:space="0" w:color="auto"/>
        <w:bottom w:val="none" w:sz="0" w:space="0" w:color="auto"/>
        <w:right w:val="none" w:sz="0" w:space="0" w:color="auto"/>
      </w:divBdr>
    </w:div>
    <w:div w:id="377826336">
      <w:bodyDiv w:val="1"/>
      <w:marLeft w:val="0"/>
      <w:marRight w:val="0"/>
      <w:marTop w:val="0"/>
      <w:marBottom w:val="0"/>
      <w:divBdr>
        <w:top w:val="none" w:sz="0" w:space="0" w:color="auto"/>
        <w:left w:val="none" w:sz="0" w:space="0" w:color="auto"/>
        <w:bottom w:val="none" w:sz="0" w:space="0" w:color="auto"/>
        <w:right w:val="none" w:sz="0" w:space="0" w:color="auto"/>
      </w:divBdr>
    </w:div>
    <w:div w:id="378820906">
      <w:bodyDiv w:val="1"/>
      <w:marLeft w:val="0"/>
      <w:marRight w:val="0"/>
      <w:marTop w:val="0"/>
      <w:marBottom w:val="0"/>
      <w:divBdr>
        <w:top w:val="none" w:sz="0" w:space="0" w:color="auto"/>
        <w:left w:val="none" w:sz="0" w:space="0" w:color="auto"/>
        <w:bottom w:val="none" w:sz="0" w:space="0" w:color="auto"/>
        <w:right w:val="none" w:sz="0" w:space="0" w:color="auto"/>
      </w:divBdr>
    </w:div>
    <w:div w:id="383069106">
      <w:bodyDiv w:val="1"/>
      <w:marLeft w:val="0"/>
      <w:marRight w:val="0"/>
      <w:marTop w:val="0"/>
      <w:marBottom w:val="0"/>
      <w:divBdr>
        <w:top w:val="none" w:sz="0" w:space="0" w:color="auto"/>
        <w:left w:val="none" w:sz="0" w:space="0" w:color="auto"/>
        <w:bottom w:val="none" w:sz="0" w:space="0" w:color="auto"/>
        <w:right w:val="none" w:sz="0" w:space="0" w:color="auto"/>
      </w:divBdr>
    </w:div>
    <w:div w:id="383455966">
      <w:bodyDiv w:val="1"/>
      <w:marLeft w:val="0"/>
      <w:marRight w:val="0"/>
      <w:marTop w:val="0"/>
      <w:marBottom w:val="0"/>
      <w:divBdr>
        <w:top w:val="none" w:sz="0" w:space="0" w:color="auto"/>
        <w:left w:val="none" w:sz="0" w:space="0" w:color="auto"/>
        <w:bottom w:val="none" w:sz="0" w:space="0" w:color="auto"/>
        <w:right w:val="none" w:sz="0" w:space="0" w:color="auto"/>
      </w:divBdr>
    </w:div>
    <w:div w:id="383649199">
      <w:bodyDiv w:val="1"/>
      <w:marLeft w:val="0"/>
      <w:marRight w:val="0"/>
      <w:marTop w:val="0"/>
      <w:marBottom w:val="0"/>
      <w:divBdr>
        <w:top w:val="none" w:sz="0" w:space="0" w:color="auto"/>
        <w:left w:val="none" w:sz="0" w:space="0" w:color="auto"/>
        <w:bottom w:val="none" w:sz="0" w:space="0" w:color="auto"/>
        <w:right w:val="none" w:sz="0" w:space="0" w:color="auto"/>
      </w:divBdr>
    </w:div>
    <w:div w:id="384642011">
      <w:bodyDiv w:val="1"/>
      <w:marLeft w:val="0"/>
      <w:marRight w:val="0"/>
      <w:marTop w:val="0"/>
      <w:marBottom w:val="0"/>
      <w:divBdr>
        <w:top w:val="none" w:sz="0" w:space="0" w:color="auto"/>
        <w:left w:val="none" w:sz="0" w:space="0" w:color="auto"/>
        <w:bottom w:val="none" w:sz="0" w:space="0" w:color="auto"/>
        <w:right w:val="none" w:sz="0" w:space="0" w:color="auto"/>
      </w:divBdr>
    </w:div>
    <w:div w:id="398331690">
      <w:bodyDiv w:val="1"/>
      <w:marLeft w:val="0"/>
      <w:marRight w:val="0"/>
      <w:marTop w:val="0"/>
      <w:marBottom w:val="0"/>
      <w:divBdr>
        <w:top w:val="none" w:sz="0" w:space="0" w:color="auto"/>
        <w:left w:val="none" w:sz="0" w:space="0" w:color="auto"/>
        <w:bottom w:val="none" w:sz="0" w:space="0" w:color="auto"/>
        <w:right w:val="none" w:sz="0" w:space="0" w:color="auto"/>
      </w:divBdr>
    </w:div>
    <w:div w:id="421953231">
      <w:bodyDiv w:val="1"/>
      <w:marLeft w:val="0"/>
      <w:marRight w:val="0"/>
      <w:marTop w:val="0"/>
      <w:marBottom w:val="0"/>
      <w:divBdr>
        <w:top w:val="none" w:sz="0" w:space="0" w:color="auto"/>
        <w:left w:val="none" w:sz="0" w:space="0" w:color="auto"/>
        <w:bottom w:val="none" w:sz="0" w:space="0" w:color="auto"/>
        <w:right w:val="none" w:sz="0" w:space="0" w:color="auto"/>
      </w:divBdr>
    </w:div>
    <w:div w:id="447088748">
      <w:bodyDiv w:val="1"/>
      <w:marLeft w:val="0"/>
      <w:marRight w:val="0"/>
      <w:marTop w:val="0"/>
      <w:marBottom w:val="0"/>
      <w:divBdr>
        <w:top w:val="none" w:sz="0" w:space="0" w:color="auto"/>
        <w:left w:val="none" w:sz="0" w:space="0" w:color="auto"/>
        <w:bottom w:val="none" w:sz="0" w:space="0" w:color="auto"/>
        <w:right w:val="none" w:sz="0" w:space="0" w:color="auto"/>
      </w:divBdr>
    </w:div>
    <w:div w:id="447503357">
      <w:bodyDiv w:val="1"/>
      <w:marLeft w:val="0"/>
      <w:marRight w:val="0"/>
      <w:marTop w:val="0"/>
      <w:marBottom w:val="0"/>
      <w:divBdr>
        <w:top w:val="none" w:sz="0" w:space="0" w:color="auto"/>
        <w:left w:val="none" w:sz="0" w:space="0" w:color="auto"/>
        <w:bottom w:val="none" w:sz="0" w:space="0" w:color="auto"/>
        <w:right w:val="none" w:sz="0" w:space="0" w:color="auto"/>
      </w:divBdr>
    </w:div>
    <w:div w:id="461071325">
      <w:bodyDiv w:val="1"/>
      <w:marLeft w:val="0"/>
      <w:marRight w:val="0"/>
      <w:marTop w:val="0"/>
      <w:marBottom w:val="0"/>
      <w:divBdr>
        <w:top w:val="none" w:sz="0" w:space="0" w:color="auto"/>
        <w:left w:val="none" w:sz="0" w:space="0" w:color="auto"/>
        <w:bottom w:val="none" w:sz="0" w:space="0" w:color="auto"/>
        <w:right w:val="none" w:sz="0" w:space="0" w:color="auto"/>
      </w:divBdr>
    </w:div>
    <w:div w:id="464934691">
      <w:bodyDiv w:val="1"/>
      <w:marLeft w:val="0"/>
      <w:marRight w:val="0"/>
      <w:marTop w:val="0"/>
      <w:marBottom w:val="0"/>
      <w:divBdr>
        <w:top w:val="none" w:sz="0" w:space="0" w:color="auto"/>
        <w:left w:val="none" w:sz="0" w:space="0" w:color="auto"/>
        <w:bottom w:val="none" w:sz="0" w:space="0" w:color="auto"/>
        <w:right w:val="none" w:sz="0" w:space="0" w:color="auto"/>
      </w:divBdr>
    </w:div>
    <w:div w:id="465204899">
      <w:bodyDiv w:val="1"/>
      <w:marLeft w:val="0"/>
      <w:marRight w:val="0"/>
      <w:marTop w:val="0"/>
      <w:marBottom w:val="0"/>
      <w:divBdr>
        <w:top w:val="none" w:sz="0" w:space="0" w:color="auto"/>
        <w:left w:val="none" w:sz="0" w:space="0" w:color="auto"/>
        <w:bottom w:val="none" w:sz="0" w:space="0" w:color="auto"/>
        <w:right w:val="none" w:sz="0" w:space="0" w:color="auto"/>
      </w:divBdr>
    </w:div>
    <w:div w:id="466557047">
      <w:bodyDiv w:val="1"/>
      <w:marLeft w:val="0"/>
      <w:marRight w:val="0"/>
      <w:marTop w:val="0"/>
      <w:marBottom w:val="0"/>
      <w:divBdr>
        <w:top w:val="none" w:sz="0" w:space="0" w:color="auto"/>
        <w:left w:val="none" w:sz="0" w:space="0" w:color="auto"/>
        <w:bottom w:val="none" w:sz="0" w:space="0" w:color="auto"/>
        <w:right w:val="none" w:sz="0" w:space="0" w:color="auto"/>
      </w:divBdr>
    </w:div>
    <w:div w:id="467940923">
      <w:bodyDiv w:val="1"/>
      <w:marLeft w:val="0"/>
      <w:marRight w:val="0"/>
      <w:marTop w:val="0"/>
      <w:marBottom w:val="0"/>
      <w:divBdr>
        <w:top w:val="none" w:sz="0" w:space="0" w:color="auto"/>
        <w:left w:val="none" w:sz="0" w:space="0" w:color="auto"/>
        <w:bottom w:val="none" w:sz="0" w:space="0" w:color="auto"/>
        <w:right w:val="none" w:sz="0" w:space="0" w:color="auto"/>
      </w:divBdr>
    </w:div>
    <w:div w:id="481308629">
      <w:bodyDiv w:val="1"/>
      <w:marLeft w:val="0"/>
      <w:marRight w:val="0"/>
      <w:marTop w:val="0"/>
      <w:marBottom w:val="0"/>
      <w:divBdr>
        <w:top w:val="none" w:sz="0" w:space="0" w:color="auto"/>
        <w:left w:val="none" w:sz="0" w:space="0" w:color="auto"/>
        <w:bottom w:val="none" w:sz="0" w:space="0" w:color="auto"/>
        <w:right w:val="none" w:sz="0" w:space="0" w:color="auto"/>
      </w:divBdr>
    </w:div>
    <w:div w:id="488135926">
      <w:bodyDiv w:val="1"/>
      <w:marLeft w:val="0"/>
      <w:marRight w:val="0"/>
      <w:marTop w:val="0"/>
      <w:marBottom w:val="0"/>
      <w:divBdr>
        <w:top w:val="none" w:sz="0" w:space="0" w:color="auto"/>
        <w:left w:val="none" w:sz="0" w:space="0" w:color="auto"/>
        <w:bottom w:val="none" w:sz="0" w:space="0" w:color="auto"/>
        <w:right w:val="none" w:sz="0" w:space="0" w:color="auto"/>
      </w:divBdr>
    </w:div>
    <w:div w:id="497768629">
      <w:bodyDiv w:val="1"/>
      <w:marLeft w:val="0"/>
      <w:marRight w:val="0"/>
      <w:marTop w:val="0"/>
      <w:marBottom w:val="0"/>
      <w:divBdr>
        <w:top w:val="none" w:sz="0" w:space="0" w:color="auto"/>
        <w:left w:val="none" w:sz="0" w:space="0" w:color="auto"/>
        <w:bottom w:val="none" w:sz="0" w:space="0" w:color="auto"/>
        <w:right w:val="none" w:sz="0" w:space="0" w:color="auto"/>
      </w:divBdr>
    </w:div>
    <w:div w:id="528645686">
      <w:bodyDiv w:val="1"/>
      <w:marLeft w:val="0"/>
      <w:marRight w:val="0"/>
      <w:marTop w:val="0"/>
      <w:marBottom w:val="0"/>
      <w:divBdr>
        <w:top w:val="none" w:sz="0" w:space="0" w:color="auto"/>
        <w:left w:val="none" w:sz="0" w:space="0" w:color="auto"/>
        <w:bottom w:val="none" w:sz="0" w:space="0" w:color="auto"/>
        <w:right w:val="none" w:sz="0" w:space="0" w:color="auto"/>
      </w:divBdr>
    </w:div>
    <w:div w:id="537202783">
      <w:bodyDiv w:val="1"/>
      <w:marLeft w:val="0"/>
      <w:marRight w:val="0"/>
      <w:marTop w:val="0"/>
      <w:marBottom w:val="0"/>
      <w:divBdr>
        <w:top w:val="none" w:sz="0" w:space="0" w:color="auto"/>
        <w:left w:val="none" w:sz="0" w:space="0" w:color="auto"/>
        <w:bottom w:val="none" w:sz="0" w:space="0" w:color="auto"/>
        <w:right w:val="none" w:sz="0" w:space="0" w:color="auto"/>
      </w:divBdr>
    </w:div>
    <w:div w:id="544947055">
      <w:bodyDiv w:val="1"/>
      <w:marLeft w:val="0"/>
      <w:marRight w:val="0"/>
      <w:marTop w:val="0"/>
      <w:marBottom w:val="0"/>
      <w:divBdr>
        <w:top w:val="none" w:sz="0" w:space="0" w:color="auto"/>
        <w:left w:val="none" w:sz="0" w:space="0" w:color="auto"/>
        <w:bottom w:val="none" w:sz="0" w:space="0" w:color="auto"/>
        <w:right w:val="none" w:sz="0" w:space="0" w:color="auto"/>
      </w:divBdr>
    </w:div>
    <w:div w:id="547685187">
      <w:bodyDiv w:val="1"/>
      <w:marLeft w:val="0"/>
      <w:marRight w:val="0"/>
      <w:marTop w:val="0"/>
      <w:marBottom w:val="0"/>
      <w:divBdr>
        <w:top w:val="none" w:sz="0" w:space="0" w:color="auto"/>
        <w:left w:val="none" w:sz="0" w:space="0" w:color="auto"/>
        <w:bottom w:val="none" w:sz="0" w:space="0" w:color="auto"/>
        <w:right w:val="none" w:sz="0" w:space="0" w:color="auto"/>
      </w:divBdr>
    </w:div>
    <w:div w:id="564486145">
      <w:bodyDiv w:val="1"/>
      <w:marLeft w:val="0"/>
      <w:marRight w:val="0"/>
      <w:marTop w:val="0"/>
      <w:marBottom w:val="0"/>
      <w:divBdr>
        <w:top w:val="none" w:sz="0" w:space="0" w:color="auto"/>
        <w:left w:val="none" w:sz="0" w:space="0" w:color="auto"/>
        <w:bottom w:val="none" w:sz="0" w:space="0" w:color="auto"/>
        <w:right w:val="none" w:sz="0" w:space="0" w:color="auto"/>
      </w:divBdr>
    </w:div>
    <w:div w:id="570045095">
      <w:bodyDiv w:val="1"/>
      <w:marLeft w:val="0"/>
      <w:marRight w:val="0"/>
      <w:marTop w:val="0"/>
      <w:marBottom w:val="0"/>
      <w:divBdr>
        <w:top w:val="none" w:sz="0" w:space="0" w:color="auto"/>
        <w:left w:val="none" w:sz="0" w:space="0" w:color="auto"/>
        <w:bottom w:val="none" w:sz="0" w:space="0" w:color="auto"/>
        <w:right w:val="none" w:sz="0" w:space="0" w:color="auto"/>
      </w:divBdr>
    </w:div>
    <w:div w:id="574095379">
      <w:bodyDiv w:val="1"/>
      <w:marLeft w:val="0"/>
      <w:marRight w:val="0"/>
      <w:marTop w:val="0"/>
      <w:marBottom w:val="0"/>
      <w:divBdr>
        <w:top w:val="none" w:sz="0" w:space="0" w:color="auto"/>
        <w:left w:val="none" w:sz="0" w:space="0" w:color="auto"/>
        <w:bottom w:val="none" w:sz="0" w:space="0" w:color="auto"/>
        <w:right w:val="none" w:sz="0" w:space="0" w:color="auto"/>
      </w:divBdr>
    </w:div>
    <w:div w:id="576402604">
      <w:bodyDiv w:val="1"/>
      <w:marLeft w:val="0"/>
      <w:marRight w:val="0"/>
      <w:marTop w:val="0"/>
      <w:marBottom w:val="0"/>
      <w:divBdr>
        <w:top w:val="none" w:sz="0" w:space="0" w:color="auto"/>
        <w:left w:val="none" w:sz="0" w:space="0" w:color="auto"/>
        <w:bottom w:val="none" w:sz="0" w:space="0" w:color="auto"/>
        <w:right w:val="none" w:sz="0" w:space="0" w:color="auto"/>
      </w:divBdr>
    </w:div>
    <w:div w:id="590746054">
      <w:bodyDiv w:val="1"/>
      <w:marLeft w:val="0"/>
      <w:marRight w:val="0"/>
      <w:marTop w:val="0"/>
      <w:marBottom w:val="0"/>
      <w:divBdr>
        <w:top w:val="none" w:sz="0" w:space="0" w:color="auto"/>
        <w:left w:val="none" w:sz="0" w:space="0" w:color="auto"/>
        <w:bottom w:val="none" w:sz="0" w:space="0" w:color="auto"/>
        <w:right w:val="none" w:sz="0" w:space="0" w:color="auto"/>
      </w:divBdr>
    </w:div>
    <w:div w:id="598486770">
      <w:bodyDiv w:val="1"/>
      <w:marLeft w:val="0"/>
      <w:marRight w:val="0"/>
      <w:marTop w:val="0"/>
      <w:marBottom w:val="0"/>
      <w:divBdr>
        <w:top w:val="none" w:sz="0" w:space="0" w:color="auto"/>
        <w:left w:val="none" w:sz="0" w:space="0" w:color="auto"/>
        <w:bottom w:val="none" w:sz="0" w:space="0" w:color="auto"/>
        <w:right w:val="none" w:sz="0" w:space="0" w:color="auto"/>
      </w:divBdr>
    </w:div>
    <w:div w:id="608708151">
      <w:bodyDiv w:val="1"/>
      <w:marLeft w:val="0"/>
      <w:marRight w:val="0"/>
      <w:marTop w:val="0"/>
      <w:marBottom w:val="0"/>
      <w:divBdr>
        <w:top w:val="none" w:sz="0" w:space="0" w:color="auto"/>
        <w:left w:val="none" w:sz="0" w:space="0" w:color="auto"/>
        <w:bottom w:val="none" w:sz="0" w:space="0" w:color="auto"/>
        <w:right w:val="none" w:sz="0" w:space="0" w:color="auto"/>
      </w:divBdr>
    </w:div>
    <w:div w:id="615451722">
      <w:bodyDiv w:val="1"/>
      <w:marLeft w:val="0"/>
      <w:marRight w:val="0"/>
      <w:marTop w:val="0"/>
      <w:marBottom w:val="0"/>
      <w:divBdr>
        <w:top w:val="none" w:sz="0" w:space="0" w:color="auto"/>
        <w:left w:val="none" w:sz="0" w:space="0" w:color="auto"/>
        <w:bottom w:val="none" w:sz="0" w:space="0" w:color="auto"/>
        <w:right w:val="none" w:sz="0" w:space="0" w:color="auto"/>
      </w:divBdr>
    </w:div>
    <w:div w:id="634287691">
      <w:bodyDiv w:val="1"/>
      <w:marLeft w:val="0"/>
      <w:marRight w:val="0"/>
      <w:marTop w:val="0"/>
      <w:marBottom w:val="0"/>
      <w:divBdr>
        <w:top w:val="none" w:sz="0" w:space="0" w:color="auto"/>
        <w:left w:val="none" w:sz="0" w:space="0" w:color="auto"/>
        <w:bottom w:val="none" w:sz="0" w:space="0" w:color="auto"/>
        <w:right w:val="none" w:sz="0" w:space="0" w:color="auto"/>
      </w:divBdr>
    </w:div>
    <w:div w:id="649554924">
      <w:bodyDiv w:val="1"/>
      <w:marLeft w:val="0"/>
      <w:marRight w:val="0"/>
      <w:marTop w:val="0"/>
      <w:marBottom w:val="0"/>
      <w:divBdr>
        <w:top w:val="none" w:sz="0" w:space="0" w:color="auto"/>
        <w:left w:val="none" w:sz="0" w:space="0" w:color="auto"/>
        <w:bottom w:val="none" w:sz="0" w:space="0" w:color="auto"/>
        <w:right w:val="none" w:sz="0" w:space="0" w:color="auto"/>
      </w:divBdr>
    </w:div>
    <w:div w:id="652100298">
      <w:bodyDiv w:val="1"/>
      <w:marLeft w:val="0"/>
      <w:marRight w:val="0"/>
      <w:marTop w:val="0"/>
      <w:marBottom w:val="0"/>
      <w:divBdr>
        <w:top w:val="none" w:sz="0" w:space="0" w:color="auto"/>
        <w:left w:val="none" w:sz="0" w:space="0" w:color="auto"/>
        <w:bottom w:val="none" w:sz="0" w:space="0" w:color="auto"/>
        <w:right w:val="none" w:sz="0" w:space="0" w:color="auto"/>
      </w:divBdr>
    </w:div>
    <w:div w:id="670260553">
      <w:bodyDiv w:val="1"/>
      <w:marLeft w:val="0"/>
      <w:marRight w:val="0"/>
      <w:marTop w:val="0"/>
      <w:marBottom w:val="0"/>
      <w:divBdr>
        <w:top w:val="none" w:sz="0" w:space="0" w:color="auto"/>
        <w:left w:val="none" w:sz="0" w:space="0" w:color="auto"/>
        <w:bottom w:val="none" w:sz="0" w:space="0" w:color="auto"/>
        <w:right w:val="none" w:sz="0" w:space="0" w:color="auto"/>
      </w:divBdr>
    </w:div>
    <w:div w:id="675157628">
      <w:bodyDiv w:val="1"/>
      <w:marLeft w:val="0"/>
      <w:marRight w:val="0"/>
      <w:marTop w:val="0"/>
      <w:marBottom w:val="0"/>
      <w:divBdr>
        <w:top w:val="none" w:sz="0" w:space="0" w:color="auto"/>
        <w:left w:val="none" w:sz="0" w:space="0" w:color="auto"/>
        <w:bottom w:val="none" w:sz="0" w:space="0" w:color="auto"/>
        <w:right w:val="none" w:sz="0" w:space="0" w:color="auto"/>
      </w:divBdr>
    </w:div>
    <w:div w:id="688411035">
      <w:bodyDiv w:val="1"/>
      <w:marLeft w:val="0"/>
      <w:marRight w:val="0"/>
      <w:marTop w:val="0"/>
      <w:marBottom w:val="0"/>
      <w:divBdr>
        <w:top w:val="none" w:sz="0" w:space="0" w:color="auto"/>
        <w:left w:val="none" w:sz="0" w:space="0" w:color="auto"/>
        <w:bottom w:val="none" w:sz="0" w:space="0" w:color="auto"/>
        <w:right w:val="none" w:sz="0" w:space="0" w:color="auto"/>
      </w:divBdr>
    </w:div>
    <w:div w:id="691687971">
      <w:bodyDiv w:val="1"/>
      <w:marLeft w:val="0"/>
      <w:marRight w:val="0"/>
      <w:marTop w:val="0"/>
      <w:marBottom w:val="0"/>
      <w:divBdr>
        <w:top w:val="none" w:sz="0" w:space="0" w:color="auto"/>
        <w:left w:val="none" w:sz="0" w:space="0" w:color="auto"/>
        <w:bottom w:val="none" w:sz="0" w:space="0" w:color="auto"/>
        <w:right w:val="none" w:sz="0" w:space="0" w:color="auto"/>
      </w:divBdr>
    </w:div>
    <w:div w:id="698239201">
      <w:bodyDiv w:val="1"/>
      <w:marLeft w:val="0"/>
      <w:marRight w:val="0"/>
      <w:marTop w:val="0"/>
      <w:marBottom w:val="0"/>
      <w:divBdr>
        <w:top w:val="none" w:sz="0" w:space="0" w:color="auto"/>
        <w:left w:val="none" w:sz="0" w:space="0" w:color="auto"/>
        <w:bottom w:val="none" w:sz="0" w:space="0" w:color="auto"/>
        <w:right w:val="none" w:sz="0" w:space="0" w:color="auto"/>
      </w:divBdr>
    </w:div>
    <w:div w:id="698747320">
      <w:bodyDiv w:val="1"/>
      <w:marLeft w:val="0"/>
      <w:marRight w:val="0"/>
      <w:marTop w:val="0"/>
      <w:marBottom w:val="0"/>
      <w:divBdr>
        <w:top w:val="none" w:sz="0" w:space="0" w:color="auto"/>
        <w:left w:val="none" w:sz="0" w:space="0" w:color="auto"/>
        <w:bottom w:val="none" w:sz="0" w:space="0" w:color="auto"/>
        <w:right w:val="none" w:sz="0" w:space="0" w:color="auto"/>
      </w:divBdr>
    </w:div>
    <w:div w:id="701707873">
      <w:bodyDiv w:val="1"/>
      <w:marLeft w:val="0"/>
      <w:marRight w:val="0"/>
      <w:marTop w:val="0"/>
      <w:marBottom w:val="0"/>
      <w:divBdr>
        <w:top w:val="none" w:sz="0" w:space="0" w:color="auto"/>
        <w:left w:val="none" w:sz="0" w:space="0" w:color="auto"/>
        <w:bottom w:val="none" w:sz="0" w:space="0" w:color="auto"/>
        <w:right w:val="none" w:sz="0" w:space="0" w:color="auto"/>
      </w:divBdr>
    </w:div>
    <w:div w:id="705955875">
      <w:bodyDiv w:val="1"/>
      <w:marLeft w:val="0"/>
      <w:marRight w:val="0"/>
      <w:marTop w:val="0"/>
      <w:marBottom w:val="0"/>
      <w:divBdr>
        <w:top w:val="none" w:sz="0" w:space="0" w:color="auto"/>
        <w:left w:val="none" w:sz="0" w:space="0" w:color="auto"/>
        <w:bottom w:val="none" w:sz="0" w:space="0" w:color="auto"/>
        <w:right w:val="none" w:sz="0" w:space="0" w:color="auto"/>
      </w:divBdr>
    </w:div>
    <w:div w:id="706217022">
      <w:bodyDiv w:val="1"/>
      <w:marLeft w:val="0"/>
      <w:marRight w:val="0"/>
      <w:marTop w:val="0"/>
      <w:marBottom w:val="0"/>
      <w:divBdr>
        <w:top w:val="none" w:sz="0" w:space="0" w:color="auto"/>
        <w:left w:val="none" w:sz="0" w:space="0" w:color="auto"/>
        <w:bottom w:val="none" w:sz="0" w:space="0" w:color="auto"/>
        <w:right w:val="none" w:sz="0" w:space="0" w:color="auto"/>
      </w:divBdr>
    </w:div>
    <w:div w:id="717362118">
      <w:bodyDiv w:val="1"/>
      <w:marLeft w:val="0"/>
      <w:marRight w:val="0"/>
      <w:marTop w:val="0"/>
      <w:marBottom w:val="0"/>
      <w:divBdr>
        <w:top w:val="none" w:sz="0" w:space="0" w:color="auto"/>
        <w:left w:val="none" w:sz="0" w:space="0" w:color="auto"/>
        <w:bottom w:val="none" w:sz="0" w:space="0" w:color="auto"/>
        <w:right w:val="none" w:sz="0" w:space="0" w:color="auto"/>
      </w:divBdr>
    </w:div>
    <w:div w:id="732696799">
      <w:bodyDiv w:val="1"/>
      <w:marLeft w:val="0"/>
      <w:marRight w:val="0"/>
      <w:marTop w:val="0"/>
      <w:marBottom w:val="0"/>
      <w:divBdr>
        <w:top w:val="none" w:sz="0" w:space="0" w:color="auto"/>
        <w:left w:val="none" w:sz="0" w:space="0" w:color="auto"/>
        <w:bottom w:val="none" w:sz="0" w:space="0" w:color="auto"/>
        <w:right w:val="none" w:sz="0" w:space="0" w:color="auto"/>
      </w:divBdr>
    </w:div>
    <w:div w:id="733701901">
      <w:bodyDiv w:val="1"/>
      <w:marLeft w:val="0"/>
      <w:marRight w:val="0"/>
      <w:marTop w:val="0"/>
      <w:marBottom w:val="0"/>
      <w:divBdr>
        <w:top w:val="none" w:sz="0" w:space="0" w:color="auto"/>
        <w:left w:val="none" w:sz="0" w:space="0" w:color="auto"/>
        <w:bottom w:val="none" w:sz="0" w:space="0" w:color="auto"/>
        <w:right w:val="none" w:sz="0" w:space="0" w:color="auto"/>
      </w:divBdr>
    </w:div>
    <w:div w:id="741221826">
      <w:bodyDiv w:val="1"/>
      <w:marLeft w:val="0"/>
      <w:marRight w:val="0"/>
      <w:marTop w:val="0"/>
      <w:marBottom w:val="0"/>
      <w:divBdr>
        <w:top w:val="none" w:sz="0" w:space="0" w:color="auto"/>
        <w:left w:val="none" w:sz="0" w:space="0" w:color="auto"/>
        <w:bottom w:val="none" w:sz="0" w:space="0" w:color="auto"/>
        <w:right w:val="none" w:sz="0" w:space="0" w:color="auto"/>
      </w:divBdr>
    </w:div>
    <w:div w:id="746456951">
      <w:bodyDiv w:val="1"/>
      <w:marLeft w:val="0"/>
      <w:marRight w:val="0"/>
      <w:marTop w:val="0"/>
      <w:marBottom w:val="0"/>
      <w:divBdr>
        <w:top w:val="none" w:sz="0" w:space="0" w:color="auto"/>
        <w:left w:val="none" w:sz="0" w:space="0" w:color="auto"/>
        <w:bottom w:val="none" w:sz="0" w:space="0" w:color="auto"/>
        <w:right w:val="none" w:sz="0" w:space="0" w:color="auto"/>
      </w:divBdr>
    </w:div>
    <w:div w:id="749933675">
      <w:bodyDiv w:val="1"/>
      <w:marLeft w:val="0"/>
      <w:marRight w:val="0"/>
      <w:marTop w:val="0"/>
      <w:marBottom w:val="0"/>
      <w:divBdr>
        <w:top w:val="none" w:sz="0" w:space="0" w:color="auto"/>
        <w:left w:val="none" w:sz="0" w:space="0" w:color="auto"/>
        <w:bottom w:val="none" w:sz="0" w:space="0" w:color="auto"/>
        <w:right w:val="none" w:sz="0" w:space="0" w:color="auto"/>
      </w:divBdr>
    </w:div>
    <w:div w:id="755171771">
      <w:bodyDiv w:val="1"/>
      <w:marLeft w:val="0"/>
      <w:marRight w:val="0"/>
      <w:marTop w:val="0"/>
      <w:marBottom w:val="0"/>
      <w:divBdr>
        <w:top w:val="none" w:sz="0" w:space="0" w:color="auto"/>
        <w:left w:val="none" w:sz="0" w:space="0" w:color="auto"/>
        <w:bottom w:val="none" w:sz="0" w:space="0" w:color="auto"/>
        <w:right w:val="none" w:sz="0" w:space="0" w:color="auto"/>
      </w:divBdr>
    </w:div>
    <w:div w:id="757024602">
      <w:bodyDiv w:val="1"/>
      <w:marLeft w:val="0"/>
      <w:marRight w:val="0"/>
      <w:marTop w:val="0"/>
      <w:marBottom w:val="0"/>
      <w:divBdr>
        <w:top w:val="none" w:sz="0" w:space="0" w:color="auto"/>
        <w:left w:val="none" w:sz="0" w:space="0" w:color="auto"/>
        <w:bottom w:val="none" w:sz="0" w:space="0" w:color="auto"/>
        <w:right w:val="none" w:sz="0" w:space="0" w:color="auto"/>
      </w:divBdr>
    </w:div>
    <w:div w:id="763065731">
      <w:bodyDiv w:val="1"/>
      <w:marLeft w:val="0"/>
      <w:marRight w:val="0"/>
      <w:marTop w:val="0"/>
      <w:marBottom w:val="0"/>
      <w:divBdr>
        <w:top w:val="none" w:sz="0" w:space="0" w:color="auto"/>
        <w:left w:val="none" w:sz="0" w:space="0" w:color="auto"/>
        <w:bottom w:val="none" w:sz="0" w:space="0" w:color="auto"/>
        <w:right w:val="none" w:sz="0" w:space="0" w:color="auto"/>
      </w:divBdr>
    </w:div>
    <w:div w:id="764689784">
      <w:bodyDiv w:val="1"/>
      <w:marLeft w:val="0"/>
      <w:marRight w:val="0"/>
      <w:marTop w:val="0"/>
      <w:marBottom w:val="0"/>
      <w:divBdr>
        <w:top w:val="none" w:sz="0" w:space="0" w:color="auto"/>
        <w:left w:val="none" w:sz="0" w:space="0" w:color="auto"/>
        <w:bottom w:val="none" w:sz="0" w:space="0" w:color="auto"/>
        <w:right w:val="none" w:sz="0" w:space="0" w:color="auto"/>
      </w:divBdr>
    </w:div>
    <w:div w:id="783690310">
      <w:bodyDiv w:val="1"/>
      <w:marLeft w:val="0"/>
      <w:marRight w:val="0"/>
      <w:marTop w:val="0"/>
      <w:marBottom w:val="0"/>
      <w:divBdr>
        <w:top w:val="none" w:sz="0" w:space="0" w:color="auto"/>
        <w:left w:val="none" w:sz="0" w:space="0" w:color="auto"/>
        <w:bottom w:val="none" w:sz="0" w:space="0" w:color="auto"/>
        <w:right w:val="none" w:sz="0" w:space="0" w:color="auto"/>
      </w:divBdr>
    </w:div>
    <w:div w:id="788662573">
      <w:bodyDiv w:val="1"/>
      <w:marLeft w:val="0"/>
      <w:marRight w:val="0"/>
      <w:marTop w:val="0"/>
      <w:marBottom w:val="0"/>
      <w:divBdr>
        <w:top w:val="none" w:sz="0" w:space="0" w:color="auto"/>
        <w:left w:val="none" w:sz="0" w:space="0" w:color="auto"/>
        <w:bottom w:val="none" w:sz="0" w:space="0" w:color="auto"/>
        <w:right w:val="none" w:sz="0" w:space="0" w:color="auto"/>
      </w:divBdr>
    </w:div>
    <w:div w:id="798231477">
      <w:bodyDiv w:val="1"/>
      <w:marLeft w:val="0"/>
      <w:marRight w:val="0"/>
      <w:marTop w:val="0"/>
      <w:marBottom w:val="0"/>
      <w:divBdr>
        <w:top w:val="none" w:sz="0" w:space="0" w:color="auto"/>
        <w:left w:val="none" w:sz="0" w:space="0" w:color="auto"/>
        <w:bottom w:val="none" w:sz="0" w:space="0" w:color="auto"/>
        <w:right w:val="none" w:sz="0" w:space="0" w:color="auto"/>
      </w:divBdr>
    </w:div>
    <w:div w:id="813109035">
      <w:bodyDiv w:val="1"/>
      <w:marLeft w:val="0"/>
      <w:marRight w:val="0"/>
      <w:marTop w:val="0"/>
      <w:marBottom w:val="0"/>
      <w:divBdr>
        <w:top w:val="none" w:sz="0" w:space="0" w:color="auto"/>
        <w:left w:val="none" w:sz="0" w:space="0" w:color="auto"/>
        <w:bottom w:val="none" w:sz="0" w:space="0" w:color="auto"/>
        <w:right w:val="none" w:sz="0" w:space="0" w:color="auto"/>
      </w:divBdr>
    </w:div>
    <w:div w:id="817916557">
      <w:bodyDiv w:val="1"/>
      <w:marLeft w:val="0"/>
      <w:marRight w:val="0"/>
      <w:marTop w:val="0"/>
      <w:marBottom w:val="0"/>
      <w:divBdr>
        <w:top w:val="none" w:sz="0" w:space="0" w:color="auto"/>
        <w:left w:val="none" w:sz="0" w:space="0" w:color="auto"/>
        <w:bottom w:val="none" w:sz="0" w:space="0" w:color="auto"/>
        <w:right w:val="none" w:sz="0" w:space="0" w:color="auto"/>
      </w:divBdr>
    </w:div>
    <w:div w:id="826632214">
      <w:bodyDiv w:val="1"/>
      <w:marLeft w:val="0"/>
      <w:marRight w:val="0"/>
      <w:marTop w:val="0"/>
      <w:marBottom w:val="0"/>
      <w:divBdr>
        <w:top w:val="none" w:sz="0" w:space="0" w:color="auto"/>
        <w:left w:val="none" w:sz="0" w:space="0" w:color="auto"/>
        <w:bottom w:val="none" w:sz="0" w:space="0" w:color="auto"/>
        <w:right w:val="none" w:sz="0" w:space="0" w:color="auto"/>
      </w:divBdr>
    </w:div>
    <w:div w:id="838889694">
      <w:bodyDiv w:val="1"/>
      <w:marLeft w:val="0"/>
      <w:marRight w:val="0"/>
      <w:marTop w:val="0"/>
      <w:marBottom w:val="0"/>
      <w:divBdr>
        <w:top w:val="none" w:sz="0" w:space="0" w:color="auto"/>
        <w:left w:val="none" w:sz="0" w:space="0" w:color="auto"/>
        <w:bottom w:val="none" w:sz="0" w:space="0" w:color="auto"/>
        <w:right w:val="none" w:sz="0" w:space="0" w:color="auto"/>
      </w:divBdr>
    </w:div>
    <w:div w:id="847715655">
      <w:bodyDiv w:val="1"/>
      <w:marLeft w:val="0"/>
      <w:marRight w:val="0"/>
      <w:marTop w:val="0"/>
      <w:marBottom w:val="0"/>
      <w:divBdr>
        <w:top w:val="none" w:sz="0" w:space="0" w:color="auto"/>
        <w:left w:val="none" w:sz="0" w:space="0" w:color="auto"/>
        <w:bottom w:val="none" w:sz="0" w:space="0" w:color="auto"/>
        <w:right w:val="none" w:sz="0" w:space="0" w:color="auto"/>
      </w:divBdr>
    </w:div>
    <w:div w:id="850144230">
      <w:bodyDiv w:val="1"/>
      <w:marLeft w:val="0"/>
      <w:marRight w:val="0"/>
      <w:marTop w:val="0"/>
      <w:marBottom w:val="0"/>
      <w:divBdr>
        <w:top w:val="none" w:sz="0" w:space="0" w:color="auto"/>
        <w:left w:val="none" w:sz="0" w:space="0" w:color="auto"/>
        <w:bottom w:val="none" w:sz="0" w:space="0" w:color="auto"/>
        <w:right w:val="none" w:sz="0" w:space="0" w:color="auto"/>
      </w:divBdr>
    </w:div>
    <w:div w:id="862791163">
      <w:bodyDiv w:val="1"/>
      <w:marLeft w:val="0"/>
      <w:marRight w:val="0"/>
      <w:marTop w:val="0"/>
      <w:marBottom w:val="0"/>
      <w:divBdr>
        <w:top w:val="none" w:sz="0" w:space="0" w:color="auto"/>
        <w:left w:val="none" w:sz="0" w:space="0" w:color="auto"/>
        <w:bottom w:val="none" w:sz="0" w:space="0" w:color="auto"/>
        <w:right w:val="none" w:sz="0" w:space="0" w:color="auto"/>
      </w:divBdr>
    </w:div>
    <w:div w:id="863052590">
      <w:bodyDiv w:val="1"/>
      <w:marLeft w:val="0"/>
      <w:marRight w:val="0"/>
      <w:marTop w:val="0"/>
      <w:marBottom w:val="0"/>
      <w:divBdr>
        <w:top w:val="none" w:sz="0" w:space="0" w:color="auto"/>
        <w:left w:val="none" w:sz="0" w:space="0" w:color="auto"/>
        <w:bottom w:val="none" w:sz="0" w:space="0" w:color="auto"/>
        <w:right w:val="none" w:sz="0" w:space="0" w:color="auto"/>
      </w:divBdr>
    </w:div>
    <w:div w:id="864291640">
      <w:bodyDiv w:val="1"/>
      <w:marLeft w:val="0"/>
      <w:marRight w:val="0"/>
      <w:marTop w:val="0"/>
      <w:marBottom w:val="0"/>
      <w:divBdr>
        <w:top w:val="none" w:sz="0" w:space="0" w:color="auto"/>
        <w:left w:val="none" w:sz="0" w:space="0" w:color="auto"/>
        <w:bottom w:val="none" w:sz="0" w:space="0" w:color="auto"/>
        <w:right w:val="none" w:sz="0" w:space="0" w:color="auto"/>
      </w:divBdr>
    </w:div>
    <w:div w:id="865871453">
      <w:bodyDiv w:val="1"/>
      <w:marLeft w:val="0"/>
      <w:marRight w:val="0"/>
      <w:marTop w:val="0"/>
      <w:marBottom w:val="0"/>
      <w:divBdr>
        <w:top w:val="none" w:sz="0" w:space="0" w:color="auto"/>
        <w:left w:val="none" w:sz="0" w:space="0" w:color="auto"/>
        <w:bottom w:val="none" w:sz="0" w:space="0" w:color="auto"/>
        <w:right w:val="none" w:sz="0" w:space="0" w:color="auto"/>
      </w:divBdr>
    </w:div>
    <w:div w:id="872310284">
      <w:bodyDiv w:val="1"/>
      <w:marLeft w:val="0"/>
      <w:marRight w:val="0"/>
      <w:marTop w:val="0"/>
      <w:marBottom w:val="0"/>
      <w:divBdr>
        <w:top w:val="none" w:sz="0" w:space="0" w:color="auto"/>
        <w:left w:val="none" w:sz="0" w:space="0" w:color="auto"/>
        <w:bottom w:val="none" w:sz="0" w:space="0" w:color="auto"/>
        <w:right w:val="none" w:sz="0" w:space="0" w:color="auto"/>
      </w:divBdr>
    </w:div>
    <w:div w:id="874274487">
      <w:bodyDiv w:val="1"/>
      <w:marLeft w:val="0"/>
      <w:marRight w:val="0"/>
      <w:marTop w:val="0"/>
      <w:marBottom w:val="0"/>
      <w:divBdr>
        <w:top w:val="none" w:sz="0" w:space="0" w:color="auto"/>
        <w:left w:val="none" w:sz="0" w:space="0" w:color="auto"/>
        <w:bottom w:val="none" w:sz="0" w:space="0" w:color="auto"/>
        <w:right w:val="none" w:sz="0" w:space="0" w:color="auto"/>
      </w:divBdr>
    </w:div>
    <w:div w:id="874806338">
      <w:bodyDiv w:val="1"/>
      <w:marLeft w:val="0"/>
      <w:marRight w:val="0"/>
      <w:marTop w:val="0"/>
      <w:marBottom w:val="0"/>
      <w:divBdr>
        <w:top w:val="none" w:sz="0" w:space="0" w:color="auto"/>
        <w:left w:val="none" w:sz="0" w:space="0" w:color="auto"/>
        <w:bottom w:val="none" w:sz="0" w:space="0" w:color="auto"/>
        <w:right w:val="none" w:sz="0" w:space="0" w:color="auto"/>
      </w:divBdr>
    </w:div>
    <w:div w:id="882866419">
      <w:bodyDiv w:val="1"/>
      <w:marLeft w:val="0"/>
      <w:marRight w:val="0"/>
      <w:marTop w:val="0"/>
      <w:marBottom w:val="0"/>
      <w:divBdr>
        <w:top w:val="none" w:sz="0" w:space="0" w:color="auto"/>
        <w:left w:val="none" w:sz="0" w:space="0" w:color="auto"/>
        <w:bottom w:val="none" w:sz="0" w:space="0" w:color="auto"/>
        <w:right w:val="none" w:sz="0" w:space="0" w:color="auto"/>
      </w:divBdr>
    </w:div>
    <w:div w:id="892887543">
      <w:bodyDiv w:val="1"/>
      <w:marLeft w:val="0"/>
      <w:marRight w:val="0"/>
      <w:marTop w:val="0"/>
      <w:marBottom w:val="0"/>
      <w:divBdr>
        <w:top w:val="none" w:sz="0" w:space="0" w:color="auto"/>
        <w:left w:val="none" w:sz="0" w:space="0" w:color="auto"/>
        <w:bottom w:val="none" w:sz="0" w:space="0" w:color="auto"/>
        <w:right w:val="none" w:sz="0" w:space="0" w:color="auto"/>
      </w:divBdr>
    </w:div>
    <w:div w:id="902447471">
      <w:bodyDiv w:val="1"/>
      <w:marLeft w:val="0"/>
      <w:marRight w:val="0"/>
      <w:marTop w:val="0"/>
      <w:marBottom w:val="0"/>
      <w:divBdr>
        <w:top w:val="none" w:sz="0" w:space="0" w:color="auto"/>
        <w:left w:val="none" w:sz="0" w:space="0" w:color="auto"/>
        <w:bottom w:val="none" w:sz="0" w:space="0" w:color="auto"/>
        <w:right w:val="none" w:sz="0" w:space="0" w:color="auto"/>
      </w:divBdr>
    </w:div>
    <w:div w:id="909653316">
      <w:bodyDiv w:val="1"/>
      <w:marLeft w:val="0"/>
      <w:marRight w:val="0"/>
      <w:marTop w:val="0"/>
      <w:marBottom w:val="0"/>
      <w:divBdr>
        <w:top w:val="none" w:sz="0" w:space="0" w:color="auto"/>
        <w:left w:val="none" w:sz="0" w:space="0" w:color="auto"/>
        <w:bottom w:val="none" w:sz="0" w:space="0" w:color="auto"/>
        <w:right w:val="none" w:sz="0" w:space="0" w:color="auto"/>
      </w:divBdr>
    </w:div>
    <w:div w:id="926428184">
      <w:bodyDiv w:val="1"/>
      <w:marLeft w:val="0"/>
      <w:marRight w:val="0"/>
      <w:marTop w:val="0"/>
      <w:marBottom w:val="0"/>
      <w:divBdr>
        <w:top w:val="none" w:sz="0" w:space="0" w:color="auto"/>
        <w:left w:val="none" w:sz="0" w:space="0" w:color="auto"/>
        <w:bottom w:val="none" w:sz="0" w:space="0" w:color="auto"/>
        <w:right w:val="none" w:sz="0" w:space="0" w:color="auto"/>
      </w:divBdr>
    </w:div>
    <w:div w:id="927081007">
      <w:bodyDiv w:val="1"/>
      <w:marLeft w:val="0"/>
      <w:marRight w:val="0"/>
      <w:marTop w:val="0"/>
      <w:marBottom w:val="0"/>
      <w:divBdr>
        <w:top w:val="none" w:sz="0" w:space="0" w:color="auto"/>
        <w:left w:val="none" w:sz="0" w:space="0" w:color="auto"/>
        <w:bottom w:val="none" w:sz="0" w:space="0" w:color="auto"/>
        <w:right w:val="none" w:sz="0" w:space="0" w:color="auto"/>
      </w:divBdr>
    </w:div>
    <w:div w:id="927734690">
      <w:bodyDiv w:val="1"/>
      <w:marLeft w:val="0"/>
      <w:marRight w:val="0"/>
      <w:marTop w:val="0"/>
      <w:marBottom w:val="0"/>
      <w:divBdr>
        <w:top w:val="none" w:sz="0" w:space="0" w:color="auto"/>
        <w:left w:val="none" w:sz="0" w:space="0" w:color="auto"/>
        <w:bottom w:val="none" w:sz="0" w:space="0" w:color="auto"/>
        <w:right w:val="none" w:sz="0" w:space="0" w:color="auto"/>
      </w:divBdr>
    </w:div>
    <w:div w:id="933130415">
      <w:bodyDiv w:val="1"/>
      <w:marLeft w:val="0"/>
      <w:marRight w:val="0"/>
      <w:marTop w:val="0"/>
      <w:marBottom w:val="0"/>
      <w:divBdr>
        <w:top w:val="none" w:sz="0" w:space="0" w:color="auto"/>
        <w:left w:val="none" w:sz="0" w:space="0" w:color="auto"/>
        <w:bottom w:val="none" w:sz="0" w:space="0" w:color="auto"/>
        <w:right w:val="none" w:sz="0" w:space="0" w:color="auto"/>
      </w:divBdr>
    </w:div>
    <w:div w:id="953748543">
      <w:bodyDiv w:val="1"/>
      <w:marLeft w:val="0"/>
      <w:marRight w:val="0"/>
      <w:marTop w:val="0"/>
      <w:marBottom w:val="0"/>
      <w:divBdr>
        <w:top w:val="none" w:sz="0" w:space="0" w:color="auto"/>
        <w:left w:val="none" w:sz="0" w:space="0" w:color="auto"/>
        <w:bottom w:val="none" w:sz="0" w:space="0" w:color="auto"/>
        <w:right w:val="none" w:sz="0" w:space="0" w:color="auto"/>
      </w:divBdr>
    </w:div>
    <w:div w:id="955908593">
      <w:bodyDiv w:val="1"/>
      <w:marLeft w:val="0"/>
      <w:marRight w:val="0"/>
      <w:marTop w:val="0"/>
      <w:marBottom w:val="0"/>
      <w:divBdr>
        <w:top w:val="none" w:sz="0" w:space="0" w:color="auto"/>
        <w:left w:val="none" w:sz="0" w:space="0" w:color="auto"/>
        <w:bottom w:val="none" w:sz="0" w:space="0" w:color="auto"/>
        <w:right w:val="none" w:sz="0" w:space="0" w:color="auto"/>
      </w:divBdr>
    </w:div>
    <w:div w:id="957640925">
      <w:bodyDiv w:val="1"/>
      <w:marLeft w:val="0"/>
      <w:marRight w:val="0"/>
      <w:marTop w:val="0"/>
      <w:marBottom w:val="0"/>
      <w:divBdr>
        <w:top w:val="none" w:sz="0" w:space="0" w:color="auto"/>
        <w:left w:val="none" w:sz="0" w:space="0" w:color="auto"/>
        <w:bottom w:val="none" w:sz="0" w:space="0" w:color="auto"/>
        <w:right w:val="none" w:sz="0" w:space="0" w:color="auto"/>
      </w:divBdr>
    </w:div>
    <w:div w:id="960305771">
      <w:bodyDiv w:val="1"/>
      <w:marLeft w:val="0"/>
      <w:marRight w:val="0"/>
      <w:marTop w:val="0"/>
      <w:marBottom w:val="0"/>
      <w:divBdr>
        <w:top w:val="none" w:sz="0" w:space="0" w:color="auto"/>
        <w:left w:val="none" w:sz="0" w:space="0" w:color="auto"/>
        <w:bottom w:val="none" w:sz="0" w:space="0" w:color="auto"/>
        <w:right w:val="none" w:sz="0" w:space="0" w:color="auto"/>
      </w:divBdr>
    </w:div>
    <w:div w:id="987636932">
      <w:bodyDiv w:val="1"/>
      <w:marLeft w:val="0"/>
      <w:marRight w:val="0"/>
      <w:marTop w:val="0"/>
      <w:marBottom w:val="0"/>
      <w:divBdr>
        <w:top w:val="none" w:sz="0" w:space="0" w:color="auto"/>
        <w:left w:val="none" w:sz="0" w:space="0" w:color="auto"/>
        <w:bottom w:val="none" w:sz="0" w:space="0" w:color="auto"/>
        <w:right w:val="none" w:sz="0" w:space="0" w:color="auto"/>
      </w:divBdr>
    </w:div>
    <w:div w:id="1008288285">
      <w:bodyDiv w:val="1"/>
      <w:marLeft w:val="0"/>
      <w:marRight w:val="0"/>
      <w:marTop w:val="0"/>
      <w:marBottom w:val="0"/>
      <w:divBdr>
        <w:top w:val="none" w:sz="0" w:space="0" w:color="auto"/>
        <w:left w:val="none" w:sz="0" w:space="0" w:color="auto"/>
        <w:bottom w:val="none" w:sz="0" w:space="0" w:color="auto"/>
        <w:right w:val="none" w:sz="0" w:space="0" w:color="auto"/>
      </w:divBdr>
    </w:div>
    <w:div w:id="1022438966">
      <w:bodyDiv w:val="1"/>
      <w:marLeft w:val="0"/>
      <w:marRight w:val="0"/>
      <w:marTop w:val="0"/>
      <w:marBottom w:val="0"/>
      <w:divBdr>
        <w:top w:val="none" w:sz="0" w:space="0" w:color="auto"/>
        <w:left w:val="none" w:sz="0" w:space="0" w:color="auto"/>
        <w:bottom w:val="none" w:sz="0" w:space="0" w:color="auto"/>
        <w:right w:val="none" w:sz="0" w:space="0" w:color="auto"/>
      </w:divBdr>
    </w:div>
    <w:div w:id="1038164726">
      <w:bodyDiv w:val="1"/>
      <w:marLeft w:val="0"/>
      <w:marRight w:val="0"/>
      <w:marTop w:val="0"/>
      <w:marBottom w:val="0"/>
      <w:divBdr>
        <w:top w:val="none" w:sz="0" w:space="0" w:color="auto"/>
        <w:left w:val="none" w:sz="0" w:space="0" w:color="auto"/>
        <w:bottom w:val="none" w:sz="0" w:space="0" w:color="auto"/>
        <w:right w:val="none" w:sz="0" w:space="0" w:color="auto"/>
      </w:divBdr>
    </w:div>
    <w:div w:id="1055542467">
      <w:bodyDiv w:val="1"/>
      <w:marLeft w:val="0"/>
      <w:marRight w:val="0"/>
      <w:marTop w:val="0"/>
      <w:marBottom w:val="0"/>
      <w:divBdr>
        <w:top w:val="none" w:sz="0" w:space="0" w:color="auto"/>
        <w:left w:val="none" w:sz="0" w:space="0" w:color="auto"/>
        <w:bottom w:val="none" w:sz="0" w:space="0" w:color="auto"/>
        <w:right w:val="none" w:sz="0" w:space="0" w:color="auto"/>
      </w:divBdr>
    </w:div>
    <w:div w:id="1072696989">
      <w:bodyDiv w:val="1"/>
      <w:marLeft w:val="0"/>
      <w:marRight w:val="0"/>
      <w:marTop w:val="0"/>
      <w:marBottom w:val="0"/>
      <w:divBdr>
        <w:top w:val="none" w:sz="0" w:space="0" w:color="auto"/>
        <w:left w:val="none" w:sz="0" w:space="0" w:color="auto"/>
        <w:bottom w:val="none" w:sz="0" w:space="0" w:color="auto"/>
        <w:right w:val="none" w:sz="0" w:space="0" w:color="auto"/>
      </w:divBdr>
    </w:div>
    <w:div w:id="1074399878">
      <w:bodyDiv w:val="1"/>
      <w:marLeft w:val="0"/>
      <w:marRight w:val="0"/>
      <w:marTop w:val="0"/>
      <w:marBottom w:val="0"/>
      <w:divBdr>
        <w:top w:val="none" w:sz="0" w:space="0" w:color="auto"/>
        <w:left w:val="none" w:sz="0" w:space="0" w:color="auto"/>
        <w:bottom w:val="none" w:sz="0" w:space="0" w:color="auto"/>
        <w:right w:val="none" w:sz="0" w:space="0" w:color="auto"/>
      </w:divBdr>
    </w:div>
    <w:div w:id="1087464522">
      <w:bodyDiv w:val="1"/>
      <w:marLeft w:val="0"/>
      <w:marRight w:val="0"/>
      <w:marTop w:val="0"/>
      <w:marBottom w:val="0"/>
      <w:divBdr>
        <w:top w:val="none" w:sz="0" w:space="0" w:color="auto"/>
        <w:left w:val="none" w:sz="0" w:space="0" w:color="auto"/>
        <w:bottom w:val="none" w:sz="0" w:space="0" w:color="auto"/>
        <w:right w:val="none" w:sz="0" w:space="0" w:color="auto"/>
      </w:divBdr>
    </w:div>
    <w:div w:id="1089810985">
      <w:bodyDiv w:val="1"/>
      <w:marLeft w:val="0"/>
      <w:marRight w:val="0"/>
      <w:marTop w:val="0"/>
      <w:marBottom w:val="0"/>
      <w:divBdr>
        <w:top w:val="none" w:sz="0" w:space="0" w:color="auto"/>
        <w:left w:val="none" w:sz="0" w:space="0" w:color="auto"/>
        <w:bottom w:val="none" w:sz="0" w:space="0" w:color="auto"/>
        <w:right w:val="none" w:sz="0" w:space="0" w:color="auto"/>
      </w:divBdr>
    </w:div>
    <w:div w:id="1103574939">
      <w:bodyDiv w:val="1"/>
      <w:marLeft w:val="0"/>
      <w:marRight w:val="0"/>
      <w:marTop w:val="0"/>
      <w:marBottom w:val="0"/>
      <w:divBdr>
        <w:top w:val="none" w:sz="0" w:space="0" w:color="auto"/>
        <w:left w:val="none" w:sz="0" w:space="0" w:color="auto"/>
        <w:bottom w:val="none" w:sz="0" w:space="0" w:color="auto"/>
        <w:right w:val="none" w:sz="0" w:space="0" w:color="auto"/>
      </w:divBdr>
    </w:div>
    <w:div w:id="1110853434">
      <w:bodyDiv w:val="1"/>
      <w:marLeft w:val="0"/>
      <w:marRight w:val="0"/>
      <w:marTop w:val="0"/>
      <w:marBottom w:val="0"/>
      <w:divBdr>
        <w:top w:val="none" w:sz="0" w:space="0" w:color="auto"/>
        <w:left w:val="none" w:sz="0" w:space="0" w:color="auto"/>
        <w:bottom w:val="none" w:sz="0" w:space="0" w:color="auto"/>
        <w:right w:val="none" w:sz="0" w:space="0" w:color="auto"/>
      </w:divBdr>
    </w:div>
    <w:div w:id="1114178866">
      <w:bodyDiv w:val="1"/>
      <w:marLeft w:val="0"/>
      <w:marRight w:val="0"/>
      <w:marTop w:val="0"/>
      <w:marBottom w:val="0"/>
      <w:divBdr>
        <w:top w:val="none" w:sz="0" w:space="0" w:color="auto"/>
        <w:left w:val="none" w:sz="0" w:space="0" w:color="auto"/>
        <w:bottom w:val="none" w:sz="0" w:space="0" w:color="auto"/>
        <w:right w:val="none" w:sz="0" w:space="0" w:color="auto"/>
      </w:divBdr>
    </w:div>
    <w:div w:id="1115367225">
      <w:bodyDiv w:val="1"/>
      <w:marLeft w:val="0"/>
      <w:marRight w:val="0"/>
      <w:marTop w:val="0"/>
      <w:marBottom w:val="0"/>
      <w:divBdr>
        <w:top w:val="none" w:sz="0" w:space="0" w:color="auto"/>
        <w:left w:val="none" w:sz="0" w:space="0" w:color="auto"/>
        <w:bottom w:val="none" w:sz="0" w:space="0" w:color="auto"/>
        <w:right w:val="none" w:sz="0" w:space="0" w:color="auto"/>
      </w:divBdr>
    </w:div>
    <w:div w:id="1128161369">
      <w:bodyDiv w:val="1"/>
      <w:marLeft w:val="0"/>
      <w:marRight w:val="0"/>
      <w:marTop w:val="0"/>
      <w:marBottom w:val="0"/>
      <w:divBdr>
        <w:top w:val="none" w:sz="0" w:space="0" w:color="auto"/>
        <w:left w:val="none" w:sz="0" w:space="0" w:color="auto"/>
        <w:bottom w:val="none" w:sz="0" w:space="0" w:color="auto"/>
        <w:right w:val="none" w:sz="0" w:space="0" w:color="auto"/>
      </w:divBdr>
    </w:div>
    <w:div w:id="1129662031">
      <w:bodyDiv w:val="1"/>
      <w:marLeft w:val="0"/>
      <w:marRight w:val="0"/>
      <w:marTop w:val="0"/>
      <w:marBottom w:val="0"/>
      <w:divBdr>
        <w:top w:val="none" w:sz="0" w:space="0" w:color="auto"/>
        <w:left w:val="none" w:sz="0" w:space="0" w:color="auto"/>
        <w:bottom w:val="none" w:sz="0" w:space="0" w:color="auto"/>
        <w:right w:val="none" w:sz="0" w:space="0" w:color="auto"/>
      </w:divBdr>
    </w:div>
    <w:div w:id="1137183314">
      <w:bodyDiv w:val="1"/>
      <w:marLeft w:val="0"/>
      <w:marRight w:val="0"/>
      <w:marTop w:val="0"/>
      <w:marBottom w:val="0"/>
      <w:divBdr>
        <w:top w:val="none" w:sz="0" w:space="0" w:color="auto"/>
        <w:left w:val="none" w:sz="0" w:space="0" w:color="auto"/>
        <w:bottom w:val="none" w:sz="0" w:space="0" w:color="auto"/>
        <w:right w:val="none" w:sz="0" w:space="0" w:color="auto"/>
      </w:divBdr>
    </w:div>
    <w:div w:id="1159613347">
      <w:bodyDiv w:val="1"/>
      <w:marLeft w:val="0"/>
      <w:marRight w:val="0"/>
      <w:marTop w:val="0"/>
      <w:marBottom w:val="0"/>
      <w:divBdr>
        <w:top w:val="none" w:sz="0" w:space="0" w:color="auto"/>
        <w:left w:val="none" w:sz="0" w:space="0" w:color="auto"/>
        <w:bottom w:val="none" w:sz="0" w:space="0" w:color="auto"/>
        <w:right w:val="none" w:sz="0" w:space="0" w:color="auto"/>
      </w:divBdr>
    </w:div>
    <w:div w:id="1167134828">
      <w:bodyDiv w:val="1"/>
      <w:marLeft w:val="0"/>
      <w:marRight w:val="0"/>
      <w:marTop w:val="0"/>
      <w:marBottom w:val="0"/>
      <w:divBdr>
        <w:top w:val="none" w:sz="0" w:space="0" w:color="auto"/>
        <w:left w:val="none" w:sz="0" w:space="0" w:color="auto"/>
        <w:bottom w:val="none" w:sz="0" w:space="0" w:color="auto"/>
        <w:right w:val="none" w:sz="0" w:space="0" w:color="auto"/>
      </w:divBdr>
    </w:div>
    <w:div w:id="1169097521">
      <w:bodyDiv w:val="1"/>
      <w:marLeft w:val="0"/>
      <w:marRight w:val="0"/>
      <w:marTop w:val="0"/>
      <w:marBottom w:val="0"/>
      <w:divBdr>
        <w:top w:val="none" w:sz="0" w:space="0" w:color="auto"/>
        <w:left w:val="none" w:sz="0" w:space="0" w:color="auto"/>
        <w:bottom w:val="none" w:sz="0" w:space="0" w:color="auto"/>
        <w:right w:val="none" w:sz="0" w:space="0" w:color="auto"/>
      </w:divBdr>
    </w:div>
    <w:div w:id="1173839167">
      <w:bodyDiv w:val="1"/>
      <w:marLeft w:val="0"/>
      <w:marRight w:val="0"/>
      <w:marTop w:val="0"/>
      <w:marBottom w:val="0"/>
      <w:divBdr>
        <w:top w:val="none" w:sz="0" w:space="0" w:color="auto"/>
        <w:left w:val="none" w:sz="0" w:space="0" w:color="auto"/>
        <w:bottom w:val="none" w:sz="0" w:space="0" w:color="auto"/>
        <w:right w:val="none" w:sz="0" w:space="0" w:color="auto"/>
      </w:divBdr>
    </w:div>
    <w:div w:id="1180855341">
      <w:bodyDiv w:val="1"/>
      <w:marLeft w:val="0"/>
      <w:marRight w:val="0"/>
      <w:marTop w:val="0"/>
      <w:marBottom w:val="0"/>
      <w:divBdr>
        <w:top w:val="none" w:sz="0" w:space="0" w:color="auto"/>
        <w:left w:val="none" w:sz="0" w:space="0" w:color="auto"/>
        <w:bottom w:val="none" w:sz="0" w:space="0" w:color="auto"/>
        <w:right w:val="none" w:sz="0" w:space="0" w:color="auto"/>
      </w:divBdr>
    </w:div>
    <w:div w:id="1183788159">
      <w:bodyDiv w:val="1"/>
      <w:marLeft w:val="0"/>
      <w:marRight w:val="0"/>
      <w:marTop w:val="0"/>
      <w:marBottom w:val="0"/>
      <w:divBdr>
        <w:top w:val="none" w:sz="0" w:space="0" w:color="auto"/>
        <w:left w:val="none" w:sz="0" w:space="0" w:color="auto"/>
        <w:bottom w:val="none" w:sz="0" w:space="0" w:color="auto"/>
        <w:right w:val="none" w:sz="0" w:space="0" w:color="auto"/>
      </w:divBdr>
    </w:div>
    <w:div w:id="1187789472">
      <w:bodyDiv w:val="1"/>
      <w:marLeft w:val="0"/>
      <w:marRight w:val="0"/>
      <w:marTop w:val="0"/>
      <w:marBottom w:val="0"/>
      <w:divBdr>
        <w:top w:val="none" w:sz="0" w:space="0" w:color="auto"/>
        <w:left w:val="none" w:sz="0" w:space="0" w:color="auto"/>
        <w:bottom w:val="none" w:sz="0" w:space="0" w:color="auto"/>
        <w:right w:val="none" w:sz="0" w:space="0" w:color="auto"/>
      </w:divBdr>
    </w:div>
    <w:div w:id="1200706726">
      <w:bodyDiv w:val="1"/>
      <w:marLeft w:val="0"/>
      <w:marRight w:val="0"/>
      <w:marTop w:val="0"/>
      <w:marBottom w:val="0"/>
      <w:divBdr>
        <w:top w:val="none" w:sz="0" w:space="0" w:color="auto"/>
        <w:left w:val="none" w:sz="0" w:space="0" w:color="auto"/>
        <w:bottom w:val="none" w:sz="0" w:space="0" w:color="auto"/>
        <w:right w:val="none" w:sz="0" w:space="0" w:color="auto"/>
      </w:divBdr>
    </w:div>
    <w:div w:id="1201632562">
      <w:bodyDiv w:val="1"/>
      <w:marLeft w:val="0"/>
      <w:marRight w:val="0"/>
      <w:marTop w:val="0"/>
      <w:marBottom w:val="0"/>
      <w:divBdr>
        <w:top w:val="none" w:sz="0" w:space="0" w:color="auto"/>
        <w:left w:val="none" w:sz="0" w:space="0" w:color="auto"/>
        <w:bottom w:val="none" w:sz="0" w:space="0" w:color="auto"/>
        <w:right w:val="none" w:sz="0" w:space="0" w:color="auto"/>
      </w:divBdr>
    </w:div>
    <w:div w:id="1224486127">
      <w:bodyDiv w:val="1"/>
      <w:marLeft w:val="0"/>
      <w:marRight w:val="0"/>
      <w:marTop w:val="0"/>
      <w:marBottom w:val="0"/>
      <w:divBdr>
        <w:top w:val="none" w:sz="0" w:space="0" w:color="auto"/>
        <w:left w:val="none" w:sz="0" w:space="0" w:color="auto"/>
        <w:bottom w:val="none" w:sz="0" w:space="0" w:color="auto"/>
        <w:right w:val="none" w:sz="0" w:space="0" w:color="auto"/>
      </w:divBdr>
    </w:div>
    <w:div w:id="1227648332">
      <w:bodyDiv w:val="1"/>
      <w:marLeft w:val="0"/>
      <w:marRight w:val="0"/>
      <w:marTop w:val="0"/>
      <w:marBottom w:val="0"/>
      <w:divBdr>
        <w:top w:val="none" w:sz="0" w:space="0" w:color="auto"/>
        <w:left w:val="none" w:sz="0" w:space="0" w:color="auto"/>
        <w:bottom w:val="none" w:sz="0" w:space="0" w:color="auto"/>
        <w:right w:val="none" w:sz="0" w:space="0" w:color="auto"/>
      </w:divBdr>
    </w:div>
    <w:div w:id="1228224372">
      <w:bodyDiv w:val="1"/>
      <w:marLeft w:val="0"/>
      <w:marRight w:val="0"/>
      <w:marTop w:val="0"/>
      <w:marBottom w:val="0"/>
      <w:divBdr>
        <w:top w:val="none" w:sz="0" w:space="0" w:color="auto"/>
        <w:left w:val="none" w:sz="0" w:space="0" w:color="auto"/>
        <w:bottom w:val="none" w:sz="0" w:space="0" w:color="auto"/>
        <w:right w:val="none" w:sz="0" w:space="0" w:color="auto"/>
      </w:divBdr>
    </w:div>
    <w:div w:id="1228955973">
      <w:bodyDiv w:val="1"/>
      <w:marLeft w:val="0"/>
      <w:marRight w:val="0"/>
      <w:marTop w:val="0"/>
      <w:marBottom w:val="0"/>
      <w:divBdr>
        <w:top w:val="none" w:sz="0" w:space="0" w:color="auto"/>
        <w:left w:val="none" w:sz="0" w:space="0" w:color="auto"/>
        <w:bottom w:val="none" w:sz="0" w:space="0" w:color="auto"/>
        <w:right w:val="none" w:sz="0" w:space="0" w:color="auto"/>
      </w:divBdr>
    </w:div>
    <w:div w:id="1237058625">
      <w:bodyDiv w:val="1"/>
      <w:marLeft w:val="0"/>
      <w:marRight w:val="0"/>
      <w:marTop w:val="0"/>
      <w:marBottom w:val="0"/>
      <w:divBdr>
        <w:top w:val="none" w:sz="0" w:space="0" w:color="auto"/>
        <w:left w:val="none" w:sz="0" w:space="0" w:color="auto"/>
        <w:bottom w:val="none" w:sz="0" w:space="0" w:color="auto"/>
        <w:right w:val="none" w:sz="0" w:space="0" w:color="auto"/>
      </w:divBdr>
    </w:div>
    <w:div w:id="1244142173">
      <w:bodyDiv w:val="1"/>
      <w:marLeft w:val="0"/>
      <w:marRight w:val="0"/>
      <w:marTop w:val="0"/>
      <w:marBottom w:val="0"/>
      <w:divBdr>
        <w:top w:val="none" w:sz="0" w:space="0" w:color="auto"/>
        <w:left w:val="none" w:sz="0" w:space="0" w:color="auto"/>
        <w:bottom w:val="none" w:sz="0" w:space="0" w:color="auto"/>
        <w:right w:val="none" w:sz="0" w:space="0" w:color="auto"/>
      </w:divBdr>
    </w:div>
    <w:div w:id="1246766277">
      <w:bodyDiv w:val="1"/>
      <w:marLeft w:val="0"/>
      <w:marRight w:val="0"/>
      <w:marTop w:val="0"/>
      <w:marBottom w:val="0"/>
      <w:divBdr>
        <w:top w:val="none" w:sz="0" w:space="0" w:color="auto"/>
        <w:left w:val="none" w:sz="0" w:space="0" w:color="auto"/>
        <w:bottom w:val="none" w:sz="0" w:space="0" w:color="auto"/>
        <w:right w:val="none" w:sz="0" w:space="0" w:color="auto"/>
      </w:divBdr>
    </w:div>
    <w:div w:id="1258555918">
      <w:bodyDiv w:val="1"/>
      <w:marLeft w:val="0"/>
      <w:marRight w:val="0"/>
      <w:marTop w:val="0"/>
      <w:marBottom w:val="0"/>
      <w:divBdr>
        <w:top w:val="none" w:sz="0" w:space="0" w:color="auto"/>
        <w:left w:val="none" w:sz="0" w:space="0" w:color="auto"/>
        <w:bottom w:val="none" w:sz="0" w:space="0" w:color="auto"/>
        <w:right w:val="none" w:sz="0" w:space="0" w:color="auto"/>
      </w:divBdr>
    </w:div>
    <w:div w:id="1268929159">
      <w:bodyDiv w:val="1"/>
      <w:marLeft w:val="0"/>
      <w:marRight w:val="0"/>
      <w:marTop w:val="0"/>
      <w:marBottom w:val="0"/>
      <w:divBdr>
        <w:top w:val="none" w:sz="0" w:space="0" w:color="auto"/>
        <w:left w:val="none" w:sz="0" w:space="0" w:color="auto"/>
        <w:bottom w:val="none" w:sz="0" w:space="0" w:color="auto"/>
        <w:right w:val="none" w:sz="0" w:space="0" w:color="auto"/>
      </w:divBdr>
    </w:div>
    <w:div w:id="1271427972">
      <w:bodyDiv w:val="1"/>
      <w:marLeft w:val="0"/>
      <w:marRight w:val="0"/>
      <w:marTop w:val="0"/>
      <w:marBottom w:val="0"/>
      <w:divBdr>
        <w:top w:val="none" w:sz="0" w:space="0" w:color="auto"/>
        <w:left w:val="none" w:sz="0" w:space="0" w:color="auto"/>
        <w:bottom w:val="none" w:sz="0" w:space="0" w:color="auto"/>
        <w:right w:val="none" w:sz="0" w:space="0" w:color="auto"/>
      </w:divBdr>
    </w:div>
    <w:div w:id="1277104042">
      <w:bodyDiv w:val="1"/>
      <w:marLeft w:val="0"/>
      <w:marRight w:val="0"/>
      <w:marTop w:val="0"/>
      <w:marBottom w:val="0"/>
      <w:divBdr>
        <w:top w:val="none" w:sz="0" w:space="0" w:color="auto"/>
        <w:left w:val="none" w:sz="0" w:space="0" w:color="auto"/>
        <w:bottom w:val="none" w:sz="0" w:space="0" w:color="auto"/>
        <w:right w:val="none" w:sz="0" w:space="0" w:color="auto"/>
      </w:divBdr>
    </w:div>
    <w:div w:id="1280599428">
      <w:bodyDiv w:val="1"/>
      <w:marLeft w:val="0"/>
      <w:marRight w:val="0"/>
      <w:marTop w:val="0"/>
      <w:marBottom w:val="0"/>
      <w:divBdr>
        <w:top w:val="none" w:sz="0" w:space="0" w:color="auto"/>
        <w:left w:val="none" w:sz="0" w:space="0" w:color="auto"/>
        <w:bottom w:val="none" w:sz="0" w:space="0" w:color="auto"/>
        <w:right w:val="none" w:sz="0" w:space="0" w:color="auto"/>
      </w:divBdr>
    </w:div>
    <w:div w:id="1281112576">
      <w:bodyDiv w:val="1"/>
      <w:marLeft w:val="0"/>
      <w:marRight w:val="0"/>
      <w:marTop w:val="0"/>
      <w:marBottom w:val="0"/>
      <w:divBdr>
        <w:top w:val="none" w:sz="0" w:space="0" w:color="auto"/>
        <w:left w:val="none" w:sz="0" w:space="0" w:color="auto"/>
        <w:bottom w:val="none" w:sz="0" w:space="0" w:color="auto"/>
        <w:right w:val="none" w:sz="0" w:space="0" w:color="auto"/>
      </w:divBdr>
    </w:div>
    <w:div w:id="1286808219">
      <w:bodyDiv w:val="1"/>
      <w:marLeft w:val="0"/>
      <w:marRight w:val="0"/>
      <w:marTop w:val="0"/>
      <w:marBottom w:val="0"/>
      <w:divBdr>
        <w:top w:val="none" w:sz="0" w:space="0" w:color="auto"/>
        <w:left w:val="none" w:sz="0" w:space="0" w:color="auto"/>
        <w:bottom w:val="none" w:sz="0" w:space="0" w:color="auto"/>
        <w:right w:val="none" w:sz="0" w:space="0" w:color="auto"/>
      </w:divBdr>
    </w:div>
    <w:div w:id="1294478817">
      <w:bodyDiv w:val="1"/>
      <w:marLeft w:val="0"/>
      <w:marRight w:val="0"/>
      <w:marTop w:val="0"/>
      <w:marBottom w:val="0"/>
      <w:divBdr>
        <w:top w:val="none" w:sz="0" w:space="0" w:color="auto"/>
        <w:left w:val="none" w:sz="0" w:space="0" w:color="auto"/>
        <w:bottom w:val="none" w:sz="0" w:space="0" w:color="auto"/>
        <w:right w:val="none" w:sz="0" w:space="0" w:color="auto"/>
      </w:divBdr>
    </w:div>
    <w:div w:id="1294676149">
      <w:bodyDiv w:val="1"/>
      <w:marLeft w:val="0"/>
      <w:marRight w:val="0"/>
      <w:marTop w:val="0"/>
      <w:marBottom w:val="0"/>
      <w:divBdr>
        <w:top w:val="none" w:sz="0" w:space="0" w:color="auto"/>
        <w:left w:val="none" w:sz="0" w:space="0" w:color="auto"/>
        <w:bottom w:val="none" w:sz="0" w:space="0" w:color="auto"/>
        <w:right w:val="none" w:sz="0" w:space="0" w:color="auto"/>
      </w:divBdr>
    </w:div>
    <w:div w:id="1296333255">
      <w:bodyDiv w:val="1"/>
      <w:marLeft w:val="0"/>
      <w:marRight w:val="0"/>
      <w:marTop w:val="0"/>
      <w:marBottom w:val="0"/>
      <w:divBdr>
        <w:top w:val="none" w:sz="0" w:space="0" w:color="auto"/>
        <w:left w:val="none" w:sz="0" w:space="0" w:color="auto"/>
        <w:bottom w:val="none" w:sz="0" w:space="0" w:color="auto"/>
        <w:right w:val="none" w:sz="0" w:space="0" w:color="auto"/>
      </w:divBdr>
    </w:div>
    <w:div w:id="1302004199">
      <w:bodyDiv w:val="1"/>
      <w:marLeft w:val="0"/>
      <w:marRight w:val="0"/>
      <w:marTop w:val="0"/>
      <w:marBottom w:val="0"/>
      <w:divBdr>
        <w:top w:val="none" w:sz="0" w:space="0" w:color="auto"/>
        <w:left w:val="none" w:sz="0" w:space="0" w:color="auto"/>
        <w:bottom w:val="none" w:sz="0" w:space="0" w:color="auto"/>
        <w:right w:val="none" w:sz="0" w:space="0" w:color="auto"/>
      </w:divBdr>
    </w:div>
    <w:div w:id="1307390992">
      <w:bodyDiv w:val="1"/>
      <w:marLeft w:val="0"/>
      <w:marRight w:val="0"/>
      <w:marTop w:val="0"/>
      <w:marBottom w:val="0"/>
      <w:divBdr>
        <w:top w:val="none" w:sz="0" w:space="0" w:color="auto"/>
        <w:left w:val="none" w:sz="0" w:space="0" w:color="auto"/>
        <w:bottom w:val="none" w:sz="0" w:space="0" w:color="auto"/>
        <w:right w:val="none" w:sz="0" w:space="0" w:color="auto"/>
      </w:divBdr>
    </w:div>
    <w:div w:id="1307511596">
      <w:bodyDiv w:val="1"/>
      <w:marLeft w:val="0"/>
      <w:marRight w:val="0"/>
      <w:marTop w:val="0"/>
      <w:marBottom w:val="0"/>
      <w:divBdr>
        <w:top w:val="none" w:sz="0" w:space="0" w:color="auto"/>
        <w:left w:val="none" w:sz="0" w:space="0" w:color="auto"/>
        <w:bottom w:val="none" w:sz="0" w:space="0" w:color="auto"/>
        <w:right w:val="none" w:sz="0" w:space="0" w:color="auto"/>
      </w:divBdr>
    </w:div>
    <w:div w:id="1310741659">
      <w:bodyDiv w:val="1"/>
      <w:marLeft w:val="0"/>
      <w:marRight w:val="0"/>
      <w:marTop w:val="0"/>
      <w:marBottom w:val="0"/>
      <w:divBdr>
        <w:top w:val="none" w:sz="0" w:space="0" w:color="auto"/>
        <w:left w:val="none" w:sz="0" w:space="0" w:color="auto"/>
        <w:bottom w:val="none" w:sz="0" w:space="0" w:color="auto"/>
        <w:right w:val="none" w:sz="0" w:space="0" w:color="auto"/>
      </w:divBdr>
    </w:div>
    <w:div w:id="1320773224">
      <w:bodyDiv w:val="1"/>
      <w:marLeft w:val="0"/>
      <w:marRight w:val="0"/>
      <w:marTop w:val="0"/>
      <w:marBottom w:val="0"/>
      <w:divBdr>
        <w:top w:val="none" w:sz="0" w:space="0" w:color="auto"/>
        <w:left w:val="none" w:sz="0" w:space="0" w:color="auto"/>
        <w:bottom w:val="none" w:sz="0" w:space="0" w:color="auto"/>
        <w:right w:val="none" w:sz="0" w:space="0" w:color="auto"/>
      </w:divBdr>
    </w:div>
    <w:div w:id="1344821672">
      <w:bodyDiv w:val="1"/>
      <w:marLeft w:val="0"/>
      <w:marRight w:val="0"/>
      <w:marTop w:val="0"/>
      <w:marBottom w:val="0"/>
      <w:divBdr>
        <w:top w:val="none" w:sz="0" w:space="0" w:color="auto"/>
        <w:left w:val="none" w:sz="0" w:space="0" w:color="auto"/>
        <w:bottom w:val="none" w:sz="0" w:space="0" w:color="auto"/>
        <w:right w:val="none" w:sz="0" w:space="0" w:color="auto"/>
      </w:divBdr>
    </w:div>
    <w:div w:id="1347169612">
      <w:bodyDiv w:val="1"/>
      <w:marLeft w:val="0"/>
      <w:marRight w:val="0"/>
      <w:marTop w:val="0"/>
      <w:marBottom w:val="0"/>
      <w:divBdr>
        <w:top w:val="none" w:sz="0" w:space="0" w:color="auto"/>
        <w:left w:val="none" w:sz="0" w:space="0" w:color="auto"/>
        <w:bottom w:val="none" w:sz="0" w:space="0" w:color="auto"/>
        <w:right w:val="none" w:sz="0" w:space="0" w:color="auto"/>
      </w:divBdr>
    </w:div>
    <w:div w:id="1353262258">
      <w:bodyDiv w:val="1"/>
      <w:marLeft w:val="0"/>
      <w:marRight w:val="0"/>
      <w:marTop w:val="0"/>
      <w:marBottom w:val="0"/>
      <w:divBdr>
        <w:top w:val="none" w:sz="0" w:space="0" w:color="auto"/>
        <w:left w:val="none" w:sz="0" w:space="0" w:color="auto"/>
        <w:bottom w:val="none" w:sz="0" w:space="0" w:color="auto"/>
        <w:right w:val="none" w:sz="0" w:space="0" w:color="auto"/>
      </w:divBdr>
    </w:div>
    <w:div w:id="1364092493">
      <w:bodyDiv w:val="1"/>
      <w:marLeft w:val="0"/>
      <w:marRight w:val="0"/>
      <w:marTop w:val="0"/>
      <w:marBottom w:val="0"/>
      <w:divBdr>
        <w:top w:val="none" w:sz="0" w:space="0" w:color="auto"/>
        <w:left w:val="none" w:sz="0" w:space="0" w:color="auto"/>
        <w:bottom w:val="none" w:sz="0" w:space="0" w:color="auto"/>
        <w:right w:val="none" w:sz="0" w:space="0" w:color="auto"/>
      </w:divBdr>
    </w:div>
    <w:div w:id="1369380977">
      <w:bodyDiv w:val="1"/>
      <w:marLeft w:val="0"/>
      <w:marRight w:val="0"/>
      <w:marTop w:val="0"/>
      <w:marBottom w:val="0"/>
      <w:divBdr>
        <w:top w:val="none" w:sz="0" w:space="0" w:color="auto"/>
        <w:left w:val="none" w:sz="0" w:space="0" w:color="auto"/>
        <w:bottom w:val="none" w:sz="0" w:space="0" w:color="auto"/>
        <w:right w:val="none" w:sz="0" w:space="0" w:color="auto"/>
      </w:divBdr>
    </w:div>
    <w:div w:id="1372420471">
      <w:bodyDiv w:val="1"/>
      <w:marLeft w:val="0"/>
      <w:marRight w:val="0"/>
      <w:marTop w:val="0"/>
      <w:marBottom w:val="0"/>
      <w:divBdr>
        <w:top w:val="none" w:sz="0" w:space="0" w:color="auto"/>
        <w:left w:val="none" w:sz="0" w:space="0" w:color="auto"/>
        <w:bottom w:val="none" w:sz="0" w:space="0" w:color="auto"/>
        <w:right w:val="none" w:sz="0" w:space="0" w:color="auto"/>
      </w:divBdr>
    </w:div>
    <w:div w:id="1372608178">
      <w:bodyDiv w:val="1"/>
      <w:marLeft w:val="0"/>
      <w:marRight w:val="0"/>
      <w:marTop w:val="0"/>
      <w:marBottom w:val="0"/>
      <w:divBdr>
        <w:top w:val="none" w:sz="0" w:space="0" w:color="auto"/>
        <w:left w:val="none" w:sz="0" w:space="0" w:color="auto"/>
        <w:bottom w:val="none" w:sz="0" w:space="0" w:color="auto"/>
        <w:right w:val="none" w:sz="0" w:space="0" w:color="auto"/>
      </w:divBdr>
    </w:div>
    <w:div w:id="1391223669">
      <w:bodyDiv w:val="1"/>
      <w:marLeft w:val="0"/>
      <w:marRight w:val="0"/>
      <w:marTop w:val="0"/>
      <w:marBottom w:val="0"/>
      <w:divBdr>
        <w:top w:val="none" w:sz="0" w:space="0" w:color="auto"/>
        <w:left w:val="none" w:sz="0" w:space="0" w:color="auto"/>
        <w:bottom w:val="none" w:sz="0" w:space="0" w:color="auto"/>
        <w:right w:val="none" w:sz="0" w:space="0" w:color="auto"/>
      </w:divBdr>
    </w:div>
    <w:div w:id="1403260497">
      <w:bodyDiv w:val="1"/>
      <w:marLeft w:val="0"/>
      <w:marRight w:val="0"/>
      <w:marTop w:val="0"/>
      <w:marBottom w:val="0"/>
      <w:divBdr>
        <w:top w:val="none" w:sz="0" w:space="0" w:color="auto"/>
        <w:left w:val="none" w:sz="0" w:space="0" w:color="auto"/>
        <w:bottom w:val="none" w:sz="0" w:space="0" w:color="auto"/>
        <w:right w:val="none" w:sz="0" w:space="0" w:color="auto"/>
      </w:divBdr>
    </w:div>
    <w:div w:id="1411539575">
      <w:bodyDiv w:val="1"/>
      <w:marLeft w:val="0"/>
      <w:marRight w:val="0"/>
      <w:marTop w:val="0"/>
      <w:marBottom w:val="0"/>
      <w:divBdr>
        <w:top w:val="none" w:sz="0" w:space="0" w:color="auto"/>
        <w:left w:val="none" w:sz="0" w:space="0" w:color="auto"/>
        <w:bottom w:val="none" w:sz="0" w:space="0" w:color="auto"/>
        <w:right w:val="none" w:sz="0" w:space="0" w:color="auto"/>
      </w:divBdr>
    </w:div>
    <w:div w:id="1424380035">
      <w:bodyDiv w:val="1"/>
      <w:marLeft w:val="0"/>
      <w:marRight w:val="0"/>
      <w:marTop w:val="0"/>
      <w:marBottom w:val="0"/>
      <w:divBdr>
        <w:top w:val="none" w:sz="0" w:space="0" w:color="auto"/>
        <w:left w:val="none" w:sz="0" w:space="0" w:color="auto"/>
        <w:bottom w:val="none" w:sz="0" w:space="0" w:color="auto"/>
        <w:right w:val="none" w:sz="0" w:space="0" w:color="auto"/>
      </w:divBdr>
    </w:div>
    <w:div w:id="1464888917">
      <w:bodyDiv w:val="1"/>
      <w:marLeft w:val="0"/>
      <w:marRight w:val="0"/>
      <w:marTop w:val="0"/>
      <w:marBottom w:val="0"/>
      <w:divBdr>
        <w:top w:val="none" w:sz="0" w:space="0" w:color="auto"/>
        <w:left w:val="none" w:sz="0" w:space="0" w:color="auto"/>
        <w:bottom w:val="none" w:sz="0" w:space="0" w:color="auto"/>
        <w:right w:val="none" w:sz="0" w:space="0" w:color="auto"/>
      </w:divBdr>
    </w:div>
    <w:div w:id="1466390966">
      <w:bodyDiv w:val="1"/>
      <w:marLeft w:val="0"/>
      <w:marRight w:val="0"/>
      <w:marTop w:val="0"/>
      <w:marBottom w:val="0"/>
      <w:divBdr>
        <w:top w:val="none" w:sz="0" w:space="0" w:color="auto"/>
        <w:left w:val="none" w:sz="0" w:space="0" w:color="auto"/>
        <w:bottom w:val="none" w:sz="0" w:space="0" w:color="auto"/>
        <w:right w:val="none" w:sz="0" w:space="0" w:color="auto"/>
      </w:divBdr>
    </w:div>
    <w:div w:id="1470704802">
      <w:bodyDiv w:val="1"/>
      <w:marLeft w:val="0"/>
      <w:marRight w:val="0"/>
      <w:marTop w:val="0"/>
      <w:marBottom w:val="0"/>
      <w:divBdr>
        <w:top w:val="none" w:sz="0" w:space="0" w:color="auto"/>
        <w:left w:val="none" w:sz="0" w:space="0" w:color="auto"/>
        <w:bottom w:val="none" w:sz="0" w:space="0" w:color="auto"/>
        <w:right w:val="none" w:sz="0" w:space="0" w:color="auto"/>
      </w:divBdr>
    </w:div>
    <w:div w:id="1485314790">
      <w:bodyDiv w:val="1"/>
      <w:marLeft w:val="0"/>
      <w:marRight w:val="0"/>
      <w:marTop w:val="0"/>
      <w:marBottom w:val="0"/>
      <w:divBdr>
        <w:top w:val="none" w:sz="0" w:space="0" w:color="auto"/>
        <w:left w:val="none" w:sz="0" w:space="0" w:color="auto"/>
        <w:bottom w:val="none" w:sz="0" w:space="0" w:color="auto"/>
        <w:right w:val="none" w:sz="0" w:space="0" w:color="auto"/>
      </w:divBdr>
    </w:div>
    <w:div w:id="1506702829">
      <w:bodyDiv w:val="1"/>
      <w:marLeft w:val="0"/>
      <w:marRight w:val="0"/>
      <w:marTop w:val="0"/>
      <w:marBottom w:val="0"/>
      <w:divBdr>
        <w:top w:val="none" w:sz="0" w:space="0" w:color="auto"/>
        <w:left w:val="none" w:sz="0" w:space="0" w:color="auto"/>
        <w:bottom w:val="none" w:sz="0" w:space="0" w:color="auto"/>
        <w:right w:val="none" w:sz="0" w:space="0" w:color="auto"/>
      </w:divBdr>
    </w:div>
    <w:div w:id="1518422931">
      <w:bodyDiv w:val="1"/>
      <w:marLeft w:val="0"/>
      <w:marRight w:val="0"/>
      <w:marTop w:val="0"/>
      <w:marBottom w:val="0"/>
      <w:divBdr>
        <w:top w:val="none" w:sz="0" w:space="0" w:color="auto"/>
        <w:left w:val="none" w:sz="0" w:space="0" w:color="auto"/>
        <w:bottom w:val="none" w:sz="0" w:space="0" w:color="auto"/>
        <w:right w:val="none" w:sz="0" w:space="0" w:color="auto"/>
      </w:divBdr>
    </w:div>
    <w:div w:id="1524707841">
      <w:bodyDiv w:val="1"/>
      <w:marLeft w:val="0"/>
      <w:marRight w:val="0"/>
      <w:marTop w:val="0"/>
      <w:marBottom w:val="0"/>
      <w:divBdr>
        <w:top w:val="none" w:sz="0" w:space="0" w:color="auto"/>
        <w:left w:val="none" w:sz="0" w:space="0" w:color="auto"/>
        <w:bottom w:val="none" w:sz="0" w:space="0" w:color="auto"/>
        <w:right w:val="none" w:sz="0" w:space="0" w:color="auto"/>
      </w:divBdr>
    </w:div>
    <w:div w:id="1535077842">
      <w:bodyDiv w:val="1"/>
      <w:marLeft w:val="0"/>
      <w:marRight w:val="0"/>
      <w:marTop w:val="0"/>
      <w:marBottom w:val="0"/>
      <w:divBdr>
        <w:top w:val="none" w:sz="0" w:space="0" w:color="auto"/>
        <w:left w:val="none" w:sz="0" w:space="0" w:color="auto"/>
        <w:bottom w:val="none" w:sz="0" w:space="0" w:color="auto"/>
        <w:right w:val="none" w:sz="0" w:space="0" w:color="auto"/>
      </w:divBdr>
    </w:div>
    <w:div w:id="1540624867">
      <w:bodyDiv w:val="1"/>
      <w:marLeft w:val="0"/>
      <w:marRight w:val="0"/>
      <w:marTop w:val="0"/>
      <w:marBottom w:val="0"/>
      <w:divBdr>
        <w:top w:val="none" w:sz="0" w:space="0" w:color="auto"/>
        <w:left w:val="none" w:sz="0" w:space="0" w:color="auto"/>
        <w:bottom w:val="none" w:sz="0" w:space="0" w:color="auto"/>
        <w:right w:val="none" w:sz="0" w:space="0" w:color="auto"/>
      </w:divBdr>
    </w:div>
    <w:div w:id="1547333844">
      <w:bodyDiv w:val="1"/>
      <w:marLeft w:val="0"/>
      <w:marRight w:val="0"/>
      <w:marTop w:val="0"/>
      <w:marBottom w:val="0"/>
      <w:divBdr>
        <w:top w:val="none" w:sz="0" w:space="0" w:color="auto"/>
        <w:left w:val="none" w:sz="0" w:space="0" w:color="auto"/>
        <w:bottom w:val="none" w:sz="0" w:space="0" w:color="auto"/>
        <w:right w:val="none" w:sz="0" w:space="0" w:color="auto"/>
      </w:divBdr>
    </w:div>
    <w:div w:id="1550070142">
      <w:bodyDiv w:val="1"/>
      <w:marLeft w:val="0"/>
      <w:marRight w:val="0"/>
      <w:marTop w:val="0"/>
      <w:marBottom w:val="0"/>
      <w:divBdr>
        <w:top w:val="none" w:sz="0" w:space="0" w:color="auto"/>
        <w:left w:val="none" w:sz="0" w:space="0" w:color="auto"/>
        <w:bottom w:val="none" w:sz="0" w:space="0" w:color="auto"/>
        <w:right w:val="none" w:sz="0" w:space="0" w:color="auto"/>
      </w:divBdr>
    </w:div>
    <w:div w:id="1570575509">
      <w:bodyDiv w:val="1"/>
      <w:marLeft w:val="0"/>
      <w:marRight w:val="0"/>
      <w:marTop w:val="0"/>
      <w:marBottom w:val="0"/>
      <w:divBdr>
        <w:top w:val="none" w:sz="0" w:space="0" w:color="auto"/>
        <w:left w:val="none" w:sz="0" w:space="0" w:color="auto"/>
        <w:bottom w:val="none" w:sz="0" w:space="0" w:color="auto"/>
        <w:right w:val="none" w:sz="0" w:space="0" w:color="auto"/>
      </w:divBdr>
    </w:div>
    <w:div w:id="1590389732">
      <w:bodyDiv w:val="1"/>
      <w:marLeft w:val="0"/>
      <w:marRight w:val="0"/>
      <w:marTop w:val="0"/>
      <w:marBottom w:val="0"/>
      <w:divBdr>
        <w:top w:val="none" w:sz="0" w:space="0" w:color="auto"/>
        <w:left w:val="none" w:sz="0" w:space="0" w:color="auto"/>
        <w:bottom w:val="none" w:sz="0" w:space="0" w:color="auto"/>
        <w:right w:val="none" w:sz="0" w:space="0" w:color="auto"/>
      </w:divBdr>
    </w:div>
    <w:div w:id="1624968610">
      <w:bodyDiv w:val="1"/>
      <w:marLeft w:val="0"/>
      <w:marRight w:val="0"/>
      <w:marTop w:val="0"/>
      <w:marBottom w:val="0"/>
      <w:divBdr>
        <w:top w:val="none" w:sz="0" w:space="0" w:color="auto"/>
        <w:left w:val="none" w:sz="0" w:space="0" w:color="auto"/>
        <w:bottom w:val="none" w:sz="0" w:space="0" w:color="auto"/>
        <w:right w:val="none" w:sz="0" w:space="0" w:color="auto"/>
      </w:divBdr>
    </w:div>
    <w:div w:id="1631865140">
      <w:bodyDiv w:val="1"/>
      <w:marLeft w:val="0"/>
      <w:marRight w:val="0"/>
      <w:marTop w:val="0"/>
      <w:marBottom w:val="0"/>
      <w:divBdr>
        <w:top w:val="none" w:sz="0" w:space="0" w:color="auto"/>
        <w:left w:val="none" w:sz="0" w:space="0" w:color="auto"/>
        <w:bottom w:val="none" w:sz="0" w:space="0" w:color="auto"/>
        <w:right w:val="none" w:sz="0" w:space="0" w:color="auto"/>
      </w:divBdr>
    </w:div>
    <w:div w:id="1636520302">
      <w:bodyDiv w:val="1"/>
      <w:marLeft w:val="0"/>
      <w:marRight w:val="0"/>
      <w:marTop w:val="0"/>
      <w:marBottom w:val="0"/>
      <w:divBdr>
        <w:top w:val="none" w:sz="0" w:space="0" w:color="auto"/>
        <w:left w:val="none" w:sz="0" w:space="0" w:color="auto"/>
        <w:bottom w:val="none" w:sz="0" w:space="0" w:color="auto"/>
        <w:right w:val="none" w:sz="0" w:space="0" w:color="auto"/>
      </w:divBdr>
    </w:div>
    <w:div w:id="1639873259">
      <w:bodyDiv w:val="1"/>
      <w:marLeft w:val="0"/>
      <w:marRight w:val="0"/>
      <w:marTop w:val="0"/>
      <w:marBottom w:val="0"/>
      <w:divBdr>
        <w:top w:val="none" w:sz="0" w:space="0" w:color="auto"/>
        <w:left w:val="none" w:sz="0" w:space="0" w:color="auto"/>
        <w:bottom w:val="none" w:sz="0" w:space="0" w:color="auto"/>
        <w:right w:val="none" w:sz="0" w:space="0" w:color="auto"/>
      </w:divBdr>
    </w:div>
    <w:div w:id="1644114329">
      <w:bodyDiv w:val="1"/>
      <w:marLeft w:val="0"/>
      <w:marRight w:val="0"/>
      <w:marTop w:val="0"/>
      <w:marBottom w:val="0"/>
      <w:divBdr>
        <w:top w:val="none" w:sz="0" w:space="0" w:color="auto"/>
        <w:left w:val="none" w:sz="0" w:space="0" w:color="auto"/>
        <w:bottom w:val="none" w:sz="0" w:space="0" w:color="auto"/>
        <w:right w:val="none" w:sz="0" w:space="0" w:color="auto"/>
      </w:divBdr>
    </w:div>
    <w:div w:id="1653872558">
      <w:bodyDiv w:val="1"/>
      <w:marLeft w:val="0"/>
      <w:marRight w:val="0"/>
      <w:marTop w:val="0"/>
      <w:marBottom w:val="0"/>
      <w:divBdr>
        <w:top w:val="none" w:sz="0" w:space="0" w:color="auto"/>
        <w:left w:val="none" w:sz="0" w:space="0" w:color="auto"/>
        <w:bottom w:val="none" w:sz="0" w:space="0" w:color="auto"/>
        <w:right w:val="none" w:sz="0" w:space="0" w:color="auto"/>
      </w:divBdr>
    </w:div>
    <w:div w:id="1660501365">
      <w:bodyDiv w:val="1"/>
      <w:marLeft w:val="0"/>
      <w:marRight w:val="0"/>
      <w:marTop w:val="0"/>
      <w:marBottom w:val="0"/>
      <w:divBdr>
        <w:top w:val="none" w:sz="0" w:space="0" w:color="auto"/>
        <w:left w:val="none" w:sz="0" w:space="0" w:color="auto"/>
        <w:bottom w:val="none" w:sz="0" w:space="0" w:color="auto"/>
        <w:right w:val="none" w:sz="0" w:space="0" w:color="auto"/>
      </w:divBdr>
    </w:div>
    <w:div w:id="1667172453">
      <w:bodyDiv w:val="1"/>
      <w:marLeft w:val="0"/>
      <w:marRight w:val="0"/>
      <w:marTop w:val="0"/>
      <w:marBottom w:val="0"/>
      <w:divBdr>
        <w:top w:val="none" w:sz="0" w:space="0" w:color="auto"/>
        <w:left w:val="none" w:sz="0" w:space="0" w:color="auto"/>
        <w:bottom w:val="none" w:sz="0" w:space="0" w:color="auto"/>
        <w:right w:val="none" w:sz="0" w:space="0" w:color="auto"/>
      </w:divBdr>
    </w:div>
    <w:div w:id="1683045649">
      <w:bodyDiv w:val="1"/>
      <w:marLeft w:val="0"/>
      <w:marRight w:val="0"/>
      <w:marTop w:val="0"/>
      <w:marBottom w:val="0"/>
      <w:divBdr>
        <w:top w:val="none" w:sz="0" w:space="0" w:color="auto"/>
        <w:left w:val="none" w:sz="0" w:space="0" w:color="auto"/>
        <w:bottom w:val="none" w:sz="0" w:space="0" w:color="auto"/>
        <w:right w:val="none" w:sz="0" w:space="0" w:color="auto"/>
      </w:divBdr>
    </w:div>
    <w:div w:id="1704865176">
      <w:bodyDiv w:val="1"/>
      <w:marLeft w:val="0"/>
      <w:marRight w:val="0"/>
      <w:marTop w:val="0"/>
      <w:marBottom w:val="0"/>
      <w:divBdr>
        <w:top w:val="none" w:sz="0" w:space="0" w:color="auto"/>
        <w:left w:val="none" w:sz="0" w:space="0" w:color="auto"/>
        <w:bottom w:val="none" w:sz="0" w:space="0" w:color="auto"/>
        <w:right w:val="none" w:sz="0" w:space="0" w:color="auto"/>
      </w:divBdr>
    </w:div>
    <w:div w:id="1712264130">
      <w:bodyDiv w:val="1"/>
      <w:marLeft w:val="0"/>
      <w:marRight w:val="0"/>
      <w:marTop w:val="0"/>
      <w:marBottom w:val="0"/>
      <w:divBdr>
        <w:top w:val="none" w:sz="0" w:space="0" w:color="auto"/>
        <w:left w:val="none" w:sz="0" w:space="0" w:color="auto"/>
        <w:bottom w:val="none" w:sz="0" w:space="0" w:color="auto"/>
        <w:right w:val="none" w:sz="0" w:space="0" w:color="auto"/>
      </w:divBdr>
    </w:div>
    <w:div w:id="1713965271">
      <w:bodyDiv w:val="1"/>
      <w:marLeft w:val="0"/>
      <w:marRight w:val="0"/>
      <w:marTop w:val="0"/>
      <w:marBottom w:val="0"/>
      <w:divBdr>
        <w:top w:val="none" w:sz="0" w:space="0" w:color="auto"/>
        <w:left w:val="none" w:sz="0" w:space="0" w:color="auto"/>
        <w:bottom w:val="none" w:sz="0" w:space="0" w:color="auto"/>
        <w:right w:val="none" w:sz="0" w:space="0" w:color="auto"/>
      </w:divBdr>
    </w:div>
    <w:div w:id="1718120810">
      <w:bodyDiv w:val="1"/>
      <w:marLeft w:val="0"/>
      <w:marRight w:val="0"/>
      <w:marTop w:val="0"/>
      <w:marBottom w:val="0"/>
      <w:divBdr>
        <w:top w:val="none" w:sz="0" w:space="0" w:color="auto"/>
        <w:left w:val="none" w:sz="0" w:space="0" w:color="auto"/>
        <w:bottom w:val="none" w:sz="0" w:space="0" w:color="auto"/>
        <w:right w:val="none" w:sz="0" w:space="0" w:color="auto"/>
      </w:divBdr>
    </w:div>
    <w:div w:id="1718160147">
      <w:bodyDiv w:val="1"/>
      <w:marLeft w:val="0"/>
      <w:marRight w:val="0"/>
      <w:marTop w:val="0"/>
      <w:marBottom w:val="0"/>
      <w:divBdr>
        <w:top w:val="none" w:sz="0" w:space="0" w:color="auto"/>
        <w:left w:val="none" w:sz="0" w:space="0" w:color="auto"/>
        <w:bottom w:val="none" w:sz="0" w:space="0" w:color="auto"/>
        <w:right w:val="none" w:sz="0" w:space="0" w:color="auto"/>
      </w:divBdr>
    </w:div>
    <w:div w:id="1718703480">
      <w:bodyDiv w:val="1"/>
      <w:marLeft w:val="0"/>
      <w:marRight w:val="0"/>
      <w:marTop w:val="0"/>
      <w:marBottom w:val="0"/>
      <w:divBdr>
        <w:top w:val="none" w:sz="0" w:space="0" w:color="auto"/>
        <w:left w:val="none" w:sz="0" w:space="0" w:color="auto"/>
        <w:bottom w:val="none" w:sz="0" w:space="0" w:color="auto"/>
        <w:right w:val="none" w:sz="0" w:space="0" w:color="auto"/>
      </w:divBdr>
    </w:div>
    <w:div w:id="1731034986">
      <w:bodyDiv w:val="1"/>
      <w:marLeft w:val="0"/>
      <w:marRight w:val="0"/>
      <w:marTop w:val="0"/>
      <w:marBottom w:val="0"/>
      <w:divBdr>
        <w:top w:val="none" w:sz="0" w:space="0" w:color="auto"/>
        <w:left w:val="none" w:sz="0" w:space="0" w:color="auto"/>
        <w:bottom w:val="none" w:sz="0" w:space="0" w:color="auto"/>
        <w:right w:val="none" w:sz="0" w:space="0" w:color="auto"/>
      </w:divBdr>
    </w:div>
    <w:div w:id="1736270494">
      <w:bodyDiv w:val="1"/>
      <w:marLeft w:val="0"/>
      <w:marRight w:val="0"/>
      <w:marTop w:val="0"/>
      <w:marBottom w:val="0"/>
      <w:divBdr>
        <w:top w:val="none" w:sz="0" w:space="0" w:color="auto"/>
        <w:left w:val="none" w:sz="0" w:space="0" w:color="auto"/>
        <w:bottom w:val="none" w:sz="0" w:space="0" w:color="auto"/>
        <w:right w:val="none" w:sz="0" w:space="0" w:color="auto"/>
      </w:divBdr>
    </w:div>
    <w:div w:id="1739209612">
      <w:bodyDiv w:val="1"/>
      <w:marLeft w:val="0"/>
      <w:marRight w:val="0"/>
      <w:marTop w:val="0"/>
      <w:marBottom w:val="0"/>
      <w:divBdr>
        <w:top w:val="none" w:sz="0" w:space="0" w:color="auto"/>
        <w:left w:val="none" w:sz="0" w:space="0" w:color="auto"/>
        <w:bottom w:val="none" w:sz="0" w:space="0" w:color="auto"/>
        <w:right w:val="none" w:sz="0" w:space="0" w:color="auto"/>
      </w:divBdr>
    </w:div>
    <w:div w:id="1766462873">
      <w:bodyDiv w:val="1"/>
      <w:marLeft w:val="0"/>
      <w:marRight w:val="0"/>
      <w:marTop w:val="0"/>
      <w:marBottom w:val="0"/>
      <w:divBdr>
        <w:top w:val="none" w:sz="0" w:space="0" w:color="auto"/>
        <w:left w:val="none" w:sz="0" w:space="0" w:color="auto"/>
        <w:bottom w:val="none" w:sz="0" w:space="0" w:color="auto"/>
        <w:right w:val="none" w:sz="0" w:space="0" w:color="auto"/>
      </w:divBdr>
    </w:div>
    <w:div w:id="1780295569">
      <w:bodyDiv w:val="1"/>
      <w:marLeft w:val="0"/>
      <w:marRight w:val="0"/>
      <w:marTop w:val="0"/>
      <w:marBottom w:val="0"/>
      <w:divBdr>
        <w:top w:val="none" w:sz="0" w:space="0" w:color="auto"/>
        <w:left w:val="none" w:sz="0" w:space="0" w:color="auto"/>
        <w:bottom w:val="none" w:sz="0" w:space="0" w:color="auto"/>
        <w:right w:val="none" w:sz="0" w:space="0" w:color="auto"/>
      </w:divBdr>
    </w:div>
    <w:div w:id="1781146062">
      <w:bodyDiv w:val="1"/>
      <w:marLeft w:val="0"/>
      <w:marRight w:val="0"/>
      <w:marTop w:val="0"/>
      <w:marBottom w:val="0"/>
      <w:divBdr>
        <w:top w:val="none" w:sz="0" w:space="0" w:color="auto"/>
        <w:left w:val="none" w:sz="0" w:space="0" w:color="auto"/>
        <w:bottom w:val="none" w:sz="0" w:space="0" w:color="auto"/>
        <w:right w:val="none" w:sz="0" w:space="0" w:color="auto"/>
      </w:divBdr>
    </w:div>
    <w:div w:id="1781683926">
      <w:bodyDiv w:val="1"/>
      <w:marLeft w:val="0"/>
      <w:marRight w:val="0"/>
      <w:marTop w:val="0"/>
      <w:marBottom w:val="0"/>
      <w:divBdr>
        <w:top w:val="none" w:sz="0" w:space="0" w:color="auto"/>
        <w:left w:val="none" w:sz="0" w:space="0" w:color="auto"/>
        <w:bottom w:val="none" w:sz="0" w:space="0" w:color="auto"/>
        <w:right w:val="none" w:sz="0" w:space="0" w:color="auto"/>
      </w:divBdr>
    </w:div>
    <w:div w:id="1783760792">
      <w:bodyDiv w:val="1"/>
      <w:marLeft w:val="0"/>
      <w:marRight w:val="0"/>
      <w:marTop w:val="0"/>
      <w:marBottom w:val="0"/>
      <w:divBdr>
        <w:top w:val="none" w:sz="0" w:space="0" w:color="auto"/>
        <w:left w:val="none" w:sz="0" w:space="0" w:color="auto"/>
        <w:bottom w:val="none" w:sz="0" w:space="0" w:color="auto"/>
        <w:right w:val="none" w:sz="0" w:space="0" w:color="auto"/>
      </w:divBdr>
    </w:div>
    <w:div w:id="1792701962">
      <w:bodyDiv w:val="1"/>
      <w:marLeft w:val="0"/>
      <w:marRight w:val="0"/>
      <w:marTop w:val="0"/>
      <w:marBottom w:val="0"/>
      <w:divBdr>
        <w:top w:val="none" w:sz="0" w:space="0" w:color="auto"/>
        <w:left w:val="none" w:sz="0" w:space="0" w:color="auto"/>
        <w:bottom w:val="none" w:sz="0" w:space="0" w:color="auto"/>
        <w:right w:val="none" w:sz="0" w:space="0" w:color="auto"/>
      </w:divBdr>
    </w:div>
    <w:div w:id="1803189745">
      <w:bodyDiv w:val="1"/>
      <w:marLeft w:val="0"/>
      <w:marRight w:val="0"/>
      <w:marTop w:val="0"/>
      <w:marBottom w:val="0"/>
      <w:divBdr>
        <w:top w:val="none" w:sz="0" w:space="0" w:color="auto"/>
        <w:left w:val="none" w:sz="0" w:space="0" w:color="auto"/>
        <w:bottom w:val="none" w:sz="0" w:space="0" w:color="auto"/>
        <w:right w:val="none" w:sz="0" w:space="0" w:color="auto"/>
      </w:divBdr>
    </w:div>
    <w:div w:id="1812749196">
      <w:bodyDiv w:val="1"/>
      <w:marLeft w:val="0"/>
      <w:marRight w:val="0"/>
      <w:marTop w:val="0"/>
      <w:marBottom w:val="0"/>
      <w:divBdr>
        <w:top w:val="none" w:sz="0" w:space="0" w:color="auto"/>
        <w:left w:val="none" w:sz="0" w:space="0" w:color="auto"/>
        <w:bottom w:val="none" w:sz="0" w:space="0" w:color="auto"/>
        <w:right w:val="none" w:sz="0" w:space="0" w:color="auto"/>
      </w:divBdr>
    </w:div>
    <w:div w:id="1817188511">
      <w:bodyDiv w:val="1"/>
      <w:marLeft w:val="0"/>
      <w:marRight w:val="0"/>
      <w:marTop w:val="0"/>
      <w:marBottom w:val="0"/>
      <w:divBdr>
        <w:top w:val="none" w:sz="0" w:space="0" w:color="auto"/>
        <w:left w:val="none" w:sz="0" w:space="0" w:color="auto"/>
        <w:bottom w:val="none" w:sz="0" w:space="0" w:color="auto"/>
        <w:right w:val="none" w:sz="0" w:space="0" w:color="auto"/>
      </w:divBdr>
    </w:div>
    <w:div w:id="1829637995">
      <w:bodyDiv w:val="1"/>
      <w:marLeft w:val="0"/>
      <w:marRight w:val="0"/>
      <w:marTop w:val="0"/>
      <w:marBottom w:val="0"/>
      <w:divBdr>
        <w:top w:val="none" w:sz="0" w:space="0" w:color="auto"/>
        <w:left w:val="none" w:sz="0" w:space="0" w:color="auto"/>
        <w:bottom w:val="none" w:sz="0" w:space="0" w:color="auto"/>
        <w:right w:val="none" w:sz="0" w:space="0" w:color="auto"/>
      </w:divBdr>
    </w:div>
    <w:div w:id="1831023716">
      <w:bodyDiv w:val="1"/>
      <w:marLeft w:val="0"/>
      <w:marRight w:val="0"/>
      <w:marTop w:val="0"/>
      <w:marBottom w:val="0"/>
      <w:divBdr>
        <w:top w:val="none" w:sz="0" w:space="0" w:color="auto"/>
        <w:left w:val="none" w:sz="0" w:space="0" w:color="auto"/>
        <w:bottom w:val="none" w:sz="0" w:space="0" w:color="auto"/>
        <w:right w:val="none" w:sz="0" w:space="0" w:color="auto"/>
      </w:divBdr>
    </w:div>
    <w:div w:id="1833983889">
      <w:bodyDiv w:val="1"/>
      <w:marLeft w:val="0"/>
      <w:marRight w:val="0"/>
      <w:marTop w:val="0"/>
      <w:marBottom w:val="0"/>
      <w:divBdr>
        <w:top w:val="none" w:sz="0" w:space="0" w:color="auto"/>
        <w:left w:val="none" w:sz="0" w:space="0" w:color="auto"/>
        <w:bottom w:val="none" w:sz="0" w:space="0" w:color="auto"/>
        <w:right w:val="none" w:sz="0" w:space="0" w:color="auto"/>
      </w:divBdr>
    </w:div>
    <w:div w:id="1852839290">
      <w:bodyDiv w:val="1"/>
      <w:marLeft w:val="0"/>
      <w:marRight w:val="0"/>
      <w:marTop w:val="0"/>
      <w:marBottom w:val="0"/>
      <w:divBdr>
        <w:top w:val="none" w:sz="0" w:space="0" w:color="auto"/>
        <w:left w:val="none" w:sz="0" w:space="0" w:color="auto"/>
        <w:bottom w:val="none" w:sz="0" w:space="0" w:color="auto"/>
        <w:right w:val="none" w:sz="0" w:space="0" w:color="auto"/>
      </w:divBdr>
    </w:div>
    <w:div w:id="1861237177">
      <w:bodyDiv w:val="1"/>
      <w:marLeft w:val="0"/>
      <w:marRight w:val="0"/>
      <w:marTop w:val="0"/>
      <w:marBottom w:val="0"/>
      <w:divBdr>
        <w:top w:val="none" w:sz="0" w:space="0" w:color="auto"/>
        <w:left w:val="none" w:sz="0" w:space="0" w:color="auto"/>
        <w:bottom w:val="none" w:sz="0" w:space="0" w:color="auto"/>
        <w:right w:val="none" w:sz="0" w:space="0" w:color="auto"/>
      </w:divBdr>
    </w:div>
    <w:div w:id="1874999990">
      <w:bodyDiv w:val="1"/>
      <w:marLeft w:val="0"/>
      <w:marRight w:val="0"/>
      <w:marTop w:val="0"/>
      <w:marBottom w:val="0"/>
      <w:divBdr>
        <w:top w:val="none" w:sz="0" w:space="0" w:color="auto"/>
        <w:left w:val="none" w:sz="0" w:space="0" w:color="auto"/>
        <w:bottom w:val="none" w:sz="0" w:space="0" w:color="auto"/>
        <w:right w:val="none" w:sz="0" w:space="0" w:color="auto"/>
      </w:divBdr>
    </w:div>
    <w:div w:id="1884559258">
      <w:bodyDiv w:val="1"/>
      <w:marLeft w:val="0"/>
      <w:marRight w:val="0"/>
      <w:marTop w:val="0"/>
      <w:marBottom w:val="0"/>
      <w:divBdr>
        <w:top w:val="none" w:sz="0" w:space="0" w:color="auto"/>
        <w:left w:val="none" w:sz="0" w:space="0" w:color="auto"/>
        <w:bottom w:val="none" w:sz="0" w:space="0" w:color="auto"/>
        <w:right w:val="none" w:sz="0" w:space="0" w:color="auto"/>
      </w:divBdr>
    </w:div>
    <w:div w:id="1898857356">
      <w:bodyDiv w:val="1"/>
      <w:marLeft w:val="0"/>
      <w:marRight w:val="0"/>
      <w:marTop w:val="0"/>
      <w:marBottom w:val="0"/>
      <w:divBdr>
        <w:top w:val="none" w:sz="0" w:space="0" w:color="auto"/>
        <w:left w:val="none" w:sz="0" w:space="0" w:color="auto"/>
        <w:bottom w:val="none" w:sz="0" w:space="0" w:color="auto"/>
        <w:right w:val="none" w:sz="0" w:space="0" w:color="auto"/>
      </w:divBdr>
    </w:div>
    <w:div w:id="1900944179">
      <w:bodyDiv w:val="1"/>
      <w:marLeft w:val="0"/>
      <w:marRight w:val="0"/>
      <w:marTop w:val="0"/>
      <w:marBottom w:val="0"/>
      <w:divBdr>
        <w:top w:val="none" w:sz="0" w:space="0" w:color="auto"/>
        <w:left w:val="none" w:sz="0" w:space="0" w:color="auto"/>
        <w:bottom w:val="none" w:sz="0" w:space="0" w:color="auto"/>
        <w:right w:val="none" w:sz="0" w:space="0" w:color="auto"/>
      </w:divBdr>
    </w:div>
    <w:div w:id="1948929839">
      <w:bodyDiv w:val="1"/>
      <w:marLeft w:val="0"/>
      <w:marRight w:val="0"/>
      <w:marTop w:val="0"/>
      <w:marBottom w:val="0"/>
      <w:divBdr>
        <w:top w:val="none" w:sz="0" w:space="0" w:color="auto"/>
        <w:left w:val="none" w:sz="0" w:space="0" w:color="auto"/>
        <w:bottom w:val="none" w:sz="0" w:space="0" w:color="auto"/>
        <w:right w:val="none" w:sz="0" w:space="0" w:color="auto"/>
      </w:divBdr>
    </w:div>
    <w:div w:id="1953054598">
      <w:bodyDiv w:val="1"/>
      <w:marLeft w:val="0"/>
      <w:marRight w:val="0"/>
      <w:marTop w:val="0"/>
      <w:marBottom w:val="0"/>
      <w:divBdr>
        <w:top w:val="none" w:sz="0" w:space="0" w:color="auto"/>
        <w:left w:val="none" w:sz="0" w:space="0" w:color="auto"/>
        <w:bottom w:val="none" w:sz="0" w:space="0" w:color="auto"/>
        <w:right w:val="none" w:sz="0" w:space="0" w:color="auto"/>
      </w:divBdr>
    </w:div>
    <w:div w:id="1959947285">
      <w:bodyDiv w:val="1"/>
      <w:marLeft w:val="0"/>
      <w:marRight w:val="0"/>
      <w:marTop w:val="0"/>
      <w:marBottom w:val="0"/>
      <w:divBdr>
        <w:top w:val="none" w:sz="0" w:space="0" w:color="auto"/>
        <w:left w:val="none" w:sz="0" w:space="0" w:color="auto"/>
        <w:bottom w:val="none" w:sz="0" w:space="0" w:color="auto"/>
        <w:right w:val="none" w:sz="0" w:space="0" w:color="auto"/>
      </w:divBdr>
    </w:div>
    <w:div w:id="1969436600">
      <w:bodyDiv w:val="1"/>
      <w:marLeft w:val="0"/>
      <w:marRight w:val="0"/>
      <w:marTop w:val="0"/>
      <w:marBottom w:val="0"/>
      <w:divBdr>
        <w:top w:val="none" w:sz="0" w:space="0" w:color="auto"/>
        <w:left w:val="none" w:sz="0" w:space="0" w:color="auto"/>
        <w:bottom w:val="none" w:sz="0" w:space="0" w:color="auto"/>
        <w:right w:val="none" w:sz="0" w:space="0" w:color="auto"/>
      </w:divBdr>
    </w:div>
    <w:div w:id="1983077402">
      <w:bodyDiv w:val="1"/>
      <w:marLeft w:val="0"/>
      <w:marRight w:val="0"/>
      <w:marTop w:val="0"/>
      <w:marBottom w:val="0"/>
      <w:divBdr>
        <w:top w:val="none" w:sz="0" w:space="0" w:color="auto"/>
        <w:left w:val="none" w:sz="0" w:space="0" w:color="auto"/>
        <w:bottom w:val="none" w:sz="0" w:space="0" w:color="auto"/>
        <w:right w:val="none" w:sz="0" w:space="0" w:color="auto"/>
      </w:divBdr>
    </w:div>
    <w:div w:id="1984000410">
      <w:bodyDiv w:val="1"/>
      <w:marLeft w:val="0"/>
      <w:marRight w:val="0"/>
      <w:marTop w:val="0"/>
      <w:marBottom w:val="0"/>
      <w:divBdr>
        <w:top w:val="none" w:sz="0" w:space="0" w:color="auto"/>
        <w:left w:val="none" w:sz="0" w:space="0" w:color="auto"/>
        <w:bottom w:val="none" w:sz="0" w:space="0" w:color="auto"/>
        <w:right w:val="none" w:sz="0" w:space="0" w:color="auto"/>
      </w:divBdr>
    </w:div>
    <w:div w:id="1988513408">
      <w:bodyDiv w:val="1"/>
      <w:marLeft w:val="0"/>
      <w:marRight w:val="0"/>
      <w:marTop w:val="0"/>
      <w:marBottom w:val="0"/>
      <w:divBdr>
        <w:top w:val="none" w:sz="0" w:space="0" w:color="auto"/>
        <w:left w:val="none" w:sz="0" w:space="0" w:color="auto"/>
        <w:bottom w:val="none" w:sz="0" w:space="0" w:color="auto"/>
        <w:right w:val="none" w:sz="0" w:space="0" w:color="auto"/>
      </w:divBdr>
    </w:div>
    <w:div w:id="1988783571">
      <w:bodyDiv w:val="1"/>
      <w:marLeft w:val="0"/>
      <w:marRight w:val="0"/>
      <w:marTop w:val="0"/>
      <w:marBottom w:val="0"/>
      <w:divBdr>
        <w:top w:val="none" w:sz="0" w:space="0" w:color="auto"/>
        <w:left w:val="none" w:sz="0" w:space="0" w:color="auto"/>
        <w:bottom w:val="none" w:sz="0" w:space="0" w:color="auto"/>
        <w:right w:val="none" w:sz="0" w:space="0" w:color="auto"/>
      </w:divBdr>
    </w:div>
    <w:div w:id="1990478967">
      <w:bodyDiv w:val="1"/>
      <w:marLeft w:val="0"/>
      <w:marRight w:val="0"/>
      <w:marTop w:val="0"/>
      <w:marBottom w:val="0"/>
      <w:divBdr>
        <w:top w:val="none" w:sz="0" w:space="0" w:color="auto"/>
        <w:left w:val="none" w:sz="0" w:space="0" w:color="auto"/>
        <w:bottom w:val="none" w:sz="0" w:space="0" w:color="auto"/>
        <w:right w:val="none" w:sz="0" w:space="0" w:color="auto"/>
      </w:divBdr>
    </w:div>
    <w:div w:id="1998147027">
      <w:bodyDiv w:val="1"/>
      <w:marLeft w:val="0"/>
      <w:marRight w:val="0"/>
      <w:marTop w:val="0"/>
      <w:marBottom w:val="0"/>
      <w:divBdr>
        <w:top w:val="none" w:sz="0" w:space="0" w:color="auto"/>
        <w:left w:val="none" w:sz="0" w:space="0" w:color="auto"/>
        <w:bottom w:val="none" w:sz="0" w:space="0" w:color="auto"/>
        <w:right w:val="none" w:sz="0" w:space="0" w:color="auto"/>
      </w:divBdr>
    </w:div>
    <w:div w:id="2003895634">
      <w:bodyDiv w:val="1"/>
      <w:marLeft w:val="0"/>
      <w:marRight w:val="0"/>
      <w:marTop w:val="0"/>
      <w:marBottom w:val="0"/>
      <w:divBdr>
        <w:top w:val="none" w:sz="0" w:space="0" w:color="auto"/>
        <w:left w:val="none" w:sz="0" w:space="0" w:color="auto"/>
        <w:bottom w:val="none" w:sz="0" w:space="0" w:color="auto"/>
        <w:right w:val="none" w:sz="0" w:space="0" w:color="auto"/>
      </w:divBdr>
    </w:div>
    <w:div w:id="2026780199">
      <w:bodyDiv w:val="1"/>
      <w:marLeft w:val="0"/>
      <w:marRight w:val="0"/>
      <w:marTop w:val="0"/>
      <w:marBottom w:val="0"/>
      <w:divBdr>
        <w:top w:val="none" w:sz="0" w:space="0" w:color="auto"/>
        <w:left w:val="none" w:sz="0" w:space="0" w:color="auto"/>
        <w:bottom w:val="none" w:sz="0" w:space="0" w:color="auto"/>
        <w:right w:val="none" w:sz="0" w:space="0" w:color="auto"/>
      </w:divBdr>
    </w:div>
    <w:div w:id="2026977791">
      <w:bodyDiv w:val="1"/>
      <w:marLeft w:val="0"/>
      <w:marRight w:val="0"/>
      <w:marTop w:val="0"/>
      <w:marBottom w:val="0"/>
      <w:divBdr>
        <w:top w:val="none" w:sz="0" w:space="0" w:color="auto"/>
        <w:left w:val="none" w:sz="0" w:space="0" w:color="auto"/>
        <w:bottom w:val="none" w:sz="0" w:space="0" w:color="auto"/>
        <w:right w:val="none" w:sz="0" w:space="0" w:color="auto"/>
      </w:divBdr>
    </w:div>
    <w:div w:id="2031644315">
      <w:bodyDiv w:val="1"/>
      <w:marLeft w:val="0"/>
      <w:marRight w:val="0"/>
      <w:marTop w:val="0"/>
      <w:marBottom w:val="0"/>
      <w:divBdr>
        <w:top w:val="none" w:sz="0" w:space="0" w:color="auto"/>
        <w:left w:val="none" w:sz="0" w:space="0" w:color="auto"/>
        <w:bottom w:val="none" w:sz="0" w:space="0" w:color="auto"/>
        <w:right w:val="none" w:sz="0" w:space="0" w:color="auto"/>
      </w:divBdr>
    </w:div>
    <w:div w:id="2034961783">
      <w:bodyDiv w:val="1"/>
      <w:marLeft w:val="0"/>
      <w:marRight w:val="0"/>
      <w:marTop w:val="0"/>
      <w:marBottom w:val="0"/>
      <w:divBdr>
        <w:top w:val="none" w:sz="0" w:space="0" w:color="auto"/>
        <w:left w:val="none" w:sz="0" w:space="0" w:color="auto"/>
        <w:bottom w:val="none" w:sz="0" w:space="0" w:color="auto"/>
        <w:right w:val="none" w:sz="0" w:space="0" w:color="auto"/>
      </w:divBdr>
    </w:div>
    <w:div w:id="2046520104">
      <w:bodyDiv w:val="1"/>
      <w:marLeft w:val="0"/>
      <w:marRight w:val="0"/>
      <w:marTop w:val="0"/>
      <w:marBottom w:val="0"/>
      <w:divBdr>
        <w:top w:val="none" w:sz="0" w:space="0" w:color="auto"/>
        <w:left w:val="none" w:sz="0" w:space="0" w:color="auto"/>
        <w:bottom w:val="none" w:sz="0" w:space="0" w:color="auto"/>
        <w:right w:val="none" w:sz="0" w:space="0" w:color="auto"/>
      </w:divBdr>
    </w:div>
    <w:div w:id="2046828705">
      <w:bodyDiv w:val="1"/>
      <w:marLeft w:val="0"/>
      <w:marRight w:val="0"/>
      <w:marTop w:val="0"/>
      <w:marBottom w:val="0"/>
      <w:divBdr>
        <w:top w:val="none" w:sz="0" w:space="0" w:color="auto"/>
        <w:left w:val="none" w:sz="0" w:space="0" w:color="auto"/>
        <w:bottom w:val="none" w:sz="0" w:space="0" w:color="auto"/>
        <w:right w:val="none" w:sz="0" w:space="0" w:color="auto"/>
      </w:divBdr>
    </w:div>
    <w:div w:id="2049721177">
      <w:bodyDiv w:val="1"/>
      <w:marLeft w:val="0"/>
      <w:marRight w:val="0"/>
      <w:marTop w:val="0"/>
      <w:marBottom w:val="0"/>
      <w:divBdr>
        <w:top w:val="none" w:sz="0" w:space="0" w:color="auto"/>
        <w:left w:val="none" w:sz="0" w:space="0" w:color="auto"/>
        <w:bottom w:val="none" w:sz="0" w:space="0" w:color="auto"/>
        <w:right w:val="none" w:sz="0" w:space="0" w:color="auto"/>
      </w:divBdr>
    </w:div>
    <w:div w:id="2073192575">
      <w:bodyDiv w:val="1"/>
      <w:marLeft w:val="0"/>
      <w:marRight w:val="0"/>
      <w:marTop w:val="0"/>
      <w:marBottom w:val="0"/>
      <w:divBdr>
        <w:top w:val="none" w:sz="0" w:space="0" w:color="auto"/>
        <w:left w:val="none" w:sz="0" w:space="0" w:color="auto"/>
        <w:bottom w:val="none" w:sz="0" w:space="0" w:color="auto"/>
        <w:right w:val="none" w:sz="0" w:space="0" w:color="auto"/>
      </w:divBdr>
    </w:div>
    <w:div w:id="2073893568">
      <w:bodyDiv w:val="1"/>
      <w:marLeft w:val="0"/>
      <w:marRight w:val="0"/>
      <w:marTop w:val="0"/>
      <w:marBottom w:val="0"/>
      <w:divBdr>
        <w:top w:val="none" w:sz="0" w:space="0" w:color="auto"/>
        <w:left w:val="none" w:sz="0" w:space="0" w:color="auto"/>
        <w:bottom w:val="none" w:sz="0" w:space="0" w:color="auto"/>
        <w:right w:val="none" w:sz="0" w:space="0" w:color="auto"/>
      </w:divBdr>
    </w:div>
    <w:div w:id="2076005362">
      <w:bodyDiv w:val="1"/>
      <w:marLeft w:val="0"/>
      <w:marRight w:val="0"/>
      <w:marTop w:val="0"/>
      <w:marBottom w:val="0"/>
      <w:divBdr>
        <w:top w:val="none" w:sz="0" w:space="0" w:color="auto"/>
        <w:left w:val="none" w:sz="0" w:space="0" w:color="auto"/>
        <w:bottom w:val="none" w:sz="0" w:space="0" w:color="auto"/>
        <w:right w:val="none" w:sz="0" w:space="0" w:color="auto"/>
      </w:divBdr>
    </w:div>
    <w:div w:id="2077312328">
      <w:bodyDiv w:val="1"/>
      <w:marLeft w:val="0"/>
      <w:marRight w:val="0"/>
      <w:marTop w:val="0"/>
      <w:marBottom w:val="0"/>
      <w:divBdr>
        <w:top w:val="none" w:sz="0" w:space="0" w:color="auto"/>
        <w:left w:val="none" w:sz="0" w:space="0" w:color="auto"/>
        <w:bottom w:val="none" w:sz="0" w:space="0" w:color="auto"/>
        <w:right w:val="none" w:sz="0" w:space="0" w:color="auto"/>
      </w:divBdr>
    </w:div>
    <w:div w:id="2079470539">
      <w:bodyDiv w:val="1"/>
      <w:marLeft w:val="0"/>
      <w:marRight w:val="0"/>
      <w:marTop w:val="0"/>
      <w:marBottom w:val="0"/>
      <w:divBdr>
        <w:top w:val="none" w:sz="0" w:space="0" w:color="auto"/>
        <w:left w:val="none" w:sz="0" w:space="0" w:color="auto"/>
        <w:bottom w:val="none" w:sz="0" w:space="0" w:color="auto"/>
        <w:right w:val="none" w:sz="0" w:space="0" w:color="auto"/>
      </w:divBdr>
    </w:div>
    <w:div w:id="2088572778">
      <w:bodyDiv w:val="1"/>
      <w:marLeft w:val="0"/>
      <w:marRight w:val="0"/>
      <w:marTop w:val="0"/>
      <w:marBottom w:val="0"/>
      <w:divBdr>
        <w:top w:val="none" w:sz="0" w:space="0" w:color="auto"/>
        <w:left w:val="none" w:sz="0" w:space="0" w:color="auto"/>
        <w:bottom w:val="none" w:sz="0" w:space="0" w:color="auto"/>
        <w:right w:val="none" w:sz="0" w:space="0" w:color="auto"/>
      </w:divBdr>
    </w:div>
    <w:div w:id="2092385454">
      <w:bodyDiv w:val="1"/>
      <w:marLeft w:val="0"/>
      <w:marRight w:val="0"/>
      <w:marTop w:val="0"/>
      <w:marBottom w:val="0"/>
      <w:divBdr>
        <w:top w:val="none" w:sz="0" w:space="0" w:color="auto"/>
        <w:left w:val="none" w:sz="0" w:space="0" w:color="auto"/>
        <w:bottom w:val="none" w:sz="0" w:space="0" w:color="auto"/>
        <w:right w:val="none" w:sz="0" w:space="0" w:color="auto"/>
      </w:divBdr>
    </w:div>
    <w:div w:id="2101025669">
      <w:bodyDiv w:val="1"/>
      <w:marLeft w:val="0"/>
      <w:marRight w:val="0"/>
      <w:marTop w:val="0"/>
      <w:marBottom w:val="0"/>
      <w:divBdr>
        <w:top w:val="none" w:sz="0" w:space="0" w:color="auto"/>
        <w:left w:val="none" w:sz="0" w:space="0" w:color="auto"/>
        <w:bottom w:val="none" w:sz="0" w:space="0" w:color="auto"/>
        <w:right w:val="none" w:sz="0" w:space="0" w:color="auto"/>
      </w:divBdr>
    </w:div>
    <w:div w:id="2104642509">
      <w:bodyDiv w:val="1"/>
      <w:marLeft w:val="0"/>
      <w:marRight w:val="0"/>
      <w:marTop w:val="0"/>
      <w:marBottom w:val="0"/>
      <w:divBdr>
        <w:top w:val="none" w:sz="0" w:space="0" w:color="auto"/>
        <w:left w:val="none" w:sz="0" w:space="0" w:color="auto"/>
        <w:bottom w:val="none" w:sz="0" w:space="0" w:color="auto"/>
        <w:right w:val="none" w:sz="0" w:space="0" w:color="auto"/>
      </w:divBdr>
    </w:div>
    <w:div w:id="2108306901">
      <w:bodyDiv w:val="1"/>
      <w:marLeft w:val="0"/>
      <w:marRight w:val="0"/>
      <w:marTop w:val="0"/>
      <w:marBottom w:val="0"/>
      <w:divBdr>
        <w:top w:val="none" w:sz="0" w:space="0" w:color="auto"/>
        <w:left w:val="none" w:sz="0" w:space="0" w:color="auto"/>
        <w:bottom w:val="none" w:sz="0" w:space="0" w:color="auto"/>
        <w:right w:val="none" w:sz="0" w:space="0" w:color="auto"/>
      </w:divBdr>
    </w:div>
    <w:div w:id="2110467058">
      <w:bodyDiv w:val="1"/>
      <w:marLeft w:val="0"/>
      <w:marRight w:val="0"/>
      <w:marTop w:val="0"/>
      <w:marBottom w:val="0"/>
      <w:divBdr>
        <w:top w:val="none" w:sz="0" w:space="0" w:color="auto"/>
        <w:left w:val="none" w:sz="0" w:space="0" w:color="auto"/>
        <w:bottom w:val="none" w:sz="0" w:space="0" w:color="auto"/>
        <w:right w:val="none" w:sz="0" w:space="0" w:color="auto"/>
      </w:divBdr>
    </w:div>
    <w:div w:id="2110929047">
      <w:bodyDiv w:val="1"/>
      <w:marLeft w:val="0"/>
      <w:marRight w:val="0"/>
      <w:marTop w:val="0"/>
      <w:marBottom w:val="0"/>
      <w:divBdr>
        <w:top w:val="none" w:sz="0" w:space="0" w:color="auto"/>
        <w:left w:val="none" w:sz="0" w:space="0" w:color="auto"/>
        <w:bottom w:val="none" w:sz="0" w:space="0" w:color="auto"/>
        <w:right w:val="none" w:sz="0" w:space="0" w:color="auto"/>
      </w:divBdr>
    </w:div>
    <w:div w:id="2114590248">
      <w:bodyDiv w:val="1"/>
      <w:marLeft w:val="0"/>
      <w:marRight w:val="0"/>
      <w:marTop w:val="0"/>
      <w:marBottom w:val="0"/>
      <w:divBdr>
        <w:top w:val="none" w:sz="0" w:space="0" w:color="auto"/>
        <w:left w:val="none" w:sz="0" w:space="0" w:color="auto"/>
        <w:bottom w:val="none" w:sz="0" w:space="0" w:color="auto"/>
        <w:right w:val="none" w:sz="0" w:space="0" w:color="auto"/>
      </w:divBdr>
    </w:div>
    <w:div w:id="2120831943">
      <w:bodyDiv w:val="1"/>
      <w:marLeft w:val="0"/>
      <w:marRight w:val="0"/>
      <w:marTop w:val="0"/>
      <w:marBottom w:val="0"/>
      <w:divBdr>
        <w:top w:val="none" w:sz="0" w:space="0" w:color="auto"/>
        <w:left w:val="none" w:sz="0" w:space="0" w:color="auto"/>
        <w:bottom w:val="none" w:sz="0" w:space="0" w:color="auto"/>
        <w:right w:val="none" w:sz="0" w:space="0" w:color="auto"/>
      </w:divBdr>
    </w:div>
    <w:div w:id="2128622755">
      <w:bodyDiv w:val="1"/>
      <w:marLeft w:val="0"/>
      <w:marRight w:val="0"/>
      <w:marTop w:val="0"/>
      <w:marBottom w:val="0"/>
      <w:divBdr>
        <w:top w:val="none" w:sz="0" w:space="0" w:color="auto"/>
        <w:left w:val="none" w:sz="0" w:space="0" w:color="auto"/>
        <w:bottom w:val="none" w:sz="0" w:space="0" w:color="auto"/>
        <w:right w:val="none" w:sz="0" w:space="0" w:color="auto"/>
      </w:divBdr>
    </w:div>
    <w:div w:id="2142765242">
      <w:bodyDiv w:val="1"/>
      <w:marLeft w:val="0"/>
      <w:marRight w:val="0"/>
      <w:marTop w:val="0"/>
      <w:marBottom w:val="0"/>
      <w:divBdr>
        <w:top w:val="none" w:sz="0" w:space="0" w:color="auto"/>
        <w:left w:val="none" w:sz="0" w:space="0" w:color="auto"/>
        <w:bottom w:val="none" w:sz="0" w:space="0" w:color="auto"/>
        <w:right w:val="none" w:sz="0" w:space="0" w:color="auto"/>
      </w:divBdr>
    </w:div>
    <w:div w:id="214696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header" Target="header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theme" Target="theme/theme1.xml"/><Relationship Id="rId20" Type="http://schemas.openxmlformats.org/officeDocument/2006/relationships/image" Target="media/image13.emf"/><Relationship Id="rId41" Type="http://schemas.openxmlformats.org/officeDocument/2006/relationships/image" Target="media/image34.emf"/></Relationships>
</file>

<file path=word/theme/_rels/theme1.xml.rels><?xml version="1.0" encoding="UTF-8" standalone="yes"?>
<Relationships xmlns="http://schemas.openxmlformats.org/package/2006/relationships"><Relationship Id="rId2" Type="http://schemas.openxmlformats.org/officeDocument/2006/relationships/image" Target="../media/image37.jpeg"/><Relationship Id="rId1" Type="http://schemas.openxmlformats.org/officeDocument/2006/relationships/image" Target="../media/image36.jpeg"/></Relationships>
</file>

<file path=word/theme/theme1.xml><?xml version="1.0" encoding="utf-8"?>
<a:theme xmlns:a="http://schemas.openxmlformats.org/drawingml/2006/main" name="Viajes">
  <a:themeElements>
    <a:clrScheme name="Viajes">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Viajes">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Viajes">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blipFill>
          <a:blip xmlns:r="http://schemas.openxmlformats.org/officeDocument/2006/relationships" r:embed="rId1">
            <a:duotone>
              <a:schemeClr val="phClr">
                <a:shade val="90000"/>
                <a:satMod val="150000"/>
              </a:schemeClr>
              <a:schemeClr val="phClr">
                <a:tint val="88000"/>
                <a:satMod val="105000"/>
              </a:schemeClr>
            </a:duotone>
          </a:blip>
          <a:tile tx="0" ty="0" sx="95000" sy="95000" flip="none" algn="t"/>
        </a:blipFill>
        <a:blipFill>
          <a:blip xmlns:r="http://schemas.openxmlformats.org/officeDocument/2006/relationships" r:embed="rId2">
            <a:duotone>
              <a:schemeClr val="phClr">
                <a:shade val="30000"/>
                <a:satMod val="455000"/>
              </a:schemeClr>
              <a:schemeClr val="phClr">
                <a:tint val="95000"/>
                <a:satMod val="120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DD4E4-75D7-4A6F-BB26-315730D49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23582</Words>
  <Characters>129705</Characters>
  <Application>Microsoft Office Word</Application>
  <DocSecurity>0</DocSecurity>
  <Lines>1080</Lines>
  <Paragraphs>305</Paragraphs>
  <ScaleCrop>false</ScaleCrop>
  <HeadingPairs>
    <vt:vector size="2" baseType="variant">
      <vt:variant>
        <vt:lpstr>Título</vt:lpstr>
      </vt:variant>
      <vt:variant>
        <vt:i4>1</vt:i4>
      </vt:variant>
    </vt:vector>
  </HeadingPairs>
  <TitlesOfParts>
    <vt:vector size="1" baseType="lpstr">
      <vt:lpstr>NOTAS EXPLICATIVAS A LOS ESTADOS FINANCIEROS A FECHA DE CORTE DICIEMBRE 31 DE 2003</vt:lpstr>
    </vt:vector>
  </TitlesOfParts>
  <Company>Microosft</Company>
  <LinksUpToDate>false</LinksUpToDate>
  <CharactersWithSpaces>152982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 A LOS ESTADOS FINANCIEROS A FECHA DE CORTE DICIEMBRE 31 DE 2003</dc:title>
  <dc:creator>Mivargas</dc:creator>
  <cp:lastModifiedBy>Lida Marjorie Rodriguez Suarez</cp:lastModifiedBy>
  <cp:revision>3</cp:revision>
  <cp:lastPrinted>2016-02-29T22:13:00Z</cp:lastPrinted>
  <dcterms:created xsi:type="dcterms:W3CDTF">2016-03-01T19:43:00Z</dcterms:created>
  <dcterms:modified xsi:type="dcterms:W3CDTF">2016-03-01T19:43:00Z</dcterms:modified>
</cp:coreProperties>
</file>