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4B7" w:rsidRDefault="002B74B7">
      <w:pPr>
        <w:pStyle w:val="Standard"/>
        <w:jc w:val="both"/>
      </w:pPr>
    </w:p>
    <w:p w:rsidR="002B74B7" w:rsidRDefault="00000000">
      <w:pPr>
        <w:widowControl/>
        <w:autoSpaceDE w:val="0"/>
        <w:jc w:val="center"/>
      </w:pPr>
      <w:r>
        <w:rPr>
          <w:rFonts w:ascii="Work Sans" w:eastAsia="DengXian Light" w:hAnsi="Work Sans" w:cs="Arial"/>
          <w:b/>
          <w:bCs/>
          <w:color w:val="000000"/>
          <w:sz w:val="20"/>
          <w:szCs w:val="20"/>
          <w:lang w:bidi="ar-SA"/>
        </w:rPr>
        <w:t>EL MINISTRO DE TRANSPORTE</w:t>
      </w:r>
    </w:p>
    <w:p w:rsidR="002B74B7" w:rsidRDefault="002B74B7">
      <w:pPr>
        <w:widowControl/>
        <w:ind w:right="40"/>
        <w:jc w:val="center"/>
        <w:textAlignment w:val="auto"/>
        <w:rPr>
          <w:rFonts w:ascii="Work Sans" w:hAnsi="Work Sans" w:cs="Arial"/>
          <w:color w:val="000000"/>
          <w:sz w:val="20"/>
          <w:szCs w:val="20"/>
          <w:lang w:bidi="ar-SA"/>
        </w:rPr>
      </w:pPr>
    </w:p>
    <w:p w:rsidR="002B74B7" w:rsidRDefault="00000000">
      <w:pPr>
        <w:widowControl/>
        <w:ind w:right="40"/>
        <w:jc w:val="both"/>
        <w:textAlignment w:val="auto"/>
        <w:rPr>
          <w:rFonts w:ascii="Work Sans" w:hAnsi="Work Sans" w:cs="Arial"/>
          <w:color w:val="000000"/>
          <w:sz w:val="20"/>
          <w:szCs w:val="20"/>
          <w:lang w:bidi="ar-SA"/>
        </w:rPr>
      </w:pPr>
      <w:r>
        <w:rPr>
          <w:rFonts w:ascii="Work Sans" w:hAnsi="Work Sans" w:cs="Arial"/>
          <w:color w:val="000000"/>
          <w:sz w:val="20"/>
          <w:szCs w:val="20"/>
          <w:lang w:bidi="ar-SA"/>
        </w:rPr>
        <w:t>En ejercicio de las facultades legales y en especial las conferidas por el artículo 21 de la Ley 105 de 1993 modificado parcialmente por el artículo 1 de la Ley 787 de 2002, numeral 6.15 del artículo 6 del Decreto 087 de 2011, y</w:t>
      </w:r>
    </w:p>
    <w:p w:rsidR="002B74B7" w:rsidRDefault="002B74B7">
      <w:pPr>
        <w:widowControl/>
        <w:autoSpaceDE w:val="0"/>
        <w:jc w:val="center"/>
        <w:rPr>
          <w:rFonts w:ascii="Work Sans" w:eastAsia="DengXian Light" w:hAnsi="Work Sans" w:cs="Arial"/>
          <w:b/>
          <w:bCs/>
          <w:color w:val="000000"/>
          <w:sz w:val="20"/>
          <w:szCs w:val="20"/>
          <w:lang w:bidi="ar-SA"/>
        </w:rPr>
      </w:pPr>
    </w:p>
    <w:p w:rsidR="002B74B7" w:rsidRDefault="00000000">
      <w:pPr>
        <w:widowControl/>
        <w:autoSpaceDE w:val="0"/>
        <w:jc w:val="center"/>
        <w:rPr>
          <w:rFonts w:ascii="Work Sans" w:eastAsia="DengXian Light" w:hAnsi="Work Sans" w:cs="Arial"/>
          <w:b/>
          <w:bCs/>
          <w:color w:val="000000"/>
          <w:sz w:val="20"/>
          <w:szCs w:val="20"/>
          <w:lang w:bidi="ar-SA"/>
        </w:rPr>
      </w:pPr>
      <w:r>
        <w:rPr>
          <w:rFonts w:ascii="Work Sans" w:eastAsia="DengXian Light" w:hAnsi="Work Sans" w:cs="Arial"/>
          <w:b/>
          <w:bCs/>
          <w:color w:val="000000"/>
          <w:sz w:val="20"/>
          <w:szCs w:val="20"/>
          <w:lang w:bidi="ar-SA"/>
        </w:rPr>
        <w:t>CONSIDERANDO</w:t>
      </w:r>
    </w:p>
    <w:p w:rsidR="002B74B7" w:rsidRDefault="002B74B7">
      <w:pPr>
        <w:widowControl/>
        <w:autoSpaceDE w:val="0"/>
        <w:jc w:val="center"/>
        <w:rPr>
          <w:rFonts w:ascii="Work Sans" w:eastAsia="DengXian Light" w:hAnsi="Work Sans" w:cs="Arial"/>
          <w:b/>
          <w:bCs/>
          <w:color w:val="000000"/>
          <w:sz w:val="20"/>
          <w:szCs w:val="20"/>
          <w:lang w:bidi="ar-SA"/>
        </w:rPr>
      </w:pPr>
    </w:p>
    <w:p w:rsidR="002B74B7" w:rsidRDefault="00000000">
      <w:pPr>
        <w:widowControl/>
        <w:tabs>
          <w:tab w:val="left" w:pos="0"/>
        </w:tabs>
        <w:jc w:val="both"/>
        <w:textAlignment w:val="auto"/>
      </w:pPr>
      <w:r>
        <w:rPr>
          <w:rFonts w:ascii="Work Sans" w:eastAsia="DengXian Light" w:hAnsi="Work Sans" w:cs="Arial"/>
          <w:color w:val="000000"/>
          <w:kern w:val="0"/>
          <w:sz w:val="20"/>
          <w:szCs w:val="20"/>
          <w:lang w:val="es" w:eastAsia="es-ES" w:bidi="ar-SA"/>
        </w:rPr>
        <w:t xml:space="preserve">Que la Ley 105 de 1993: </w:t>
      </w:r>
      <w:r>
        <w:rPr>
          <w:rFonts w:ascii="Work Sans" w:eastAsia="DengXian Light" w:hAnsi="Work Sans" w:cs="Arial"/>
          <w:i/>
          <w:color w:val="000000"/>
          <w:kern w:val="0"/>
          <w:sz w:val="20"/>
          <w:szCs w:val="20"/>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eastAsia="DengXian Light" w:hAnsi="Work Sans" w:cs="Arial"/>
          <w:color w:val="000000"/>
          <w:kern w:val="0"/>
          <w:sz w:val="20"/>
          <w:szCs w:val="20"/>
          <w:lang w:val="es" w:eastAsia="es-ES" w:bidi="ar-SA"/>
        </w:rPr>
        <w:t xml:space="preserve"> en su artículo 21 </w:t>
      </w:r>
      <w:r>
        <w:rPr>
          <w:rFonts w:ascii="Work Sans" w:hAnsi="Work Sans" w:cs="Arial"/>
          <w:color w:val="000000"/>
          <w:sz w:val="20"/>
          <w:szCs w:val="20"/>
          <w:lang w:bidi="ar-SA"/>
        </w:rPr>
        <w:t xml:space="preserve">modificado por el artículo 1° de la </w:t>
      </w:r>
      <w:hyperlink r:id="rId7" w:tooltip="Haga clic para abrir TODA la Ley 787 de 2002" w:history="1">
        <w:r>
          <w:rPr>
            <w:rFonts w:ascii="Work Sans" w:hAnsi="Work Sans" w:cs="Arial"/>
            <w:color w:val="000000"/>
            <w:sz w:val="20"/>
            <w:szCs w:val="20"/>
            <w:lang w:bidi="ar-SA"/>
          </w:rPr>
          <w:t>Ley 787 de 2002</w:t>
        </w:r>
      </w:hyperlink>
      <w:r>
        <w:rPr>
          <w:rFonts w:ascii="Work Sans" w:hAnsi="Work Sans" w:cs="Arial"/>
          <w:color w:val="000000"/>
          <w:sz w:val="20"/>
          <w:szCs w:val="20"/>
          <w:lang w:bidi="ar-SA"/>
        </w:rPr>
        <w:t xml:space="preserve">, </w:t>
      </w:r>
      <w:r>
        <w:rPr>
          <w:rFonts w:ascii="Work Sans" w:eastAsia="DengXian Light" w:hAnsi="Work Sans" w:cs="Arial"/>
          <w:color w:val="000000"/>
          <w:kern w:val="0"/>
          <w:sz w:val="20"/>
          <w:szCs w:val="20"/>
          <w:lang w:val="es" w:eastAsia="es-ES" w:bidi="ar-SA"/>
        </w:rPr>
        <w:t>establece en cuanto a tasas, tarifas y peajes</w:t>
      </w:r>
      <w:r>
        <w:rPr>
          <w:rFonts w:ascii="Work Sans" w:eastAsia="DengXian Light" w:hAnsi="Work Sans" w:cs="Arial"/>
          <w:iCs/>
          <w:color w:val="000000"/>
          <w:sz w:val="20"/>
          <w:szCs w:val="20"/>
        </w:rPr>
        <w:t xml:space="preserve"> en la infraestructura de transporte a cargo de la Nación, lo siguiente</w:t>
      </w:r>
      <w:r>
        <w:rPr>
          <w:rFonts w:ascii="Work Sans" w:eastAsia="DengXian Light" w:hAnsi="Work Sans" w:cs="Arial"/>
          <w:color w:val="000000"/>
          <w:kern w:val="0"/>
          <w:sz w:val="20"/>
          <w:szCs w:val="20"/>
          <w:lang w:val="es" w:eastAsia="es-ES" w:bidi="ar-SA"/>
        </w:rPr>
        <w:t>:</w:t>
      </w:r>
    </w:p>
    <w:p w:rsidR="002B74B7" w:rsidRDefault="002B74B7">
      <w:pPr>
        <w:widowControl/>
        <w:tabs>
          <w:tab w:val="left" w:pos="0"/>
        </w:tabs>
        <w:jc w:val="both"/>
        <w:textAlignment w:val="auto"/>
        <w:rPr>
          <w:rFonts w:ascii="Work Sans" w:eastAsia="DengXian Light" w:hAnsi="Work Sans" w:cs="Arial"/>
          <w:color w:val="000000"/>
          <w:kern w:val="0"/>
          <w:sz w:val="20"/>
          <w:szCs w:val="20"/>
          <w:lang w:val="es" w:eastAsia="es-ES" w:bidi="ar-SA"/>
        </w:rPr>
      </w:pPr>
    </w:p>
    <w:p w:rsidR="002B74B7" w:rsidRDefault="00000000">
      <w:pPr>
        <w:tabs>
          <w:tab w:val="left" w:pos="8222"/>
        </w:tabs>
        <w:ind w:left="426" w:right="616"/>
        <w:jc w:val="both"/>
      </w:pPr>
      <w:r>
        <w:rPr>
          <w:rFonts w:ascii="Work Sans" w:eastAsia="DengXian Light" w:hAnsi="Work Sans" w:cs="Arial"/>
          <w:i/>
          <w:color w:val="000000"/>
          <w:kern w:val="0"/>
          <w:sz w:val="18"/>
          <w:szCs w:val="18"/>
          <w:lang w:val="es" w:eastAsia="es-ES" w:bidi="ar-SA"/>
        </w:rPr>
        <w:t xml:space="preserve">“Artículo 21. </w:t>
      </w:r>
      <w:r>
        <w:rPr>
          <w:rFonts w:ascii="Work Sans" w:eastAsia="DengXian Light" w:hAnsi="Work Sans" w:cs="Arial"/>
          <w:i/>
          <w:iCs/>
          <w:color w:val="000000"/>
          <w:sz w:val="18"/>
          <w:szCs w:val="18"/>
        </w:rPr>
        <w:t>Tasas, tarifas y peajes en la infraestructura de transporte a cargo de la Nación.</w:t>
      </w:r>
      <w:r>
        <w:rPr>
          <w:rFonts w:ascii="Work Sans" w:eastAsia="DengXian Light" w:hAnsi="Work Sans" w:cs="Arial"/>
          <w:i/>
          <w:color w:val="000000"/>
          <w:sz w:val="18"/>
          <w:szCs w:val="18"/>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2B74B7" w:rsidRDefault="002B74B7">
      <w:pPr>
        <w:tabs>
          <w:tab w:val="left" w:pos="8222"/>
        </w:tabs>
        <w:ind w:left="426" w:right="616"/>
        <w:jc w:val="both"/>
        <w:rPr>
          <w:rFonts w:ascii="Work Sans" w:eastAsia="DengXian Light" w:hAnsi="Work Sans" w:cs="Arial"/>
          <w:i/>
          <w:color w:val="000000"/>
          <w:sz w:val="18"/>
          <w:szCs w:val="18"/>
        </w:rPr>
      </w:pP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estos efectos, la Nación establecerá peajes, tarifas y tasas sobre el uso de la infraestructura nacional de transporte y los recursos provenientes de su cobro se usarán exclusivamente para ese modo de transporte.</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Todos los servicios que la Nación o sus entidades descentralizadas presten a los usuarios accesoriamente a la utilización de la infraestructura Nacional de Transporte, estarán sujetos al cobro de tasas o tarifas.</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la fijación y cobro de tasas, tarifas y peajes, se observarán los siguientes principios:</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a) Los ingresos provenientes de la utilización de la infraestructura de transporte, deberán garantizar su adecuado mantenimiento, operación y desarrollo;</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pPr>
      <w:r>
        <w:rPr>
          <w:rFonts w:ascii="Work Sans" w:eastAsia="DengXian Light" w:hAnsi="Work Sans" w:cs="Arial"/>
          <w:i/>
          <w:color w:val="000000"/>
          <w:sz w:val="18"/>
          <w:szCs w:val="18"/>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Pr>
          <w:rFonts w:ascii="Work Sans" w:eastAsia="DengXian Light" w:hAnsi="Work Sans"/>
          <w:i/>
          <w:color w:val="000000"/>
          <w:sz w:val="18"/>
          <w:szCs w:val="18"/>
        </w:rPr>
        <w:t>Inpec</w:t>
      </w:r>
      <w:proofErr w:type="spellEnd"/>
      <w:r>
        <w:rPr>
          <w:rFonts w:ascii="Work Sans" w:eastAsia="DengXian Light" w:hAnsi="Work Sans" w:cs="Arial"/>
          <w:i/>
          <w:color w:val="000000"/>
          <w:sz w:val="18"/>
          <w:szCs w:val="18"/>
        </w:rPr>
        <w:t xml:space="preserve">, vehículos oficiales del (DAS) Departamento Administrativo de Seguridad y de las demás instituciones que prestan funciones de Policía Judicial; </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c) El valor de las tasas o tarifas será determinado por la autoridad competente; su recaudo estará a cargo de las entidades públicas o privadas, responsables de la prestación del servicio;</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d) Las tasas de peaje serán diferenciales, es decir, se fijarán en proporción a las </w:t>
      </w:r>
      <w:r>
        <w:rPr>
          <w:rFonts w:ascii="Work Sans" w:eastAsia="DengXian Light" w:hAnsi="Work Sans" w:cs="Arial"/>
          <w:i/>
          <w:color w:val="000000"/>
          <w:sz w:val="18"/>
          <w:szCs w:val="18"/>
        </w:rPr>
        <w:lastRenderedPageBreak/>
        <w:t>distancias recorridas, las características vehiculares y sus respectivos costos de operación;</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e) Para la determinación del valor del peaje y de las tasas de valoración en las vías nacionales, se tendrá en cuenta un criterio de equidad fiscal.</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1°. La Nación podrá en caso de necesidad y previo concepto del Ministerio de Transporte, apropiar recursos del Presupuesto Nacional para el mantenimiento, operación y desarrollo de la infraestructura de transporte.</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3°. Facúltese a las Entidades Territoriales para decretar las exenciones contempladas en el literal b), del artículo 1°.</w:t>
      </w:r>
    </w:p>
    <w:p w:rsidR="002B74B7" w:rsidRDefault="00000000">
      <w:pPr>
        <w:tabs>
          <w:tab w:val="left" w:pos="8222"/>
        </w:tabs>
        <w:ind w:left="426" w:right="616"/>
        <w:jc w:val="both"/>
      </w:pPr>
      <w:r>
        <w:rPr>
          <w:rFonts w:ascii="Work Sans" w:eastAsia="DengXian Light" w:hAnsi="Work Sans" w:cs="Arial"/>
          <w:i/>
          <w:color w:val="000000"/>
          <w:sz w:val="18"/>
          <w:szCs w:val="18"/>
          <w:lang w:val="es-MX"/>
        </w:rPr>
        <w:t> </w:t>
      </w:r>
    </w:p>
    <w:p w:rsidR="002B74B7" w:rsidRDefault="00000000">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4°. Se entiende también las vías “Concesionadas”.</w:t>
      </w:r>
    </w:p>
    <w:p w:rsidR="002B74B7" w:rsidRDefault="002B74B7">
      <w:pPr>
        <w:widowControl/>
        <w:tabs>
          <w:tab w:val="left" w:pos="0"/>
        </w:tabs>
        <w:ind w:left="709" w:right="709"/>
        <w:jc w:val="both"/>
        <w:textAlignment w:val="auto"/>
        <w:rPr>
          <w:rFonts w:ascii="Work Sans" w:eastAsia="DengXian Light" w:hAnsi="Work Sans" w:cs="Arial"/>
          <w:i/>
          <w:color w:val="000000"/>
          <w:kern w:val="0"/>
          <w:sz w:val="20"/>
          <w:szCs w:val="20"/>
          <w:lang w:eastAsia="es-ES" w:bidi="ar-SA"/>
        </w:rPr>
      </w:pPr>
    </w:p>
    <w:p w:rsidR="002B74B7" w:rsidRDefault="00000000">
      <w:pPr>
        <w:widowControl/>
        <w:tabs>
          <w:tab w:val="left" w:pos="0"/>
        </w:tabs>
        <w:ind w:right="49"/>
        <w:jc w:val="both"/>
        <w:textAlignment w:val="auto"/>
      </w:pPr>
      <w:r>
        <w:rPr>
          <w:rFonts w:ascii="Work Sans" w:eastAsia="DengXian Light" w:hAnsi="Work Sans" w:cs="Arial"/>
          <w:color w:val="000000"/>
          <w:kern w:val="0"/>
          <w:sz w:val="20"/>
          <w:szCs w:val="20"/>
          <w:lang w:val="es" w:eastAsia="es-ES" w:bidi="ar-SA"/>
        </w:rPr>
        <w:t>Que el Decreto 087 de 2011 “</w:t>
      </w:r>
      <w:r>
        <w:rPr>
          <w:rFonts w:ascii="Work Sans" w:eastAsia="DengXian Light" w:hAnsi="Work Sans" w:cs="Arial"/>
          <w:i/>
          <w:color w:val="000000"/>
          <w:kern w:val="0"/>
          <w:sz w:val="20"/>
          <w:szCs w:val="20"/>
          <w:lang w:val="es" w:eastAsia="es-ES" w:bidi="ar-SA"/>
        </w:rPr>
        <w:t>Por el cual se modifica la estructura del Ministerio de Transporte, y se determinan las funciones de sus dependencias</w:t>
      </w:r>
      <w:r>
        <w:rPr>
          <w:rFonts w:ascii="Work Sans" w:eastAsia="DengXian Light" w:hAnsi="Work Sans" w:cs="Arial"/>
          <w:color w:val="000000"/>
          <w:kern w:val="0"/>
          <w:sz w:val="20"/>
          <w:szCs w:val="20"/>
          <w:lang w:val="es" w:eastAsia="es-ES" w:bidi="ar-SA"/>
        </w:rPr>
        <w:t xml:space="preserve">” establece que son funciones del Despacho del </w:t>
      </w:r>
      <w:proofErr w:type="gramStart"/>
      <w:r>
        <w:rPr>
          <w:rFonts w:ascii="Work Sans" w:eastAsia="DengXian Light" w:hAnsi="Work Sans" w:cs="Arial"/>
          <w:color w:val="000000"/>
          <w:kern w:val="0"/>
          <w:sz w:val="20"/>
          <w:szCs w:val="20"/>
          <w:lang w:val="es" w:eastAsia="es-ES" w:bidi="ar-SA"/>
        </w:rPr>
        <w:t>Ministro</w:t>
      </w:r>
      <w:proofErr w:type="gramEnd"/>
      <w:r>
        <w:rPr>
          <w:rFonts w:ascii="Work Sans" w:eastAsia="DengXian Light" w:hAnsi="Work Sans" w:cs="Arial"/>
          <w:color w:val="000000"/>
          <w:kern w:val="0"/>
          <w:sz w:val="20"/>
          <w:szCs w:val="20"/>
          <w:lang w:val="es" w:eastAsia="es-ES" w:bidi="ar-SA"/>
        </w:rPr>
        <w:t>, las siguientes:</w:t>
      </w:r>
    </w:p>
    <w:p w:rsidR="002B74B7" w:rsidRDefault="002B74B7">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p>
    <w:p w:rsidR="002B74B7" w:rsidRDefault="00000000">
      <w:pPr>
        <w:ind w:left="426" w:right="474"/>
        <w:jc w:val="both"/>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 xml:space="preserve">“Artículo 6°. Funciones del Despacho del </w:t>
      </w:r>
      <w:proofErr w:type="gramStart"/>
      <w:r>
        <w:rPr>
          <w:rFonts w:ascii="Work Sans" w:eastAsia="DengXian Light" w:hAnsi="Work Sans" w:cs="Arial"/>
          <w:i/>
          <w:color w:val="000000"/>
          <w:kern w:val="0"/>
          <w:sz w:val="18"/>
          <w:szCs w:val="18"/>
          <w:lang w:val="es" w:eastAsia="es-ES" w:bidi="ar-SA"/>
        </w:rPr>
        <w:t>Ministro</w:t>
      </w:r>
      <w:proofErr w:type="gramEnd"/>
      <w:r>
        <w:rPr>
          <w:rFonts w:ascii="Work Sans" w:eastAsia="DengXian Light" w:hAnsi="Work Sans" w:cs="Arial"/>
          <w:i/>
          <w:color w:val="000000"/>
          <w:kern w:val="0"/>
          <w:sz w:val="18"/>
          <w:szCs w:val="18"/>
          <w:lang w:val="es" w:eastAsia="es-ES" w:bidi="ar-SA"/>
        </w:rPr>
        <w:t xml:space="preserve"> de Transporte. Son funciones del Despacho del </w:t>
      </w:r>
      <w:proofErr w:type="gramStart"/>
      <w:r>
        <w:rPr>
          <w:rFonts w:ascii="Work Sans" w:eastAsia="DengXian Light" w:hAnsi="Work Sans" w:cs="Arial"/>
          <w:i/>
          <w:color w:val="000000"/>
          <w:kern w:val="0"/>
          <w:sz w:val="18"/>
          <w:szCs w:val="18"/>
          <w:lang w:val="es" w:eastAsia="es-ES" w:bidi="ar-SA"/>
        </w:rPr>
        <w:t>Ministro</w:t>
      </w:r>
      <w:proofErr w:type="gramEnd"/>
      <w:r>
        <w:rPr>
          <w:rFonts w:ascii="Work Sans" w:eastAsia="DengXian Light" w:hAnsi="Work Sans" w:cs="Arial"/>
          <w:i/>
          <w:color w:val="000000"/>
          <w:kern w:val="0"/>
          <w:sz w:val="18"/>
          <w:szCs w:val="18"/>
          <w:lang w:val="es" w:eastAsia="es-ES" w:bidi="ar-SA"/>
        </w:rPr>
        <w:t xml:space="preserve"> de Transporte, además de las señaladas por la Constitución Política y la ley, las siguientes:</w:t>
      </w:r>
    </w:p>
    <w:p w:rsidR="002B74B7" w:rsidRDefault="00000000">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 xml:space="preserve"> </w:t>
      </w:r>
    </w:p>
    <w:p w:rsidR="002B74B7" w:rsidRDefault="00000000">
      <w:pPr>
        <w:widowControl/>
        <w:ind w:left="426"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6.15. Establecer los peajes, tarifas, tasas y derechos a cobrar por el uso de la infraestructura de los modos de transporte, excepto el aéreo. (…)”</w:t>
      </w:r>
    </w:p>
    <w:p w:rsidR="002B74B7" w:rsidRDefault="002B74B7">
      <w:pPr>
        <w:tabs>
          <w:tab w:val="left" w:pos="1134"/>
        </w:tabs>
        <w:jc w:val="both"/>
        <w:rPr>
          <w:rFonts w:ascii="Work Sans" w:eastAsia="DengXian Light" w:hAnsi="Work Sans" w:cs="Arial"/>
          <w:color w:val="000000"/>
          <w:sz w:val="20"/>
          <w:szCs w:val="20"/>
          <w:lang w:val="es" w:eastAsia="es-ES"/>
        </w:rPr>
      </w:pPr>
    </w:p>
    <w:p w:rsidR="002B74B7" w:rsidRDefault="00000000">
      <w:pPr>
        <w:tabs>
          <w:tab w:val="left" w:pos="1134"/>
        </w:tabs>
        <w:jc w:val="both"/>
        <w:rPr>
          <w:rFonts w:ascii="Work Sans" w:eastAsia="Work Sans" w:hAnsi="Work Sans" w:cs="Arial"/>
          <w:color w:val="000000"/>
          <w:sz w:val="20"/>
          <w:szCs w:val="20"/>
          <w:lang w:val="es"/>
        </w:rPr>
      </w:pPr>
      <w:r>
        <w:rPr>
          <w:rFonts w:ascii="Work Sans" w:eastAsia="Work Sans" w:hAnsi="Work Sans" w:cs="Arial"/>
          <w:color w:val="000000"/>
          <w:sz w:val="20"/>
          <w:szCs w:val="20"/>
          <w:lang w:val="es"/>
        </w:rPr>
        <w:t>Que el Decreto 4165 del 03 de noviembre de 2011, cambió la naturaleza jurídica y denominación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w:t>
      </w:r>
    </w:p>
    <w:p w:rsidR="002B74B7" w:rsidRDefault="002B74B7">
      <w:pPr>
        <w:tabs>
          <w:tab w:val="left" w:pos="1134"/>
        </w:tabs>
        <w:jc w:val="both"/>
        <w:rPr>
          <w:rFonts w:ascii="Work Sans" w:eastAsia="DengXian Light" w:hAnsi="Work Sans" w:cs="Arial"/>
          <w:color w:val="000000"/>
          <w:sz w:val="20"/>
          <w:szCs w:val="20"/>
          <w:lang w:val="es" w:eastAsia="es-ES"/>
        </w:rPr>
      </w:pPr>
    </w:p>
    <w:p w:rsidR="002B74B7" w:rsidRDefault="00000000">
      <w:pPr>
        <w:widowControl/>
        <w:jc w:val="both"/>
        <w:textAlignment w:val="auto"/>
        <w:rPr>
          <w:rFonts w:ascii="Work Sans" w:eastAsia="DengXian Light" w:hAnsi="Work Sans" w:cs="Arial"/>
          <w:color w:val="000000"/>
          <w:kern w:val="0"/>
          <w:sz w:val="20"/>
          <w:szCs w:val="20"/>
          <w:lang w:val="es" w:eastAsia="es-ES" w:bidi="ar-SA"/>
        </w:rPr>
      </w:pPr>
      <w:r>
        <w:rPr>
          <w:rFonts w:ascii="Work Sans" w:eastAsia="DengXian Light" w:hAnsi="Work Sans" w:cs="Arial"/>
          <w:color w:val="000000"/>
          <w:kern w:val="0"/>
          <w:sz w:val="20"/>
          <w:szCs w:val="20"/>
          <w:lang w:val="es" w:eastAsia="es-ES" w:bidi="ar-SA"/>
        </w:rPr>
        <w:t xml:space="preserve">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w:t>
      </w:r>
      <w:r>
        <w:rPr>
          <w:rFonts w:ascii="Work Sans" w:eastAsia="DengXian Light" w:hAnsi="Work Sans" w:cs="Arial"/>
          <w:color w:val="000000"/>
          <w:kern w:val="0"/>
          <w:sz w:val="20"/>
          <w:szCs w:val="20"/>
          <w:lang w:val="es" w:eastAsia="es-ES" w:bidi="ar-SA"/>
        </w:rPr>
        <w:lastRenderedPageBreak/>
        <w:t>infraestructura relacionada con los proyectos de concesión u otras formas de Asociación Público Privada a su cargo.</w:t>
      </w:r>
    </w:p>
    <w:p w:rsidR="002B74B7" w:rsidRDefault="002B74B7">
      <w:pPr>
        <w:widowControl/>
        <w:jc w:val="both"/>
        <w:textAlignment w:val="auto"/>
        <w:rPr>
          <w:rFonts w:ascii="Work Sans" w:eastAsia="DengXian Light" w:hAnsi="Work Sans" w:cs="Arial"/>
          <w:color w:val="000000"/>
          <w:kern w:val="0"/>
          <w:sz w:val="20"/>
          <w:szCs w:val="20"/>
          <w:lang w:val="es" w:eastAsia="es-ES" w:bidi="ar-SA"/>
        </w:rPr>
      </w:pPr>
    </w:p>
    <w:p w:rsidR="002B74B7" w:rsidRDefault="00000000">
      <w:pPr>
        <w:ind w:right="49"/>
        <w:jc w:val="both"/>
      </w:pPr>
      <w:r>
        <w:rPr>
          <w:rFonts w:ascii="Work Sans" w:eastAsia="DengXian Light" w:hAnsi="Work Sans" w:cs="Arial"/>
          <w:color w:val="000000"/>
          <w:sz w:val="20"/>
          <w:szCs w:val="20"/>
          <w:lang w:val="es" w:eastAsia="es-ES"/>
        </w:rPr>
        <w:t xml:space="preserve">Que igualmente el numeral 34 del artículo 5 del </w:t>
      </w:r>
      <w:r>
        <w:rPr>
          <w:rFonts w:ascii="Work Sans" w:eastAsia="DengXian Light" w:hAnsi="Work Sans" w:cs="Arial"/>
          <w:sz w:val="20"/>
          <w:szCs w:val="20"/>
          <w:lang w:val="es" w:eastAsia="es-ES"/>
        </w:rPr>
        <w:t xml:space="preserve">Decreto 746 del 2022 </w:t>
      </w:r>
      <w:r>
        <w:rPr>
          <w:rFonts w:ascii="Work Sans" w:eastAsia="DengXian Light" w:hAnsi="Work Sans" w:cs="Arial"/>
          <w:i/>
          <w:iCs/>
          <w:color w:val="000000"/>
          <w:sz w:val="20"/>
          <w:szCs w:val="20"/>
          <w:lang w:val="es" w:eastAsia="es-ES"/>
        </w:rPr>
        <w:t>“Por el cual se modifica la estructura de la Agencia Nacional de Infraestructura y se determinan las funciones de sus dependencias”</w:t>
      </w:r>
      <w:r>
        <w:rPr>
          <w:rFonts w:ascii="Work Sans" w:eastAsia="DengXian Light" w:hAnsi="Work Sans" w:cs="Arial"/>
          <w:i/>
          <w:color w:val="000000"/>
          <w:sz w:val="20"/>
          <w:szCs w:val="20"/>
          <w:lang w:val="es" w:eastAsia="es-ES"/>
        </w:rPr>
        <w:t xml:space="preserve"> </w:t>
      </w:r>
      <w:r>
        <w:rPr>
          <w:rFonts w:ascii="Work Sans" w:eastAsia="DengXian Light" w:hAnsi="Work Sans" w:cs="Arial"/>
          <w:color w:val="000000"/>
          <w:sz w:val="20"/>
          <w:szCs w:val="20"/>
          <w:lang w:val="es" w:eastAsia="es-ES"/>
        </w:rPr>
        <w:t>establece como función del presidente de la Agencia Nacional de Infraestructura la siguiente:</w:t>
      </w:r>
    </w:p>
    <w:p w:rsidR="002B74B7" w:rsidRDefault="002B74B7">
      <w:pPr>
        <w:ind w:right="49"/>
        <w:jc w:val="both"/>
        <w:rPr>
          <w:rFonts w:ascii="Work Sans" w:eastAsia="DengXian Light" w:hAnsi="Work Sans" w:cs="Arial"/>
          <w:color w:val="000000"/>
          <w:sz w:val="20"/>
          <w:szCs w:val="20"/>
          <w:shd w:val="clear" w:color="auto" w:fill="FFFF00"/>
        </w:rPr>
      </w:pPr>
    </w:p>
    <w:p w:rsidR="002B74B7" w:rsidRDefault="00000000">
      <w:pPr>
        <w:ind w:left="567"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“34.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rsidR="002B74B7" w:rsidRDefault="002B74B7">
      <w:pPr>
        <w:ind w:left="567" w:right="616"/>
        <w:jc w:val="both"/>
        <w:rPr>
          <w:rFonts w:ascii="Work Sans" w:eastAsia="DengXian Light" w:hAnsi="Work Sans" w:cs="Arial"/>
          <w:i/>
          <w:color w:val="000000"/>
          <w:sz w:val="20"/>
          <w:szCs w:val="20"/>
        </w:rPr>
      </w:pPr>
    </w:p>
    <w:p w:rsidR="002B74B7" w:rsidRDefault="00000000">
      <w:pPr>
        <w:pStyle w:val="Standard"/>
        <w:jc w:val="both"/>
      </w:pPr>
      <w:r>
        <w:rPr>
          <w:rFonts w:ascii="Work Sans" w:hAnsi="Work Sans"/>
          <w:sz w:val="20"/>
        </w:rPr>
        <w:t>Que la Resolución 1131 de abril 28 de 2015: “</w:t>
      </w:r>
      <w:r>
        <w:rPr>
          <w:rFonts w:ascii="Work Sans" w:hAnsi="Work Sans"/>
          <w:i/>
          <w:sz w:val="20"/>
        </w:rPr>
        <w:t xml:space="preserve">Por la cual se establecen las tarifas a cobrar en las estaciones de peaje denominadas Boquerón I, caseta de control Boquerón II, Puente </w:t>
      </w:r>
      <w:proofErr w:type="spellStart"/>
      <w:r>
        <w:rPr>
          <w:rFonts w:ascii="Work Sans" w:hAnsi="Work Sans"/>
          <w:i/>
          <w:sz w:val="20"/>
        </w:rPr>
        <w:t>Quetame</w:t>
      </w:r>
      <w:proofErr w:type="spellEnd"/>
      <w:r>
        <w:rPr>
          <w:rFonts w:ascii="Work Sans" w:hAnsi="Work Sans"/>
          <w:i/>
          <w:sz w:val="20"/>
        </w:rPr>
        <w:t xml:space="preserve"> y </w:t>
      </w:r>
      <w:proofErr w:type="spellStart"/>
      <w:r>
        <w:rPr>
          <w:rFonts w:ascii="Work Sans" w:hAnsi="Work Sans"/>
          <w:i/>
          <w:sz w:val="20"/>
        </w:rPr>
        <w:t>Pipiral</w:t>
      </w:r>
      <w:proofErr w:type="spellEnd"/>
      <w:r>
        <w:rPr>
          <w:rFonts w:ascii="Work Sans" w:hAnsi="Work Sans"/>
          <w:i/>
          <w:sz w:val="20"/>
        </w:rPr>
        <w:t xml:space="preserve">, existentes en el Corredor Vial Bogotá-Villavicencio y que forman parte del Proyecto de Asociación Público Privada de Iniciativa Privada Construcción de una nueva calzada en el sector </w:t>
      </w:r>
      <w:proofErr w:type="spellStart"/>
      <w:r>
        <w:rPr>
          <w:rFonts w:ascii="Work Sans" w:hAnsi="Work Sans"/>
          <w:i/>
          <w:sz w:val="20"/>
        </w:rPr>
        <w:t>Chirajara</w:t>
      </w:r>
      <w:proofErr w:type="spellEnd"/>
      <w:r>
        <w:rPr>
          <w:rFonts w:ascii="Work Sans" w:hAnsi="Work Sans"/>
          <w:i/>
          <w:sz w:val="20"/>
        </w:rPr>
        <w:t>-Fundadores y la Administración, Operación y Mantenimiento del corredor Bogotá-Villavicencio”</w:t>
      </w:r>
      <w:r>
        <w:rPr>
          <w:rFonts w:ascii="Work Sans" w:hAnsi="Work Sans"/>
          <w:sz w:val="20"/>
        </w:rPr>
        <w:t xml:space="preserve"> señala en su sus considerandos:</w:t>
      </w:r>
    </w:p>
    <w:p w:rsidR="002B74B7" w:rsidRDefault="002B74B7">
      <w:pPr>
        <w:pStyle w:val="Standard"/>
        <w:jc w:val="both"/>
        <w:rPr>
          <w:rFonts w:ascii="Work Sans" w:hAnsi="Work Sans"/>
          <w:sz w:val="20"/>
        </w:rPr>
      </w:pPr>
    </w:p>
    <w:p w:rsidR="002B74B7" w:rsidRDefault="00000000">
      <w:pPr>
        <w:widowControl/>
        <w:ind w:left="567" w:right="623"/>
        <w:jc w:val="both"/>
        <w:textAlignment w:val="auto"/>
      </w:pPr>
      <w:r>
        <w:rPr>
          <w:rFonts w:ascii="Work Sans" w:hAnsi="Work Sans" w:cs="Times New Roman"/>
          <w:i/>
          <w:color w:val="221E1F"/>
          <w:kern w:val="0"/>
          <w:sz w:val="18"/>
          <w:szCs w:val="18"/>
          <w:lang w:val="es-CO" w:eastAsia="es-CO" w:bidi="ar-SA"/>
        </w:rPr>
        <w:t>“Que el originador, obtendrá el derecho al recaudo sobre las estaciones de peaje ubicadas en el corredor vial Bogotá-Villavicencio de acuerdo a las condiciones establecidas en la Parte General y Especial del Contrato que se suscriba.</w:t>
      </w:r>
    </w:p>
    <w:p w:rsidR="002B74B7" w:rsidRDefault="00000000">
      <w:pPr>
        <w:widowControl/>
        <w:ind w:left="567" w:right="623"/>
        <w:jc w:val="both"/>
        <w:textAlignment w:val="auto"/>
      </w:pPr>
      <w:r>
        <w:rPr>
          <w:rFonts w:ascii="Work Sans" w:hAnsi="Work Sans" w:cs="Times New Roman"/>
          <w:i/>
          <w:color w:val="221E1F"/>
          <w:kern w:val="0"/>
          <w:sz w:val="18"/>
          <w:szCs w:val="18"/>
          <w:lang w:val="es-CO" w:eastAsia="es-CO" w:bidi="ar-SA"/>
        </w:rPr>
        <w:t> </w:t>
      </w:r>
    </w:p>
    <w:p w:rsidR="002B74B7" w:rsidRDefault="00000000">
      <w:pPr>
        <w:widowControl/>
        <w:ind w:left="567" w:right="623"/>
        <w:jc w:val="both"/>
        <w:textAlignment w:val="auto"/>
      </w:pPr>
      <w:r>
        <w:rPr>
          <w:rFonts w:ascii="Work Sans" w:hAnsi="Work Sans" w:cs="Times New Roman"/>
          <w:i/>
          <w:color w:val="221E1F"/>
          <w:kern w:val="0"/>
          <w:sz w:val="18"/>
          <w:szCs w:val="18"/>
          <w:lang w:val="es-CO" w:eastAsia="es-CO" w:bidi="ar-SA"/>
        </w:rPr>
        <w:t>Que, dada la complejidad del proyecto, la asignación de riesgos, su ejecución sin recursos del Estado y las especificaciones técnicas de la nueva calzada, la estructuración contempla un incremento real gradual de tarifas así:</w:t>
      </w:r>
    </w:p>
    <w:p w:rsidR="002B74B7" w:rsidRDefault="00000000">
      <w:pPr>
        <w:widowControl/>
        <w:textAlignment w:val="auto"/>
        <w:rPr>
          <w:rFonts w:ascii="Work Sans" w:hAnsi="Work Sans" w:cs="Times New Roman"/>
          <w:i/>
          <w:color w:val="000000"/>
          <w:kern w:val="0"/>
          <w:sz w:val="18"/>
          <w:szCs w:val="18"/>
          <w:lang w:val="es-CO" w:eastAsia="es-CO" w:bidi="ar-SA"/>
        </w:rPr>
      </w:pPr>
      <w:r>
        <w:rPr>
          <w:rFonts w:ascii="Work Sans" w:hAnsi="Work Sans" w:cs="Times New Roman"/>
          <w:i/>
          <w:color w:val="000000"/>
          <w:kern w:val="0"/>
          <w:sz w:val="18"/>
          <w:szCs w:val="18"/>
          <w:lang w:val="es-CO" w:eastAsia="es-CO" w:bidi="ar-SA"/>
        </w:rPr>
        <w:t> </w:t>
      </w:r>
    </w:p>
    <w:tbl>
      <w:tblPr>
        <w:tblW w:w="6792" w:type="dxa"/>
        <w:jc w:val="center"/>
        <w:tblCellMar>
          <w:left w:w="10" w:type="dxa"/>
          <w:right w:w="10" w:type="dxa"/>
        </w:tblCellMar>
        <w:tblLook w:val="0000" w:firstRow="0" w:lastRow="0" w:firstColumn="0" w:lastColumn="0" w:noHBand="0" w:noVBand="0"/>
      </w:tblPr>
      <w:tblGrid>
        <w:gridCol w:w="1698"/>
        <w:gridCol w:w="1698"/>
        <w:gridCol w:w="1698"/>
        <w:gridCol w:w="1698"/>
      </w:tblGrid>
      <w:tr w:rsidR="002B74B7">
        <w:tblPrEx>
          <w:tblCellMar>
            <w:top w:w="0" w:type="dxa"/>
            <w:bottom w:w="0" w:type="dxa"/>
          </w:tblCellMar>
        </w:tblPrEx>
        <w:trPr>
          <w:trHeight w:val="106"/>
          <w:jc w:val="center"/>
        </w:trPr>
        <w:tc>
          <w:tcPr>
            <w:tcW w:w="16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6" w:lineRule="atLeast"/>
              <w:jc w:val="center"/>
              <w:textAlignment w:val="auto"/>
            </w:pPr>
            <w:r>
              <w:rPr>
                <w:rFonts w:ascii="Work Sans" w:hAnsi="Work Sans" w:cs="Times New Roman"/>
                <w:bCs/>
                <w:i/>
                <w:color w:val="221E1F"/>
                <w:kern w:val="0"/>
                <w:sz w:val="18"/>
                <w:szCs w:val="18"/>
                <w:lang w:val="es-CO" w:eastAsia="es-CO" w:bidi="ar-SA"/>
              </w:rPr>
              <w:t>Año 2018</w:t>
            </w:r>
          </w:p>
        </w:tc>
        <w:tc>
          <w:tcPr>
            <w:tcW w:w="169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6" w:lineRule="atLeast"/>
              <w:jc w:val="center"/>
              <w:textAlignment w:val="auto"/>
            </w:pPr>
            <w:r>
              <w:rPr>
                <w:rFonts w:ascii="Work Sans" w:hAnsi="Work Sans" w:cs="Times New Roman"/>
                <w:bCs/>
                <w:i/>
                <w:color w:val="221E1F"/>
                <w:kern w:val="0"/>
                <w:sz w:val="18"/>
                <w:szCs w:val="18"/>
                <w:lang w:val="es-CO" w:eastAsia="es-CO" w:bidi="ar-SA"/>
              </w:rPr>
              <w:t>Año 2019</w:t>
            </w:r>
          </w:p>
        </w:tc>
        <w:tc>
          <w:tcPr>
            <w:tcW w:w="169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6" w:lineRule="atLeast"/>
              <w:jc w:val="center"/>
              <w:textAlignment w:val="auto"/>
            </w:pPr>
            <w:r>
              <w:rPr>
                <w:rFonts w:ascii="Work Sans" w:hAnsi="Work Sans" w:cs="Times New Roman"/>
                <w:bCs/>
                <w:i/>
                <w:color w:val="221E1F"/>
                <w:kern w:val="0"/>
                <w:sz w:val="18"/>
                <w:szCs w:val="18"/>
                <w:lang w:val="es-CO" w:eastAsia="es-CO" w:bidi="ar-SA"/>
              </w:rPr>
              <w:t>Año 2020</w:t>
            </w:r>
          </w:p>
        </w:tc>
        <w:tc>
          <w:tcPr>
            <w:tcW w:w="169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6" w:lineRule="atLeast"/>
              <w:jc w:val="center"/>
              <w:textAlignment w:val="auto"/>
            </w:pPr>
            <w:r>
              <w:rPr>
                <w:rFonts w:ascii="Work Sans" w:hAnsi="Work Sans" w:cs="Times New Roman"/>
                <w:bCs/>
                <w:i/>
                <w:color w:val="221E1F"/>
                <w:kern w:val="0"/>
                <w:sz w:val="18"/>
                <w:szCs w:val="18"/>
                <w:lang w:val="es-CO" w:eastAsia="es-CO" w:bidi="ar-SA"/>
              </w:rPr>
              <w:t>Año 2021</w:t>
            </w:r>
          </w:p>
        </w:tc>
      </w:tr>
      <w:tr w:rsidR="002B74B7">
        <w:tblPrEx>
          <w:tblCellMar>
            <w:top w:w="0" w:type="dxa"/>
            <w:bottom w:w="0" w:type="dxa"/>
          </w:tblCellMar>
        </w:tblPrEx>
        <w:trPr>
          <w:trHeight w:val="105"/>
          <w:jc w:val="center"/>
        </w:trPr>
        <w:tc>
          <w:tcPr>
            <w:tcW w:w="169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7.8%</w:t>
            </w:r>
          </w:p>
        </w:tc>
      </w:tr>
    </w:tbl>
    <w:p w:rsidR="002B74B7" w:rsidRDefault="00000000">
      <w:pPr>
        <w:widowControl/>
        <w:jc w:val="both"/>
        <w:textAlignment w:val="auto"/>
      </w:pPr>
      <w:r>
        <w:rPr>
          <w:rFonts w:ascii="Work Sans" w:hAnsi="Work Sans" w:cs="Times New Roman"/>
          <w:i/>
          <w:color w:val="000000"/>
          <w:kern w:val="0"/>
          <w:sz w:val="18"/>
          <w:szCs w:val="18"/>
          <w:lang w:val="es-CO" w:eastAsia="es-CO" w:bidi="ar-SA"/>
        </w:rPr>
        <w:t> </w:t>
      </w:r>
    </w:p>
    <w:p w:rsidR="002B74B7" w:rsidRDefault="00000000">
      <w:pPr>
        <w:pStyle w:val="Standard"/>
        <w:jc w:val="both"/>
        <w:rPr>
          <w:rFonts w:ascii="Work Sans" w:hAnsi="Work Sans"/>
          <w:sz w:val="20"/>
        </w:rPr>
      </w:pPr>
      <w:r>
        <w:rPr>
          <w:rFonts w:ascii="Work Sans" w:hAnsi="Work Sans"/>
          <w:sz w:val="20"/>
        </w:rPr>
        <w:t xml:space="preserve">Que mediante el artículo 1 de la Resolución 1131 de 2015, se establecieron las tarifas a cobrar en las estaciones de peaje denominadas </w:t>
      </w:r>
      <w:proofErr w:type="spellStart"/>
      <w:r>
        <w:rPr>
          <w:rFonts w:ascii="Work Sans" w:hAnsi="Work Sans"/>
          <w:sz w:val="20"/>
        </w:rPr>
        <w:t>Boqueron</w:t>
      </w:r>
      <w:proofErr w:type="spellEnd"/>
      <w:r>
        <w:rPr>
          <w:rFonts w:ascii="Work Sans" w:hAnsi="Work Sans"/>
          <w:sz w:val="20"/>
        </w:rPr>
        <w:t xml:space="preserve"> I, Caseta de control </w:t>
      </w:r>
      <w:proofErr w:type="spellStart"/>
      <w:r>
        <w:rPr>
          <w:rFonts w:ascii="Work Sans" w:hAnsi="Work Sans"/>
          <w:sz w:val="20"/>
        </w:rPr>
        <w:t>Boqueron</w:t>
      </w:r>
      <w:proofErr w:type="spellEnd"/>
      <w:r>
        <w:rPr>
          <w:rFonts w:ascii="Work Sans" w:hAnsi="Work Sans"/>
          <w:sz w:val="20"/>
        </w:rPr>
        <w:t xml:space="preserve"> II, Puente </w:t>
      </w:r>
      <w:proofErr w:type="spellStart"/>
      <w:r>
        <w:rPr>
          <w:rFonts w:ascii="Work Sans" w:hAnsi="Work Sans"/>
          <w:sz w:val="20"/>
        </w:rPr>
        <w:t>Quetame</w:t>
      </w:r>
      <w:proofErr w:type="spellEnd"/>
      <w:r>
        <w:rPr>
          <w:rFonts w:ascii="Work Sans" w:hAnsi="Work Sans"/>
          <w:sz w:val="20"/>
        </w:rPr>
        <w:t xml:space="preserve"> y </w:t>
      </w:r>
      <w:proofErr w:type="spellStart"/>
      <w:r>
        <w:rPr>
          <w:rFonts w:ascii="Work Sans" w:hAnsi="Work Sans"/>
          <w:sz w:val="20"/>
        </w:rPr>
        <w:t>Pipiral</w:t>
      </w:r>
      <w:proofErr w:type="spellEnd"/>
      <w:r>
        <w:rPr>
          <w:rFonts w:ascii="Work Sans" w:hAnsi="Work Sans"/>
          <w:sz w:val="20"/>
        </w:rPr>
        <w:t xml:space="preserve">, según el año, así: </w:t>
      </w:r>
    </w:p>
    <w:p w:rsidR="002B74B7" w:rsidRDefault="002B74B7">
      <w:pPr>
        <w:pStyle w:val="Standard"/>
        <w:jc w:val="both"/>
        <w:rPr>
          <w:rFonts w:ascii="Work Sans" w:hAnsi="Work Sans"/>
          <w:i/>
          <w:sz w:val="20"/>
          <w:lang w:val="es-CO"/>
        </w:rPr>
      </w:pPr>
    </w:p>
    <w:p w:rsidR="002B74B7" w:rsidRDefault="00000000">
      <w:pPr>
        <w:widowControl/>
        <w:ind w:left="426" w:right="481"/>
        <w:jc w:val="both"/>
        <w:textAlignment w:val="auto"/>
      </w:pPr>
      <w:r>
        <w:rPr>
          <w:rFonts w:ascii="Work Sans" w:hAnsi="Work Sans" w:cs="Times New Roman"/>
          <w:i/>
          <w:color w:val="221E1F"/>
          <w:kern w:val="0"/>
          <w:sz w:val="18"/>
          <w:szCs w:val="18"/>
          <w:lang w:val="es-CO" w:eastAsia="es-CO" w:bidi="ar-SA"/>
        </w:rPr>
        <w:t xml:space="preserve">“Artículo 1°. Establecer las siguientes tarifas que podrá cobrar el concesionario a todos los usuarios en las estaciones de peaje Boquerón I, Caseta de control Boquerón II, Puente </w:t>
      </w:r>
      <w:proofErr w:type="spellStart"/>
      <w:r>
        <w:rPr>
          <w:rFonts w:ascii="Work Sans" w:hAnsi="Work Sans" w:cs="Times New Roman"/>
          <w:i/>
          <w:color w:val="221E1F"/>
          <w:kern w:val="0"/>
          <w:sz w:val="18"/>
          <w:szCs w:val="18"/>
          <w:lang w:val="es-CO" w:eastAsia="es-CO" w:bidi="ar-SA"/>
        </w:rPr>
        <w:t>Quetame</w:t>
      </w:r>
      <w:proofErr w:type="spellEnd"/>
      <w:r>
        <w:rPr>
          <w:rFonts w:ascii="Work Sans" w:hAnsi="Work Sans" w:cs="Times New Roman"/>
          <w:i/>
          <w:color w:val="221E1F"/>
          <w:kern w:val="0"/>
          <w:sz w:val="18"/>
          <w:szCs w:val="18"/>
          <w:lang w:val="es-CO" w:eastAsia="es-CO" w:bidi="ar-SA"/>
        </w:rPr>
        <w:t xml:space="preserve"> y </w:t>
      </w:r>
      <w:proofErr w:type="spellStart"/>
      <w:r>
        <w:rPr>
          <w:rFonts w:ascii="Work Sans" w:hAnsi="Work Sans" w:cs="Times New Roman"/>
          <w:i/>
          <w:color w:val="221E1F"/>
          <w:kern w:val="0"/>
          <w:sz w:val="18"/>
          <w:szCs w:val="18"/>
          <w:lang w:val="es-CO" w:eastAsia="es-CO" w:bidi="ar-SA"/>
        </w:rPr>
        <w:t>Pipiral</w:t>
      </w:r>
      <w:proofErr w:type="spellEnd"/>
      <w:r>
        <w:rPr>
          <w:rFonts w:ascii="Work Sans" w:hAnsi="Work Sans" w:cs="Times New Roman"/>
          <w:i/>
          <w:color w:val="221E1F"/>
          <w:kern w:val="0"/>
          <w:sz w:val="18"/>
          <w:szCs w:val="18"/>
          <w:lang w:val="es-CO" w:eastAsia="es-CO" w:bidi="ar-SA"/>
        </w:rPr>
        <w:t>, según el año:</w:t>
      </w:r>
    </w:p>
    <w:p w:rsidR="002B74B7" w:rsidRDefault="00000000">
      <w:pPr>
        <w:widowControl/>
        <w:ind w:left="426" w:right="481"/>
        <w:jc w:val="both"/>
        <w:textAlignment w:val="auto"/>
      </w:pPr>
      <w:r>
        <w:rPr>
          <w:rFonts w:ascii="Work Sans" w:hAnsi="Work Sans" w:cs="Times New Roman"/>
          <w:i/>
          <w:color w:val="221E1F"/>
          <w:kern w:val="0"/>
          <w:sz w:val="18"/>
          <w:szCs w:val="18"/>
          <w:lang w:val="es-CO" w:eastAsia="es-CO" w:bidi="ar-SA"/>
        </w:rPr>
        <w:t> </w:t>
      </w:r>
    </w:p>
    <w:p w:rsidR="002B74B7" w:rsidRDefault="00000000">
      <w:pPr>
        <w:widowControl/>
        <w:ind w:left="426" w:right="481"/>
        <w:jc w:val="both"/>
        <w:textAlignment w:val="auto"/>
      </w:pPr>
      <w:r>
        <w:rPr>
          <w:rFonts w:ascii="Work Sans" w:hAnsi="Work Sans" w:cs="Times New Roman"/>
          <w:bCs/>
          <w:i/>
          <w:color w:val="221E1F"/>
          <w:kern w:val="0"/>
          <w:sz w:val="18"/>
          <w:szCs w:val="18"/>
          <w:lang w:val="es-CO" w:eastAsia="es-CO" w:bidi="ar-SA"/>
        </w:rPr>
        <w:t>Tarifas a cobrar hasta el 15 de enero de 2018</w:t>
      </w:r>
    </w:p>
    <w:p w:rsidR="002B74B7" w:rsidRDefault="00000000">
      <w:pPr>
        <w:widowControl/>
        <w:textAlignment w:val="auto"/>
        <w:rPr>
          <w:rFonts w:ascii="Work Sans" w:hAnsi="Work Sans" w:cs="Times New Roman"/>
          <w:i/>
          <w:color w:val="000000"/>
          <w:kern w:val="0"/>
          <w:sz w:val="18"/>
          <w:szCs w:val="18"/>
          <w:lang w:val="es-CO" w:eastAsia="es-CO" w:bidi="ar-SA"/>
        </w:rPr>
      </w:pPr>
      <w:r>
        <w:rPr>
          <w:rFonts w:ascii="Work Sans" w:hAnsi="Work Sans" w:cs="Times New Roman"/>
          <w:i/>
          <w:color w:val="000000"/>
          <w:kern w:val="0"/>
          <w:sz w:val="18"/>
          <w:szCs w:val="18"/>
          <w:lang w:val="es-CO" w:eastAsia="es-CO" w:bidi="ar-SA"/>
        </w:rPr>
        <w:t> </w:t>
      </w:r>
    </w:p>
    <w:tbl>
      <w:tblPr>
        <w:tblW w:w="6783" w:type="dxa"/>
        <w:jc w:val="center"/>
        <w:tblCellMar>
          <w:left w:w="10" w:type="dxa"/>
          <w:right w:w="10" w:type="dxa"/>
        </w:tblCellMar>
        <w:tblLook w:val="0000" w:firstRow="0" w:lastRow="0" w:firstColumn="0" w:lastColumn="0" w:noHBand="0" w:noVBand="0"/>
      </w:tblPr>
      <w:tblGrid>
        <w:gridCol w:w="1695"/>
        <w:gridCol w:w="1695"/>
        <w:gridCol w:w="1695"/>
        <w:gridCol w:w="1698"/>
      </w:tblGrid>
      <w:tr w:rsidR="002B74B7">
        <w:tblPrEx>
          <w:tblCellMar>
            <w:top w:w="0" w:type="dxa"/>
            <w:bottom w:w="0" w:type="dxa"/>
          </w:tblCellMar>
        </w:tblPrEx>
        <w:trPr>
          <w:trHeight w:val="105"/>
          <w:jc w:val="center"/>
        </w:trPr>
        <w:tc>
          <w:tcPr>
            <w:tcW w:w="16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bCs/>
                <w:i/>
                <w:color w:val="221E1F"/>
                <w:kern w:val="0"/>
                <w:sz w:val="18"/>
                <w:szCs w:val="18"/>
                <w:lang w:val="es-CO" w:eastAsia="es-CO" w:bidi="ar-SA"/>
              </w:rPr>
              <w:t>Categoría</w:t>
            </w:r>
          </w:p>
        </w:tc>
        <w:tc>
          <w:tcPr>
            <w:tcW w:w="5088"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both"/>
              <w:textAlignment w:val="auto"/>
            </w:pPr>
            <w:r>
              <w:rPr>
                <w:rFonts w:ascii="Work Sans" w:hAnsi="Work Sans" w:cs="Times New Roman"/>
                <w:bCs/>
                <w:i/>
                <w:color w:val="221E1F"/>
                <w:kern w:val="0"/>
                <w:sz w:val="18"/>
                <w:szCs w:val="18"/>
                <w:lang w:val="es-CO" w:eastAsia="es-CO" w:bidi="ar-SA"/>
              </w:rPr>
              <w:t>Tabla A</w:t>
            </w:r>
          </w:p>
        </w:tc>
      </w:tr>
      <w:tr w:rsidR="002B74B7">
        <w:tblPrEx>
          <w:tblCellMar>
            <w:top w:w="0" w:type="dxa"/>
            <w:bottom w:w="0" w:type="dxa"/>
          </w:tblCellMar>
        </w:tblPrEx>
        <w:trPr>
          <w:trHeight w:val="105"/>
          <w:jc w:val="center"/>
        </w:trPr>
        <w:tc>
          <w:tcPr>
            <w:tcW w:w="169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2B74B7">
            <w:pPr>
              <w:widowControl/>
              <w:textAlignment w:val="auto"/>
              <w:rPr>
                <w:rFonts w:ascii="Work Sans" w:hAnsi="Work Sans" w:cs="Times New Roman"/>
                <w:i/>
                <w:kern w:val="0"/>
                <w:sz w:val="18"/>
                <w:szCs w:val="18"/>
                <w:lang w:val="es-CO" w:eastAsia="es-CO" w:bidi="ar-SA"/>
              </w:rPr>
            </w:pPr>
          </w:p>
        </w:tc>
        <w:tc>
          <w:tcPr>
            <w:tcW w:w="5088" w:type="dxa"/>
            <w:gridSpan w:val="3"/>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jc w:val="both"/>
              <w:textAlignment w:val="auto"/>
            </w:pPr>
            <w:r>
              <w:rPr>
                <w:rFonts w:ascii="Work Sans" w:hAnsi="Work Sans" w:cs="Times New Roman"/>
                <w:bCs/>
                <w:i/>
                <w:color w:val="221E1F"/>
                <w:kern w:val="0"/>
                <w:sz w:val="18"/>
                <w:szCs w:val="18"/>
                <w:lang w:val="es-CO" w:eastAsia="es-CO" w:bidi="ar-SA"/>
              </w:rPr>
              <w:t>Tarifas hasta el 15 de enero de 2018</w:t>
            </w:r>
          </w:p>
          <w:p w:rsidR="002B74B7" w:rsidRDefault="00000000">
            <w:pPr>
              <w:widowControl/>
              <w:spacing w:line="105" w:lineRule="atLeast"/>
              <w:jc w:val="both"/>
              <w:textAlignment w:val="auto"/>
            </w:pPr>
            <w:r>
              <w:rPr>
                <w:rFonts w:ascii="Work Sans" w:hAnsi="Work Sans" w:cs="Times New Roman"/>
                <w:bCs/>
                <w:i/>
                <w:color w:val="221E1F"/>
                <w:kern w:val="0"/>
                <w:sz w:val="18"/>
                <w:szCs w:val="18"/>
                <w:lang w:val="es-CO" w:eastAsia="es-CO" w:bidi="ar-SA"/>
              </w:rPr>
              <w:t>(No Incluye FSV) pesos de diciembre de 2013</w:t>
            </w:r>
          </w:p>
        </w:tc>
      </w:tr>
      <w:tr w:rsidR="002B74B7">
        <w:tblPrEx>
          <w:tblCellMar>
            <w:top w:w="0" w:type="dxa"/>
            <w:bottom w:w="0" w:type="dxa"/>
          </w:tblCellMar>
        </w:tblPrEx>
        <w:trPr>
          <w:trHeight w:val="105"/>
          <w:jc w:val="center"/>
        </w:trPr>
        <w:tc>
          <w:tcPr>
            <w:tcW w:w="169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2B74B7">
            <w:pPr>
              <w:widowControl/>
              <w:textAlignment w:val="auto"/>
              <w:rPr>
                <w:rFonts w:ascii="Work Sans" w:hAnsi="Work Sans" w:cs="Times New Roman"/>
                <w:i/>
                <w:kern w:val="0"/>
                <w:sz w:val="18"/>
                <w:szCs w:val="18"/>
                <w:lang w:val="es-CO" w:eastAsia="es-CO" w:bidi="ar-SA"/>
              </w:rPr>
            </w:pP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w:t>
            </w:r>
            <w:proofErr w:type="spellStart"/>
            <w:r>
              <w:rPr>
                <w:rFonts w:ascii="Work Sans" w:hAnsi="Work Sans" w:cs="Times New Roman"/>
                <w:bCs/>
                <w:i/>
                <w:color w:val="221E1F"/>
                <w:kern w:val="0"/>
                <w:sz w:val="18"/>
                <w:szCs w:val="18"/>
                <w:lang w:val="es-CO" w:eastAsia="es-CO" w:bidi="ar-SA"/>
              </w:rPr>
              <w:t>Pipiral</w:t>
            </w:r>
            <w:proofErr w:type="spellEnd"/>
          </w:p>
        </w:tc>
        <w:tc>
          <w:tcPr>
            <w:tcW w:w="169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Puente </w:t>
            </w:r>
            <w:proofErr w:type="spellStart"/>
            <w:r>
              <w:rPr>
                <w:rFonts w:ascii="Work Sans" w:hAnsi="Work Sans" w:cs="Times New Roman"/>
                <w:bCs/>
                <w:i/>
                <w:color w:val="221E1F"/>
                <w:kern w:val="0"/>
                <w:sz w:val="18"/>
                <w:szCs w:val="18"/>
                <w:lang w:val="es-CO" w:eastAsia="es-CO" w:bidi="ar-SA"/>
              </w:rPr>
              <w:t>Quetame</w:t>
            </w:r>
            <w:proofErr w:type="spellEnd"/>
            <w:r>
              <w:rPr>
                <w:rFonts w:ascii="Work Sans" w:hAnsi="Work Sans" w:cs="Times New Roman"/>
                <w:bCs/>
                <w:i/>
                <w:color w:val="221E1F"/>
                <w:kern w:val="0"/>
                <w:sz w:val="18"/>
                <w:szCs w:val="18"/>
                <w:lang w:val="es-CO" w:eastAsia="es-CO" w:bidi="ar-SA"/>
              </w:rPr>
              <w:t> </w:t>
            </w:r>
            <w:r>
              <w:rPr>
                <w:rFonts w:ascii="Work Sans" w:hAnsi="Work Sans" w:cs="Times New Roman"/>
                <w:i/>
                <w:color w:val="221E1F"/>
                <w:kern w:val="0"/>
                <w:sz w:val="18"/>
                <w:szCs w:val="18"/>
                <w:lang w:val="es-CO" w:eastAsia="es-CO" w:bidi="ar-SA"/>
              </w:rPr>
              <w:t>*</w:t>
            </w:r>
          </w:p>
        </w:tc>
        <w:tc>
          <w:tcPr>
            <w:tcW w:w="169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textAlignment w:val="auto"/>
            </w:pPr>
            <w:r>
              <w:rPr>
                <w:rFonts w:ascii="Work Sans" w:hAnsi="Work Sans" w:cs="Times New Roman"/>
                <w:bCs/>
                <w:i/>
                <w:color w:val="221E1F"/>
                <w:kern w:val="0"/>
                <w:sz w:val="18"/>
                <w:szCs w:val="18"/>
                <w:lang w:val="es-CO" w:eastAsia="es-CO" w:bidi="ar-SA"/>
              </w:rPr>
              <w:t>Peaje Boquerón</w:t>
            </w:r>
          </w:p>
          <w:p w:rsidR="002B74B7" w:rsidRDefault="00000000">
            <w:pPr>
              <w:widowControl/>
              <w:spacing w:line="105" w:lineRule="atLeast"/>
              <w:textAlignment w:val="auto"/>
            </w:pPr>
            <w:r>
              <w:rPr>
                <w:rFonts w:ascii="Work Sans" w:hAnsi="Work Sans" w:cs="Times New Roman"/>
                <w:bCs/>
                <w:i/>
                <w:color w:val="221E1F"/>
                <w:kern w:val="0"/>
                <w:sz w:val="18"/>
                <w:szCs w:val="18"/>
                <w:lang w:val="es-CO" w:eastAsia="es-CO" w:bidi="ar-SA"/>
              </w:rPr>
              <w:t>I y Boquerón II</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12.900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7.800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9.200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lastRenderedPageBreak/>
              <w:t>Categoría II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25.700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20.700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27.600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III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17.500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15.600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13.800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IV</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30.800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30.800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36.700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33.500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35.800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41.300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51.400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41.300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45.900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66.600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45.900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55.100</w:t>
            </w:r>
          </w:p>
        </w:tc>
      </w:tr>
    </w:tbl>
    <w:p w:rsidR="002B74B7" w:rsidRDefault="00000000">
      <w:pPr>
        <w:widowControl/>
        <w:jc w:val="both"/>
        <w:textAlignment w:val="auto"/>
      </w:pPr>
      <w:r>
        <w:rPr>
          <w:rFonts w:ascii="Work Sans" w:hAnsi="Work Sans" w:cs="Times New Roman"/>
          <w:i/>
          <w:color w:val="000000"/>
          <w:kern w:val="0"/>
          <w:sz w:val="18"/>
          <w:szCs w:val="18"/>
          <w:lang w:val="es-CO" w:eastAsia="es-CO" w:bidi="ar-SA"/>
        </w:rPr>
        <w:t> </w:t>
      </w:r>
    </w:p>
    <w:p w:rsidR="002B74B7" w:rsidRDefault="00000000">
      <w:pPr>
        <w:widowControl/>
        <w:ind w:left="426" w:right="481"/>
        <w:jc w:val="both"/>
        <w:textAlignment w:val="auto"/>
      </w:pPr>
      <w:r>
        <w:rPr>
          <w:rFonts w:ascii="Work Sans" w:hAnsi="Work Sans" w:cs="Times New Roman"/>
          <w:i/>
          <w:color w:val="221E1F"/>
          <w:kern w:val="0"/>
          <w:sz w:val="18"/>
          <w:szCs w:val="18"/>
          <w:lang w:val="es-CO" w:eastAsia="es-CO" w:bidi="ar-SA"/>
        </w:rPr>
        <w:t>*Las tarifas no incluyen el valor del Fondo de Seguridad Vial y ninguna otra sobretasa o similar.</w:t>
      </w:r>
    </w:p>
    <w:p w:rsidR="002B74B7" w:rsidRDefault="00000000">
      <w:pPr>
        <w:widowControl/>
        <w:ind w:left="426" w:right="481"/>
        <w:jc w:val="both"/>
        <w:textAlignment w:val="auto"/>
      </w:pPr>
      <w:r>
        <w:rPr>
          <w:rFonts w:ascii="Work Sans" w:hAnsi="Work Sans" w:cs="Times New Roman"/>
          <w:i/>
          <w:color w:val="221E1F"/>
          <w:kern w:val="0"/>
          <w:sz w:val="18"/>
          <w:szCs w:val="18"/>
          <w:lang w:val="es-CO" w:eastAsia="es-CO" w:bidi="ar-SA"/>
        </w:rPr>
        <w:t> </w:t>
      </w:r>
    </w:p>
    <w:p w:rsidR="002B74B7" w:rsidRDefault="00000000">
      <w:pPr>
        <w:widowControl/>
        <w:ind w:left="426" w:right="481"/>
        <w:jc w:val="both"/>
        <w:textAlignment w:val="auto"/>
      </w:pPr>
      <w:r>
        <w:rPr>
          <w:rFonts w:ascii="Work Sans" w:hAnsi="Work Sans" w:cs="Times New Roman"/>
          <w:bCs/>
          <w:i/>
          <w:color w:val="221E1F"/>
          <w:kern w:val="0"/>
          <w:sz w:val="18"/>
          <w:szCs w:val="18"/>
          <w:lang w:val="es-CO" w:eastAsia="es-CO" w:bidi="ar-SA"/>
        </w:rPr>
        <w:t>Tarifas a cobrar a partir del 16 de enero del 2018 y hasta el 15 de enero de 2019</w:t>
      </w:r>
    </w:p>
    <w:p w:rsidR="002B74B7" w:rsidRDefault="00000000">
      <w:pPr>
        <w:widowControl/>
        <w:ind w:left="426" w:right="481"/>
        <w:textAlignment w:val="auto"/>
        <w:rPr>
          <w:rFonts w:ascii="Work Sans" w:hAnsi="Work Sans" w:cs="Times New Roman"/>
          <w:i/>
          <w:color w:val="000000"/>
          <w:kern w:val="0"/>
          <w:sz w:val="18"/>
          <w:szCs w:val="18"/>
          <w:lang w:val="es-CO" w:eastAsia="es-CO" w:bidi="ar-SA"/>
        </w:rPr>
      </w:pPr>
      <w:r>
        <w:rPr>
          <w:rFonts w:ascii="Work Sans" w:hAnsi="Work Sans" w:cs="Times New Roman"/>
          <w:i/>
          <w:color w:val="000000"/>
          <w:kern w:val="0"/>
          <w:sz w:val="18"/>
          <w:szCs w:val="18"/>
          <w:lang w:val="es-CO" w:eastAsia="es-CO" w:bidi="ar-SA"/>
        </w:rPr>
        <w:t> </w:t>
      </w:r>
    </w:p>
    <w:tbl>
      <w:tblPr>
        <w:tblW w:w="6793" w:type="dxa"/>
        <w:jc w:val="center"/>
        <w:tblCellMar>
          <w:left w:w="10" w:type="dxa"/>
          <w:right w:w="10" w:type="dxa"/>
        </w:tblCellMar>
        <w:tblLook w:val="0000" w:firstRow="0" w:lastRow="0" w:firstColumn="0" w:lastColumn="0" w:noHBand="0" w:noVBand="0"/>
      </w:tblPr>
      <w:tblGrid>
        <w:gridCol w:w="1698"/>
        <w:gridCol w:w="1698"/>
        <w:gridCol w:w="1698"/>
        <w:gridCol w:w="1699"/>
      </w:tblGrid>
      <w:tr w:rsidR="002B74B7">
        <w:tblPrEx>
          <w:tblCellMar>
            <w:top w:w="0" w:type="dxa"/>
            <w:bottom w:w="0" w:type="dxa"/>
          </w:tblCellMar>
        </w:tblPrEx>
        <w:trPr>
          <w:trHeight w:val="720"/>
          <w:jc w:val="center"/>
        </w:trPr>
        <w:tc>
          <w:tcPr>
            <w:tcW w:w="1698"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textAlignment w:val="auto"/>
            </w:pPr>
            <w:r>
              <w:rPr>
                <w:rFonts w:ascii="Work Sans" w:hAnsi="Work Sans" w:cs="Times New Roman"/>
                <w:bCs/>
                <w:i/>
                <w:color w:val="221E1F"/>
                <w:kern w:val="0"/>
                <w:sz w:val="18"/>
                <w:szCs w:val="18"/>
                <w:lang w:val="es-CO" w:eastAsia="es-CO" w:bidi="ar-SA"/>
              </w:rPr>
              <w:t>Categoría</w:t>
            </w:r>
          </w:p>
        </w:tc>
        <w:tc>
          <w:tcPr>
            <w:tcW w:w="5095"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jc w:val="center"/>
              <w:textAlignment w:val="auto"/>
            </w:pPr>
            <w:r>
              <w:rPr>
                <w:rFonts w:ascii="Work Sans" w:hAnsi="Work Sans" w:cs="Times New Roman"/>
                <w:bCs/>
                <w:i/>
                <w:color w:val="221E1F"/>
                <w:kern w:val="0"/>
                <w:sz w:val="18"/>
                <w:szCs w:val="18"/>
                <w:lang w:val="es-CO" w:eastAsia="es-CO" w:bidi="ar-SA"/>
              </w:rPr>
              <w:t>Tabla B</w:t>
            </w:r>
          </w:p>
          <w:p w:rsidR="002B74B7" w:rsidRDefault="00000000">
            <w:pPr>
              <w:widowControl/>
              <w:jc w:val="center"/>
              <w:textAlignment w:val="auto"/>
            </w:pPr>
            <w:r>
              <w:rPr>
                <w:rFonts w:ascii="Work Sans" w:hAnsi="Work Sans" w:cs="Times New Roman"/>
                <w:bCs/>
                <w:i/>
                <w:color w:val="221E1F"/>
                <w:kern w:val="0"/>
                <w:sz w:val="18"/>
                <w:szCs w:val="18"/>
                <w:lang w:val="es-CO" w:eastAsia="es-CO" w:bidi="ar-SA"/>
              </w:rPr>
              <w:t>Tarifas desde el 16 de enero del 2018 y hasta el 15 de enero de 2019 (No incluye FSV) pesos de diciembre de 2013</w:t>
            </w:r>
          </w:p>
        </w:tc>
      </w:tr>
      <w:tr w:rsidR="002B74B7">
        <w:tblPrEx>
          <w:tblCellMar>
            <w:top w:w="0" w:type="dxa"/>
            <w:bottom w:w="0" w:type="dxa"/>
          </w:tblCellMar>
        </w:tblPrEx>
        <w:trPr>
          <w:trHeight w:val="105"/>
          <w:jc w:val="center"/>
        </w:trPr>
        <w:tc>
          <w:tcPr>
            <w:tcW w:w="1698"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2B74B7">
            <w:pPr>
              <w:widowControl/>
              <w:textAlignment w:val="auto"/>
              <w:rPr>
                <w:rFonts w:ascii="Work Sans" w:hAnsi="Work Sans" w:cs="Times New Roman"/>
                <w:i/>
                <w:kern w:val="0"/>
                <w:sz w:val="18"/>
                <w:szCs w:val="18"/>
                <w:lang w:val="es-CO" w:eastAsia="es-CO" w:bidi="ar-SA"/>
              </w:rPr>
            </w:pP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w:t>
            </w:r>
            <w:proofErr w:type="spellStart"/>
            <w:r>
              <w:rPr>
                <w:rFonts w:ascii="Work Sans" w:hAnsi="Work Sans" w:cs="Times New Roman"/>
                <w:bCs/>
                <w:i/>
                <w:color w:val="221E1F"/>
                <w:kern w:val="0"/>
                <w:sz w:val="18"/>
                <w:szCs w:val="18"/>
                <w:lang w:val="es-CO" w:eastAsia="es-CO" w:bidi="ar-SA"/>
              </w:rPr>
              <w:t>Pipiral</w:t>
            </w:r>
            <w:proofErr w:type="spellEnd"/>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Puente </w:t>
            </w:r>
            <w:proofErr w:type="spellStart"/>
            <w:r>
              <w:rPr>
                <w:rFonts w:ascii="Work Sans" w:hAnsi="Work Sans" w:cs="Times New Roman"/>
                <w:bCs/>
                <w:i/>
                <w:color w:val="221E1F"/>
                <w:kern w:val="0"/>
                <w:sz w:val="18"/>
                <w:szCs w:val="18"/>
                <w:lang w:val="es-CO" w:eastAsia="es-CO" w:bidi="ar-SA"/>
              </w:rPr>
              <w:t>Quetame</w:t>
            </w:r>
            <w:proofErr w:type="spellEnd"/>
            <w:r>
              <w:rPr>
                <w:rFonts w:ascii="Work Sans" w:hAnsi="Work Sans" w:cs="Times New Roman"/>
                <w:bCs/>
                <w:i/>
                <w:color w:val="221E1F"/>
                <w:kern w:val="0"/>
                <w:sz w:val="18"/>
                <w:szCs w:val="18"/>
                <w:lang w:val="es-CO" w:eastAsia="es-CO" w:bidi="ar-SA"/>
              </w:rPr>
              <w:t xml:space="preserve"> *</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jc w:val="center"/>
              <w:textAlignment w:val="auto"/>
            </w:pPr>
            <w:r>
              <w:rPr>
                <w:rFonts w:ascii="Work Sans" w:hAnsi="Work Sans" w:cs="Times New Roman"/>
                <w:bCs/>
                <w:i/>
                <w:color w:val="221E1F"/>
                <w:kern w:val="0"/>
                <w:sz w:val="18"/>
                <w:szCs w:val="18"/>
                <w:lang w:val="es-CO" w:eastAsia="es-CO" w:bidi="ar-SA"/>
              </w:rPr>
              <w:t>Peaje Boquerón I</w:t>
            </w:r>
          </w:p>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y Boquerón II</w:t>
            </w:r>
          </w:p>
        </w:tc>
      </w:tr>
      <w:tr w:rsidR="002B74B7">
        <w:tblPrEx>
          <w:tblCellMar>
            <w:top w:w="0" w:type="dxa"/>
            <w:bottom w:w="0" w:type="dxa"/>
          </w:tblCellMar>
        </w:tblPrEx>
        <w:trPr>
          <w:trHeight w:val="105"/>
          <w:jc w:val="center"/>
        </w:trPr>
        <w:tc>
          <w:tcPr>
            <w:tcW w:w="169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13.200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8.000</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9.400</w:t>
            </w:r>
          </w:p>
        </w:tc>
      </w:tr>
      <w:tr w:rsidR="002B74B7">
        <w:tblPrEx>
          <w:tblCellMar>
            <w:top w:w="0" w:type="dxa"/>
            <w:bottom w:w="0" w:type="dxa"/>
          </w:tblCellMar>
        </w:tblPrEx>
        <w:trPr>
          <w:trHeight w:val="105"/>
          <w:jc w:val="center"/>
        </w:trPr>
        <w:tc>
          <w:tcPr>
            <w:tcW w:w="169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II</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26.200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21.100</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28.200</w:t>
            </w:r>
          </w:p>
        </w:tc>
      </w:tr>
      <w:tr w:rsidR="002B74B7">
        <w:tblPrEx>
          <w:tblCellMar>
            <w:top w:w="0" w:type="dxa"/>
            <w:bottom w:w="0" w:type="dxa"/>
          </w:tblCellMar>
        </w:tblPrEx>
        <w:trPr>
          <w:trHeight w:val="105"/>
          <w:jc w:val="center"/>
        </w:trPr>
        <w:tc>
          <w:tcPr>
            <w:tcW w:w="169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III</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17.900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15.900</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14.100</w:t>
            </w:r>
          </w:p>
        </w:tc>
      </w:tr>
      <w:tr w:rsidR="002B74B7">
        <w:tblPrEx>
          <w:tblCellMar>
            <w:top w:w="0" w:type="dxa"/>
            <w:bottom w:w="0" w:type="dxa"/>
          </w:tblCellMar>
        </w:tblPrEx>
        <w:trPr>
          <w:trHeight w:val="105"/>
          <w:jc w:val="center"/>
        </w:trPr>
        <w:tc>
          <w:tcPr>
            <w:tcW w:w="169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IV</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31.400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31.400</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37.400</w:t>
            </w:r>
          </w:p>
        </w:tc>
      </w:tr>
      <w:tr w:rsidR="002B74B7">
        <w:tblPrEx>
          <w:tblCellMar>
            <w:top w:w="0" w:type="dxa"/>
            <w:bottom w:w="0" w:type="dxa"/>
          </w:tblCellMar>
        </w:tblPrEx>
        <w:trPr>
          <w:trHeight w:val="105"/>
          <w:jc w:val="center"/>
        </w:trPr>
        <w:tc>
          <w:tcPr>
            <w:tcW w:w="169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34.200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36.500</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42.100</w:t>
            </w:r>
          </w:p>
        </w:tc>
      </w:tr>
      <w:tr w:rsidR="002B74B7">
        <w:tblPrEx>
          <w:tblCellMar>
            <w:top w:w="0" w:type="dxa"/>
            <w:bottom w:w="0" w:type="dxa"/>
          </w:tblCellMar>
        </w:tblPrEx>
        <w:trPr>
          <w:trHeight w:val="105"/>
          <w:jc w:val="center"/>
        </w:trPr>
        <w:tc>
          <w:tcPr>
            <w:tcW w:w="169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52.400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42.100</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46.800</w:t>
            </w:r>
          </w:p>
        </w:tc>
      </w:tr>
      <w:tr w:rsidR="002B74B7">
        <w:tblPrEx>
          <w:tblCellMar>
            <w:top w:w="0" w:type="dxa"/>
            <w:bottom w:w="0" w:type="dxa"/>
          </w:tblCellMar>
        </w:tblPrEx>
        <w:trPr>
          <w:trHeight w:val="105"/>
          <w:jc w:val="center"/>
        </w:trPr>
        <w:tc>
          <w:tcPr>
            <w:tcW w:w="169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VII</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67.900</w:t>
            </w:r>
          </w:p>
        </w:tc>
        <w:tc>
          <w:tcPr>
            <w:tcW w:w="1698"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46.800</w:t>
            </w:r>
          </w:p>
        </w:tc>
        <w:tc>
          <w:tcPr>
            <w:tcW w:w="1699"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56.200</w:t>
            </w:r>
          </w:p>
        </w:tc>
      </w:tr>
    </w:tbl>
    <w:p w:rsidR="002B74B7" w:rsidRDefault="00000000">
      <w:pPr>
        <w:widowControl/>
        <w:jc w:val="both"/>
        <w:textAlignment w:val="auto"/>
      </w:pPr>
      <w:r>
        <w:rPr>
          <w:rFonts w:ascii="Work Sans" w:hAnsi="Work Sans" w:cs="Times New Roman"/>
          <w:i/>
          <w:color w:val="000000"/>
          <w:kern w:val="0"/>
          <w:sz w:val="18"/>
          <w:szCs w:val="18"/>
          <w:lang w:val="es-CO" w:eastAsia="es-CO" w:bidi="ar-SA"/>
        </w:rPr>
        <w:t> </w:t>
      </w:r>
    </w:p>
    <w:p w:rsidR="002B74B7" w:rsidRDefault="00000000">
      <w:pPr>
        <w:widowControl/>
        <w:ind w:left="426" w:right="481"/>
        <w:jc w:val="both"/>
        <w:textAlignment w:val="auto"/>
      </w:pPr>
      <w:r>
        <w:rPr>
          <w:rFonts w:ascii="Work Sans" w:hAnsi="Work Sans" w:cs="Times New Roman"/>
          <w:i/>
          <w:color w:val="221E1F"/>
          <w:kern w:val="0"/>
          <w:sz w:val="18"/>
          <w:szCs w:val="18"/>
          <w:lang w:val="es-CO" w:eastAsia="es-CO" w:bidi="ar-SA"/>
        </w:rPr>
        <w:t>*Las tarifas no incluyen el valor del Fondo de Seguridad Vial y ninguna otra sobretasa o similar</w:t>
      </w:r>
    </w:p>
    <w:p w:rsidR="002B74B7" w:rsidRDefault="00000000">
      <w:pPr>
        <w:widowControl/>
        <w:ind w:left="426" w:right="481"/>
        <w:jc w:val="both"/>
        <w:textAlignment w:val="auto"/>
      </w:pPr>
      <w:r>
        <w:rPr>
          <w:rFonts w:ascii="Work Sans" w:hAnsi="Work Sans" w:cs="Times New Roman"/>
          <w:i/>
          <w:color w:val="221E1F"/>
          <w:kern w:val="0"/>
          <w:sz w:val="18"/>
          <w:szCs w:val="18"/>
          <w:lang w:val="es-CO" w:eastAsia="es-CO" w:bidi="ar-SA"/>
        </w:rPr>
        <w:t> </w:t>
      </w:r>
    </w:p>
    <w:p w:rsidR="002B74B7" w:rsidRDefault="00000000">
      <w:pPr>
        <w:widowControl/>
        <w:ind w:left="426" w:right="481"/>
        <w:jc w:val="both"/>
        <w:textAlignment w:val="auto"/>
      </w:pPr>
      <w:r>
        <w:rPr>
          <w:rFonts w:ascii="Work Sans" w:hAnsi="Work Sans" w:cs="Times New Roman"/>
          <w:bCs/>
          <w:i/>
          <w:color w:val="221E1F"/>
          <w:kern w:val="0"/>
          <w:sz w:val="18"/>
          <w:szCs w:val="18"/>
          <w:lang w:val="es-CO" w:eastAsia="es-CO" w:bidi="ar-SA"/>
        </w:rPr>
        <w:t>Tarifas a cobrar a partir del 16 de enero del 2019 y hasta el 15 de enero de 2020</w:t>
      </w:r>
    </w:p>
    <w:p w:rsidR="002B74B7" w:rsidRDefault="00000000">
      <w:pPr>
        <w:widowControl/>
        <w:ind w:left="426" w:right="481"/>
        <w:textAlignment w:val="auto"/>
        <w:rPr>
          <w:rFonts w:ascii="Work Sans" w:hAnsi="Work Sans" w:cs="Times New Roman"/>
          <w:i/>
          <w:color w:val="000000"/>
          <w:kern w:val="0"/>
          <w:sz w:val="18"/>
          <w:szCs w:val="18"/>
          <w:lang w:val="es-CO" w:eastAsia="es-CO" w:bidi="ar-SA"/>
        </w:rPr>
      </w:pPr>
      <w:r>
        <w:rPr>
          <w:rFonts w:ascii="Work Sans" w:hAnsi="Work Sans" w:cs="Times New Roman"/>
          <w:i/>
          <w:color w:val="000000"/>
          <w:kern w:val="0"/>
          <w:sz w:val="18"/>
          <w:szCs w:val="18"/>
          <w:lang w:val="es-CO" w:eastAsia="es-CO" w:bidi="ar-SA"/>
        </w:rPr>
        <w:t> </w:t>
      </w:r>
    </w:p>
    <w:tbl>
      <w:tblPr>
        <w:tblW w:w="6828" w:type="dxa"/>
        <w:jc w:val="center"/>
        <w:tblCellMar>
          <w:left w:w="10" w:type="dxa"/>
          <w:right w:w="10" w:type="dxa"/>
        </w:tblCellMar>
        <w:tblLook w:val="0000" w:firstRow="0" w:lastRow="0" w:firstColumn="0" w:lastColumn="0" w:noHBand="0" w:noVBand="0"/>
      </w:tblPr>
      <w:tblGrid>
        <w:gridCol w:w="1697"/>
        <w:gridCol w:w="1697"/>
        <w:gridCol w:w="1697"/>
        <w:gridCol w:w="1737"/>
      </w:tblGrid>
      <w:tr w:rsidR="002B74B7">
        <w:tblPrEx>
          <w:tblCellMar>
            <w:top w:w="0" w:type="dxa"/>
            <w:bottom w:w="0" w:type="dxa"/>
          </w:tblCellMar>
        </w:tblPrEx>
        <w:trPr>
          <w:trHeight w:val="720"/>
          <w:jc w:val="center"/>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textAlignment w:val="auto"/>
            </w:pPr>
            <w:r>
              <w:rPr>
                <w:rFonts w:ascii="Work Sans" w:hAnsi="Work Sans" w:cs="Times New Roman"/>
                <w:bCs/>
                <w:i/>
                <w:color w:val="221E1F"/>
                <w:kern w:val="0"/>
                <w:sz w:val="18"/>
                <w:szCs w:val="18"/>
                <w:lang w:val="es-CO" w:eastAsia="es-CO" w:bidi="ar-SA"/>
              </w:rPr>
              <w:t>Categoría</w:t>
            </w:r>
          </w:p>
        </w:tc>
        <w:tc>
          <w:tcPr>
            <w:tcW w:w="5131"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jc w:val="center"/>
              <w:textAlignment w:val="auto"/>
            </w:pPr>
            <w:r>
              <w:rPr>
                <w:rFonts w:ascii="Work Sans" w:hAnsi="Work Sans" w:cs="Times New Roman"/>
                <w:bCs/>
                <w:i/>
                <w:color w:val="221E1F"/>
                <w:kern w:val="0"/>
                <w:sz w:val="18"/>
                <w:szCs w:val="18"/>
                <w:lang w:val="es-CO" w:eastAsia="es-CO" w:bidi="ar-SA"/>
              </w:rPr>
              <w:t>Tabla C</w:t>
            </w:r>
          </w:p>
          <w:p w:rsidR="002B74B7" w:rsidRDefault="00000000">
            <w:pPr>
              <w:widowControl/>
              <w:jc w:val="center"/>
              <w:textAlignment w:val="auto"/>
            </w:pPr>
            <w:r>
              <w:rPr>
                <w:rFonts w:ascii="Work Sans" w:hAnsi="Work Sans" w:cs="Times New Roman"/>
                <w:bCs/>
                <w:i/>
                <w:color w:val="221E1F"/>
                <w:kern w:val="0"/>
                <w:sz w:val="18"/>
                <w:szCs w:val="18"/>
                <w:lang w:val="es-CO" w:eastAsia="es-CO" w:bidi="ar-SA"/>
              </w:rPr>
              <w:t>Tarifas desde el 16 de enero del 2019 y hasta el 15 de enero de2020 (No incluye FSV) pesos de diciembre de 2013</w:t>
            </w:r>
          </w:p>
        </w:tc>
      </w:tr>
      <w:tr w:rsidR="002B74B7">
        <w:tblPrEx>
          <w:tblCellMar>
            <w:top w:w="0" w:type="dxa"/>
            <w:bottom w:w="0" w:type="dxa"/>
          </w:tblCellMar>
        </w:tblPrEx>
        <w:trPr>
          <w:trHeight w:val="105"/>
          <w:jc w:val="center"/>
        </w:trPr>
        <w:tc>
          <w:tcPr>
            <w:tcW w:w="1697"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2B74B7">
            <w:pPr>
              <w:widowControl/>
              <w:textAlignment w:val="auto"/>
              <w:rPr>
                <w:rFonts w:ascii="Work Sans" w:hAnsi="Work Sans" w:cs="Times New Roman"/>
                <w:i/>
                <w:kern w:val="0"/>
                <w:sz w:val="18"/>
                <w:szCs w:val="18"/>
                <w:lang w:val="es-CO" w:eastAsia="es-CO" w:bidi="ar-SA"/>
              </w:rPr>
            </w:pP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w:t>
            </w:r>
            <w:proofErr w:type="spellStart"/>
            <w:r>
              <w:rPr>
                <w:rFonts w:ascii="Work Sans" w:hAnsi="Work Sans" w:cs="Times New Roman"/>
                <w:bCs/>
                <w:i/>
                <w:color w:val="221E1F"/>
                <w:kern w:val="0"/>
                <w:sz w:val="18"/>
                <w:szCs w:val="18"/>
                <w:lang w:val="es-CO" w:eastAsia="es-CO" w:bidi="ar-SA"/>
              </w:rPr>
              <w:t>Pipiral</w:t>
            </w:r>
            <w:proofErr w:type="spellEnd"/>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Puente </w:t>
            </w:r>
            <w:proofErr w:type="spellStart"/>
            <w:r>
              <w:rPr>
                <w:rFonts w:ascii="Work Sans" w:hAnsi="Work Sans" w:cs="Times New Roman"/>
                <w:bCs/>
                <w:i/>
                <w:color w:val="221E1F"/>
                <w:kern w:val="0"/>
                <w:sz w:val="18"/>
                <w:szCs w:val="18"/>
                <w:lang w:val="es-CO" w:eastAsia="es-CO" w:bidi="ar-SA"/>
              </w:rPr>
              <w:t>Quetame</w:t>
            </w:r>
            <w:proofErr w:type="spellEnd"/>
            <w:r>
              <w:rPr>
                <w:rFonts w:ascii="Work Sans" w:hAnsi="Work Sans" w:cs="Times New Roman"/>
                <w:bCs/>
                <w:i/>
                <w:color w:val="221E1F"/>
                <w:kern w:val="0"/>
                <w:sz w:val="18"/>
                <w:szCs w:val="18"/>
                <w:lang w:val="es-CO" w:eastAsia="es-CO" w:bidi="ar-SA"/>
              </w:rPr>
              <w:t xml:space="preserve"> *</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jc w:val="center"/>
              <w:textAlignment w:val="auto"/>
            </w:pPr>
            <w:r>
              <w:rPr>
                <w:rFonts w:ascii="Work Sans" w:hAnsi="Work Sans" w:cs="Times New Roman"/>
                <w:bCs/>
                <w:i/>
                <w:color w:val="221E1F"/>
                <w:kern w:val="0"/>
                <w:sz w:val="18"/>
                <w:szCs w:val="18"/>
                <w:lang w:val="es-CO" w:eastAsia="es-CO" w:bidi="ar-SA"/>
              </w:rPr>
              <w:t>Peaje Boquerón I</w:t>
            </w:r>
          </w:p>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y Boquerón II</w:t>
            </w:r>
          </w:p>
        </w:tc>
      </w:tr>
      <w:tr w:rsidR="002B74B7">
        <w:tblPrEx>
          <w:tblCellMar>
            <w:top w:w="0" w:type="dxa"/>
            <w:bottom w:w="0" w:type="dxa"/>
          </w:tblCellMar>
        </w:tblPrEx>
        <w:trPr>
          <w:trHeight w:val="105"/>
          <w:jc w:val="center"/>
        </w:trPr>
        <w:tc>
          <w:tcPr>
            <w:tcW w:w="16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13.600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8.200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9.700</w:t>
            </w:r>
          </w:p>
        </w:tc>
      </w:tr>
      <w:tr w:rsidR="002B74B7">
        <w:tblPrEx>
          <w:tblCellMar>
            <w:top w:w="0" w:type="dxa"/>
            <w:bottom w:w="0" w:type="dxa"/>
          </w:tblCellMar>
        </w:tblPrEx>
        <w:trPr>
          <w:trHeight w:val="105"/>
          <w:jc w:val="center"/>
        </w:trPr>
        <w:tc>
          <w:tcPr>
            <w:tcW w:w="16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II</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27.000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21.700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29.000</w:t>
            </w:r>
          </w:p>
        </w:tc>
      </w:tr>
      <w:tr w:rsidR="002B74B7">
        <w:tblPrEx>
          <w:tblCellMar>
            <w:top w:w="0" w:type="dxa"/>
            <w:bottom w:w="0" w:type="dxa"/>
          </w:tblCellMar>
        </w:tblPrEx>
        <w:trPr>
          <w:trHeight w:val="105"/>
          <w:jc w:val="center"/>
        </w:trPr>
        <w:tc>
          <w:tcPr>
            <w:tcW w:w="16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In</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18.400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16.400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14.500</w:t>
            </w:r>
          </w:p>
        </w:tc>
      </w:tr>
      <w:tr w:rsidR="002B74B7">
        <w:tblPrEx>
          <w:tblCellMar>
            <w:top w:w="0" w:type="dxa"/>
            <w:bottom w:w="0" w:type="dxa"/>
          </w:tblCellMar>
        </w:tblPrEx>
        <w:trPr>
          <w:trHeight w:val="105"/>
          <w:jc w:val="center"/>
        </w:trPr>
        <w:tc>
          <w:tcPr>
            <w:tcW w:w="16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IV</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32.300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32.300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38.500</w:t>
            </w:r>
          </w:p>
        </w:tc>
      </w:tr>
      <w:tr w:rsidR="002B74B7">
        <w:tblPrEx>
          <w:tblCellMar>
            <w:top w:w="0" w:type="dxa"/>
            <w:bottom w:w="0" w:type="dxa"/>
          </w:tblCellMar>
        </w:tblPrEx>
        <w:trPr>
          <w:trHeight w:val="105"/>
          <w:jc w:val="center"/>
        </w:trPr>
        <w:tc>
          <w:tcPr>
            <w:tcW w:w="16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35.200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37.600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43.400</w:t>
            </w:r>
          </w:p>
        </w:tc>
      </w:tr>
      <w:tr w:rsidR="002B74B7">
        <w:tblPrEx>
          <w:tblCellMar>
            <w:top w:w="0" w:type="dxa"/>
            <w:bottom w:w="0" w:type="dxa"/>
          </w:tblCellMar>
        </w:tblPrEx>
        <w:trPr>
          <w:trHeight w:val="105"/>
          <w:jc w:val="center"/>
        </w:trPr>
        <w:tc>
          <w:tcPr>
            <w:tcW w:w="16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54.000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43.400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48.200</w:t>
            </w:r>
          </w:p>
        </w:tc>
      </w:tr>
      <w:tr w:rsidR="002B74B7">
        <w:tblPrEx>
          <w:tblCellMar>
            <w:top w:w="0" w:type="dxa"/>
            <w:bottom w:w="0" w:type="dxa"/>
          </w:tblCellMar>
        </w:tblPrEx>
        <w:trPr>
          <w:trHeight w:val="105"/>
          <w:jc w:val="center"/>
        </w:trPr>
        <w:tc>
          <w:tcPr>
            <w:tcW w:w="169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VII</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69.900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48.200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57.900</w:t>
            </w:r>
          </w:p>
        </w:tc>
      </w:tr>
    </w:tbl>
    <w:p w:rsidR="002B74B7" w:rsidRDefault="00000000">
      <w:pPr>
        <w:widowControl/>
        <w:jc w:val="both"/>
        <w:textAlignment w:val="auto"/>
      </w:pPr>
      <w:r>
        <w:rPr>
          <w:rFonts w:ascii="Work Sans" w:hAnsi="Work Sans" w:cs="Times New Roman"/>
          <w:i/>
          <w:color w:val="000000"/>
          <w:kern w:val="0"/>
          <w:sz w:val="18"/>
          <w:szCs w:val="18"/>
          <w:lang w:val="es-CO" w:eastAsia="es-CO" w:bidi="ar-SA"/>
        </w:rPr>
        <w:t> </w:t>
      </w:r>
    </w:p>
    <w:p w:rsidR="002B74B7" w:rsidRDefault="00000000">
      <w:pPr>
        <w:widowControl/>
        <w:ind w:left="426" w:right="481"/>
        <w:jc w:val="both"/>
        <w:textAlignment w:val="auto"/>
      </w:pPr>
      <w:r>
        <w:rPr>
          <w:rFonts w:ascii="Work Sans" w:hAnsi="Work Sans" w:cs="Times New Roman"/>
          <w:i/>
          <w:color w:val="221E1F"/>
          <w:kern w:val="0"/>
          <w:sz w:val="18"/>
          <w:szCs w:val="18"/>
          <w:lang w:val="es-CO" w:eastAsia="es-CO" w:bidi="ar-SA"/>
        </w:rPr>
        <w:t>*Las tarifas no incluyen el valor del Fondo de Seguridad Vial y ninguna otra sobretasa o similar</w:t>
      </w:r>
    </w:p>
    <w:p w:rsidR="002B74B7" w:rsidRDefault="00000000">
      <w:pPr>
        <w:widowControl/>
        <w:ind w:left="426" w:right="481"/>
        <w:jc w:val="both"/>
        <w:textAlignment w:val="auto"/>
      </w:pPr>
      <w:r>
        <w:rPr>
          <w:rFonts w:ascii="Work Sans" w:hAnsi="Work Sans" w:cs="Times New Roman"/>
          <w:i/>
          <w:color w:val="221E1F"/>
          <w:kern w:val="0"/>
          <w:sz w:val="18"/>
          <w:szCs w:val="18"/>
          <w:lang w:val="es-CO" w:eastAsia="es-CO" w:bidi="ar-SA"/>
        </w:rPr>
        <w:t> </w:t>
      </w:r>
    </w:p>
    <w:p w:rsidR="002B74B7" w:rsidRDefault="00000000">
      <w:pPr>
        <w:widowControl/>
        <w:ind w:left="426" w:right="481"/>
        <w:jc w:val="both"/>
        <w:textAlignment w:val="auto"/>
      </w:pPr>
      <w:r>
        <w:rPr>
          <w:rFonts w:ascii="Work Sans" w:hAnsi="Work Sans" w:cs="Times New Roman"/>
          <w:bCs/>
          <w:i/>
          <w:color w:val="221E1F"/>
          <w:kern w:val="0"/>
          <w:sz w:val="18"/>
          <w:szCs w:val="18"/>
          <w:lang w:val="es-CO" w:eastAsia="es-CO" w:bidi="ar-SA"/>
        </w:rPr>
        <w:lastRenderedPageBreak/>
        <w:t>Tarifas a cobrar a partir del 16 de enero del 2020 y hasta el 15 de enero de 2021</w:t>
      </w:r>
    </w:p>
    <w:p w:rsidR="002B74B7" w:rsidRDefault="00000000">
      <w:pPr>
        <w:widowControl/>
        <w:ind w:left="426" w:right="481"/>
        <w:textAlignment w:val="auto"/>
        <w:rPr>
          <w:rFonts w:ascii="Work Sans" w:hAnsi="Work Sans" w:cs="Times New Roman"/>
          <w:i/>
          <w:color w:val="000000"/>
          <w:kern w:val="0"/>
          <w:sz w:val="18"/>
          <w:szCs w:val="18"/>
          <w:lang w:val="es-CO" w:eastAsia="es-CO" w:bidi="ar-SA"/>
        </w:rPr>
      </w:pPr>
      <w:r>
        <w:rPr>
          <w:rFonts w:ascii="Work Sans" w:hAnsi="Work Sans" w:cs="Times New Roman"/>
          <w:i/>
          <w:color w:val="000000"/>
          <w:kern w:val="0"/>
          <w:sz w:val="18"/>
          <w:szCs w:val="18"/>
          <w:lang w:val="es-CO" w:eastAsia="es-CO" w:bidi="ar-SA"/>
        </w:rPr>
        <w:t> </w:t>
      </w:r>
    </w:p>
    <w:tbl>
      <w:tblPr>
        <w:tblW w:w="6782" w:type="dxa"/>
        <w:jc w:val="center"/>
        <w:tblCellMar>
          <w:left w:w="10" w:type="dxa"/>
          <w:right w:w="10" w:type="dxa"/>
        </w:tblCellMar>
        <w:tblLook w:val="0000" w:firstRow="0" w:lastRow="0" w:firstColumn="0" w:lastColumn="0" w:noHBand="0" w:noVBand="0"/>
      </w:tblPr>
      <w:tblGrid>
        <w:gridCol w:w="1695"/>
        <w:gridCol w:w="1695"/>
        <w:gridCol w:w="1695"/>
        <w:gridCol w:w="1697"/>
      </w:tblGrid>
      <w:tr w:rsidR="002B74B7">
        <w:tblPrEx>
          <w:tblCellMar>
            <w:top w:w="0" w:type="dxa"/>
            <w:bottom w:w="0" w:type="dxa"/>
          </w:tblCellMar>
        </w:tblPrEx>
        <w:trPr>
          <w:trHeight w:val="105"/>
          <w:jc w:val="center"/>
        </w:trPr>
        <w:tc>
          <w:tcPr>
            <w:tcW w:w="16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bCs/>
                <w:i/>
                <w:color w:val="221E1F"/>
                <w:kern w:val="0"/>
                <w:sz w:val="18"/>
                <w:szCs w:val="18"/>
                <w:lang w:val="es-CO" w:eastAsia="es-CO" w:bidi="ar-SA"/>
              </w:rPr>
              <w:t>Categoría</w:t>
            </w:r>
          </w:p>
        </w:tc>
        <w:tc>
          <w:tcPr>
            <w:tcW w:w="5087"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jc w:val="center"/>
              <w:textAlignment w:val="auto"/>
            </w:pPr>
            <w:r>
              <w:rPr>
                <w:rFonts w:ascii="Work Sans" w:hAnsi="Work Sans" w:cs="Times New Roman"/>
                <w:bCs/>
                <w:i/>
                <w:color w:val="221E1F"/>
                <w:kern w:val="0"/>
                <w:sz w:val="18"/>
                <w:szCs w:val="18"/>
                <w:lang w:val="es-CO" w:eastAsia="es-CO" w:bidi="ar-SA"/>
              </w:rPr>
              <w:t>Tabla D</w:t>
            </w:r>
          </w:p>
          <w:p w:rsidR="002B74B7" w:rsidRDefault="00000000">
            <w:pPr>
              <w:widowControl/>
              <w:jc w:val="center"/>
              <w:textAlignment w:val="auto"/>
            </w:pPr>
            <w:r>
              <w:rPr>
                <w:rFonts w:ascii="Work Sans" w:hAnsi="Work Sans" w:cs="Times New Roman"/>
                <w:bCs/>
                <w:i/>
                <w:color w:val="221E1F"/>
                <w:kern w:val="0"/>
                <w:sz w:val="18"/>
                <w:szCs w:val="18"/>
                <w:lang w:val="es-CO" w:eastAsia="es-CO" w:bidi="ar-SA"/>
              </w:rPr>
              <w:t>Tarifas desde el 16 de enero del 2020 y hasta el 15 de enero de</w:t>
            </w:r>
          </w:p>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2021 (No incluye FSV) pesos de diciembre de 2013</w:t>
            </w:r>
          </w:p>
        </w:tc>
      </w:tr>
      <w:tr w:rsidR="002B74B7">
        <w:tblPrEx>
          <w:tblCellMar>
            <w:top w:w="0" w:type="dxa"/>
            <w:bottom w:w="0" w:type="dxa"/>
          </w:tblCellMar>
        </w:tblPrEx>
        <w:trPr>
          <w:trHeight w:val="105"/>
          <w:jc w:val="center"/>
        </w:trPr>
        <w:tc>
          <w:tcPr>
            <w:tcW w:w="169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2B74B7">
            <w:pPr>
              <w:widowControl/>
              <w:textAlignment w:val="auto"/>
              <w:rPr>
                <w:rFonts w:ascii="Work Sans" w:hAnsi="Work Sans" w:cs="Times New Roman"/>
                <w:i/>
                <w:kern w:val="0"/>
                <w:sz w:val="18"/>
                <w:szCs w:val="18"/>
                <w:lang w:val="es-CO" w:eastAsia="es-CO" w:bidi="ar-SA"/>
              </w:rPr>
            </w:pP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w:t>
            </w:r>
            <w:proofErr w:type="spellStart"/>
            <w:r>
              <w:rPr>
                <w:rFonts w:ascii="Work Sans" w:hAnsi="Work Sans" w:cs="Times New Roman"/>
                <w:bCs/>
                <w:i/>
                <w:color w:val="221E1F"/>
                <w:kern w:val="0"/>
                <w:sz w:val="18"/>
                <w:szCs w:val="18"/>
                <w:lang w:val="es-CO" w:eastAsia="es-CO" w:bidi="ar-SA"/>
              </w:rPr>
              <w:t>Pipiral</w:t>
            </w:r>
            <w:proofErr w:type="spellEnd"/>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Puente </w:t>
            </w:r>
            <w:proofErr w:type="spellStart"/>
            <w:r>
              <w:rPr>
                <w:rFonts w:ascii="Work Sans" w:hAnsi="Work Sans" w:cs="Times New Roman"/>
                <w:bCs/>
                <w:i/>
                <w:color w:val="221E1F"/>
                <w:kern w:val="0"/>
                <w:sz w:val="18"/>
                <w:szCs w:val="18"/>
                <w:lang w:val="es-CO" w:eastAsia="es-CO" w:bidi="ar-SA"/>
              </w:rPr>
              <w:t>Quetame</w:t>
            </w:r>
            <w:proofErr w:type="spellEnd"/>
            <w:r>
              <w:rPr>
                <w:rFonts w:ascii="Work Sans" w:hAnsi="Work Sans" w:cs="Times New Roman"/>
                <w:bCs/>
                <w:i/>
                <w:color w:val="221E1F"/>
                <w:kern w:val="0"/>
                <w:sz w:val="18"/>
                <w:szCs w:val="18"/>
                <w:lang w:val="es-CO" w:eastAsia="es-CO" w:bidi="ar-SA"/>
              </w:rPr>
              <w:t xml:space="preserve"> *</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textAlignment w:val="auto"/>
            </w:pPr>
            <w:r>
              <w:rPr>
                <w:rFonts w:ascii="Work Sans" w:hAnsi="Work Sans" w:cs="Times New Roman"/>
                <w:bCs/>
                <w:i/>
                <w:color w:val="221E1F"/>
                <w:kern w:val="0"/>
                <w:sz w:val="18"/>
                <w:szCs w:val="18"/>
                <w:lang w:val="es-CO" w:eastAsia="es-CO" w:bidi="ar-SA"/>
              </w:rPr>
              <w:t>Peaje Boquerón I</w:t>
            </w:r>
          </w:p>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y Boquerón 11</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14</w:t>
            </w:r>
            <w:r>
              <w:rPr>
                <w:rFonts w:ascii="Work Sans" w:hAnsi="Work Sans" w:cs="Times New Roman"/>
                <w:i/>
                <w:color w:val="565656"/>
                <w:kern w:val="0"/>
                <w:sz w:val="18"/>
                <w:szCs w:val="18"/>
                <w:lang w:val="es-CO" w:eastAsia="es-CO" w:bidi="ar-SA"/>
              </w:rPr>
              <w:t>.</w:t>
            </w:r>
            <w:r>
              <w:rPr>
                <w:rFonts w:ascii="Work Sans" w:hAnsi="Work Sans" w:cs="Times New Roman"/>
                <w:i/>
                <w:color w:val="221E1F"/>
                <w:kern w:val="0"/>
                <w:sz w:val="18"/>
                <w:szCs w:val="18"/>
                <w:lang w:val="es-CO" w:eastAsia="es-CO" w:bidi="ar-SA"/>
              </w:rPr>
              <w:t>000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8.400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10</w:t>
            </w:r>
            <w:r>
              <w:rPr>
                <w:rFonts w:ascii="Work Sans" w:hAnsi="Work Sans" w:cs="Times New Roman"/>
                <w:i/>
                <w:color w:val="565656"/>
                <w:kern w:val="0"/>
                <w:sz w:val="18"/>
                <w:szCs w:val="18"/>
                <w:lang w:val="es-CO" w:eastAsia="es-CO" w:bidi="ar-SA"/>
              </w:rPr>
              <w:t>.</w:t>
            </w:r>
            <w:r>
              <w:rPr>
                <w:rFonts w:ascii="Work Sans" w:hAnsi="Work Sans" w:cs="Times New Roman"/>
                <w:i/>
                <w:color w:val="221E1F"/>
                <w:kern w:val="0"/>
                <w:sz w:val="18"/>
                <w:szCs w:val="18"/>
                <w:lang w:val="es-CO" w:eastAsia="es-CO" w:bidi="ar-SA"/>
              </w:rPr>
              <w:t>000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27</w:t>
            </w:r>
            <w:r>
              <w:rPr>
                <w:rFonts w:ascii="Work Sans" w:hAnsi="Work Sans" w:cs="Times New Roman"/>
                <w:i/>
                <w:color w:val="565656"/>
                <w:kern w:val="0"/>
                <w:sz w:val="18"/>
                <w:szCs w:val="18"/>
                <w:lang w:val="es-CO" w:eastAsia="es-CO" w:bidi="ar-SA"/>
              </w:rPr>
              <w:t>.</w:t>
            </w:r>
            <w:r>
              <w:rPr>
                <w:rFonts w:ascii="Work Sans" w:hAnsi="Work Sans" w:cs="Times New Roman"/>
                <w:i/>
                <w:color w:val="221E1F"/>
                <w:kern w:val="0"/>
                <w:sz w:val="18"/>
                <w:szCs w:val="18"/>
                <w:lang w:val="es-CO" w:eastAsia="es-CO" w:bidi="ar-SA"/>
              </w:rPr>
              <w:t>800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22.400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29.900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III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19.000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16.900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14.900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IV</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33.300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33.300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39.700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36.300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38.700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44</w:t>
            </w:r>
            <w:r>
              <w:rPr>
                <w:rFonts w:ascii="Work Sans" w:hAnsi="Work Sans" w:cs="Times New Roman"/>
                <w:i/>
                <w:color w:val="565656"/>
                <w:kern w:val="0"/>
                <w:sz w:val="18"/>
                <w:szCs w:val="18"/>
                <w:lang w:val="es-CO" w:eastAsia="es-CO" w:bidi="ar-SA"/>
              </w:rPr>
              <w:t>.</w:t>
            </w:r>
            <w:r>
              <w:rPr>
                <w:rFonts w:ascii="Work Sans" w:hAnsi="Work Sans" w:cs="Times New Roman"/>
                <w:i/>
                <w:color w:val="221E1F"/>
                <w:kern w:val="0"/>
                <w:sz w:val="18"/>
                <w:szCs w:val="18"/>
                <w:lang w:val="es-CO" w:eastAsia="es-CO" w:bidi="ar-SA"/>
              </w:rPr>
              <w:t>700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55</w:t>
            </w:r>
            <w:r>
              <w:rPr>
                <w:rFonts w:ascii="Work Sans" w:hAnsi="Work Sans" w:cs="Times New Roman"/>
                <w:i/>
                <w:color w:val="565656"/>
                <w:kern w:val="0"/>
                <w:sz w:val="18"/>
                <w:szCs w:val="18"/>
                <w:lang w:val="es-CO" w:eastAsia="es-CO" w:bidi="ar-SA"/>
              </w:rPr>
              <w:t>.</w:t>
            </w:r>
            <w:r>
              <w:rPr>
                <w:rFonts w:ascii="Work Sans" w:hAnsi="Work Sans" w:cs="Times New Roman"/>
                <w:i/>
                <w:color w:val="221E1F"/>
                <w:kern w:val="0"/>
                <w:sz w:val="18"/>
                <w:szCs w:val="18"/>
                <w:lang w:val="es-CO" w:eastAsia="es-CO" w:bidi="ar-SA"/>
              </w:rPr>
              <w:t>600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44.700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49.600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72.000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49.600</w:t>
            </w:r>
          </w:p>
        </w:tc>
        <w:tc>
          <w:tcPr>
            <w:tcW w:w="169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59.600</w:t>
            </w:r>
          </w:p>
        </w:tc>
      </w:tr>
    </w:tbl>
    <w:p w:rsidR="002B74B7" w:rsidRDefault="00000000">
      <w:pPr>
        <w:widowControl/>
        <w:jc w:val="both"/>
        <w:textAlignment w:val="auto"/>
      </w:pPr>
      <w:r>
        <w:rPr>
          <w:rFonts w:ascii="Work Sans" w:hAnsi="Work Sans" w:cs="Times New Roman"/>
          <w:i/>
          <w:color w:val="000000"/>
          <w:kern w:val="0"/>
          <w:sz w:val="18"/>
          <w:szCs w:val="18"/>
          <w:lang w:val="es-CO" w:eastAsia="es-CO" w:bidi="ar-SA"/>
        </w:rPr>
        <w:t> </w:t>
      </w:r>
    </w:p>
    <w:p w:rsidR="002B74B7" w:rsidRDefault="00000000">
      <w:pPr>
        <w:widowControl/>
        <w:ind w:left="426" w:right="623"/>
        <w:jc w:val="both"/>
        <w:textAlignment w:val="auto"/>
      </w:pPr>
      <w:r>
        <w:rPr>
          <w:rFonts w:ascii="Work Sans" w:hAnsi="Work Sans" w:cs="Times New Roman"/>
          <w:i/>
          <w:color w:val="221E1F"/>
          <w:kern w:val="0"/>
          <w:sz w:val="18"/>
          <w:szCs w:val="18"/>
          <w:lang w:val="es-CO" w:eastAsia="es-CO" w:bidi="ar-SA"/>
        </w:rPr>
        <w:t>*Las tarifas no incluyen el valor del Fondo de Seguridad Vial y ninguna otra sobretasa o similar</w:t>
      </w:r>
    </w:p>
    <w:p w:rsidR="002B74B7" w:rsidRDefault="00000000">
      <w:pPr>
        <w:widowControl/>
        <w:ind w:left="426" w:right="623"/>
        <w:jc w:val="both"/>
        <w:textAlignment w:val="auto"/>
      </w:pPr>
      <w:r>
        <w:rPr>
          <w:rFonts w:ascii="Work Sans" w:hAnsi="Work Sans" w:cs="Times New Roman"/>
          <w:i/>
          <w:color w:val="221E1F"/>
          <w:kern w:val="0"/>
          <w:sz w:val="18"/>
          <w:szCs w:val="18"/>
          <w:lang w:val="es-CO" w:eastAsia="es-CO" w:bidi="ar-SA"/>
        </w:rPr>
        <w:t> </w:t>
      </w:r>
    </w:p>
    <w:p w:rsidR="002B74B7" w:rsidRDefault="00000000">
      <w:pPr>
        <w:widowControl/>
        <w:ind w:left="426" w:right="623"/>
        <w:jc w:val="both"/>
        <w:textAlignment w:val="auto"/>
      </w:pPr>
      <w:r>
        <w:rPr>
          <w:rFonts w:ascii="Work Sans" w:hAnsi="Work Sans" w:cs="Times New Roman"/>
          <w:bCs/>
          <w:i/>
          <w:color w:val="221E1F"/>
          <w:kern w:val="0"/>
          <w:sz w:val="18"/>
          <w:szCs w:val="18"/>
          <w:lang w:val="es-CO" w:eastAsia="es-CO" w:bidi="ar-SA"/>
        </w:rPr>
        <w:t>Tarifas a cobrar a partir del 16 de enero de 2021</w:t>
      </w:r>
    </w:p>
    <w:p w:rsidR="002B74B7" w:rsidRDefault="00000000">
      <w:pPr>
        <w:widowControl/>
        <w:ind w:left="426" w:right="623"/>
        <w:textAlignment w:val="auto"/>
        <w:rPr>
          <w:rFonts w:ascii="Work Sans" w:hAnsi="Work Sans" w:cs="Times New Roman"/>
          <w:i/>
          <w:color w:val="000000"/>
          <w:kern w:val="0"/>
          <w:sz w:val="18"/>
          <w:szCs w:val="18"/>
          <w:lang w:val="es-CO" w:eastAsia="es-CO" w:bidi="ar-SA"/>
        </w:rPr>
      </w:pPr>
      <w:r>
        <w:rPr>
          <w:rFonts w:ascii="Work Sans" w:hAnsi="Work Sans" w:cs="Times New Roman"/>
          <w:i/>
          <w:color w:val="000000"/>
          <w:kern w:val="0"/>
          <w:sz w:val="18"/>
          <w:szCs w:val="18"/>
          <w:lang w:val="es-CO" w:eastAsia="es-CO" w:bidi="ar-SA"/>
        </w:rPr>
        <w:t> </w:t>
      </w:r>
    </w:p>
    <w:tbl>
      <w:tblPr>
        <w:tblW w:w="6822" w:type="dxa"/>
        <w:jc w:val="center"/>
        <w:tblCellMar>
          <w:left w:w="10" w:type="dxa"/>
          <w:right w:w="10" w:type="dxa"/>
        </w:tblCellMar>
        <w:tblLook w:val="0000" w:firstRow="0" w:lastRow="0" w:firstColumn="0" w:lastColumn="0" w:noHBand="0" w:noVBand="0"/>
      </w:tblPr>
      <w:tblGrid>
        <w:gridCol w:w="1695"/>
        <w:gridCol w:w="1695"/>
        <w:gridCol w:w="1695"/>
        <w:gridCol w:w="1737"/>
      </w:tblGrid>
      <w:tr w:rsidR="002B74B7">
        <w:tblPrEx>
          <w:tblCellMar>
            <w:top w:w="0" w:type="dxa"/>
            <w:bottom w:w="0" w:type="dxa"/>
          </w:tblCellMar>
        </w:tblPrEx>
        <w:trPr>
          <w:trHeight w:val="105"/>
          <w:jc w:val="center"/>
        </w:trPr>
        <w:tc>
          <w:tcPr>
            <w:tcW w:w="169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bCs/>
                <w:i/>
                <w:color w:val="221E1F"/>
                <w:kern w:val="0"/>
                <w:sz w:val="18"/>
                <w:szCs w:val="18"/>
                <w:lang w:val="es-CO" w:eastAsia="es-CO" w:bidi="ar-SA"/>
              </w:rPr>
              <w:t>Categoría</w:t>
            </w:r>
          </w:p>
        </w:tc>
        <w:tc>
          <w:tcPr>
            <w:tcW w:w="5127"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jc w:val="center"/>
              <w:textAlignment w:val="auto"/>
            </w:pPr>
            <w:r>
              <w:rPr>
                <w:rFonts w:ascii="Work Sans" w:hAnsi="Work Sans" w:cs="Times New Roman"/>
                <w:bCs/>
                <w:i/>
                <w:color w:val="221E1F"/>
                <w:kern w:val="0"/>
                <w:sz w:val="18"/>
                <w:szCs w:val="18"/>
                <w:lang w:val="es-CO" w:eastAsia="es-CO" w:bidi="ar-SA"/>
              </w:rPr>
              <w:t>Tabla E</w:t>
            </w:r>
          </w:p>
          <w:p w:rsidR="002B74B7" w:rsidRDefault="00000000">
            <w:pPr>
              <w:widowControl/>
              <w:jc w:val="center"/>
              <w:textAlignment w:val="auto"/>
            </w:pPr>
            <w:r>
              <w:rPr>
                <w:rFonts w:ascii="Work Sans" w:hAnsi="Work Sans" w:cs="Times New Roman"/>
                <w:bCs/>
                <w:i/>
                <w:color w:val="221E1F"/>
                <w:kern w:val="0"/>
                <w:sz w:val="18"/>
                <w:szCs w:val="18"/>
                <w:lang w:val="es-CO" w:eastAsia="es-CO" w:bidi="ar-SA"/>
              </w:rPr>
              <w:t>Tarifas desde el 16 de enero de 2021 y hasta el 15 de enero de</w:t>
            </w:r>
          </w:p>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2022 Pesos de diciembre de 2013</w:t>
            </w:r>
          </w:p>
        </w:tc>
      </w:tr>
      <w:tr w:rsidR="002B74B7">
        <w:tblPrEx>
          <w:tblCellMar>
            <w:top w:w="0" w:type="dxa"/>
            <w:bottom w:w="0" w:type="dxa"/>
          </w:tblCellMar>
        </w:tblPrEx>
        <w:trPr>
          <w:trHeight w:val="105"/>
          <w:jc w:val="center"/>
        </w:trPr>
        <w:tc>
          <w:tcPr>
            <w:tcW w:w="1695"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2B74B7">
            <w:pPr>
              <w:widowControl/>
              <w:textAlignment w:val="auto"/>
              <w:rPr>
                <w:rFonts w:ascii="Work Sans" w:hAnsi="Work Sans" w:cs="Times New Roman"/>
                <w:i/>
                <w:kern w:val="0"/>
                <w:sz w:val="18"/>
                <w:szCs w:val="18"/>
                <w:lang w:val="es-CO" w:eastAsia="es-CO" w:bidi="ar-SA"/>
              </w:rPr>
            </w:pP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w:t>
            </w:r>
            <w:proofErr w:type="spellStart"/>
            <w:r>
              <w:rPr>
                <w:rFonts w:ascii="Work Sans" w:hAnsi="Work Sans" w:cs="Times New Roman"/>
                <w:bCs/>
                <w:i/>
                <w:color w:val="221E1F"/>
                <w:kern w:val="0"/>
                <w:sz w:val="18"/>
                <w:szCs w:val="18"/>
                <w:lang w:val="es-CO" w:eastAsia="es-CO" w:bidi="ar-SA"/>
              </w:rPr>
              <w:t>Pipiral</w:t>
            </w:r>
            <w:proofErr w:type="spellEnd"/>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 xml:space="preserve">Peaje Puente </w:t>
            </w:r>
            <w:proofErr w:type="spellStart"/>
            <w:r>
              <w:rPr>
                <w:rFonts w:ascii="Work Sans" w:hAnsi="Work Sans" w:cs="Times New Roman"/>
                <w:bCs/>
                <w:i/>
                <w:color w:val="221E1F"/>
                <w:kern w:val="0"/>
                <w:sz w:val="18"/>
                <w:szCs w:val="18"/>
                <w:lang w:val="es-CO" w:eastAsia="es-CO" w:bidi="ar-SA"/>
              </w:rPr>
              <w:t>Quetame</w:t>
            </w:r>
            <w:proofErr w:type="spellEnd"/>
            <w:r>
              <w:rPr>
                <w:rFonts w:ascii="Work Sans" w:hAnsi="Work Sans" w:cs="Times New Roman"/>
                <w:bCs/>
                <w:i/>
                <w:color w:val="221E1F"/>
                <w:kern w:val="0"/>
                <w:sz w:val="18"/>
                <w:szCs w:val="18"/>
                <w:lang w:val="es-CO" w:eastAsia="es-CO" w:bidi="ar-SA"/>
              </w:rPr>
              <w:t xml:space="preserve"> *</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textAlignment w:val="auto"/>
            </w:pPr>
            <w:r>
              <w:rPr>
                <w:rFonts w:ascii="Work Sans" w:hAnsi="Work Sans" w:cs="Times New Roman"/>
                <w:bCs/>
                <w:i/>
                <w:color w:val="221E1F"/>
                <w:kern w:val="0"/>
                <w:sz w:val="18"/>
                <w:szCs w:val="18"/>
                <w:lang w:val="es-CO" w:eastAsia="es-CO" w:bidi="ar-SA"/>
              </w:rPr>
              <w:t>Peaje Boquerón I</w:t>
            </w:r>
          </w:p>
          <w:p w:rsidR="002B74B7" w:rsidRDefault="00000000">
            <w:pPr>
              <w:widowControl/>
              <w:spacing w:line="105" w:lineRule="atLeast"/>
              <w:jc w:val="center"/>
              <w:textAlignment w:val="auto"/>
            </w:pPr>
            <w:r>
              <w:rPr>
                <w:rFonts w:ascii="Work Sans" w:hAnsi="Work Sans" w:cs="Times New Roman"/>
                <w:bCs/>
                <w:i/>
                <w:color w:val="221E1F"/>
                <w:kern w:val="0"/>
                <w:sz w:val="18"/>
                <w:szCs w:val="18"/>
                <w:lang w:val="es-CO" w:eastAsia="es-CO" w:bidi="ar-SA"/>
              </w:rPr>
              <w:t>y Boquerón II</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15.100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9.100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10.800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11</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30.000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24.100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32.200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111</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20.500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18.200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16.100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IV</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35.900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35.900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42</w:t>
            </w:r>
            <w:r>
              <w:rPr>
                <w:rFonts w:ascii="Work Sans" w:hAnsi="Work Sans" w:cs="Times New Roman"/>
                <w:i/>
                <w:color w:val="565656"/>
                <w:kern w:val="0"/>
                <w:sz w:val="18"/>
                <w:szCs w:val="18"/>
                <w:lang w:val="es-CO" w:eastAsia="es-CO" w:bidi="ar-SA"/>
              </w:rPr>
              <w:t>.</w:t>
            </w:r>
            <w:r>
              <w:rPr>
                <w:rFonts w:ascii="Work Sans" w:hAnsi="Work Sans" w:cs="Times New Roman"/>
                <w:i/>
                <w:color w:val="221E1F"/>
                <w:kern w:val="0"/>
                <w:sz w:val="18"/>
                <w:szCs w:val="18"/>
                <w:lang w:val="es-CO" w:eastAsia="es-CO" w:bidi="ar-SA"/>
              </w:rPr>
              <w:t>800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39.100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41.700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48.200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59.900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48.200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53</w:t>
            </w:r>
            <w:r>
              <w:rPr>
                <w:rFonts w:ascii="Work Sans" w:hAnsi="Work Sans" w:cs="Times New Roman"/>
                <w:i/>
                <w:color w:val="565656"/>
                <w:kern w:val="0"/>
                <w:sz w:val="18"/>
                <w:szCs w:val="18"/>
                <w:lang w:val="es-CO" w:eastAsia="es-CO" w:bidi="ar-SA"/>
              </w:rPr>
              <w:t>.</w:t>
            </w:r>
            <w:r>
              <w:rPr>
                <w:rFonts w:ascii="Work Sans" w:hAnsi="Work Sans" w:cs="Times New Roman"/>
                <w:i/>
                <w:color w:val="221E1F"/>
                <w:kern w:val="0"/>
                <w:sz w:val="18"/>
                <w:szCs w:val="18"/>
                <w:lang w:val="es-CO" w:eastAsia="es-CO" w:bidi="ar-SA"/>
              </w:rPr>
              <w:t>500</w:t>
            </w:r>
          </w:p>
        </w:tc>
      </w:tr>
      <w:tr w:rsidR="002B74B7">
        <w:tblPrEx>
          <w:tblCellMar>
            <w:top w:w="0" w:type="dxa"/>
            <w:bottom w:w="0" w:type="dxa"/>
          </w:tblCellMar>
        </w:tblPrEx>
        <w:trPr>
          <w:trHeight w:val="105"/>
          <w:jc w:val="center"/>
        </w:trPr>
        <w:tc>
          <w:tcPr>
            <w:tcW w:w="16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textAlignment w:val="auto"/>
            </w:pPr>
            <w:r>
              <w:rPr>
                <w:rFonts w:ascii="Work Sans" w:hAnsi="Work Sans" w:cs="Times New Roman"/>
                <w:i/>
                <w:color w:val="221E1F"/>
                <w:kern w:val="0"/>
                <w:sz w:val="18"/>
                <w:szCs w:val="18"/>
                <w:lang w:val="es-CO" w:eastAsia="es-CO" w:bidi="ar-SA"/>
              </w:rPr>
              <w:t>Categoría VII</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77.600</w:t>
            </w:r>
          </w:p>
        </w:tc>
        <w:tc>
          <w:tcPr>
            <w:tcW w:w="1695"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53.500</w:t>
            </w:r>
          </w:p>
        </w:tc>
        <w:tc>
          <w:tcPr>
            <w:tcW w:w="1737" w:type="dxa"/>
            <w:tcBorders>
              <w:bottom w:val="single" w:sz="8" w:space="0" w:color="000000"/>
              <w:right w:val="single" w:sz="8" w:space="0" w:color="000000"/>
            </w:tcBorders>
            <w:shd w:val="clear" w:color="auto" w:fill="auto"/>
            <w:tcMar>
              <w:top w:w="0" w:type="dxa"/>
              <w:left w:w="108" w:type="dxa"/>
              <w:bottom w:w="0" w:type="dxa"/>
              <w:right w:w="108" w:type="dxa"/>
            </w:tcMar>
          </w:tcPr>
          <w:p w:rsidR="002B74B7" w:rsidRDefault="00000000">
            <w:pPr>
              <w:widowControl/>
              <w:spacing w:line="105" w:lineRule="atLeast"/>
              <w:jc w:val="center"/>
              <w:textAlignment w:val="auto"/>
            </w:pPr>
            <w:r>
              <w:rPr>
                <w:rFonts w:ascii="Work Sans" w:hAnsi="Work Sans" w:cs="Times New Roman"/>
                <w:i/>
                <w:color w:val="221E1F"/>
                <w:kern w:val="0"/>
                <w:sz w:val="18"/>
                <w:szCs w:val="18"/>
                <w:lang w:val="es-CO" w:eastAsia="es-CO" w:bidi="ar-SA"/>
              </w:rPr>
              <w:t>64.200</w:t>
            </w:r>
          </w:p>
        </w:tc>
      </w:tr>
    </w:tbl>
    <w:p w:rsidR="002B74B7" w:rsidRDefault="00000000">
      <w:pPr>
        <w:widowControl/>
        <w:jc w:val="both"/>
        <w:textAlignment w:val="auto"/>
      </w:pPr>
      <w:r>
        <w:rPr>
          <w:rFonts w:ascii="Work Sans" w:hAnsi="Work Sans" w:cs="Times New Roman"/>
          <w:i/>
          <w:color w:val="000000"/>
          <w:kern w:val="0"/>
          <w:sz w:val="18"/>
          <w:szCs w:val="18"/>
          <w:lang w:val="es-CO" w:eastAsia="es-CO" w:bidi="ar-SA"/>
        </w:rPr>
        <w:t> </w:t>
      </w:r>
    </w:p>
    <w:p w:rsidR="002B74B7" w:rsidRDefault="00000000">
      <w:pPr>
        <w:widowControl/>
        <w:ind w:left="426" w:right="481"/>
        <w:jc w:val="both"/>
        <w:textAlignment w:val="auto"/>
      </w:pPr>
      <w:r>
        <w:rPr>
          <w:rFonts w:ascii="Work Sans" w:hAnsi="Work Sans" w:cs="Times New Roman"/>
          <w:i/>
          <w:color w:val="221E1F"/>
          <w:kern w:val="0"/>
          <w:sz w:val="18"/>
          <w:szCs w:val="18"/>
          <w:lang w:val="es-CO" w:eastAsia="es-CO" w:bidi="ar-SA"/>
        </w:rPr>
        <w:t>*Las tarifas no incluyen el valor del Fondo de Seguridad Vial y ninguna otra sobretasa o similar”.</w:t>
      </w:r>
    </w:p>
    <w:p w:rsidR="002B74B7" w:rsidRDefault="002B74B7">
      <w:pPr>
        <w:pStyle w:val="Standard"/>
        <w:ind w:left="426" w:right="481"/>
        <w:jc w:val="both"/>
        <w:rPr>
          <w:rFonts w:ascii="Work Sans" w:hAnsi="Work Sans"/>
          <w:i/>
          <w:sz w:val="18"/>
          <w:szCs w:val="18"/>
          <w:lang w:val="es-CO"/>
        </w:rPr>
      </w:pPr>
    </w:p>
    <w:p w:rsidR="002B74B7" w:rsidRDefault="00000000">
      <w:pPr>
        <w:pStyle w:val="Standard"/>
        <w:jc w:val="both"/>
      </w:pPr>
      <w:r>
        <w:rPr>
          <w:rFonts w:ascii="Work Sans" w:hAnsi="Work Sans"/>
          <w:sz w:val="20"/>
          <w:lang w:val="es-CO"/>
        </w:rPr>
        <w:t xml:space="preserve">Que mediante el artículo 1° de la Resolución 0006137 de diciembre 19 de 2013: </w:t>
      </w:r>
      <w:r>
        <w:rPr>
          <w:rFonts w:ascii="Work Sans" w:hAnsi="Work Sans"/>
          <w:i/>
          <w:sz w:val="20"/>
          <w:lang w:val="es-CO"/>
        </w:rPr>
        <w:t xml:space="preserve">“Por la cual se establece una tarifa especial diferencial para las estaciones de peaje </w:t>
      </w:r>
      <w:proofErr w:type="spellStart"/>
      <w:r>
        <w:rPr>
          <w:rFonts w:ascii="Work Sans" w:hAnsi="Work Sans"/>
          <w:i/>
          <w:sz w:val="20"/>
          <w:lang w:val="es-CO"/>
        </w:rPr>
        <w:t>Boqueron</w:t>
      </w:r>
      <w:proofErr w:type="spellEnd"/>
      <w:r>
        <w:rPr>
          <w:rFonts w:ascii="Work Sans" w:hAnsi="Work Sans"/>
          <w:i/>
          <w:sz w:val="20"/>
          <w:lang w:val="es-CO"/>
        </w:rPr>
        <w:t xml:space="preserve"> I Boquerón II y Puente </w:t>
      </w:r>
      <w:proofErr w:type="spellStart"/>
      <w:r>
        <w:rPr>
          <w:rFonts w:ascii="Work Sans" w:hAnsi="Work Sans"/>
          <w:i/>
          <w:sz w:val="20"/>
          <w:lang w:val="es-CO"/>
        </w:rPr>
        <w:t>Quetame</w:t>
      </w:r>
      <w:proofErr w:type="spellEnd"/>
      <w:r>
        <w:rPr>
          <w:rFonts w:ascii="Work Sans" w:hAnsi="Work Sans"/>
          <w:i/>
          <w:sz w:val="20"/>
          <w:lang w:val="es-CO"/>
        </w:rPr>
        <w:t xml:space="preserve">” </w:t>
      </w:r>
      <w:r>
        <w:rPr>
          <w:rFonts w:ascii="Work Sans" w:hAnsi="Work Sans"/>
          <w:sz w:val="20"/>
          <w:lang w:val="es-CO"/>
        </w:rPr>
        <w:t xml:space="preserve">se establecieron tarifas especiales diferenciales para las estaciones de peaje </w:t>
      </w:r>
      <w:proofErr w:type="spellStart"/>
      <w:r>
        <w:rPr>
          <w:rFonts w:ascii="Work Sans" w:hAnsi="Work Sans"/>
          <w:sz w:val="20"/>
          <w:lang w:val="es-CO"/>
        </w:rPr>
        <w:t>Boqueron</w:t>
      </w:r>
      <w:proofErr w:type="spellEnd"/>
      <w:r>
        <w:rPr>
          <w:rFonts w:ascii="Work Sans" w:hAnsi="Work Sans"/>
          <w:sz w:val="20"/>
          <w:lang w:val="es-CO"/>
        </w:rPr>
        <w:t xml:space="preserve"> I – </w:t>
      </w:r>
      <w:proofErr w:type="spellStart"/>
      <w:r>
        <w:rPr>
          <w:rFonts w:ascii="Work Sans" w:hAnsi="Work Sans"/>
          <w:sz w:val="20"/>
          <w:lang w:val="es-CO"/>
        </w:rPr>
        <w:t>Boqueron</w:t>
      </w:r>
      <w:proofErr w:type="spellEnd"/>
      <w:r>
        <w:rPr>
          <w:rFonts w:ascii="Work Sans" w:hAnsi="Work Sans"/>
          <w:sz w:val="20"/>
          <w:lang w:val="es-CO"/>
        </w:rPr>
        <w:t xml:space="preserve"> II y Puente </w:t>
      </w:r>
      <w:proofErr w:type="spellStart"/>
      <w:r>
        <w:rPr>
          <w:rFonts w:ascii="Work Sans" w:hAnsi="Work Sans"/>
          <w:sz w:val="20"/>
          <w:lang w:val="es-CO"/>
        </w:rPr>
        <w:t>Quetame</w:t>
      </w:r>
      <w:proofErr w:type="spellEnd"/>
      <w:r>
        <w:rPr>
          <w:rFonts w:ascii="Work Sans" w:hAnsi="Work Sans"/>
          <w:sz w:val="20"/>
          <w:lang w:val="es-CO"/>
        </w:rPr>
        <w:t>, ubicados en la concesión actual Bogotá – Villavicencio.</w:t>
      </w:r>
    </w:p>
    <w:p w:rsidR="002B74B7" w:rsidRDefault="002B74B7">
      <w:pPr>
        <w:pStyle w:val="Standard"/>
        <w:jc w:val="both"/>
        <w:rPr>
          <w:rFonts w:ascii="Work Sans" w:hAnsi="Work Sans"/>
          <w:sz w:val="20"/>
          <w:lang w:val="es-CO"/>
        </w:rPr>
      </w:pPr>
    </w:p>
    <w:p w:rsidR="002B74B7" w:rsidRDefault="00000000">
      <w:pPr>
        <w:pStyle w:val="Standard"/>
        <w:jc w:val="both"/>
        <w:rPr>
          <w:rFonts w:ascii="Work Sans" w:hAnsi="Work Sans"/>
          <w:sz w:val="20"/>
          <w:lang w:val="es-CO"/>
        </w:rPr>
      </w:pPr>
      <w:r>
        <w:rPr>
          <w:rFonts w:ascii="Work Sans" w:hAnsi="Work Sans"/>
          <w:sz w:val="20"/>
          <w:lang w:val="es-CO"/>
        </w:rPr>
        <w:t xml:space="preserve">Que el artículo 7° de la referida Resolución señala que las taridas diferenciales para las estaciones de peaje </w:t>
      </w:r>
      <w:proofErr w:type="spellStart"/>
      <w:r>
        <w:rPr>
          <w:rFonts w:ascii="Work Sans" w:hAnsi="Work Sans"/>
          <w:sz w:val="20"/>
          <w:lang w:val="es-CO"/>
        </w:rPr>
        <w:t>Boqueron</w:t>
      </w:r>
      <w:proofErr w:type="spellEnd"/>
      <w:r>
        <w:rPr>
          <w:rFonts w:ascii="Work Sans" w:hAnsi="Work Sans"/>
          <w:sz w:val="20"/>
          <w:lang w:val="es-CO"/>
        </w:rPr>
        <w:t xml:space="preserve"> I – </w:t>
      </w:r>
      <w:proofErr w:type="spellStart"/>
      <w:r>
        <w:rPr>
          <w:rFonts w:ascii="Work Sans" w:hAnsi="Work Sans"/>
          <w:sz w:val="20"/>
          <w:lang w:val="es-CO"/>
        </w:rPr>
        <w:t>Boqueron</w:t>
      </w:r>
      <w:proofErr w:type="spellEnd"/>
      <w:r>
        <w:rPr>
          <w:rFonts w:ascii="Work Sans" w:hAnsi="Work Sans"/>
          <w:sz w:val="20"/>
          <w:lang w:val="es-CO"/>
        </w:rPr>
        <w:t xml:space="preserve"> II y Puente </w:t>
      </w:r>
      <w:proofErr w:type="spellStart"/>
      <w:r>
        <w:rPr>
          <w:rFonts w:ascii="Work Sans" w:hAnsi="Work Sans"/>
          <w:sz w:val="20"/>
          <w:lang w:val="es-CO"/>
        </w:rPr>
        <w:t>Quetame</w:t>
      </w:r>
      <w:proofErr w:type="spellEnd"/>
      <w:r>
        <w:rPr>
          <w:rFonts w:ascii="Work Sans" w:hAnsi="Work Sans"/>
          <w:sz w:val="20"/>
          <w:lang w:val="es-CO"/>
        </w:rPr>
        <w:t>, serán actualizadas por el concesionario en forma automática, el 16 de noviembre de cada año.</w:t>
      </w:r>
    </w:p>
    <w:p w:rsidR="002B74B7" w:rsidRDefault="002B74B7">
      <w:pPr>
        <w:pStyle w:val="Standard"/>
        <w:jc w:val="both"/>
        <w:rPr>
          <w:rFonts w:ascii="Work Sans" w:hAnsi="Work Sans"/>
          <w:sz w:val="20"/>
          <w:lang w:val="es-CO"/>
        </w:rPr>
      </w:pPr>
    </w:p>
    <w:p w:rsidR="002B74B7" w:rsidRDefault="00000000">
      <w:pPr>
        <w:pStyle w:val="Standard"/>
        <w:jc w:val="both"/>
      </w:pPr>
      <w:r>
        <w:rPr>
          <w:rFonts w:ascii="Work Sans" w:eastAsia="Times New Roman" w:hAnsi="Work Sans" w:cs="Lohit Devanagari"/>
          <w:sz w:val="20"/>
          <w:lang w:bidi="hi-IN"/>
        </w:rPr>
        <w:t>Que mediante Resolución 00016695 de junio 15 de 2015, “</w:t>
      </w:r>
      <w:r>
        <w:rPr>
          <w:rFonts w:ascii="Work Sans" w:eastAsia="Times New Roman" w:hAnsi="Work Sans" w:cs="Lohit Devanagari"/>
          <w:i/>
          <w:sz w:val="20"/>
          <w:lang w:bidi="hi-IN"/>
        </w:rPr>
        <w:t>Por la cual se establece una tarifa especial diferencial para la estación de peaje </w:t>
      </w:r>
      <w:proofErr w:type="spellStart"/>
      <w:r>
        <w:rPr>
          <w:rFonts w:ascii="Work Sans" w:eastAsia="Times New Roman" w:hAnsi="Work Sans" w:cs="Lohit Devanagari"/>
          <w:i/>
          <w:sz w:val="20"/>
          <w:lang w:bidi="hi-IN"/>
        </w:rPr>
        <w:t>Pipiral</w:t>
      </w:r>
      <w:proofErr w:type="spellEnd"/>
      <w:r>
        <w:rPr>
          <w:rFonts w:ascii="Work Sans" w:eastAsia="Times New Roman" w:hAnsi="Work Sans" w:cs="Lohit Devanagari"/>
          <w:i/>
          <w:sz w:val="20"/>
          <w:lang w:bidi="hi-IN"/>
        </w:rPr>
        <w:t>, se modifican los artículos 4°, 5° numeral 5.2.1 </w:t>
      </w:r>
      <w:proofErr w:type="spellStart"/>
      <w:r>
        <w:rPr>
          <w:rFonts w:ascii="Work Sans" w:eastAsia="Times New Roman" w:hAnsi="Work Sans" w:cs="Lohit Devanagari"/>
          <w:i/>
          <w:sz w:val="20"/>
          <w:lang w:bidi="hi-IN"/>
        </w:rPr>
        <w:t>subnumeral</w:t>
      </w:r>
      <w:proofErr w:type="spellEnd"/>
      <w:r>
        <w:rPr>
          <w:rFonts w:ascii="Work Sans" w:eastAsia="Times New Roman" w:hAnsi="Work Sans" w:cs="Lohit Devanagari"/>
          <w:i/>
          <w:sz w:val="20"/>
          <w:lang w:bidi="hi-IN"/>
        </w:rPr>
        <w:t> 5 y artículo 6° y se adiciona un inciso al artículo 3° y el numeral 5.2.2.3 al artículo 5° de la </w:t>
      </w:r>
      <w:hyperlink r:id="rId8" w:tooltip="Haga clic para abrir TODO el Resolución número 6137 del 19 de diciembre de 2013" w:history="1">
        <w:r>
          <w:rPr>
            <w:rFonts w:ascii="Work Sans" w:eastAsia="Times New Roman" w:hAnsi="Work Sans" w:cs="Lohit Devanagari"/>
            <w:i/>
            <w:sz w:val="20"/>
            <w:lang w:bidi="hi-IN"/>
          </w:rPr>
          <w:t>Resolución número 6137 del 19 de diciembre de 2013</w:t>
        </w:r>
      </w:hyperlink>
      <w:r>
        <w:rPr>
          <w:rFonts w:ascii="Work Sans" w:eastAsia="Times New Roman" w:hAnsi="Work Sans" w:cs="Lohit Devanagari"/>
          <w:i/>
          <w:sz w:val="20"/>
          <w:lang w:bidi="hi-IN"/>
        </w:rPr>
        <w:t xml:space="preserve">” </w:t>
      </w:r>
      <w:r>
        <w:rPr>
          <w:rFonts w:ascii="Work Sans" w:eastAsia="Times New Roman" w:hAnsi="Work Sans" w:cs="Lohit Devanagari"/>
          <w:sz w:val="20"/>
          <w:lang w:bidi="hi-IN"/>
        </w:rPr>
        <w:t xml:space="preserve"> se establece una tarifa especial diferencial para los vehículos particulares y de servicio público de transporte de carga, de pasajeros y mixto para los residentes en la Vereda </w:t>
      </w:r>
      <w:proofErr w:type="spellStart"/>
      <w:r>
        <w:rPr>
          <w:rFonts w:ascii="Work Sans" w:eastAsia="Times New Roman" w:hAnsi="Work Sans" w:cs="Lohit Devanagari"/>
          <w:sz w:val="20"/>
          <w:lang w:bidi="hi-IN"/>
        </w:rPr>
        <w:t>Pipiral</w:t>
      </w:r>
      <w:proofErr w:type="spellEnd"/>
      <w:r>
        <w:rPr>
          <w:rFonts w:ascii="Work Sans" w:eastAsia="Times New Roman" w:hAnsi="Work Sans" w:cs="Lohit Devanagari"/>
          <w:sz w:val="20"/>
          <w:lang w:bidi="hi-IN"/>
        </w:rPr>
        <w:t xml:space="preserve"> del municipio de Villavicencio y en el municipio de Guayabetal (Cundinamarca) que transiten por la Estación de Peaje </w:t>
      </w:r>
      <w:proofErr w:type="spellStart"/>
      <w:r>
        <w:rPr>
          <w:rFonts w:ascii="Work Sans" w:eastAsia="Times New Roman" w:hAnsi="Work Sans" w:cs="Lohit Devanagari"/>
          <w:sz w:val="20"/>
          <w:lang w:bidi="hi-IN"/>
        </w:rPr>
        <w:t>Pipiral</w:t>
      </w:r>
      <w:proofErr w:type="spellEnd"/>
      <w:r>
        <w:rPr>
          <w:rFonts w:ascii="Work Sans" w:eastAsia="Times New Roman" w:hAnsi="Work Sans" w:cs="Lohit Devanagari"/>
          <w:sz w:val="20"/>
          <w:lang w:bidi="hi-IN"/>
        </w:rPr>
        <w:t>, ubicado en la Concesión Vial Bogotá-Villavicencio.</w:t>
      </w:r>
      <w:r>
        <w:rPr>
          <w:rFonts w:ascii="Verdana" w:hAnsi="Verdana"/>
          <w:color w:val="141414"/>
          <w:sz w:val="20"/>
        </w:rPr>
        <w:t xml:space="preserve"> </w:t>
      </w:r>
    </w:p>
    <w:p w:rsidR="002B74B7" w:rsidRDefault="002B74B7">
      <w:pPr>
        <w:pStyle w:val="Standard"/>
        <w:rPr>
          <w:rFonts w:ascii="Work Sans" w:hAnsi="Work Sans"/>
          <w:sz w:val="20"/>
          <w:lang w:val="es-CO"/>
        </w:rPr>
      </w:pPr>
    </w:p>
    <w:p w:rsidR="002B74B7" w:rsidRDefault="00000000">
      <w:pPr>
        <w:pStyle w:val="Standard"/>
        <w:jc w:val="both"/>
        <w:rPr>
          <w:rFonts w:ascii="Work Sans" w:hAnsi="Work Sans"/>
          <w:sz w:val="20"/>
          <w:lang w:val="es-CO"/>
        </w:rPr>
      </w:pPr>
      <w:r>
        <w:rPr>
          <w:rFonts w:ascii="Work Sans" w:hAnsi="Work Sans"/>
          <w:sz w:val="20"/>
          <w:lang w:val="es-CO"/>
        </w:rPr>
        <w:t xml:space="preserve">Que el artículo 10° del citado acto administrativo señala que la tarifa especial diferencial para la Estación de Peaje </w:t>
      </w:r>
      <w:proofErr w:type="spellStart"/>
      <w:r>
        <w:rPr>
          <w:rFonts w:ascii="Work Sans" w:hAnsi="Work Sans"/>
          <w:sz w:val="20"/>
          <w:lang w:val="es-CO"/>
        </w:rPr>
        <w:t>Pipiral</w:t>
      </w:r>
      <w:proofErr w:type="spellEnd"/>
      <w:r>
        <w:rPr>
          <w:rFonts w:ascii="Work Sans" w:hAnsi="Work Sans"/>
          <w:sz w:val="20"/>
          <w:lang w:val="es-CO"/>
        </w:rPr>
        <w:t xml:space="preserve"> será actualizada por el concesionario en forma automática, el dieciséis (16) de noviembre de cada año, utilizando la variación porcentual entre el índice de precios al consumidor (IPC) del mes de abril de 2015 y el IPC del mes de octubre del año en el cual se realiza el reajuste, el cual será certificado por el DANE.</w:t>
      </w:r>
    </w:p>
    <w:p w:rsidR="002B74B7" w:rsidRDefault="002B74B7">
      <w:pPr>
        <w:pStyle w:val="Standard"/>
        <w:jc w:val="both"/>
        <w:rPr>
          <w:rFonts w:ascii="Work Sans" w:hAnsi="Work Sans"/>
          <w:sz w:val="20"/>
          <w:lang w:val="es-CO"/>
        </w:rPr>
      </w:pPr>
    </w:p>
    <w:p w:rsidR="002B74B7" w:rsidRDefault="00000000">
      <w:pPr>
        <w:pStyle w:val="Standard"/>
        <w:jc w:val="both"/>
      </w:pPr>
      <w:r>
        <w:rPr>
          <w:rFonts w:ascii="Work Sans" w:hAnsi="Work Sans"/>
          <w:sz w:val="20"/>
          <w:lang w:val="es-CO"/>
        </w:rPr>
        <w:t xml:space="preserve">Que la Agencia Nacional de Infraestructura mediante oficio con número de radicado 20225000224201 de julio 29 de 2022, en el numeral 2.1 que trata sobre aspectos sociales del proyecto  manifiesta que: </w:t>
      </w:r>
      <w:r>
        <w:rPr>
          <w:rFonts w:ascii="Work Sans" w:hAnsi="Work Sans"/>
          <w:i/>
          <w:sz w:val="20"/>
          <w:lang w:val="es-CO"/>
        </w:rPr>
        <w:t xml:space="preserve">“para la fecha de entrega de la Unidad Funcional de Operación y Mantenimiento, esto es, el 3 de noviembre de 2019, no fue posible hacer el ajuste tarifario establecido en la Resolución 1131 de 2015 de manera inmediata, sino que este tuvo aplicación a partir del 15 de febrero de 2020, de conformidad con lo expuesto en la comunicación ANI No. 20205000043631 del 13 de febrero de 2020. </w:t>
      </w:r>
    </w:p>
    <w:p w:rsidR="002B74B7" w:rsidRDefault="002B74B7">
      <w:pPr>
        <w:pStyle w:val="Standard"/>
        <w:jc w:val="both"/>
        <w:rPr>
          <w:rFonts w:ascii="Work Sans" w:hAnsi="Work Sans"/>
          <w:i/>
          <w:sz w:val="20"/>
          <w:lang w:val="es-CO"/>
        </w:rPr>
      </w:pPr>
    </w:p>
    <w:p w:rsidR="002B74B7" w:rsidRDefault="00000000">
      <w:pPr>
        <w:pStyle w:val="Standard"/>
        <w:jc w:val="both"/>
        <w:rPr>
          <w:rFonts w:ascii="Work Sans" w:hAnsi="Work Sans"/>
          <w:i/>
          <w:sz w:val="20"/>
          <w:lang w:val="es-CO"/>
        </w:rPr>
      </w:pPr>
      <w:r>
        <w:rPr>
          <w:rFonts w:ascii="Work Sans" w:hAnsi="Work Sans"/>
          <w:i/>
          <w:sz w:val="20"/>
          <w:lang w:val="es-CO"/>
        </w:rPr>
        <w:t xml:space="preserve">Posteriormente, en diciembre de 2020 se implementó por parte de la ANI, bajo la observancia de todos los protocolos de bioseguridad que para ese momento por situación de pandemia se encontraban establecidos por Ley y con el apoyo del Concesionario e Interventoría, una campaña informativa y de comunicaciones para socializar la aplicación del incremento mencionado del 7.8% a las tarifas de peaje, cuya entrada en vigencia estaba prevista para el 16 de enero de 2021. La estrategia informativa y de comunicación estuvo dirigida e involucró a actores institucionales, gremiales, comunitarios de los municipios del área de influencia del proyecto y/o usuarios del corredor vial: Chipaque, </w:t>
      </w:r>
      <w:proofErr w:type="spellStart"/>
      <w:r>
        <w:rPr>
          <w:rFonts w:ascii="Work Sans" w:hAnsi="Work Sans"/>
          <w:i/>
          <w:sz w:val="20"/>
          <w:lang w:val="es-CO"/>
        </w:rPr>
        <w:t>Caqueza</w:t>
      </w:r>
      <w:proofErr w:type="spellEnd"/>
      <w:r>
        <w:rPr>
          <w:rFonts w:ascii="Work Sans" w:hAnsi="Work Sans"/>
          <w:i/>
          <w:sz w:val="20"/>
          <w:lang w:val="es-CO"/>
        </w:rPr>
        <w:t xml:space="preserve">, </w:t>
      </w:r>
      <w:proofErr w:type="spellStart"/>
      <w:r>
        <w:rPr>
          <w:rFonts w:ascii="Work Sans" w:hAnsi="Work Sans"/>
          <w:i/>
          <w:sz w:val="20"/>
          <w:lang w:val="es-CO"/>
        </w:rPr>
        <w:t>Quetame</w:t>
      </w:r>
      <w:proofErr w:type="spellEnd"/>
      <w:r>
        <w:rPr>
          <w:rFonts w:ascii="Work Sans" w:hAnsi="Work Sans"/>
          <w:i/>
          <w:sz w:val="20"/>
          <w:lang w:val="es-CO"/>
        </w:rPr>
        <w:t>, Guayabetal, Villavicencio, Gobernación de Cundinamarca y del Meta.</w:t>
      </w:r>
    </w:p>
    <w:p w:rsidR="002B74B7" w:rsidRDefault="002B74B7">
      <w:pPr>
        <w:pStyle w:val="Standard"/>
        <w:jc w:val="both"/>
        <w:rPr>
          <w:rFonts w:ascii="Work Sans" w:hAnsi="Work Sans"/>
          <w:i/>
          <w:sz w:val="20"/>
          <w:lang w:val="es-CO"/>
        </w:rPr>
      </w:pPr>
    </w:p>
    <w:p w:rsidR="002B74B7" w:rsidRDefault="00000000">
      <w:pPr>
        <w:pStyle w:val="Standard"/>
        <w:jc w:val="both"/>
        <w:rPr>
          <w:rFonts w:ascii="Work Sans" w:hAnsi="Work Sans"/>
          <w:i/>
          <w:sz w:val="20"/>
          <w:lang w:val="es-CO"/>
        </w:rPr>
      </w:pPr>
      <w:r>
        <w:rPr>
          <w:rFonts w:ascii="Work Sans" w:hAnsi="Work Sans"/>
          <w:i/>
          <w:sz w:val="20"/>
          <w:lang w:val="es-CO"/>
        </w:rPr>
        <w:t>Sin embargo, los actores institucionales, comunitarios, organizaciones, gremios y usuarios del corredor vial hicieron manifiesto su rechazo al incremento con fundamento, en la mayoría de los casos, en situaciones presentadas en los últimos años y asociadas a problemas secuenciales que influyeron en la movilidad de las comunidades residentes en la zona:</w:t>
      </w:r>
    </w:p>
    <w:p w:rsidR="002B74B7" w:rsidRDefault="00000000">
      <w:pPr>
        <w:pStyle w:val="Standard"/>
        <w:jc w:val="both"/>
        <w:rPr>
          <w:rFonts w:ascii="Work Sans" w:hAnsi="Work Sans"/>
          <w:i/>
          <w:sz w:val="20"/>
          <w:lang w:val="es-CO"/>
        </w:rPr>
      </w:pPr>
      <w:r>
        <w:rPr>
          <w:rFonts w:ascii="Work Sans" w:hAnsi="Work Sans"/>
          <w:i/>
          <w:sz w:val="20"/>
          <w:lang w:val="es-CO"/>
        </w:rPr>
        <w:t xml:space="preserve"> </w:t>
      </w:r>
    </w:p>
    <w:p w:rsidR="002B74B7" w:rsidRDefault="00000000">
      <w:pPr>
        <w:pStyle w:val="Standard"/>
        <w:jc w:val="both"/>
        <w:rPr>
          <w:rFonts w:ascii="Work Sans" w:hAnsi="Work Sans"/>
          <w:i/>
          <w:sz w:val="20"/>
          <w:lang w:val="es-CO"/>
        </w:rPr>
      </w:pPr>
      <w:r>
        <w:rPr>
          <w:rFonts w:ascii="Work Sans" w:hAnsi="Work Sans"/>
          <w:i/>
          <w:sz w:val="20"/>
          <w:lang w:val="es-CO"/>
        </w:rPr>
        <w:t xml:space="preserve">2018: Desplome puente </w:t>
      </w:r>
      <w:proofErr w:type="spellStart"/>
      <w:r>
        <w:rPr>
          <w:rFonts w:ascii="Work Sans" w:hAnsi="Work Sans"/>
          <w:i/>
          <w:sz w:val="20"/>
          <w:lang w:val="es-CO"/>
        </w:rPr>
        <w:t>Chirajara</w:t>
      </w:r>
      <w:proofErr w:type="spellEnd"/>
    </w:p>
    <w:p w:rsidR="002B74B7" w:rsidRDefault="00000000">
      <w:pPr>
        <w:pStyle w:val="Standard"/>
        <w:jc w:val="both"/>
        <w:rPr>
          <w:rFonts w:ascii="Work Sans" w:hAnsi="Work Sans"/>
          <w:i/>
          <w:sz w:val="20"/>
          <w:lang w:val="es-CO"/>
        </w:rPr>
      </w:pPr>
      <w:r>
        <w:rPr>
          <w:rFonts w:ascii="Work Sans" w:hAnsi="Work Sans"/>
          <w:i/>
          <w:sz w:val="20"/>
          <w:lang w:val="es-CO"/>
        </w:rPr>
        <w:t>2019: Cierre de la vía durante tres meses por afectación y pérdida de la bancada en el km 58 y 64.</w:t>
      </w:r>
    </w:p>
    <w:p w:rsidR="002B74B7" w:rsidRDefault="00000000">
      <w:pPr>
        <w:pStyle w:val="Standard"/>
        <w:jc w:val="both"/>
        <w:rPr>
          <w:rFonts w:ascii="Work Sans" w:hAnsi="Work Sans"/>
          <w:i/>
          <w:sz w:val="20"/>
          <w:lang w:val="es-CO"/>
        </w:rPr>
      </w:pPr>
      <w:r>
        <w:rPr>
          <w:rFonts w:ascii="Work Sans" w:hAnsi="Work Sans"/>
          <w:i/>
          <w:sz w:val="20"/>
          <w:lang w:val="es-CO"/>
        </w:rPr>
        <w:lastRenderedPageBreak/>
        <w:t>2020: Situación de Pandemia.</w:t>
      </w:r>
    </w:p>
    <w:p w:rsidR="002B74B7" w:rsidRDefault="002B74B7">
      <w:pPr>
        <w:pStyle w:val="Standard"/>
        <w:jc w:val="both"/>
        <w:rPr>
          <w:rFonts w:ascii="Work Sans" w:hAnsi="Work Sans"/>
          <w:i/>
          <w:sz w:val="20"/>
          <w:lang w:val="es-CO"/>
        </w:rPr>
      </w:pPr>
    </w:p>
    <w:p w:rsidR="002B74B7" w:rsidRDefault="00000000">
      <w:pPr>
        <w:pStyle w:val="Standard"/>
        <w:jc w:val="both"/>
        <w:rPr>
          <w:rFonts w:ascii="Work Sans" w:hAnsi="Work Sans"/>
          <w:i/>
          <w:sz w:val="20"/>
          <w:lang w:val="es-CO"/>
        </w:rPr>
      </w:pPr>
      <w:r>
        <w:rPr>
          <w:rFonts w:ascii="Work Sans" w:hAnsi="Work Sans"/>
          <w:i/>
          <w:sz w:val="20"/>
          <w:lang w:val="es-CO"/>
        </w:rPr>
        <w:t xml:space="preserve">Adicionalmente, a los hechos referidos se asociaron situaciones coyunturales de orden socioeconómico como: afectación del turismo, imposibilidad de comercialización de productos agrícolas, desempleo, pérdida de capacidad adquisitiva, entre otros”.  </w:t>
      </w:r>
    </w:p>
    <w:p w:rsidR="002B74B7" w:rsidRDefault="002B74B7">
      <w:pPr>
        <w:pStyle w:val="Standard"/>
        <w:jc w:val="both"/>
        <w:rPr>
          <w:rFonts w:ascii="Work Sans" w:hAnsi="Work Sans"/>
          <w:i/>
          <w:sz w:val="20"/>
          <w:lang w:val="es-CO"/>
        </w:rPr>
      </w:pPr>
    </w:p>
    <w:p w:rsidR="002B74B7" w:rsidRDefault="00000000">
      <w:pPr>
        <w:tabs>
          <w:tab w:val="left" w:pos="4320"/>
        </w:tabs>
        <w:jc w:val="both"/>
      </w:pPr>
      <w:r>
        <w:rPr>
          <w:rFonts w:ascii="Work Sans" w:eastAsia="DengXian Light" w:hAnsi="Work Sans" w:cs="Times New Roman"/>
          <w:sz w:val="20"/>
          <w:szCs w:val="20"/>
          <w:lang w:val="es-CO"/>
        </w:rPr>
        <w:t xml:space="preserve">Que en el numeral 2.2 del precitado oficio que trata sobre aspectos financieros, se señala que </w:t>
      </w:r>
      <w:r>
        <w:rPr>
          <w:rFonts w:ascii="Work Sans" w:eastAsia="DengXian Light" w:hAnsi="Work Sans" w:cs="Times New Roman"/>
          <w:i/>
          <w:sz w:val="20"/>
          <w:szCs w:val="20"/>
          <w:lang w:val="es-CO"/>
        </w:rPr>
        <w:t xml:space="preserve">“(…) en aras de restablecer las condiciones iniciales del Contrato y viabilizar la implementación de los incrementos tarifarios requeridos para el proyecto a partir del año 2022, con el fin de compensar al Concesionario las afectaciones derivadas del menor recaudo materializados desde el 3 de noviembre de 2019 hasta el 15 de febrero de 2020, y desde el 16 de enero del año 2021 hasta el 15 de enero del año 2022, se acordó en las mesas de trabajo realizadas entre la Agencia Nacional de Infraestructura, el Concesionario y la Interventoría del Contrato de Concesión un incremento en las tarifas a cobrar en las estaciones de peaje Boquerón I, Boquerón II, Naranjal y </w:t>
      </w:r>
      <w:proofErr w:type="spellStart"/>
      <w:r>
        <w:rPr>
          <w:rFonts w:ascii="Work Sans" w:eastAsia="DengXian Light" w:hAnsi="Work Sans" w:cs="Times New Roman"/>
          <w:i/>
          <w:sz w:val="20"/>
          <w:szCs w:val="20"/>
          <w:lang w:val="es-CO"/>
        </w:rPr>
        <w:t>Pipiral</w:t>
      </w:r>
      <w:proofErr w:type="spellEnd"/>
      <w:r>
        <w:rPr>
          <w:rFonts w:ascii="Work Sans" w:eastAsia="DengXian Light" w:hAnsi="Work Sans" w:cs="Times New Roman"/>
          <w:i/>
          <w:sz w:val="20"/>
          <w:szCs w:val="20"/>
          <w:lang w:val="es-CO"/>
        </w:rPr>
        <w:t>,  por lo que, se aplica la fórmula prevista en la Sección 4.2 de la Parte Especial del Contrato de Concesión .</w:t>
      </w:r>
      <w:r>
        <w:rPr>
          <w:rFonts w:ascii="Work Sans" w:eastAsia="DengXian Light" w:hAnsi="Work Sans" w:cs="Times New Roman"/>
          <w:sz w:val="20"/>
          <w:szCs w:val="20"/>
          <w:lang w:val="es-CO"/>
        </w:rPr>
        <w:t xml:space="preserve"> </w:t>
      </w:r>
    </w:p>
    <w:p w:rsidR="002B74B7" w:rsidRDefault="002B74B7">
      <w:pPr>
        <w:tabs>
          <w:tab w:val="left" w:pos="4320"/>
        </w:tabs>
        <w:jc w:val="both"/>
        <w:rPr>
          <w:rFonts w:ascii="Work Sans" w:eastAsia="DengXian Light" w:hAnsi="Work Sans" w:cs="Times New Roman"/>
          <w:sz w:val="20"/>
          <w:szCs w:val="20"/>
          <w:lang w:val="es-CO"/>
        </w:rPr>
      </w:pPr>
    </w:p>
    <w:p w:rsidR="002B74B7" w:rsidRDefault="00000000">
      <w:pPr>
        <w:pStyle w:val="Prrafodelista"/>
        <w:ind w:left="0"/>
        <w:jc w:val="both"/>
      </w:pPr>
      <w:r>
        <w:rPr>
          <w:rFonts w:ascii="Work Sans" w:eastAsia="Arial" w:hAnsi="Work Sans" w:cs="Calibri"/>
          <w:i/>
          <w:sz w:val="20"/>
          <w:lang w:val="es-CO"/>
        </w:rPr>
        <w:t>De este modo, el incremento real gradual de las tarifas se realizará de forma progresiva durante los años 2022, 2023, 2024, 2025 y 2026 así:</w:t>
      </w:r>
    </w:p>
    <w:p w:rsidR="002B74B7" w:rsidRDefault="002B74B7">
      <w:pPr>
        <w:tabs>
          <w:tab w:val="left" w:pos="1134"/>
        </w:tabs>
        <w:jc w:val="both"/>
        <w:rPr>
          <w:rFonts w:ascii="Work Sans" w:hAnsi="Work Sans" w:cs="Calibri"/>
          <w:i/>
          <w:sz w:val="18"/>
          <w:szCs w:val="18"/>
        </w:rPr>
      </w:pPr>
    </w:p>
    <w:tbl>
      <w:tblPr>
        <w:tblW w:w="5767" w:type="dxa"/>
        <w:jc w:val="center"/>
        <w:tblCellMar>
          <w:left w:w="10" w:type="dxa"/>
          <w:right w:w="10" w:type="dxa"/>
        </w:tblCellMar>
        <w:tblLook w:val="0000" w:firstRow="0" w:lastRow="0" w:firstColumn="0" w:lastColumn="0" w:noHBand="0" w:noVBand="0"/>
      </w:tblPr>
      <w:tblGrid>
        <w:gridCol w:w="1129"/>
        <w:gridCol w:w="1318"/>
        <w:gridCol w:w="1080"/>
        <w:gridCol w:w="1120"/>
        <w:gridCol w:w="1120"/>
      </w:tblGrid>
      <w:tr w:rsidR="002B74B7">
        <w:tblPrEx>
          <w:tblCellMar>
            <w:top w:w="0" w:type="dxa"/>
            <w:bottom w:w="0" w:type="dxa"/>
          </w:tblCellMar>
        </w:tblPrEx>
        <w:trPr>
          <w:trHeight w:val="30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r>
              <w:rPr>
                <w:rFonts w:ascii="Work Sans" w:hAnsi="Work Sans" w:cs="Calibri"/>
                <w:b/>
                <w:bCs/>
                <w:i/>
                <w:color w:val="000000"/>
                <w:sz w:val="18"/>
                <w:szCs w:val="18"/>
              </w:rPr>
              <w:t xml:space="preserve"> Año 2022</w:t>
            </w:r>
          </w:p>
        </w:tc>
        <w:tc>
          <w:tcPr>
            <w:tcW w:w="13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rPr>
            </w:pPr>
            <w:r>
              <w:rPr>
                <w:rFonts w:ascii="Work Sans" w:hAnsi="Work Sans" w:cs="Calibri"/>
                <w:b/>
                <w:bCs/>
                <w:i/>
                <w:color w:val="000000"/>
                <w:sz w:val="18"/>
                <w:szCs w:val="18"/>
              </w:rPr>
              <w:t>Año 2023</w:t>
            </w:r>
          </w:p>
        </w:tc>
        <w:tc>
          <w:tcPr>
            <w:tcW w:w="10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rPr>
            </w:pPr>
            <w:r>
              <w:rPr>
                <w:rFonts w:ascii="Work Sans" w:hAnsi="Work Sans" w:cs="Calibri"/>
                <w:b/>
                <w:bCs/>
                <w:i/>
                <w:color w:val="000000"/>
                <w:sz w:val="18"/>
                <w:szCs w:val="18"/>
              </w:rPr>
              <w:t>Año 2024</w:t>
            </w:r>
          </w:p>
        </w:tc>
        <w:tc>
          <w:tcPr>
            <w:tcW w:w="11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rPr>
            </w:pPr>
            <w:r>
              <w:rPr>
                <w:rFonts w:ascii="Work Sans" w:hAnsi="Work Sans" w:cs="Calibri"/>
                <w:b/>
                <w:bCs/>
                <w:i/>
                <w:color w:val="000000"/>
                <w:sz w:val="18"/>
                <w:szCs w:val="18"/>
              </w:rPr>
              <w:t>Año 2025</w:t>
            </w:r>
          </w:p>
        </w:tc>
        <w:tc>
          <w:tcPr>
            <w:tcW w:w="11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rPr>
            </w:pPr>
            <w:r>
              <w:rPr>
                <w:rFonts w:ascii="Work Sans" w:hAnsi="Work Sans" w:cs="Calibri"/>
                <w:b/>
                <w:bCs/>
                <w:i/>
                <w:color w:val="000000"/>
                <w:sz w:val="18"/>
                <w:szCs w:val="18"/>
              </w:rPr>
              <w:t>Año 2026</w:t>
            </w:r>
          </w:p>
        </w:tc>
      </w:tr>
      <w:tr w:rsidR="002B74B7">
        <w:tblPrEx>
          <w:tblCellMar>
            <w:top w:w="0" w:type="dxa"/>
            <w:bottom w:w="0" w:type="dxa"/>
          </w:tblCellMar>
        </w:tblPrEx>
        <w:trPr>
          <w:trHeight w:val="300"/>
          <w:jc w:val="center"/>
        </w:trPr>
        <w:tc>
          <w:tcPr>
            <w:tcW w:w="11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rPr>
            </w:pPr>
            <w:r>
              <w:rPr>
                <w:rFonts w:ascii="Work Sans" w:hAnsi="Work Sans" w:cs="Calibri"/>
                <w:i/>
                <w:color w:val="000000"/>
                <w:sz w:val="18"/>
                <w:szCs w:val="18"/>
              </w:rPr>
              <w:t>3%</w:t>
            </w:r>
          </w:p>
        </w:tc>
        <w:tc>
          <w:tcPr>
            <w:tcW w:w="13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rPr>
            </w:pPr>
            <w:r>
              <w:rPr>
                <w:rFonts w:ascii="Work Sans" w:hAnsi="Work Sans" w:cs="Calibri"/>
                <w:i/>
                <w:color w:val="000000"/>
                <w:sz w:val="18"/>
                <w:szCs w:val="18"/>
              </w:rPr>
              <w:t>3%</w:t>
            </w:r>
          </w:p>
        </w:tc>
        <w:tc>
          <w:tcPr>
            <w:tcW w:w="10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rPr>
            </w:pPr>
            <w:r>
              <w:rPr>
                <w:rFonts w:ascii="Work Sans" w:hAnsi="Work Sans" w:cs="Calibri"/>
                <w:i/>
                <w:color w:val="000000"/>
                <w:sz w:val="18"/>
                <w:szCs w:val="18"/>
              </w:rPr>
              <w:t>3%</w:t>
            </w:r>
          </w:p>
        </w:tc>
        <w:tc>
          <w:tcPr>
            <w:tcW w:w="11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rPr>
            </w:pPr>
            <w:r>
              <w:rPr>
                <w:rFonts w:ascii="Work Sans" w:hAnsi="Work Sans" w:cs="Calibri"/>
                <w:i/>
                <w:color w:val="000000"/>
                <w:sz w:val="18"/>
                <w:szCs w:val="18"/>
              </w:rPr>
              <w:t>3%</w:t>
            </w:r>
          </w:p>
        </w:tc>
        <w:tc>
          <w:tcPr>
            <w:tcW w:w="11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rPr>
            </w:pPr>
            <w:r>
              <w:rPr>
                <w:rFonts w:ascii="Work Sans" w:hAnsi="Work Sans" w:cs="Calibri"/>
                <w:i/>
                <w:color w:val="000000"/>
                <w:sz w:val="18"/>
                <w:szCs w:val="18"/>
              </w:rPr>
              <w:t>0,78%</w:t>
            </w:r>
          </w:p>
        </w:tc>
      </w:tr>
    </w:tbl>
    <w:p w:rsidR="002B74B7" w:rsidRDefault="002B74B7">
      <w:pPr>
        <w:tabs>
          <w:tab w:val="left" w:pos="1134"/>
        </w:tabs>
        <w:jc w:val="both"/>
        <w:rPr>
          <w:rFonts w:ascii="Work Sans" w:hAnsi="Work Sans" w:cs="Calibri"/>
          <w:i/>
          <w:sz w:val="18"/>
          <w:szCs w:val="18"/>
        </w:rPr>
      </w:pPr>
    </w:p>
    <w:p w:rsidR="002B74B7" w:rsidRDefault="00000000">
      <w:pPr>
        <w:tabs>
          <w:tab w:val="left" w:pos="4320"/>
        </w:tabs>
        <w:jc w:val="both"/>
      </w:pPr>
      <w:r>
        <w:rPr>
          <w:rFonts w:ascii="Work Sans" w:eastAsia="DengXian Light" w:hAnsi="Work Sans" w:cs="Times New Roman"/>
          <w:sz w:val="20"/>
          <w:szCs w:val="20"/>
          <w:lang w:val="es-CO"/>
        </w:rPr>
        <w:t xml:space="preserve">Que en virtud de lo anterior, la Agencia Nacional de Infraestructura mediante  oficio con número de radicado 20225000224201 de julio 27 de 2022 y oficio alcance 20225000373731 de noviembre 18 de 2022, solicita a esta entidad, establecer un nuevo esquema tarifario para las estaciones de peaje </w:t>
      </w:r>
      <w:r>
        <w:rPr>
          <w:rFonts w:ascii="Work Sans" w:eastAsia="Arial Narrow" w:hAnsi="Work Sans" w:cs="Times New Roman"/>
          <w:sz w:val="20"/>
          <w:szCs w:val="20"/>
          <w:lang w:val="es-CO"/>
        </w:rPr>
        <w:t xml:space="preserve">Boquerón I, Boquerón II, Naranjal y </w:t>
      </w:r>
      <w:proofErr w:type="spellStart"/>
      <w:r>
        <w:rPr>
          <w:rFonts w:ascii="Work Sans" w:eastAsia="Arial Narrow" w:hAnsi="Work Sans" w:cs="Times New Roman"/>
          <w:sz w:val="20"/>
          <w:szCs w:val="20"/>
          <w:lang w:val="es-CO"/>
        </w:rPr>
        <w:t>Pipiral</w:t>
      </w:r>
      <w:proofErr w:type="spellEnd"/>
      <w:r>
        <w:rPr>
          <w:rFonts w:ascii="Work Sans" w:eastAsia="Arial Narrow" w:hAnsi="Work Sans" w:cs="Times New Roman"/>
          <w:sz w:val="20"/>
          <w:szCs w:val="20"/>
          <w:lang w:val="es-CO"/>
        </w:rPr>
        <w:t>, para el Proyecto de Concesión Vial bajo el esquema de APP de Iniciativa privada sin recursos de la nación “</w:t>
      </w:r>
      <w:proofErr w:type="spellStart"/>
      <w:r>
        <w:rPr>
          <w:rFonts w:ascii="Work Sans" w:eastAsia="Arial Narrow" w:hAnsi="Work Sans" w:cs="Times New Roman"/>
          <w:sz w:val="20"/>
          <w:szCs w:val="20"/>
          <w:lang w:val="es-CO"/>
        </w:rPr>
        <w:t>Chirajara</w:t>
      </w:r>
      <w:proofErr w:type="spellEnd"/>
      <w:r>
        <w:rPr>
          <w:rFonts w:ascii="Work Sans" w:eastAsia="Arial Narrow" w:hAnsi="Work Sans" w:cs="Times New Roman"/>
          <w:sz w:val="20"/>
          <w:szCs w:val="20"/>
          <w:lang w:val="es-CO"/>
        </w:rPr>
        <w:t xml:space="preserve"> – Fundadores” Contrato No. 005 de junio 9 de 2015, </w:t>
      </w:r>
      <w:bookmarkStart w:id="0" w:name="_Hlk122603500"/>
      <w:r>
        <w:rPr>
          <w:rFonts w:ascii="Work Sans" w:eastAsia="Arial Narrow" w:hAnsi="Work Sans" w:cs="Times New Roman"/>
          <w:sz w:val="20"/>
          <w:szCs w:val="20"/>
          <w:lang w:val="es-CO"/>
        </w:rPr>
        <w:t xml:space="preserve">y modificar el artículo 7° de la Resolución 6137 de 2013  y el  artículo 10° de la Resolución 1695 de 2015, en el sentido de establecer la fecha de actualización anual de las Tarifas Especiales Diferenciales de las estaciones de Peaje Boquerón I y II, Naranjal y </w:t>
      </w:r>
      <w:proofErr w:type="spellStart"/>
      <w:r>
        <w:rPr>
          <w:rFonts w:ascii="Work Sans" w:eastAsia="Arial Narrow" w:hAnsi="Work Sans" w:cs="Times New Roman"/>
          <w:sz w:val="20"/>
          <w:szCs w:val="20"/>
          <w:lang w:val="es-CO"/>
        </w:rPr>
        <w:t>Pipiral</w:t>
      </w:r>
      <w:proofErr w:type="spellEnd"/>
      <w:r>
        <w:rPr>
          <w:rFonts w:ascii="Work Sans" w:eastAsia="Arial Narrow" w:hAnsi="Work Sans" w:cs="Times New Roman"/>
          <w:sz w:val="20"/>
          <w:szCs w:val="20"/>
          <w:lang w:val="es-CO"/>
        </w:rPr>
        <w:t>,</w:t>
      </w:r>
      <w:bookmarkEnd w:id="0"/>
      <w:r>
        <w:rPr>
          <w:rFonts w:ascii="Work Sans" w:eastAsia="Arial Narrow" w:hAnsi="Work Sans" w:cs="Times New Roman"/>
          <w:spacing w:val="-3"/>
          <w:sz w:val="20"/>
          <w:szCs w:val="20"/>
          <w:lang w:val="es-CO"/>
        </w:rPr>
        <w:t xml:space="preserve"> </w:t>
      </w:r>
      <w:r>
        <w:rPr>
          <w:rFonts w:ascii="Work Sans" w:hAnsi="Work Sans" w:cs="Times New Roman"/>
          <w:sz w:val="20"/>
          <w:szCs w:val="20"/>
          <w:lang w:val="es-CO"/>
        </w:rPr>
        <w:t>con fundamento en lo siguiente:</w:t>
      </w:r>
    </w:p>
    <w:p w:rsidR="002B74B7" w:rsidRDefault="002B74B7">
      <w:pPr>
        <w:tabs>
          <w:tab w:val="left" w:pos="4320"/>
        </w:tabs>
        <w:jc w:val="both"/>
        <w:rPr>
          <w:rFonts w:ascii="Work Sans" w:hAnsi="Work Sans" w:cs="Times New Roman"/>
          <w:sz w:val="20"/>
          <w:szCs w:val="20"/>
          <w:lang w:val="es-CO"/>
        </w:rPr>
      </w:pPr>
    </w:p>
    <w:p w:rsidR="002B74B7" w:rsidRDefault="00000000">
      <w:pPr>
        <w:widowControl/>
        <w:ind w:left="567" w:right="623"/>
        <w:textAlignment w:val="auto"/>
        <w:rPr>
          <w:rFonts w:ascii="Work Sans" w:eastAsia="Arial Narrow" w:hAnsi="Work Sans" w:cs="Calibri"/>
          <w:b/>
          <w:bCs/>
          <w:i/>
          <w:iCs/>
          <w:sz w:val="18"/>
          <w:szCs w:val="18"/>
          <w:lang w:val="es-CO" w:bidi="ar-SA"/>
        </w:rPr>
      </w:pPr>
      <w:r>
        <w:rPr>
          <w:rFonts w:ascii="Work Sans" w:eastAsia="Arial Narrow" w:hAnsi="Work Sans" w:cs="Calibri"/>
          <w:b/>
          <w:bCs/>
          <w:i/>
          <w:iCs/>
          <w:sz w:val="18"/>
          <w:szCs w:val="18"/>
          <w:lang w:val="es-CO" w:bidi="ar-SA"/>
        </w:rPr>
        <w:t xml:space="preserve">“(…) </w:t>
      </w:r>
    </w:p>
    <w:p w:rsidR="002B74B7" w:rsidRDefault="002B74B7">
      <w:pPr>
        <w:widowControl/>
        <w:ind w:left="567" w:right="623"/>
        <w:textAlignment w:val="auto"/>
        <w:rPr>
          <w:rFonts w:ascii="Work Sans" w:eastAsia="Arial Narrow" w:hAnsi="Work Sans" w:cs="Calibri"/>
          <w:b/>
          <w:bCs/>
          <w:i/>
          <w:iCs/>
          <w:sz w:val="18"/>
          <w:szCs w:val="18"/>
          <w:lang w:val="es-CO" w:bidi="ar-SA"/>
        </w:rPr>
      </w:pPr>
    </w:p>
    <w:p w:rsidR="002B74B7" w:rsidRDefault="00000000">
      <w:pPr>
        <w:widowControl/>
        <w:ind w:left="567" w:right="623"/>
        <w:textAlignment w:val="auto"/>
        <w:rPr>
          <w:rFonts w:ascii="Work Sans" w:eastAsia="Arial Narrow" w:hAnsi="Work Sans" w:cs="Calibri"/>
          <w:b/>
          <w:bCs/>
          <w:i/>
          <w:iCs/>
          <w:sz w:val="18"/>
          <w:szCs w:val="18"/>
          <w:lang w:val="es-CO" w:bidi="ar-SA"/>
        </w:rPr>
      </w:pPr>
      <w:r>
        <w:rPr>
          <w:rFonts w:ascii="Work Sans" w:eastAsia="Arial Narrow" w:hAnsi="Work Sans" w:cs="Calibri"/>
          <w:b/>
          <w:bCs/>
          <w:i/>
          <w:iCs/>
          <w:sz w:val="18"/>
          <w:szCs w:val="18"/>
          <w:lang w:val="es-CO" w:bidi="ar-SA"/>
        </w:rPr>
        <w:t xml:space="preserve">2.1. ASPECTOS SOCIALES </w:t>
      </w:r>
    </w:p>
    <w:p w:rsidR="002B74B7" w:rsidRDefault="002B74B7">
      <w:pPr>
        <w:ind w:left="567" w:right="623"/>
        <w:jc w:val="both"/>
        <w:rPr>
          <w:rFonts w:ascii="Work Sans" w:eastAsia="Segoe UI" w:hAnsi="Work Sans" w:cs="Calibri"/>
          <w:i/>
          <w:iCs/>
          <w:color w:val="000000"/>
          <w:sz w:val="18"/>
          <w:szCs w:val="18"/>
          <w:lang w:val="es-CO"/>
        </w:rPr>
      </w:pPr>
    </w:p>
    <w:p w:rsidR="002B74B7" w:rsidRDefault="002B74B7">
      <w:pPr>
        <w:ind w:left="567" w:right="623"/>
        <w:jc w:val="both"/>
        <w:rPr>
          <w:rFonts w:ascii="Work Sans" w:eastAsia="Arial" w:hAnsi="Work Sans" w:cs="Times New Roman"/>
          <w:i/>
          <w:iCs/>
          <w:sz w:val="18"/>
          <w:szCs w:val="18"/>
          <w:lang w:val="es-CO"/>
        </w:rPr>
      </w:pPr>
    </w:p>
    <w:p w:rsidR="002B74B7" w:rsidRDefault="00000000">
      <w:pPr>
        <w:ind w:left="567" w:right="623"/>
        <w:jc w:val="both"/>
      </w:pPr>
      <w:r>
        <w:rPr>
          <w:rFonts w:ascii="Work Sans" w:eastAsia="Arial" w:hAnsi="Work Sans" w:cs="Times New Roman"/>
          <w:i/>
          <w:iCs/>
          <w:sz w:val="18"/>
          <w:szCs w:val="18"/>
          <w:lang w:val="es-CO"/>
        </w:rPr>
        <w:t>De conformidad con la estructura tarifaria contractual, la actualización anual de las tarifas de peaje contempla la aplicación de incrementos anuales, resaltando que el mayor incremento se estableció para el año 2021, correspondiente al IPC + 7.8%, tal y como se muestra en la siguiente tabla:</w:t>
      </w:r>
    </w:p>
    <w:p w:rsidR="002B74B7" w:rsidRDefault="002B74B7">
      <w:pPr>
        <w:ind w:left="567" w:right="623"/>
        <w:jc w:val="both"/>
        <w:rPr>
          <w:rFonts w:ascii="Work Sans" w:eastAsia="Arial" w:hAnsi="Work Sans" w:cs="Calibri"/>
          <w:i/>
          <w:sz w:val="18"/>
          <w:szCs w:val="18"/>
          <w:lang w:val="es-CO"/>
        </w:rPr>
      </w:pPr>
    </w:p>
    <w:tbl>
      <w:tblPr>
        <w:tblW w:w="5505" w:type="dxa"/>
        <w:jc w:val="center"/>
        <w:tblLayout w:type="fixed"/>
        <w:tblCellMar>
          <w:left w:w="10" w:type="dxa"/>
          <w:right w:w="10" w:type="dxa"/>
        </w:tblCellMar>
        <w:tblLook w:val="0000" w:firstRow="0" w:lastRow="0" w:firstColumn="0" w:lastColumn="0" w:noHBand="0" w:noVBand="0"/>
      </w:tblPr>
      <w:tblGrid>
        <w:gridCol w:w="1425"/>
        <w:gridCol w:w="1530"/>
        <w:gridCol w:w="1350"/>
        <w:gridCol w:w="1200"/>
      </w:tblGrid>
      <w:tr w:rsidR="002B74B7">
        <w:tblPrEx>
          <w:tblCellMar>
            <w:top w:w="0" w:type="dxa"/>
            <w:bottom w:w="0" w:type="dxa"/>
          </w:tblCellMar>
        </w:tblPrEx>
        <w:trPr>
          <w:trHeight w:val="30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74B7" w:rsidRDefault="00000000">
            <w:pPr>
              <w:jc w:val="center"/>
              <w:rPr>
                <w:rFonts w:ascii="Work Sans" w:eastAsia="Arial" w:hAnsi="Work Sans" w:cs="Calibri"/>
                <w:i/>
                <w:sz w:val="18"/>
                <w:szCs w:val="18"/>
                <w:lang w:val="es-CO"/>
              </w:rPr>
            </w:pPr>
            <w:r>
              <w:rPr>
                <w:rFonts w:ascii="Work Sans" w:eastAsia="Arial" w:hAnsi="Work Sans" w:cs="Calibri"/>
                <w:i/>
                <w:sz w:val="18"/>
                <w:szCs w:val="18"/>
                <w:lang w:val="es-CO"/>
              </w:rPr>
              <w:t xml:space="preserve">Año 2018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74B7" w:rsidRDefault="00000000">
            <w:pPr>
              <w:jc w:val="center"/>
              <w:rPr>
                <w:rFonts w:ascii="Work Sans" w:eastAsia="Arial" w:hAnsi="Work Sans" w:cs="Calibri"/>
                <w:i/>
                <w:sz w:val="18"/>
                <w:szCs w:val="18"/>
                <w:lang w:val="es-CO"/>
              </w:rPr>
            </w:pPr>
            <w:r>
              <w:rPr>
                <w:rFonts w:ascii="Work Sans" w:eastAsia="Arial" w:hAnsi="Work Sans" w:cs="Calibri"/>
                <w:i/>
                <w:sz w:val="18"/>
                <w:szCs w:val="18"/>
                <w:lang w:val="es-CO"/>
              </w:rPr>
              <w:t xml:space="preserve">Año 2019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74B7" w:rsidRDefault="00000000">
            <w:pPr>
              <w:jc w:val="center"/>
              <w:rPr>
                <w:rFonts w:ascii="Work Sans" w:eastAsia="Arial" w:hAnsi="Work Sans" w:cs="Calibri"/>
                <w:i/>
                <w:sz w:val="18"/>
                <w:szCs w:val="18"/>
                <w:lang w:val="es-CO"/>
              </w:rPr>
            </w:pPr>
            <w:r>
              <w:rPr>
                <w:rFonts w:ascii="Work Sans" w:eastAsia="Arial" w:hAnsi="Work Sans" w:cs="Calibri"/>
                <w:i/>
                <w:sz w:val="18"/>
                <w:szCs w:val="18"/>
                <w:lang w:val="es-CO"/>
              </w:rPr>
              <w:t xml:space="preserve">Año 2020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74B7" w:rsidRDefault="00000000">
            <w:pPr>
              <w:jc w:val="center"/>
              <w:rPr>
                <w:rFonts w:ascii="Work Sans" w:eastAsia="Arial" w:hAnsi="Work Sans" w:cs="Calibri"/>
                <w:i/>
                <w:sz w:val="18"/>
                <w:szCs w:val="18"/>
                <w:lang w:val="es-CO"/>
              </w:rPr>
            </w:pPr>
            <w:r>
              <w:rPr>
                <w:rFonts w:ascii="Work Sans" w:eastAsia="Arial" w:hAnsi="Work Sans" w:cs="Calibri"/>
                <w:i/>
                <w:sz w:val="18"/>
                <w:szCs w:val="18"/>
                <w:lang w:val="es-CO"/>
              </w:rPr>
              <w:t xml:space="preserve">Año 2021 </w:t>
            </w:r>
          </w:p>
        </w:tc>
      </w:tr>
      <w:tr w:rsidR="002B74B7">
        <w:tblPrEx>
          <w:tblCellMar>
            <w:top w:w="0" w:type="dxa"/>
            <w:bottom w:w="0" w:type="dxa"/>
          </w:tblCellMar>
        </w:tblPrEx>
        <w:trPr>
          <w:trHeight w:val="30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74B7" w:rsidRDefault="00000000">
            <w:pPr>
              <w:jc w:val="center"/>
              <w:rPr>
                <w:rFonts w:ascii="Work Sans" w:eastAsia="Arial" w:hAnsi="Work Sans" w:cs="Calibri"/>
                <w:i/>
                <w:sz w:val="18"/>
                <w:szCs w:val="18"/>
                <w:lang w:val="es-CO"/>
              </w:rPr>
            </w:pPr>
            <w:r>
              <w:rPr>
                <w:rFonts w:ascii="Work Sans" w:eastAsia="Arial" w:hAnsi="Work Sans" w:cs="Calibri"/>
                <w:i/>
                <w:sz w:val="18"/>
                <w:szCs w:val="18"/>
                <w:lang w:val="es-CO"/>
              </w:rPr>
              <w:lastRenderedPageBreak/>
              <w:t xml:space="preserve">2%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74B7" w:rsidRDefault="00000000">
            <w:pPr>
              <w:jc w:val="center"/>
              <w:rPr>
                <w:rFonts w:ascii="Work Sans" w:eastAsia="Arial" w:hAnsi="Work Sans" w:cs="Calibri"/>
                <w:i/>
                <w:sz w:val="18"/>
                <w:szCs w:val="18"/>
                <w:lang w:val="es-CO"/>
              </w:rPr>
            </w:pPr>
            <w:r>
              <w:rPr>
                <w:rFonts w:ascii="Work Sans" w:eastAsia="Arial" w:hAnsi="Work Sans" w:cs="Calibri"/>
                <w:i/>
                <w:sz w:val="18"/>
                <w:szCs w:val="18"/>
                <w:lang w:val="es-CO"/>
              </w:rPr>
              <w:t xml:space="preserve">3%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74B7" w:rsidRDefault="00000000">
            <w:pPr>
              <w:jc w:val="center"/>
              <w:rPr>
                <w:rFonts w:ascii="Work Sans" w:eastAsia="Arial" w:hAnsi="Work Sans" w:cs="Calibri"/>
                <w:i/>
                <w:sz w:val="18"/>
                <w:szCs w:val="18"/>
                <w:lang w:val="es-CO"/>
              </w:rPr>
            </w:pPr>
            <w:r>
              <w:rPr>
                <w:rFonts w:ascii="Work Sans" w:eastAsia="Arial" w:hAnsi="Work Sans" w:cs="Calibri"/>
                <w:i/>
                <w:sz w:val="18"/>
                <w:szCs w:val="18"/>
                <w:lang w:val="es-CO"/>
              </w:rPr>
              <w:t xml:space="preserve">3%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74B7" w:rsidRDefault="00000000">
            <w:pPr>
              <w:jc w:val="center"/>
              <w:rPr>
                <w:rFonts w:ascii="Work Sans" w:eastAsia="Arial" w:hAnsi="Work Sans" w:cs="Calibri"/>
                <w:i/>
                <w:sz w:val="18"/>
                <w:szCs w:val="18"/>
                <w:lang w:val="es-CO"/>
              </w:rPr>
            </w:pPr>
            <w:r>
              <w:rPr>
                <w:rFonts w:ascii="Work Sans" w:eastAsia="Arial" w:hAnsi="Work Sans" w:cs="Calibri"/>
                <w:i/>
                <w:sz w:val="18"/>
                <w:szCs w:val="18"/>
                <w:lang w:val="es-CO"/>
              </w:rPr>
              <w:t>7,80%</w:t>
            </w:r>
          </w:p>
        </w:tc>
      </w:tr>
    </w:tbl>
    <w:p w:rsidR="002B74B7" w:rsidRDefault="002B74B7">
      <w:pPr>
        <w:jc w:val="both"/>
        <w:rPr>
          <w:rFonts w:ascii="Work Sans" w:eastAsia="Arial" w:hAnsi="Work Sans" w:cs="Calibri"/>
          <w:i/>
          <w:sz w:val="18"/>
          <w:szCs w:val="18"/>
          <w:lang w:val="es-CO"/>
        </w:rPr>
      </w:pPr>
    </w:p>
    <w:p w:rsidR="002B74B7" w:rsidRDefault="00000000">
      <w:pPr>
        <w:widowControl/>
        <w:ind w:left="567" w:right="481"/>
        <w:jc w:val="both"/>
      </w:pPr>
      <w:r>
        <w:rPr>
          <w:rFonts w:ascii="Work Sans" w:eastAsia="DengXian Light" w:hAnsi="Work Sans" w:cs="Calibri"/>
          <w:i/>
          <w:sz w:val="18"/>
          <w:szCs w:val="18"/>
          <w:lang w:val="es-CO" w:bidi="ar-SA"/>
        </w:rPr>
        <w:t xml:space="preserve">No obstante lo anterior, </w:t>
      </w:r>
      <w:r>
        <w:rPr>
          <w:rFonts w:ascii="Work Sans" w:eastAsia="Arial Narrow" w:hAnsi="Work Sans" w:cs="Calibri"/>
          <w:i/>
          <w:sz w:val="18"/>
          <w:szCs w:val="18"/>
          <w:lang w:val="es-CO" w:bidi="ar-SA"/>
        </w:rPr>
        <w:t xml:space="preserve">de acuerdo con los antecedentes obrantes en el expediente contractual, se evidencia que para la fecha de entrega de la Unidad Funcional de Operación y Mantenimiento, esto es, el 3 de noviembre de 2019, no fue posible hacer el ajuste tarifario establecido en la Resolución 1113 de 2015 de manera inmediata, sino que este tuvo aplicación a partir del 15 de febrero de 2020, de conformidad con lo expuesto en la comunicación ANI No. 20205000043631 del 13 de febrero de 2020. </w:t>
      </w:r>
    </w:p>
    <w:p w:rsidR="002B74B7" w:rsidRDefault="002B74B7">
      <w:pPr>
        <w:ind w:left="567" w:right="481"/>
        <w:jc w:val="both"/>
        <w:rPr>
          <w:rFonts w:ascii="Work Sans" w:eastAsia="Arial" w:hAnsi="Work Sans" w:cs="Calibri"/>
          <w:i/>
          <w:sz w:val="18"/>
          <w:szCs w:val="18"/>
          <w:lang w:val="es-CO"/>
        </w:rPr>
      </w:pP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 xml:space="preserve">Posteriormente, en diciembre de 2020 se implementó por parte de la ANI, bajo la observancia de todos los protocolos de bioseguridad que para ese momento por situación de pandemia se encontraban establecidos por Ley y con el apoyo del Concesionario e Interventoría, una campaña informativa y de comunicaciones para socializar la aplicación del incremento mencionado del 7.8% a las tarifas de peaje, cuya entrada en vigencia estaba prevista para el 16 de enero de 2021. La estrategia informativa y de comunicación estuvo dirigida e involucró a actores institucionales, gremiales, comunitarios de los municipios del área de influencia del proyecto y/o usuarios del corredor vial: Chipaque, </w:t>
      </w:r>
      <w:proofErr w:type="spellStart"/>
      <w:r>
        <w:rPr>
          <w:rFonts w:ascii="Work Sans" w:eastAsia="Arial" w:hAnsi="Work Sans" w:cs="Calibri"/>
          <w:i/>
          <w:sz w:val="18"/>
          <w:szCs w:val="18"/>
          <w:lang w:val="es-CO"/>
        </w:rPr>
        <w:t>Caqueza</w:t>
      </w:r>
      <w:proofErr w:type="spellEnd"/>
      <w:r>
        <w:rPr>
          <w:rFonts w:ascii="Work Sans" w:eastAsia="Arial" w:hAnsi="Work Sans" w:cs="Calibri"/>
          <w:i/>
          <w:sz w:val="18"/>
          <w:szCs w:val="18"/>
          <w:lang w:val="es-CO"/>
        </w:rPr>
        <w:t xml:space="preserve">, </w:t>
      </w:r>
      <w:proofErr w:type="spellStart"/>
      <w:r>
        <w:rPr>
          <w:rFonts w:ascii="Work Sans" w:eastAsia="Arial" w:hAnsi="Work Sans" w:cs="Calibri"/>
          <w:i/>
          <w:sz w:val="18"/>
          <w:szCs w:val="18"/>
          <w:lang w:val="es-CO"/>
        </w:rPr>
        <w:t>Quetame</w:t>
      </w:r>
      <w:proofErr w:type="spellEnd"/>
      <w:r>
        <w:rPr>
          <w:rFonts w:ascii="Work Sans" w:eastAsia="Arial" w:hAnsi="Work Sans" w:cs="Calibri"/>
          <w:i/>
          <w:sz w:val="18"/>
          <w:szCs w:val="18"/>
          <w:lang w:val="es-CO"/>
        </w:rPr>
        <w:t>, Guayabetal, Villavicencio, Gobernación de Cundinamarca y del Meta.</w:t>
      </w:r>
    </w:p>
    <w:p w:rsidR="002B74B7" w:rsidRDefault="002B74B7">
      <w:pPr>
        <w:ind w:left="567" w:right="481"/>
        <w:jc w:val="both"/>
        <w:rPr>
          <w:rFonts w:ascii="Work Sans" w:eastAsia="Arial" w:hAnsi="Work Sans" w:cs="Calibri"/>
          <w:i/>
          <w:sz w:val="18"/>
          <w:szCs w:val="18"/>
          <w:lang w:val="es-CO"/>
        </w:rPr>
      </w:pP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Sin embargo, los actores institucionales, comunitarios, organizaciones, gremios y usuarios del corredor vial hicieron manifiesto su rechazo al incremento con fundamento, en la mayoría de los casos, en situaciones presentadas en los últimos años y asociadas a problemas secuenciales que influyeron en la movilidad de las comunidades residentes en la zona:</w:t>
      </w: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 xml:space="preserve"> </w:t>
      </w: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 xml:space="preserve">2018: Desplome puente </w:t>
      </w:r>
      <w:proofErr w:type="spellStart"/>
      <w:r>
        <w:rPr>
          <w:rFonts w:ascii="Work Sans" w:eastAsia="Arial" w:hAnsi="Work Sans" w:cs="Calibri"/>
          <w:i/>
          <w:sz w:val="18"/>
          <w:szCs w:val="18"/>
          <w:lang w:val="es-CO"/>
        </w:rPr>
        <w:t>Chirajara</w:t>
      </w:r>
      <w:proofErr w:type="spellEnd"/>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2019: Cierre de la vía durante tres meses por afectación y pérdida de la bancada en el km 58 y 64.</w:t>
      </w: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2020: Situación de Pandemia.</w:t>
      </w:r>
    </w:p>
    <w:p w:rsidR="002B74B7" w:rsidRDefault="002B74B7">
      <w:pPr>
        <w:ind w:left="567" w:right="481"/>
        <w:jc w:val="both"/>
        <w:rPr>
          <w:rFonts w:ascii="Work Sans" w:eastAsia="Arial" w:hAnsi="Work Sans" w:cs="Calibri"/>
          <w:i/>
          <w:sz w:val="18"/>
          <w:szCs w:val="18"/>
          <w:lang w:val="es-CO"/>
        </w:rPr>
      </w:pPr>
    </w:p>
    <w:p w:rsidR="002B74B7" w:rsidRDefault="00000000">
      <w:pPr>
        <w:ind w:left="567" w:right="481"/>
        <w:jc w:val="both"/>
      </w:pPr>
      <w:r>
        <w:rPr>
          <w:rFonts w:ascii="Work Sans" w:eastAsia="Arial" w:hAnsi="Work Sans" w:cs="Calibri"/>
          <w:i/>
          <w:sz w:val="18"/>
          <w:szCs w:val="18"/>
          <w:lang w:val="es-CO"/>
        </w:rPr>
        <w:t xml:space="preserve">Adicionalmente, a los hechos referidos se asociaron situaciones coyunturales de orden socioeconómico como: afectación del turismo, imposibilidad de comercialización de productos agrícolas, desempleo, pérdida de capacidad adquisitiva, entre otros.  </w:t>
      </w: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 xml:space="preserve"> </w:t>
      </w: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El descontento común ante el anuncio del incremento de tarifas de peaje, unido al voz a voz de la información y la difusión del tema a través de medios de comunicación locales y nacionales, desencadenaron un fenómeno de unidad territorial, presión a los mandatarios y líderes regionales para la búsqueda de alternativas que frenaran la materialización del incremento. Ello, aunado a los anuncios de protestas y acciones de hecho.</w:t>
      </w: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 xml:space="preserve"> </w:t>
      </w:r>
    </w:p>
    <w:p w:rsidR="002B74B7" w:rsidRDefault="00000000">
      <w:pPr>
        <w:ind w:left="567" w:right="481"/>
        <w:jc w:val="both"/>
        <w:rPr>
          <w:rFonts w:ascii="Work Sans" w:eastAsia="Arial" w:hAnsi="Work Sans" w:cs="Times New Roman"/>
          <w:i/>
          <w:iCs/>
          <w:sz w:val="18"/>
          <w:szCs w:val="18"/>
          <w:lang w:val="es-CO"/>
        </w:rPr>
      </w:pPr>
      <w:r>
        <w:rPr>
          <w:rFonts w:ascii="Work Sans" w:eastAsia="Arial" w:hAnsi="Work Sans" w:cs="Times New Roman"/>
          <w:i/>
          <w:iCs/>
          <w:sz w:val="18"/>
          <w:szCs w:val="18"/>
          <w:lang w:val="es-CO"/>
        </w:rPr>
        <w:t>En los primeros días del mes enero de 2021 los mandatarios locales, autoridades regionales y voceros a nivel nacional solicitaron espacios de dialogo para tratar el tema. Así, se desarrollaron de manera consecutiva dos escenarios de reunión con autoridades locales y departamentales, congresistas y representantes de la comunidad, en los que se plantearon diferentes propuestas para impedir la materialización del incremento de tarifas de peajes.</w:t>
      </w:r>
    </w:p>
    <w:p w:rsidR="002B74B7" w:rsidRDefault="002B74B7">
      <w:pPr>
        <w:ind w:left="567" w:right="481"/>
        <w:jc w:val="both"/>
        <w:rPr>
          <w:rFonts w:ascii="Work Sans" w:eastAsia="Arial" w:hAnsi="Work Sans" w:cs="Calibri"/>
          <w:i/>
          <w:sz w:val="18"/>
          <w:szCs w:val="18"/>
          <w:lang w:val="es-CO"/>
        </w:rPr>
      </w:pP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lastRenderedPageBreak/>
        <w:t xml:space="preserve">El día 8 de enero de 2021, en mesa de trabajo que contó con la participación de, entre otros, el Gobernador del Meta, Juan Guillermo Zuluaga, el Alcalde de Villavicencio, Felipe Harman, los Senadores de la República Maritza </w:t>
      </w:r>
      <w:proofErr w:type="spellStart"/>
      <w:r>
        <w:rPr>
          <w:rFonts w:ascii="Work Sans" w:eastAsia="Arial" w:hAnsi="Work Sans" w:cs="Calibri"/>
          <w:i/>
          <w:sz w:val="18"/>
          <w:szCs w:val="18"/>
          <w:lang w:val="es-CO"/>
        </w:rPr>
        <w:t>Martinez</w:t>
      </w:r>
      <w:proofErr w:type="spellEnd"/>
      <w:r>
        <w:rPr>
          <w:rFonts w:ascii="Work Sans" w:eastAsia="Arial" w:hAnsi="Work Sans" w:cs="Calibri"/>
          <w:i/>
          <w:sz w:val="18"/>
          <w:szCs w:val="18"/>
          <w:lang w:val="es-CO"/>
        </w:rPr>
        <w:t xml:space="preserve"> </w:t>
      </w:r>
      <w:proofErr w:type="spellStart"/>
      <w:r>
        <w:rPr>
          <w:rFonts w:ascii="Work Sans" w:eastAsia="Arial" w:hAnsi="Work Sans" w:cs="Calibri"/>
          <w:i/>
          <w:sz w:val="18"/>
          <w:szCs w:val="18"/>
          <w:lang w:val="es-CO"/>
        </w:rPr>
        <w:t>Aristizabal</w:t>
      </w:r>
      <w:proofErr w:type="spellEnd"/>
      <w:r>
        <w:rPr>
          <w:rFonts w:ascii="Work Sans" w:eastAsia="Arial" w:hAnsi="Work Sans" w:cs="Calibri"/>
          <w:i/>
          <w:sz w:val="18"/>
          <w:szCs w:val="18"/>
          <w:lang w:val="es-CO"/>
        </w:rPr>
        <w:t xml:space="preserve"> y Jonatan Tamayo, los Representantes a la Cámara, Jennifer Arias, Jaime Rodríguez y Alejandro Vega, los Representantes de los diferentes gremios, la Veeduría y la Cámara de Comercio de Villavicencio, Alcaldes y líderes comunitarios, en atención a las diferentes peticiones de autoridades, gremios, sectores, organizaciones y comunidades del área de influencia del proyecto que solicitaron no aplicar el incremento de tarifas de peajes previsto para el año 2021, se acordó por parte  de la ANI viabilizar la propuesta analizada en la mesa de trabajo y suspender temporalmente el alza de los peajes de la Vía al Llano que estaba prevista para el 16 de enero de 2021 conforme a lo estipulado en el Contrato de Concesión No 005 de 2015.</w:t>
      </w:r>
    </w:p>
    <w:p w:rsidR="002B74B7" w:rsidRDefault="002B74B7">
      <w:pPr>
        <w:ind w:left="567" w:right="481"/>
        <w:jc w:val="both"/>
        <w:rPr>
          <w:rFonts w:ascii="Work Sans" w:eastAsia="Arial" w:hAnsi="Work Sans" w:cs="Calibri"/>
          <w:i/>
          <w:sz w:val="18"/>
          <w:szCs w:val="18"/>
          <w:lang w:val="es-CO"/>
        </w:rPr>
      </w:pPr>
    </w:p>
    <w:p w:rsidR="002B74B7" w:rsidRDefault="00000000">
      <w:pPr>
        <w:tabs>
          <w:tab w:val="left" w:pos="1134"/>
        </w:tabs>
        <w:ind w:left="567" w:right="481"/>
        <w:jc w:val="both"/>
        <w:rPr>
          <w:rFonts w:ascii="Work Sans" w:hAnsi="Work Sans" w:cs="Calibri"/>
          <w:i/>
          <w:sz w:val="18"/>
          <w:szCs w:val="18"/>
          <w:lang w:val="es-CO"/>
        </w:rPr>
      </w:pPr>
      <w:r>
        <w:rPr>
          <w:rFonts w:ascii="Work Sans" w:hAnsi="Work Sans" w:cs="Calibri"/>
          <w:i/>
          <w:sz w:val="18"/>
          <w:szCs w:val="18"/>
          <w:lang w:val="es-CO"/>
        </w:rPr>
        <w:t>Producto de esta mesa de trabajo y en aras de restablecer las condiciones iniciales del Contrato en cuanto a la implementación de los incrementos, se acordaron aumentos en los años posteriores, los cuales no superarían el 3% real más IPC. En ese sentido, se estableció un incremento gradual, el cual se realizará de forma progresiva durante los años 2022, 2023, 2024, 2025 y 2026, así:</w:t>
      </w:r>
    </w:p>
    <w:p w:rsidR="002B74B7" w:rsidRDefault="002B74B7">
      <w:pPr>
        <w:tabs>
          <w:tab w:val="left" w:pos="1134"/>
        </w:tabs>
        <w:jc w:val="both"/>
        <w:rPr>
          <w:rFonts w:ascii="Work Sans" w:hAnsi="Work Sans" w:cs="Calibri"/>
          <w:i/>
          <w:sz w:val="18"/>
          <w:szCs w:val="18"/>
          <w:lang w:val="es-CO"/>
        </w:rPr>
      </w:pPr>
    </w:p>
    <w:tbl>
      <w:tblPr>
        <w:tblW w:w="5620" w:type="dxa"/>
        <w:jc w:val="center"/>
        <w:tblCellMar>
          <w:left w:w="10" w:type="dxa"/>
          <w:right w:w="10" w:type="dxa"/>
        </w:tblCellMar>
        <w:tblLook w:val="0000" w:firstRow="0" w:lastRow="0" w:firstColumn="0" w:lastColumn="0" w:noHBand="0" w:noVBand="0"/>
      </w:tblPr>
      <w:tblGrid>
        <w:gridCol w:w="1180"/>
        <w:gridCol w:w="1120"/>
        <w:gridCol w:w="1080"/>
        <w:gridCol w:w="1120"/>
        <w:gridCol w:w="1120"/>
      </w:tblGrid>
      <w:tr w:rsidR="002B74B7">
        <w:tblPrEx>
          <w:tblCellMar>
            <w:top w:w="0" w:type="dxa"/>
            <w:bottom w:w="0" w:type="dxa"/>
          </w:tblCellMar>
        </w:tblPrEx>
        <w:trPr>
          <w:trHeight w:val="300"/>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pPr>
            <w:r>
              <w:rPr>
                <w:rFonts w:ascii="Work Sans" w:hAnsi="Work Sans" w:cs="Calibri"/>
                <w:b/>
                <w:bCs/>
                <w:i/>
                <w:color w:val="000000"/>
                <w:sz w:val="18"/>
                <w:szCs w:val="18"/>
                <w:lang w:val="es-CO"/>
              </w:rPr>
              <w:t>Año 2022</w:t>
            </w:r>
          </w:p>
        </w:tc>
        <w:tc>
          <w:tcPr>
            <w:tcW w:w="11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pPr>
            <w:r>
              <w:rPr>
                <w:rFonts w:ascii="Work Sans" w:hAnsi="Work Sans" w:cs="Calibri"/>
                <w:b/>
                <w:bCs/>
                <w:i/>
                <w:color w:val="000000"/>
                <w:sz w:val="18"/>
                <w:szCs w:val="18"/>
                <w:lang w:val="es-CO"/>
              </w:rPr>
              <w:t>Año 2023</w:t>
            </w:r>
          </w:p>
        </w:tc>
        <w:tc>
          <w:tcPr>
            <w:tcW w:w="10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pPr>
            <w:r>
              <w:rPr>
                <w:rFonts w:ascii="Work Sans" w:hAnsi="Work Sans" w:cs="Calibri"/>
                <w:b/>
                <w:bCs/>
                <w:i/>
                <w:color w:val="000000"/>
                <w:sz w:val="18"/>
                <w:szCs w:val="18"/>
                <w:lang w:val="es-CO"/>
              </w:rPr>
              <w:t xml:space="preserve">Año 2024 </w:t>
            </w:r>
          </w:p>
        </w:tc>
        <w:tc>
          <w:tcPr>
            <w:tcW w:w="11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pPr>
            <w:r>
              <w:rPr>
                <w:rFonts w:ascii="Work Sans" w:hAnsi="Work Sans" w:cs="Calibri"/>
                <w:b/>
                <w:bCs/>
                <w:i/>
                <w:color w:val="000000"/>
                <w:sz w:val="18"/>
                <w:szCs w:val="18"/>
                <w:lang w:val="es-CO"/>
              </w:rPr>
              <w:t>Año 2025</w:t>
            </w:r>
          </w:p>
        </w:tc>
        <w:tc>
          <w:tcPr>
            <w:tcW w:w="11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2B74B7" w:rsidRDefault="00000000">
            <w:pPr>
              <w:jc w:val="center"/>
            </w:pPr>
            <w:r>
              <w:rPr>
                <w:rFonts w:ascii="Work Sans" w:hAnsi="Work Sans" w:cs="Calibri"/>
                <w:b/>
                <w:bCs/>
                <w:i/>
                <w:color w:val="000000"/>
                <w:sz w:val="18"/>
                <w:szCs w:val="18"/>
                <w:lang w:val="es-CO"/>
              </w:rPr>
              <w:t>Año 2026</w:t>
            </w:r>
          </w:p>
        </w:tc>
      </w:tr>
      <w:tr w:rsidR="002B74B7">
        <w:tblPrEx>
          <w:tblCellMar>
            <w:top w:w="0" w:type="dxa"/>
            <w:bottom w:w="0" w:type="dxa"/>
          </w:tblCellMar>
        </w:tblPrEx>
        <w:trPr>
          <w:trHeight w:val="300"/>
          <w:jc w:val="center"/>
        </w:trPr>
        <w:tc>
          <w:tcPr>
            <w:tcW w:w="11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pPr>
            <w:r>
              <w:rPr>
                <w:rFonts w:ascii="Work Sans" w:hAnsi="Work Sans" w:cs="Calibri"/>
                <w:i/>
                <w:color w:val="000000"/>
                <w:sz w:val="18"/>
                <w:szCs w:val="18"/>
                <w:lang w:val="es-CO"/>
              </w:rPr>
              <w:t>3%</w:t>
            </w:r>
          </w:p>
        </w:tc>
        <w:tc>
          <w:tcPr>
            <w:tcW w:w="11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pPr>
            <w:r>
              <w:rPr>
                <w:rFonts w:ascii="Work Sans" w:hAnsi="Work Sans" w:cs="Calibri"/>
                <w:i/>
                <w:color w:val="000000"/>
                <w:sz w:val="18"/>
                <w:szCs w:val="18"/>
                <w:lang w:val="es-CO"/>
              </w:rPr>
              <w:t>3%</w:t>
            </w:r>
          </w:p>
        </w:tc>
        <w:tc>
          <w:tcPr>
            <w:tcW w:w="10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pPr>
            <w:r>
              <w:rPr>
                <w:rFonts w:ascii="Work Sans" w:hAnsi="Work Sans" w:cs="Calibri"/>
                <w:i/>
                <w:color w:val="000000"/>
                <w:sz w:val="18"/>
                <w:szCs w:val="18"/>
                <w:lang w:val="es-CO"/>
              </w:rPr>
              <w:t>3%</w:t>
            </w:r>
          </w:p>
        </w:tc>
        <w:tc>
          <w:tcPr>
            <w:tcW w:w="11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pPr>
            <w:r>
              <w:rPr>
                <w:rFonts w:ascii="Work Sans" w:hAnsi="Work Sans" w:cs="Calibri"/>
                <w:i/>
                <w:color w:val="000000"/>
                <w:sz w:val="18"/>
                <w:szCs w:val="18"/>
                <w:lang w:val="es-CO"/>
              </w:rPr>
              <w:t>3%</w:t>
            </w:r>
          </w:p>
        </w:tc>
        <w:tc>
          <w:tcPr>
            <w:tcW w:w="112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rsidR="002B74B7" w:rsidRDefault="00000000">
            <w:pPr>
              <w:jc w:val="center"/>
            </w:pPr>
            <w:r>
              <w:rPr>
                <w:rFonts w:ascii="Work Sans" w:hAnsi="Work Sans" w:cs="Calibri"/>
                <w:i/>
                <w:color w:val="000000"/>
                <w:sz w:val="18"/>
                <w:szCs w:val="18"/>
                <w:lang w:val="es-CO"/>
              </w:rPr>
              <w:t>0,78%</w:t>
            </w:r>
          </w:p>
        </w:tc>
      </w:tr>
    </w:tbl>
    <w:p w:rsidR="002B74B7" w:rsidRDefault="002B74B7">
      <w:pPr>
        <w:jc w:val="both"/>
        <w:rPr>
          <w:rFonts w:ascii="Work Sans" w:hAnsi="Work Sans" w:cs="Calibri"/>
          <w:i/>
          <w:iCs/>
          <w:sz w:val="18"/>
          <w:szCs w:val="18"/>
          <w:lang w:val="es-CO" w:eastAsia="es-CO"/>
        </w:rPr>
      </w:pP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 xml:space="preserve">El acuerdo frente a los incrementos graduales fue publicado en su momento a través de los diferentes medios oficiales de comunicación, institucionales y privados, como el Ministerio de Transporte, la ANI, la Gobernación del Meta y la Alcaldía de Villavicencio, quien calificó esta medida como un logro y resultado de la gestión de diferentes actores sociales, gremiales, comunitarios, institucionales y autoridades. </w:t>
      </w:r>
    </w:p>
    <w:p w:rsidR="002B74B7" w:rsidRDefault="002B74B7">
      <w:pPr>
        <w:ind w:left="567" w:right="481"/>
        <w:jc w:val="both"/>
        <w:rPr>
          <w:rFonts w:ascii="Work Sans" w:eastAsia="Arial" w:hAnsi="Work Sans" w:cs="Calibri"/>
          <w:i/>
          <w:sz w:val="18"/>
          <w:szCs w:val="18"/>
          <w:lang w:val="es-CO"/>
        </w:rPr>
      </w:pPr>
    </w:p>
    <w:p w:rsidR="002B74B7" w:rsidRDefault="00000000">
      <w:pPr>
        <w:ind w:left="567" w:right="481"/>
        <w:jc w:val="both"/>
        <w:rPr>
          <w:rFonts w:ascii="Work Sans" w:eastAsia="Arial" w:hAnsi="Work Sans" w:cs="Calibri"/>
          <w:i/>
          <w:sz w:val="18"/>
          <w:szCs w:val="18"/>
          <w:lang w:val="es-CO"/>
        </w:rPr>
      </w:pPr>
      <w:r>
        <w:rPr>
          <w:rFonts w:ascii="Work Sans" w:eastAsia="Arial" w:hAnsi="Work Sans" w:cs="Calibri"/>
          <w:i/>
          <w:sz w:val="18"/>
          <w:szCs w:val="18"/>
          <w:lang w:val="es-CO"/>
        </w:rPr>
        <w:t>(…)”</w:t>
      </w:r>
    </w:p>
    <w:p w:rsidR="002B74B7" w:rsidRDefault="002B74B7">
      <w:pPr>
        <w:ind w:left="567" w:right="481"/>
        <w:jc w:val="both"/>
        <w:rPr>
          <w:rFonts w:ascii="Work Sans" w:hAnsi="Work Sans" w:cs="Calibri"/>
          <w:i/>
          <w:iCs/>
          <w:sz w:val="18"/>
          <w:szCs w:val="18"/>
          <w:lang w:val="es-CO" w:eastAsia="es-CO"/>
        </w:rPr>
      </w:pPr>
    </w:p>
    <w:p w:rsidR="002B74B7" w:rsidRDefault="00000000">
      <w:pPr>
        <w:widowControl/>
        <w:numPr>
          <w:ilvl w:val="1"/>
          <w:numId w:val="20"/>
        </w:numPr>
        <w:ind w:left="567" w:right="481" w:firstLine="0"/>
        <w:textAlignment w:val="auto"/>
      </w:pPr>
      <w:r>
        <w:rPr>
          <w:rFonts w:ascii="Work Sans" w:eastAsia="Arial Narrow" w:hAnsi="Work Sans" w:cs="Calibri"/>
          <w:b/>
          <w:bCs/>
          <w:i/>
          <w:iCs/>
          <w:sz w:val="18"/>
          <w:szCs w:val="18"/>
          <w:lang w:val="es-CO" w:bidi="ar-SA"/>
        </w:rPr>
        <w:t>ASPECTOS</w:t>
      </w:r>
      <w:r>
        <w:rPr>
          <w:rFonts w:ascii="Work Sans" w:hAnsi="Work Sans" w:cs="Calibri"/>
          <w:b/>
          <w:bCs/>
          <w:i/>
          <w:iCs/>
          <w:sz w:val="18"/>
          <w:szCs w:val="18"/>
          <w:lang w:val="es-CO" w:bidi="ar-SA"/>
        </w:rPr>
        <w:t xml:space="preserve"> FINANCIEROS </w:t>
      </w:r>
    </w:p>
    <w:p w:rsidR="002B74B7" w:rsidRDefault="002B74B7">
      <w:pPr>
        <w:ind w:left="567" w:right="481"/>
        <w:rPr>
          <w:rFonts w:ascii="Work Sans" w:hAnsi="Work Sans" w:cs="Calibri"/>
          <w:b/>
          <w:i/>
          <w:iCs/>
          <w:sz w:val="18"/>
          <w:szCs w:val="18"/>
          <w:lang w:val="es-CO"/>
        </w:rPr>
      </w:pPr>
    </w:p>
    <w:p w:rsidR="002B74B7" w:rsidRDefault="00000000">
      <w:pPr>
        <w:widowControl/>
        <w:ind w:left="567" w:right="481"/>
        <w:jc w:val="both"/>
        <w:rPr>
          <w:rFonts w:ascii="Work Sans" w:eastAsia="Arial" w:hAnsi="Work Sans" w:cs="Calibri"/>
          <w:i/>
          <w:sz w:val="18"/>
          <w:szCs w:val="18"/>
          <w:lang w:val="es-CO" w:bidi="ar-SA"/>
        </w:rPr>
      </w:pPr>
      <w:r>
        <w:rPr>
          <w:rFonts w:ascii="Work Sans" w:eastAsia="Arial" w:hAnsi="Work Sans" w:cs="Calibri"/>
          <w:i/>
          <w:sz w:val="18"/>
          <w:szCs w:val="18"/>
          <w:lang w:val="es-CO" w:bidi="ar-SA"/>
        </w:rPr>
        <w:t xml:space="preserve">En aras de restablecer las condiciones iniciales del Contrato y viabilizar la implementación de los incrementos tarifarios requeridos para el proyecto a partir del año 2022, con el fin de compensar al Concesionario las afectaciones derivadas del menor recaudo materializados desde el 3 de noviembre de 2019 hasta el 15 de febrero de 2020, y desde el 16 de enero del año 2021 hasta el 15 de enero del año 2022, se acordó en las mesas de trabajo realizadas entre la Agencia Nacional de Infraestructura, el Concesionario y la Interventoría del Contrato de Concesión un incremento en las tarifas a cobrar en las estaciones de peaje Boquerón I, Boquerón II, Naranjal y </w:t>
      </w:r>
      <w:proofErr w:type="spellStart"/>
      <w:r>
        <w:rPr>
          <w:rFonts w:ascii="Work Sans" w:eastAsia="Arial" w:hAnsi="Work Sans" w:cs="Calibri"/>
          <w:i/>
          <w:sz w:val="18"/>
          <w:szCs w:val="18"/>
          <w:lang w:val="es-CO" w:bidi="ar-SA"/>
        </w:rPr>
        <w:t>Pipiral</w:t>
      </w:r>
      <w:proofErr w:type="spellEnd"/>
      <w:r>
        <w:rPr>
          <w:rFonts w:ascii="Work Sans" w:eastAsia="Arial" w:hAnsi="Work Sans" w:cs="Calibri"/>
          <w:i/>
          <w:sz w:val="18"/>
          <w:szCs w:val="18"/>
          <w:lang w:val="es-CO" w:bidi="ar-SA"/>
        </w:rPr>
        <w:t>,  por lo que, se aplica la fórmula prevista en la Sección 4.2 de la Parte Especial del Contrato de Concesión  ( el IPC 1,65% + 7.8% respecto al año anterior),</w:t>
      </w:r>
    </w:p>
    <w:p w:rsidR="002B74B7" w:rsidRDefault="002B74B7">
      <w:pPr>
        <w:widowControl/>
        <w:jc w:val="both"/>
        <w:rPr>
          <w:rFonts w:ascii="Work Sans" w:eastAsia="Arial" w:hAnsi="Work Sans" w:cs="Calibri"/>
          <w:i/>
          <w:sz w:val="18"/>
          <w:szCs w:val="18"/>
          <w:lang w:val="es-CO" w:bidi="ar-SA"/>
        </w:rPr>
      </w:pPr>
    </w:p>
    <w:p w:rsidR="002B74B7" w:rsidRDefault="00000000">
      <w:pPr>
        <w:widowControl/>
        <w:jc w:val="center"/>
      </w:pPr>
      <w:r>
        <w:rPr>
          <w:rFonts w:ascii="Work Sans" w:hAnsi="Work Sans" w:cs="Calibri"/>
          <w:i/>
          <w:noProof/>
          <w:color w:val="000000"/>
          <w:sz w:val="18"/>
          <w:szCs w:val="18"/>
          <w:lang w:val="en-US" w:eastAsia="en-US" w:bidi="ar-SA"/>
        </w:rPr>
        <w:drawing>
          <wp:inline distT="0" distB="0" distL="0" distR="0">
            <wp:extent cx="2219321" cy="314325"/>
            <wp:effectExtent l="0" t="0" r="3179" b="3175"/>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19321" cy="314325"/>
                    </a:xfrm>
                    <a:prstGeom prst="rect">
                      <a:avLst/>
                    </a:prstGeom>
                    <a:noFill/>
                    <a:ln>
                      <a:noFill/>
                      <a:prstDash/>
                    </a:ln>
                  </pic:spPr>
                </pic:pic>
              </a:graphicData>
            </a:graphic>
          </wp:inline>
        </w:drawing>
      </w:r>
    </w:p>
    <w:p w:rsidR="002B74B7" w:rsidRDefault="002B74B7">
      <w:pPr>
        <w:widowControl/>
        <w:jc w:val="both"/>
        <w:rPr>
          <w:rFonts w:ascii="Work Sans" w:hAnsi="Work Sans" w:cs="Calibri"/>
          <w:i/>
          <w:color w:val="000000"/>
          <w:sz w:val="18"/>
          <w:szCs w:val="18"/>
          <w:lang w:val="es-CO" w:eastAsia="es-CO" w:bidi="ar-SA"/>
        </w:rPr>
      </w:pPr>
    </w:p>
    <w:p w:rsidR="002B74B7" w:rsidRDefault="00000000">
      <w:pPr>
        <w:widowControl/>
        <w:ind w:left="567" w:right="623"/>
        <w:jc w:val="both"/>
      </w:pPr>
      <w:r>
        <w:rPr>
          <w:rFonts w:ascii="Work Sans" w:eastAsia="Arial" w:hAnsi="Work Sans" w:cs="Calibri"/>
          <w:i/>
          <w:sz w:val="18"/>
          <w:szCs w:val="18"/>
          <w:lang w:val="es-CO" w:bidi="ar-SA"/>
        </w:rPr>
        <w:t>De este modo, el incremento real gradual de las tarifas se realizará de forma progresiva durante los años 2022, 2023, 2024, 2025 y 2026 así:</w:t>
      </w:r>
    </w:p>
    <w:p w:rsidR="002B74B7" w:rsidRDefault="002B74B7">
      <w:pPr>
        <w:tabs>
          <w:tab w:val="left" w:pos="1134"/>
        </w:tabs>
        <w:ind w:left="567" w:right="623"/>
        <w:jc w:val="both"/>
        <w:rPr>
          <w:rFonts w:ascii="Work Sans" w:hAnsi="Work Sans" w:cs="Calibri"/>
          <w:i/>
          <w:sz w:val="18"/>
          <w:szCs w:val="18"/>
          <w:lang w:val="es-CO"/>
        </w:rPr>
      </w:pPr>
    </w:p>
    <w:tbl>
      <w:tblPr>
        <w:tblW w:w="5767" w:type="dxa"/>
        <w:jc w:val="center"/>
        <w:tblCellMar>
          <w:left w:w="10" w:type="dxa"/>
          <w:right w:w="10" w:type="dxa"/>
        </w:tblCellMar>
        <w:tblLook w:val="0000" w:firstRow="0" w:lastRow="0" w:firstColumn="0" w:lastColumn="0" w:noHBand="0" w:noVBand="0"/>
      </w:tblPr>
      <w:tblGrid>
        <w:gridCol w:w="1129"/>
        <w:gridCol w:w="1318"/>
        <w:gridCol w:w="1080"/>
        <w:gridCol w:w="1120"/>
        <w:gridCol w:w="1120"/>
      </w:tblGrid>
      <w:tr w:rsidR="002B74B7">
        <w:tblPrEx>
          <w:tblCellMar>
            <w:top w:w="0" w:type="dxa"/>
            <w:bottom w:w="0" w:type="dxa"/>
          </w:tblCellMar>
        </w:tblPrEx>
        <w:trPr>
          <w:trHeight w:val="30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r>
              <w:rPr>
                <w:rFonts w:ascii="Work Sans" w:hAnsi="Work Sans" w:cs="Calibri"/>
                <w:b/>
                <w:bCs/>
                <w:i/>
                <w:color w:val="000000"/>
                <w:sz w:val="18"/>
                <w:szCs w:val="18"/>
                <w:lang w:val="es-CO"/>
              </w:rPr>
              <w:t xml:space="preserve"> Año 2022</w:t>
            </w:r>
          </w:p>
        </w:tc>
        <w:tc>
          <w:tcPr>
            <w:tcW w:w="13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Año 2023</w:t>
            </w:r>
          </w:p>
        </w:tc>
        <w:tc>
          <w:tcPr>
            <w:tcW w:w="10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Año 2024</w:t>
            </w:r>
          </w:p>
        </w:tc>
        <w:tc>
          <w:tcPr>
            <w:tcW w:w="112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Año 2025</w:t>
            </w:r>
          </w:p>
        </w:tc>
        <w:tc>
          <w:tcPr>
            <w:tcW w:w="11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Año 2026</w:t>
            </w:r>
          </w:p>
        </w:tc>
      </w:tr>
      <w:tr w:rsidR="002B74B7">
        <w:tblPrEx>
          <w:tblCellMar>
            <w:top w:w="0" w:type="dxa"/>
            <w:bottom w:w="0" w:type="dxa"/>
          </w:tblCellMar>
        </w:tblPrEx>
        <w:trPr>
          <w:trHeight w:val="300"/>
          <w:jc w:val="center"/>
        </w:trPr>
        <w:tc>
          <w:tcPr>
            <w:tcW w:w="11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3%</w:t>
            </w:r>
          </w:p>
        </w:tc>
        <w:tc>
          <w:tcPr>
            <w:tcW w:w="13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3%</w:t>
            </w:r>
          </w:p>
        </w:tc>
        <w:tc>
          <w:tcPr>
            <w:tcW w:w="10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3%</w:t>
            </w:r>
          </w:p>
        </w:tc>
        <w:tc>
          <w:tcPr>
            <w:tcW w:w="112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3%</w:t>
            </w:r>
          </w:p>
        </w:tc>
        <w:tc>
          <w:tcPr>
            <w:tcW w:w="112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0,78%</w:t>
            </w:r>
          </w:p>
        </w:tc>
      </w:tr>
    </w:tbl>
    <w:p w:rsidR="002B74B7" w:rsidRDefault="002B74B7">
      <w:pPr>
        <w:tabs>
          <w:tab w:val="left" w:pos="1134"/>
        </w:tabs>
        <w:jc w:val="both"/>
        <w:rPr>
          <w:rFonts w:ascii="Work Sans" w:hAnsi="Work Sans" w:cs="Calibri"/>
          <w:i/>
          <w:sz w:val="18"/>
          <w:szCs w:val="18"/>
          <w:lang w:val="es-CO"/>
        </w:rPr>
      </w:pPr>
    </w:p>
    <w:p w:rsidR="002B74B7" w:rsidRDefault="00000000">
      <w:pPr>
        <w:tabs>
          <w:tab w:val="left" w:pos="1134"/>
        </w:tabs>
        <w:ind w:left="567" w:right="623"/>
        <w:jc w:val="both"/>
        <w:rPr>
          <w:rFonts w:ascii="Work Sans" w:eastAsia="Arial" w:hAnsi="Work Sans" w:cs="Calibri"/>
          <w:i/>
          <w:sz w:val="18"/>
          <w:szCs w:val="18"/>
          <w:lang w:val="es-CO"/>
        </w:rPr>
      </w:pPr>
      <w:r>
        <w:rPr>
          <w:rFonts w:ascii="Work Sans" w:eastAsia="Arial" w:hAnsi="Work Sans" w:cs="Calibri"/>
          <w:i/>
          <w:sz w:val="18"/>
          <w:szCs w:val="18"/>
          <w:lang w:val="es-CO"/>
        </w:rPr>
        <w:t>Por lo anterior, la Agencia Nacional de Infraestructura autorizó al Concesionario a incrementar, desde el 16 de enero de 2022, las tarifas de peaje en 3% más la variación del IPC de diciembre de 2020 a diciembre de 2021, lo que arrojó un incremento total del 8,62% que derivó en la actualización de tarifas así:</w:t>
      </w:r>
    </w:p>
    <w:p w:rsidR="002B74B7" w:rsidRDefault="002B74B7">
      <w:pPr>
        <w:tabs>
          <w:tab w:val="left" w:pos="1134"/>
        </w:tabs>
        <w:jc w:val="both"/>
        <w:rPr>
          <w:rFonts w:ascii="Work Sans" w:eastAsia="Arial" w:hAnsi="Work Sans" w:cs="Calibri"/>
          <w:i/>
          <w:sz w:val="18"/>
          <w:szCs w:val="18"/>
          <w:lang w:val="es-CO"/>
        </w:rPr>
      </w:pPr>
    </w:p>
    <w:tbl>
      <w:tblPr>
        <w:tblW w:w="7720" w:type="dxa"/>
        <w:jc w:val="center"/>
        <w:tblCellMar>
          <w:left w:w="10" w:type="dxa"/>
          <w:right w:w="10" w:type="dxa"/>
        </w:tblCellMar>
        <w:tblLook w:val="0000" w:firstRow="0" w:lastRow="0" w:firstColumn="0" w:lastColumn="0" w:noHBand="0" w:noVBand="0"/>
      </w:tblPr>
      <w:tblGrid>
        <w:gridCol w:w="1066"/>
        <w:gridCol w:w="2218"/>
        <w:gridCol w:w="2218"/>
        <w:gridCol w:w="2218"/>
      </w:tblGrid>
      <w:tr w:rsidR="002B74B7">
        <w:tblPrEx>
          <w:tblCellMar>
            <w:top w:w="0" w:type="dxa"/>
            <w:bottom w:w="0" w:type="dxa"/>
          </w:tblCellMar>
        </w:tblPrEx>
        <w:trPr>
          <w:trHeight w:val="540"/>
          <w:jc w:val="center"/>
        </w:trPr>
        <w:tc>
          <w:tcPr>
            <w:tcW w:w="7720" w:type="dxa"/>
            <w:gridSpan w:val="4"/>
            <w:tcBorders>
              <w:bottom w:val="single" w:sz="4" w:space="0" w:color="000000"/>
            </w:tcBorders>
            <w:shd w:val="clear" w:color="auto" w:fill="auto"/>
            <w:tcMar>
              <w:top w:w="15" w:type="dxa"/>
              <w:left w:w="15" w:type="dxa"/>
              <w:bottom w:w="0" w:type="dxa"/>
              <w:right w:w="15" w:type="dxa"/>
            </w:tcMar>
            <w:vAlign w:val="bottom"/>
          </w:tcPr>
          <w:p w:rsidR="002B74B7" w:rsidRDefault="00000000">
            <w:pPr>
              <w:jc w:val="center"/>
            </w:pPr>
            <w:r>
              <w:rPr>
                <w:rFonts w:ascii="Work Sans" w:hAnsi="Work Sans" w:cs="Calibri"/>
                <w:b/>
                <w:bCs/>
                <w:i/>
                <w:color w:val="000000"/>
                <w:sz w:val="18"/>
                <w:szCs w:val="18"/>
                <w:lang w:val="es-CO"/>
              </w:rPr>
              <w:t>Tarifa a cobrar a partir de 16 de enero de 2022 y hasta el 15 de enero de 2023 (pesos de diciembre 2021)</w:t>
            </w:r>
          </w:p>
        </w:tc>
      </w:tr>
      <w:tr w:rsidR="002B74B7">
        <w:tblPrEx>
          <w:tblCellMar>
            <w:top w:w="0" w:type="dxa"/>
            <w:bottom w:w="0" w:type="dxa"/>
          </w:tblCellMar>
        </w:tblPrEx>
        <w:trPr>
          <w:trHeight w:val="320"/>
          <w:jc w:val="center"/>
        </w:trPr>
        <w:tc>
          <w:tcPr>
            <w:tcW w:w="1066"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2B74B7" w:rsidRDefault="00000000">
            <w:pPr>
              <w:jc w:val="center"/>
              <w:rPr>
                <w:rFonts w:ascii="Work Sans" w:hAnsi="Work Sans" w:cs="Calibri"/>
                <w:b/>
                <w:bCs/>
                <w:i/>
                <w:sz w:val="18"/>
                <w:szCs w:val="18"/>
                <w:lang w:val="es-CO"/>
              </w:rPr>
            </w:pPr>
            <w:r>
              <w:rPr>
                <w:rFonts w:ascii="Work Sans" w:hAnsi="Work Sans" w:cs="Calibri"/>
                <w:b/>
                <w:bCs/>
                <w:i/>
                <w:sz w:val="18"/>
                <w:szCs w:val="18"/>
                <w:lang w:val="es-CO"/>
              </w:rPr>
              <w:t>CATEGORÍA</w:t>
            </w:r>
          </w:p>
        </w:tc>
        <w:tc>
          <w:tcPr>
            <w:tcW w:w="221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2B74B7" w:rsidRDefault="00000000">
            <w:pPr>
              <w:jc w:val="center"/>
              <w:rPr>
                <w:rFonts w:ascii="Work Sans" w:hAnsi="Work Sans" w:cs="Calibri"/>
                <w:b/>
                <w:bCs/>
                <w:i/>
                <w:sz w:val="18"/>
                <w:szCs w:val="18"/>
                <w:lang w:val="es-CO"/>
              </w:rPr>
            </w:pPr>
            <w:r>
              <w:rPr>
                <w:rFonts w:ascii="Work Sans" w:hAnsi="Work Sans" w:cs="Calibri"/>
                <w:b/>
                <w:bCs/>
                <w:i/>
                <w:sz w:val="18"/>
                <w:szCs w:val="18"/>
                <w:lang w:val="es-CO"/>
              </w:rPr>
              <w:t>BOQUERON I Y II</w:t>
            </w:r>
          </w:p>
        </w:tc>
        <w:tc>
          <w:tcPr>
            <w:tcW w:w="221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2B74B7" w:rsidRDefault="00000000">
            <w:pPr>
              <w:jc w:val="center"/>
              <w:rPr>
                <w:rFonts w:ascii="Work Sans" w:hAnsi="Work Sans" w:cs="Calibri"/>
                <w:b/>
                <w:bCs/>
                <w:i/>
                <w:sz w:val="18"/>
                <w:szCs w:val="18"/>
                <w:lang w:val="es-CO"/>
              </w:rPr>
            </w:pPr>
            <w:r>
              <w:rPr>
                <w:rFonts w:ascii="Work Sans" w:hAnsi="Work Sans" w:cs="Calibri"/>
                <w:b/>
                <w:bCs/>
                <w:i/>
                <w:sz w:val="18"/>
                <w:szCs w:val="18"/>
                <w:lang w:val="es-CO"/>
              </w:rPr>
              <w:t>NARANJAL</w:t>
            </w:r>
          </w:p>
        </w:tc>
        <w:tc>
          <w:tcPr>
            <w:tcW w:w="2218" w:type="dxa"/>
            <w:tcBorders>
              <w:bottom w:val="single" w:sz="4" w:space="0" w:color="000000"/>
              <w:right w:val="single" w:sz="4" w:space="0" w:color="000000"/>
            </w:tcBorders>
            <w:shd w:val="clear" w:color="auto" w:fill="auto"/>
            <w:tcMar>
              <w:top w:w="15" w:type="dxa"/>
              <w:left w:w="15" w:type="dxa"/>
              <w:bottom w:w="0" w:type="dxa"/>
              <w:right w:w="15" w:type="dxa"/>
            </w:tcMar>
            <w:vAlign w:val="center"/>
          </w:tcPr>
          <w:p w:rsidR="002B74B7" w:rsidRDefault="00000000">
            <w:pPr>
              <w:jc w:val="center"/>
              <w:rPr>
                <w:rFonts w:ascii="Work Sans" w:hAnsi="Work Sans" w:cs="Calibri"/>
                <w:b/>
                <w:bCs/>
                <w:i/>
                <w:sz w:val="18"/>
                <w:szCs w:val="18"/>
                <w:lang w:val="es-CO"/>
              </w:rPr>
            </w:pPr>
            <w:r>
              <w:rPr>
                <w:rFonts w:ascii="Work Sans" w:hAnsi="Work Sans" w:cs="Calibri"/>
                <w:b/>
                <w:bCs/>
                <w:i/>
                <w:sz w:val="18"/>
                <w:szCs w:val="18"/>
                <w:lang w:val="es-CO"/>
              </w:rPr>
              <w:t>PIPIRAL</w:t>
            </w:r>
          </w:p>
        </w:tc>
      </w:tr>
      <w:tr w:rsidR="002B74B7">
        <w:tblPrEx>
          <w:tblCellMar>
            <w:top w:w="0" w:type="dxa"/>
            <w:bottom w:w="0" w:type="dxa"/>
          </w:tblCellMar>
        </w:tblPrEx>
        <w:trPr>
          <w:trHeight w:val="320"/>
          <w:jc w:val="center"/>
        </w:trPr>
        <w:tc>
          <w:tcPr>
            <w:tcW w:w="1066"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I</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$ 14.100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$ 12.000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$ 19.900 </w:t>
            </w:r>
          </w:p>
        </w:tc>
      </w:tr>
      <w:tr w:rsidR="002B74B7">
        <w:tblPrEx>
          <w:tblCellMar>
            <w:top w:w="0" w:type="dxa"/>
            <w:bottom w:w="0" w:type="dxa"/>
          </w:tblCellMar>
        </w:tblPrEx>
        <w:trPr>
          <w:trHeight w:val="320"/>
          <w:jc w:val="center"/>
        </w:trPr>
        <w:tc>
          <w:tcPr>
            <w:tcW w:w="1066"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II</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$ 42.400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$ 31.800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$ 39.400 </w:t>
            </w:r>
          </w:p>
        </w:tc>
      </w:tr>
      <w:tr w:rsidR="002B74B7">
        <w:tblPrEx>
          <w:tblCellMar>
            <w:top w:w="0" w:type="dxa"/>
            <w:bottom w:w="0" w:type="dxa"/>
          </w:tblCellMar>
        </w:tblPrEx>
        <w:trPr>
          <w:trHeight w:val="320"/>
          <w:jc w:val="center"/>
        </w:trPr>
        <w:tc>
          <w:tcPr>
            <w:tcW w:w="1066"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III</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$ 21.200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$ 23.900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$ 26.900 </w:t>
            </w:r>
          </w:p>
        </w:tc>
      </w:tr>
      <w:tr w:rsidR="002B74B7">
        <w:tblPrEx>
          <w:tblCellMar>
            <w:top w:w="0" w:type="dxa"/>
            <w:bottom w:w="0" w:type="dxa"/>
          </w:tblCellMar>
        </w:tblPrEx>
        <w:trPr>
          <w:trHeight w:val="320"/>
          <w:jc w:val="center"/>
        </w:trPr>
        <w:tc>
          <w:tcPr>
            <w:tcW w:w="1066"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IV</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$ 56.200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$ 47.200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$ 47.200 </w:t>
            </w:r>
          </w:p>
        </w:tc>
      </w:tr>
      <w:tr w:rsidR="002B74B7">
        <w:tblPrEx>
          <w:tblCellMar>
            <w:top w:w="0" w:type="dxa"/>
            <w:bottom w:w="0" w:type="dxa"/>
          </w:tblCellMar>
        </w:tblPrEx>
        <w:trPr>
          <w:trHeight w:val="320"/>
          <w:jc w:val="center"/>
        </w:trPr>
        <w:tc>
          <w:tcPr>
            <w:tcW w:w="1066"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V</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$ 63.500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$ 55.000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$ 51.500 </w:t>
            </w:r>
          </w:p>
        </w:tc>
      </w:tr>
      <w:tr w:rsidR="002B74B7">
        <w:tblPrEx>
          <w:tblCellMar>
            <w:top w:w="0" w:type="dxa"/>
            <w:bottom w:w="0" w:type="dxa"/>
          </w:tblCellMar>
        </w:tblPrEx>
        <w:trPr>
          <w:trHeight w:val="320"/>
          <w:jc w:val="center"/>
        </w:trPr>
        <w:tc>
          <w:tcPr>
            <w:tcW w:w="1066"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VI</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$ 70.500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$ 63.500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$ 79.000 </w:t>
            </w:r>
          </w:p>
        </w:tc>
      </w:tr>
      <w:tr w:rsidR="002B74B7">
        <w:tblPrEx>
          <w:tblCellMar>
            <w:top w:w="0" w:type="dxa"/>
            <w:bottom w:w="0" w:type="dxa"/>
          </w:tblCellMar>
        </w:tblPrEx>
        <w:trPr>
          <w:trHeight w:val="320"/>
          <w:jc w:val="center"/>
        </w:trPr>
        <w:tc>
          <w:tcPr>
            <w:tcW w:w="1066" w:type="dxa"/>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IE</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$ 84.600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$ 70.500 </w:t>
            </w:r>
          </w:p>
        </w:tc>
        <w:tc>
          <w:tcPr>
            <w:tcW w:w="2218" w:type="dxa"/>
            <w:tcBorders>
              <w:bottom w:val="single" w:sz="4" w:space="0" w:color="000000"/>
              <w:right w:val="single" w:sz="4" w:space="0" w:color="000000"/>
            </w:tcBorders>
            <w:shd w:val="clear" w:color="auto" w:fill="auto"/>
            <w:noWrap/>
            <w:tcMar>
              <w:top w:w="15" w:type="dxa"/>
              <w:left w:w="15" w:type="dxa"/>
              <w:bottom w:w="0" w:type="dxa"/>
              <w:right w:w="15" w:type="dxa"/>
            </w:tcMar>
            <w:vAlign w:val="bottom"/>
          </w:tcPr>
          <w:p w:rsidR="002B74B7" w:rsidRDefault="00000000">
            <w:pPr>
              <w:jc w:val="right"/>
              <w:rPr>
                <w:rFonts w:ascii="Work Sans" w:hAnsi="Work Sans" w:cs="Calibri"/>
                <w:i/>
                <w:color w:val="000000"/>
                <w:sz w:val="18"/>
                <w:szCs w:val="18"/>
                <w:lang w:val="es-CO"/>
              </w:rPr>
            </w:pPr>
            <w:r>
              <w:rPr>
                <w:rFonts w:ascii="Work Sans" w:hAnsi="Work Sans" w:cs="Calibri"/>
                <w:i/>
                <w:color w:val="000000"/>
                <w:sz w:val="18"/>
                <w:szCs w:val="18"/>
                <w:lang w:val="es-CO"/>
              </w:rPr>
              <w:t xml:space="preserve">$ 102.300 </w:t>
            </w:r>
          </w:p>
        </w:tc>
      </w:tr>
    </w:tbl>
    <w:p w:rsidR="002B74B7" w:rsidRDefault="00000000">
      <w:pPr>
        <w:tabs>
          <w:tab w:val="left" w:pos="1134"/>
        </w:tabs>
        <w:jc w:val="both"/>
      </w:pPr>
      <w:r>
        <w:rPr>
          <w:rFonts w:ascii="Work Sans" w:hAnsi="Work Sans" w:cs="Calibri"/>
          <w:i/>
          <w:sz w:val="18"/>
          <w:szCs w:val="18"/>
          <w:lang w:val="es-CO"/>
        </w:rPr>
        <w:t xml:space="preserve"> </w:t>
      </w:r>
    </w:p>
    <w:p w:rsidR="002B74B7" w:rsidRDefault="00000000">
      <w:pPr>
        <w:tabs>
          <w:tab w:val="left" w:pos="1134"/>
        </w:tabs>
        <w:ind w:left="567" w:right="481"/>
        <w:jc w:val="both"/>
      </w:pPr>
      <w:r>
        <w:rPr>
          <w:rFonts w:ascii="Work Sans" w:eastAsia="Arial" w:hAnsi="Work Sans" w:cs="Calibri"/>
          <w:i/>
          <w:sz w:val="18"/>
          <w:szCs w:val="18"/>
          <w:lang w:val="es-CO"/>
        </w:rPr>
        <w:t xml:space="preserve">Las tarifas propuestas para los años 2023, 2024, 2025 y 2026 expresadas en pesos de diciembre de 2021, sin incluir el Fondo de Seguridad Vial, que se presentan en la siguiente tabla son las que podrá cobrar el Concesionario a todos los usuarios en las estaciones de peaje de Boquerón I, Boquerón II, Naranjal y </w:t>
      </w:r>
      <w:proofErr w:type="spellStart"/>
      <w:r>
        <w:rPr>
          <w:rFonts w:ascii="Work Sans" w:eastAsia="Arial" w:hAnsi="Work Sans" w:cs="Calibri"/>
          <w:i/>
          <w:sz w:val="18"/>
          <w:szCs w:val="18"/>
          <w:lang w:val="es-CO"/>
        </w:rPr>
        <w:t>Pipiral</w:t>
      </w:r>
      <w:proofErr w:type="spellEnd"/>
      <w:r>
        <w:rPr>
          <w:rFonts w:ascii="Work Sans" w:eastAsia="Arial" w:hAnsi="Work Sans" w:cs="Calibri"/>
          <w:i/>
          <w:sz w:val="18"/>
          <w:szCs w:val="18"/>
          <w:lang w:val="es-CO"/>
        </w:rPr>
        <w:t xml:space="preserve"> según el año, las cuales incluyen los incrementos reales que fueron acordados entre la comunidad, la Agencia, la Interventoría y el Concesionario: </w:t>
      </w:r>
    </w:p>
    <w:p w:rsidR="002B74B7" w:rsidRDefault="002B74B7">
      <w:pPr>
        <w:tabs>
          <w:tab w:val="left" w:pos="1134"/>
        </w:tabs>
        <w:jc w:val="both"/>
        <w:rPr>
          <w:rFonts w:ascii="Work Sans" w:hAnsi="Work Sans" w:cs="Calibri"/>
          <w:b/>
          <w:bCs/>
          <w:i/>
          <w:sz w:val="18"/>
          <w:szCs w:val="18"/>
          <w:u w:val="single"/>
          <w:lang w:val="es-CO"/>
        </w:rPr>
      </w:pPr>
    </w:p>
    <w:p w:rsidR="002B74B7" w:rsidRDefault="00000000">
      <w:pPr>
        <w:tabs>
          <w:tab w:val="left" w:pos="1134"/>
        </w:tabs>
        <w:ind w:left="426"/>
        <w:jc w:val="both"/>
        <w:rPr>
          <w:rFonts w:ascii="Work Sans" w:hAnsi="Work Sans" w:cs="Calibri"/>
          <w:b/>
          <w:bCs/>
          <w:i/>
          <w:sz w:val="18"/>
          <w:szCs w:val="18"/>
          <w:u w:val="single"/>
          <w:lang w:val="es-CO"/>
        </w:rPr>
      </w:pPr>
      <w:r>
        <w:rPr>
          <w:rFonts w:ascii="Work Sans" w:hAnsi="Work Sans" w:cs="Calibri"/>
          <w:b/>
          <w:bCs/>
          <w:i/>
          <w:sz w:val="18"/>
          <w:szCs w:val="18"/>
          <w:u w:val="single"/>
          <w:lang w:val="es-CO"/>
        </w:rPr>
        <w:t xml:space="preserve">Tarifas Plenas: </w:t>
      </w:r>
    </w:p>
    <w:p w:rsidR="002B74B7" w:rsidRDefault="002B74B7">
      <w:pPr>
        <w:tabs>
          <w:tab w:val="left" w:pos="1134"/>
        </w:tabs>
        <w:ind w:left="426"/>
        <w:jc w:val="center"/>
        <w:rPr>
          <w:rFonts w:ascii="Work Sans" w:hAnsi="Work Sans" w:cs="Calibri"/>
          <w:b/>
          <w:bCs/>
          <w:i/>
          <w:sz w:val="18"/>
          <w:szCs w:val="18"/>
          <w:u w:val="single"/>
          <w:lang w:val="es-CO"/>
        </w:rPr>
      </w:pPr>
    </w:p>
    <w:p w:rsidR="002B74B7" w:rsidRDefault="00000000">
      <w:pPr>
        <w:tabs>
          <w:tab w:val="left" w:pos="1134"/>
        </w:tabs>
        <w:ind w:left="426"/>
        <w:jc w:val="center"/>
        <w:rPr>
          <w:rFonts w:ascii="Work Sans" w:hAnsi="Work Sans" w:cs="Calibri"/>
          <w:b/>
          <w:bCs/>
          <w:i/>
          <w:sz w:val="18"/>
          <w:szCs w:val="18"/>
          <w:u w:val="single"/>
          <w:lang w:val="es-CO"/>
        </w:rPr>
      </w:pPr>
      <w:r>
        <w:rPr>
          <w:rFonts w:ascii="Work Sans" w:hAnsi="Work Sans" w:cs="Calibri"/>
          <w:b/>
          <w:bCs/>
          <w:i/>
          <w:sz w:val="18"/>
          <w:szCs w:val="18"/>
          <w:u w:val="single"/>
          <w:lang w:val="es-CO"/>
        </w:rPr>
        <w:t>Tarifas a cobrar a Partir de 16 de enero de 2023 y hasta el 15 de enero de 2024</w:t>
      </w:r>
    </w:p>
    <w:p w:rsidR="002B74B7" w:rsidRDefault="002B74B7">
      <w:pPr>
        <w:tabs>
          <w:tab w:val="left" w:pos="1134"/>
        </w:tabs>
        <w:jc w:val="both"/>
        <w:rPr>
          <w:rFonts w:ascii="Work Sans" w:hAnsi="Work Sans" w:cs="Calibri"/>
          <w:b/>
          <w:bCs/>
          <w:i/>
          <w:sz w:val="18"/>
          <w:szCs w:val="18"/>
          <w:lang w:val="es-CO"/>
        </w:rPr>
      </w:pPr>
    </w:p>
    <w:tbl>
      <w:tblPr>
        <w:tblW w:w="7513" w:type="dxa"/>
        <w:tblInd w:w="562" w:type="dxa"/>
        <w:tblCellMar>
          <w:left w:w="10" w:type="dxa"/>
          <w:right w:w="10" w:type="dxa"/>
        </w:tblCellMar>
        <w:tblLook w:val="0000" w:firstRow="0" w:lastRow="0" w:firstColumn="0" w:lastColumn="0" w:noHBand="0" w:noVBand="0"/>
      </w:tblPr>
      <w:tblGrid>
        <w:gridCol w:w="1418"/>
        <w:gridCol w:w="1843"/>
        <w:gridCol w:w="1417"/>
        <w:gridCol w:w="2835"/>
      </w:tblGrid>
      <w:tr w:rsidR="002B74B7">
        <w:tblPrEx>
          <w:tblCellMar>
            <w:top w:w="0" w:type="dxa"/>
            <w:bottom w:w="0" w:type="dxa"/>
          </w:tblCellMar>
        </w:tblPrEx>
        <w:trPr>
          <w:trHeight w:val="375"/>
          <w:tblHeader/>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pPr>
            <w:r>
              <w:rPr>
                <w:rFonts w:ascii="Work Sans" w:hAnsi="Work Sans" w:cs="Calibri"/>
                <w:b/>
                <w:bCs/>
                <w:i/>
                <w:color w:val="000000"/>
                <w:sz w:val="18"/>
                <w:szCs w:val="18"/>
                <w:lang w:val="es-CO"/>
              </w:rPr>
              <w:t>CATEGORIA</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Tarifas desde el 16 de enero de 2023 y hasta el 15 de enero de 2024 (No Incluye FOSEVI) Pesos de Diciembre 2021</w:t>
            </w:r>
          </w:p>
        </w:tc>
      </w:tr>
      <w:tr w:rsidR="002B74B7">
        <w:tblPrEx>
          <w:tblCellMar>
            <w:top w:w="0" w:type="dxa"/>
            <w:bottom w:w="0" w:type="dxa"/>
          </w:tblCellMar>
        </w:tblPrEx>
        <w:trPr>
          <w:trHeight w:val="171"/>
          <w:tblHeader/>
        </w:trPr>
        <w:tc>
          <w:tcPr>
            <w:tcW w:w="141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2B74B7">
            <w:pPr>
              <w:rPr>
                <w:rFonts w:ascii="Work Sans" w:hAnsi="Work Sans" w:cs="Calibri"/>
                <w:b/>
                <w:bCs/>
                <w:i/>
                <w:color w:val="000000"/>
                <w:sz w:val="18"/>
                <w:szCs w:val="18"/>
                <w:lang w:val="es-C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PIPIRAL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NARANJAL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color w:val="000000"/>
                <w:sz w:val="18"/>
                <w:szCs w:val="18"/>
                <w:lang w:val="es-CO"/>
              </w:rPr>
            </w:pPr>
            <w:r>
              <w:rPr>
                <w:rFonts w:ascii="Work Sans" w:hAnsi="Work Sans" w:cs="Calibri"/>
                <w:b/>
                <w:bCs/>
                <w:i/>
                <w:color w:val="000000"/>
                <w:sz w:val="18"/>
                <w:szCs w:val="18"/>
                <w:lang w:val="es-CO"/>
              </w:rPr>
              <w:t>BOQUERÓN I Y BOQUERÓN II</w:t>
            </w:r>
          </w:p>
        </w:tc>
      </w:tr>
      <w:tr w:rsidR="002B74B7">
        <w:tblPrEx>
          <w:tblCellMar>
            <w:top w:w="0" w:type="dxa"/>
            <w:bottom w:w="0" w:type="dxa"/>
          </w:tblCellMar>
        </w:tblPrEx>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rPr>
                <w:rFonts w:ascii="Work Sans" w:hAnsi="Work Sans" w:cs="Calibri"/>
                <w:i/>
                <w:color w:val="000000"/>
                <w:sz w:val="18"/>
                <w:szCs w:val="18"/>
                <w:lang w:val="es-CO"/>
              </w:rPr>
            </w:pPr>
            <w:r>
              <w:rPr>
                <w:rFonts w:ascii="Work Sans" w:hAnsi="Work Sans" w:cs="Calibri"/>
                <w:i/>
                <w:color w:val="000000"/>
                <w:sz w:val="18"/>
                <w:szCs w:val="18"/>
                <w:lang w:val="es-CO"/>
              </w:rPr>
              <w:t>I</w:t>
            </w:r>
          </w:p>
          <w:p w:rsidR="002B74B7" w:rsidRDefault="002B74B7">
            <w:pPr>
              <w:rPr>
                <w:rFonts w:ascii="Work Sans" w:hAnsi="Work Sans" w:cs="Calibri"/>
                <w:i/>
                <w:color w:val="000000"/>
                <w:sz w:val="18"/>
                <w:szCs w:val="18"/>
                <w:lang w:val="es-C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20.500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12.400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14.500</w:t>
            </w:r>
          </w:p>
        </w:tc>
      </w:tr>
      <w:tr w:rsidR="002B74B7">
        <w:tblPrEx>
          <w:tblCellMar>
            <w:top w:w="0" w:type="dxa"/>
            <w:bottom w:w="0" w:type="dxa"/>
          </w:tblCellMar>
        </w:tblPrEx>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rPr>
                <w:rFonts w:ascii="Work Sans" w:hAnsi="Work Sans" w:cs="Calibri"/>
                <w:i/>
                <w:color w:val="000000"/>
                <w:sz w:val="18"/>
                <w:szCs w:val="18"/>
                <w:lang w:val="es-CO"/>
              </w:rPr>
            </w:pPr>
            <w:r>
              <w:rPr>
                <w:rFonts w:ascii="Work Sans" w:hAnsi="Work Sans" w:cs="Calibri"/>
                <w:i/>
                <w:color w:val="000000"/>
                <w:sz w:val="18"/>
                <w:szCs w:val="18"/>
                <w:lang w:val="es-CO"/>
              </w:rPr>
              <w:t>II</w:t>
            </w:r>
          </w:p>
          <w:p w:rsidR="002B74B7" w:rsidRDefault="002B74B7">
            <w:pPr>
              <w:rPr>
                <w:rFonts w:ascii="Work Sans" w:hAnsi="Work Sans" w:cs="Calibri"/>
                <w:i/>
                <w:color w:val="000000"/>
                <w:sz w:val="18"/>
                <w:szCs w:val="18"/>
                <w:lang w:val="es-C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40.600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32.800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43.700</w:t>
            </w:r>
          </w:p>
        </w:tc>
      </w:tr>
      <w:tr w:rsidR="002B74B7">
        <w:tblPrEx>
          <w:tblCellMar>
            <w:top w:w="0" w:type="dxa"/>
            <w:bottom w:w="0" w:type="dxa"/>
          </w:tblCellMar>
        </w:tblPrEx>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rPr>
                <w:rFonts w:ascii="Work Sans" w:hAnsi="Work Sans" w:cs="Calibri"/>
                <w:i/>
                <w:color w:val="000000"/>
                <w:sz w:val="18"/>
                <w:szCs w:val="18"/>
                <w:lang w:val="es-CO"/>
              </w:rPr>
            </w:pPr>
            <w:r>
              <w:rPr>
                <w:rFonts w:ascii="Work Sans" w:hAnsi="Work Sans" w:cs="Calibri"/>
                <w:i/>
                <w:color w:val="000000"/>
                <w:sz w:val="18"/>
                <w:szCs w:val="18"/>
                <w:lang w:val="es-CO"/>
              </w:rPr>
              <w:t>III</w:t>
            </w:r>
          </w:p>
          <w:p w:rsidR="002B74B7" w:rsidRDefault="002B74B7">
            <w:pPr>
              <w:rPr>
                <w:rFonts w:ascii="Work Sans" w:hAnsi="Work Sans" w:cs="Calibri"/>
                <w:i/>
                <w:color w:val="000000"/>
                <w:sz w:val="18"/>
                <w:szCs w:val="18"/>
                <w:lang w:val="es-C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27.700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24.600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21.800</w:t>
            </w:r>
          </w:p>
        </w:tc>
      </w:tr>
      <w:tr w:rsidR="002B74B7">
        <w:tblPrEx>
          <w:tblCellMar>
            <w:top w:w="0" w:type="dxa"/>
            <w:bottom w:w="0" w:type="dxa"/>
          </w:tblCellMar>
        </w:tblPrEx>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rPr>
                <w:rFonts w:ascii="Work Sans" w:hAnsi="Work Sans" w:cs="Calibri"/>
                <w:i/>
                <w:color w:val="000000"/>
                <w:sz w:val="18"/>
                <w:szCs w:val="18"/>
                <w:lang w:val="es-CO"/>
              </w:rPr>
            </w:pPr>
            <w:r>
              <w:rPr>
                <w:rFonts w:ascii="Work Sans" w:hAnsi="Work Sans" w:cs="Calibri"/>
                <w:i/>
                <w:color w:val="000000"/>
                <w:sz w:val="18"/>
                <w:szCs w:val="18"/>
                <w:lang w:val="es-CO"/>
              </w:rPr>
              <w:t>IV</w:t>
            </w:r>
          </w:p>
          <w:p w:rsidR="002B74B7" w:rsidRDefault="002B74B7">
            <w:pPr>
              <w:rPr>
                <w:rFonts w:ascii="Work Sans" w:hAnsi="Work Sans" w:cs="Calibri"/>
                <w:i/>
                <w:color w:val="000000"/>
                <w:sz w:val="18"/>
                <w:szCs w:val="18"/>
                <w:lang w:val="es-C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48.600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48.600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57.900</w:t>
            </w:r>
          </w:p>
        </w:tc>
      </w:tr>
      <w:tr w:rsidR="002B74B7">
        <w:tblPrEx>
          <w:tblCellMar>
            <w:top w:w="0" w:type="dxa"/>
            <w:bottom w:w="0" w:type="dxa"/>
          </w:tblCellMar>
        </w:tblPrEx>
        <w:trPr>
          <w:trHeight w:val="354"/>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rPr>
                <w:rFonts w:ascii="Work Sans" w:hAnsi="Work Sans" w:cs="Calibri"/>
                <w:i/>
                <w:color w:val="000000"/>
                <w:sz w:val="18"/>
                <w:szCs w:val="18"/>
                <w:lang w:val="es-CO"/>
              </w:rPr>
            </w:pPr>
            <w:r>
              <w:rPr>
                <w:rFonts w:ascii="Work Sans" w:hAnsi="Work Sans" w:cs="Calibri"/>
                <w:i/>
                <w:color w:val="000000"/>
                <w:sz w:val="18"/>
                <w:szCs w:val="18"/>
                <w:lang w:val="es-CO"/>
              </w:rPr>
              <w:t>V</w:t>
            </w:r>
          </w:p>
          <w:p w:rsidR="002B74B7" w:rsidRDefault="002B74B7">
            <w:pPr>
              <w:rPr>
                <w:rFonts w:ascii="Work Sans" w:hAnsi="Work Sans" w:cs="Calibri"/>
                <w:i/>
                <w:color w:val="000000"/>
                <w:sz w:val="18"/>
                <w:szCs w:val="18"/>
                <w:lang w:val="es-C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53.000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56.700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65.400</w:t>
            </w:r>
          </w:p>
        </w:tc>
      </w:tr>
      <w:tr w:rsidR="002B74B7">
        <w:tblPrEx>
          <w:tblCellMar>
            <w:top w:w="0" w:type="dxa"/>
            <w:bottom w:w="0" w:type="dxa"/>
          </w:tblCellMar>
        </w:tblPrEx>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rPr>
                <w:rFonts w:ascii="Work Sans" w:hAnsi="Work Sans" w:cs="Calibri"/>
                <w:i/>
                <w:color w:val="000000"/>
                <w:sz w:val="18"/>
                <w:szCs w:val="18"/>
                <w:lang w:val="es-CO"/>
              </w:rPr>
            </w:pPr>
            <w:r>
              <w:rPr>
                <w:rFonts w:ascii="Work Sans" w:hAnsi="Work Sans" w:cs="Calibri"/>
                <w:i/>
                <w:color w:val="000000"/>
                <w:sz w:val="18"/>
                <w:szCs w:val="18"/>
                <w:lang w:val="es-CO"/>
              </w:rPr>
              <w:t>VI</w:t>
            </w:r>
          </w:p>
          <w:p w:rsidR="002B74B7" w:rsidRDefault="002B74B7">
            <w:pPr>
              <w:rPr>
                <w:rFonts w:ascii="Work Sans" w:hAnsi="Work Sans" w:cs="Calibri"/>
                <w:i/>
                <w:color w:val="000000"/>
                <w:sz w:val="18"/>
                <w:szCs w:val="18"/>
                <w:lang w:val="es-C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81.400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65.400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72.600</w:t>
            </w:r>
          </w:p>
        </w:tc>
      </w:tr>
      <w:tr w:rsidR="002B74B7">
        <w:tblPrEx>
          <w:tblCellMar>
            <w:top w:w="0" w:type="dxa"/>
            <w:bottom w:w="0" w:type="dxa"/>
          </w:tblCellMar>
        </w:tblPrEx>
        <w:trPr>
          <w:trHeight w:val="300"/>
        </w:trPr>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rPr>
                <w:rFonts w:ascii="Work Sans" w:hAnsi="Work Sans" w:cs="Calibri"/>
                <w:i/>
                <w:color w:val="000000"/>
                <w:sz w:val="18"/>
                <w:szCs w:val="18"/>
                <w:lang w:val="es-CO"/>
              </w:rPr>
            </w:pPr>
            <w:r>
              <w:rPr>
                <w:rFonts w:ascii="Work Sans" w:hAnsi="Work Sans" w:cs="Calibri"/>
                <w:i/>
                <w:color w:val="000000"/>
                <w:sz w:val="18"/>
                <w:szCs w:val="18"/>
                <w:lang w:val="es-CO"/>
              </w:rPr>
              <w:t>VII</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105.400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72.600</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i/>
                <w:color w:val="000000"/>
                <w:sz w:val="18"/>
                <w:szCs w:val="18"/>
                <w:lang w:val="es-CO"/>
              </w:rPr>
            </w:pPr>
            <w:r>
              <w:rPr>
                <w:rFonts w:ascii="Work Sans" w:hAnsi="Work Sans" w:cs="Calibri"/>
                <w:i/>
                <w:color w:val="000000"/>
                <w:sz w:val="18"/>
                <w:szCs w:val="18"/>
                <w:lang w:val="es-CO"/>
              </w:rPr>
              <w:t>$                     87.100</w:t>
            </w:r>
          </w:p>
        </w:tc>
      </w:tr>
    </w:tbl>
    <w:p w:rsidR="002B74B7" w:rsidRDefault="00000000">
      <w:pPr>
        <w:tabs>
          <w:tab w:val="left" w:pos="1134"/>
        </w:tabs>
        <w:ind w:left="567" w:hanging="141"/>
        <w:jc w:val="both"/>
        <w:rPr>
          <w:rFonts w:ascii="Work Sans" w:hAnsi="Work Sans" w:cs="Calibri"/>
          <w:i/>
          <w:sz w:val="18"/>
          <w:szCs w:val="18"/>
          <w:lang w:val="es-CO"/>
        </w:rPr>
      </w:pPr>
      <w:r>
        <w:rPr>
          <w:rFonts w:ascii="Work Sans" w:hAnsi="Work Sans" w:cs="Calibri"/>
          <w:i/>
          <w:sz w:val="18"/>
          <w:szCs w:val="18"/>
          <w:lang w:val="es-CO"/>
        </w:rPr>
        <w:lastRenderedPageBreak/>
        <w:t>*Las tarifas no incluyen el valor de del Fondo de Seguridad Vial y ninguna otra sobretasa o similar</w:t>
      </w:r>
    </w:p>
    <w:p w:rsidR="002B74B7" w:rsidRDefault="002B74B7">
      <w:pPr>
        <w:tabs>
          <w:tab w:val="left" w:pos="1134"/>
        </w:tabs>
        <w:rPr>
          <w:rFonts w:ascii="Work Sans" w:hAnsi="Work Sans" w:cs="Calibri"/>
          <w:b/>
          <w:bCs/>
          <w:i/>
          <w:sz w:val="18"/>
          <w:szCs w:val="18"/>
          <w:u w:val="single"/>
          <w:lang w:val="es-CO"/>
        </w:rPr>
      </w:pPr>
    </w:p>
    <w:p w:rsidR="002B74B7" w:rsidRDefault="00000000">
      <w:pPr>
        <w:tabs>
          <w:tab w:val="left" w:pos="1134"/>
        </w:tabs>
        <w:jc w:val="center"/>
        <w:rPr>
          <w:rFonts w:ascii="Work Sans" w:hAnsi="Work Sans" w:cs="Calibri"/>
          <w:b/>
          <w:bCs/>
          <w:i/>
          <w:sz w:val="18"/>
          <w:szCs w:val="18"/>
          <w:u w:val="single"/>
          <w:lang w:val="es-CO"/>
        </w:rPr>
      </w:pPr>
      <w:r>
        <w:rPr>
          <w:rFonts w:ascii="Work Sans" w:hAnsi="Work Sans" w:cs="Calibri"/>
          <w:b/>
          <w:bCs/>
          <w:i/>
          <w:sz w:val="18"/>
          <w:szCs w:val="18"/>
          <w:u w:val="single"/>
          <w:lang w:val="es-CO"/>
        </w:rPr>
        <w:t>Tarifas a cobrar a Partir de 16 de enero de 2024 y hasta el 15 de enero de 2025</w:t>
      </w:r>
    </w:p>
    <w:p w:rsidR="002B74B7" w:rsidRDefault="002B74B7">
      <w:pPr>
        <w:tabs>
          <w:tab w:val="left" w:pos="1134"/>
        </w:tabs>
        <w:jc w:val="both"/>
        <w:rPr>
          <w:rFonts w:ascii="Work Sans" w:hAnsi="Work Sans" w:cs="Calibri"/>
          <w:i/>
          <w:sz w:val="18"/>
          <w:szCs w:val="18"/>
          <w:lang w:val="es-CO"/>
        </w:rPr>
      </w:pPr>
    </w:p>
    <w:tbl>
      <w:tblPr>
        <w:tblW w:w="7720" w:type="dxa"/>
        <w:jc w:val="center"/>
        <w:tblCellMar>
          <w:left w:w="10" w:type="dxa"/>
          <w:right w:w="10" w:type="dxa"/>
        </w:tblCellMar>
        <w:tblLook w:val="0000" w:firstRow="0" w:lastRow="0" w:firstColumn="0" w:lastColumn="0" w:noHBand="0" w:noVBand="0"/>
      </w:tblPr>
      <w:tblGrid>
        <w:gridCol w:w="1354"/>
        <w:gridCol w:w="2122"/>
        <w:gridCol w:w="2122"/>
        <w:gridCol w:w="2122"/>
      </w:tblGrid>
      <w:tr w:rsidR="002B74B7">
        <w:tblPrEx>
          <w:tblCellMar>
            <w:top w:w="0" w:type="dxa"/>
            <w:bottom w:w="0" w:type="dxa"/>
          </w:tblCellMar>
        </w:tblPrEx>
        <w:trPr>
          <w:trHeight w:val="620"/>
          <w:jc w:val="center"/>
        </w:trPr>
        <w:tc>
          <w:tcPr>
            <w:tcW w:w="7720" w:type="dxa"/>
            <w:gridSpan w:val="4"/>
            <w:tcBorders>
              <w:bottom w:val="single" w:sz="4" w:space="0" w:color="000000"/>
            </w:tcBorders>
            <w:shd w:val="clear" w:color="auto" w:fill="auto"/>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Tarifa a cobrar a partir de 16 de enero de 2024 y hasta el 15 de enero de 2025 (pesos de diciembre 2021)</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CATEGORÍA</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BOQUERON I Y II</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NARANJAL</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PIPIRAL</w:t>
            </w:r>
          </w:p>
        </w:tc>
      </w:tr>
      <w:tr w:rsidR="002B74B7">
        <w:tblPrEx>
          <w:tblCellMar>
            <w:top w:w="0" w:type="dxa"/>
            <w:bottom w:w="0" w:type="dxa"/>
          </w:tblCellMar>
        </w:tblPrEx>
        <w:trPr>
          <w:trHeight w:val="32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$ 14.900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$ 12.800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$ 21.100 </w:t>
            </w:r>
          </w:p>
        </w:tc>
      </w:tr>
      <w:tr w:rsidR="002B74B7">
        <w:tblPrEx>
          <w:tblCellMar>
            <w:top w:w="0" w:type="dxa"/>
            <w:bottom w:w="0" w:type="dxa"/>
          </w:tblCellMar>
        </w:tblPrEx>
        <w:trPr>
          <w:trHeight w:val="32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II</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$ 45.000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$ 33.800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$ 41.800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$ 22.500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$ 25.300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$ 28.500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$ 59.600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$ 50.100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$ 50.100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$ 67.400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$ 58.400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$ 54.600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VI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$ 74.800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$ 67.400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$ 83.800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IE</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$ 89.700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$ 74.800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$ 108.600 </w:t>
            </w:r>
          </w:p>
        </w:tc>
      </w:tr>
    </w:tbl>
    <w:p w:rsidR="002B74B7" w:rsidRDefault="00000000">
      <w:pPr>
        <w:tabs>
          <w:tab w:val="left" w:pos="1134"/>
        </w:tabs>
        <w:ind w:left="567" w:hanging="141"/>
        <w:jc w:val="both"/>
        <w:rPr>
          <w:rFonts w:ascii="Work Sans" w:hAnsi="Work Sans" w:cs="Calibri"/>
          <w:i/>
          <w:sz w:val="18"/>
          <w:szCs w:val="18"/>
          <w:lang w:val="es-CO"/>
        </w:rPr>
      </w:pPr>
      <w:r>
        <w:rPr>
          <w:rFonts w:ascii="Work Sans" w:hAnsi="Work Sans" w:cs="Calibri"/>
          <w:i/>
          <w:sz w:val="18"/>
          <w:szCs w:val="18"/>
          <w:lang w:val="es-CO"/>
        </w:rPr>
        <w:t>*Las tarifas no incluyen el valor de del Fondo de Seguridad Vial y ninguna otra sobretasa o similar</w:t>
      </w:r>
    </w:p>
    <w:p w:rsidR="002B74B7" w:rsidRDefault="002B74B7">
      <w:pPr>
        <w:tabs>
          <w:tab w:val="left" w:pos="1134"/>
        </w:tabs>
        <w:jc w:val="both"/>
        <w:rPr>
          <w:rFonts w:ascii="Work Sans" w:hAnsi="Work Sans" w:cs="Calibri"/>
          <w:b/>
          <w:bCs/>
          <w:i/>
          <w:sz w:val="18"/>
          <w:szCs w:val="18"/>
          <w:lang w:val="es-CO"/>
        </w:rPr>
      </w:pPr>
    </w:p>
    <w:p w:rsidR="002B74B7" w:rsidRDefault="00000000">
      <w:pPr>
        <w:tabs>
          <w:tab w:val="left" w:pos="1134"/>
        </w:tabs>
        <w:jc w:val="center"/>
        <w:rPr>
          <w:rFonts w:ascii="Work Sans" w:hAnsi="Work Sans" w:cs="Calibri"/>
          <w:b/>
          <w:bCs/>
          <w:i/>
          <w:sz w:val="18"/>
          <w:szCs w:val="18"/>
          <w:u w:val="single"/>
          <w:lang w:val="es-CO"/>
        </w:rPr>
      </w:pPr>
      <w:r>
        <w:rPr>
          <w:rFonts w:ascii="Work Sans" w:hAnsi="Work Sans" w:cs="Calibri"/>
          <w:b/>
          <w:bCs/>
          <w:i/>
          <w:sz w:val="18"/>
          <w:szCs w:val="18"/>
          <w:u w:val="single"/>
          <w:lang w:val="es-CO"/>
        </w:rPr>
        <w:t>Tarifas a cobrar a Partir de 16 de enero de 2025 y hasta el 15 de enero de 2026</w:t>
      </w:r>
    </w:p>
    <w:p w:rsidR="002B74B7" w:rsidRDefault="002B74B7">
      <w:pPr>
        <w:tabs>
          <w:tab w:val="left" w:pos="1134"/>
        </w:tabs>
        <w:jc w:val="center"/>
        <w:rPr>
          <w:rFonts w:ascii="Work Sans" w:hAnsi="Work Sans" w:cs="Calibri"/>
          <w:b/>
          <w:bCs/>
          <w:i/>
          <w:sz w:val="18"/>
          <w:szCs w:val="18"/>
          <w:u w:val="single"/>
          <w:lang w:val="es-CO"/>
        </w:rPr>
      </w:pPr>
    </w:p>
    <w:tbl>
      <w:tblPr>
        <w:tblW w:w="7720" w:type="dxa"/>
        <w:jc w:val="center"/>
        <w:tblCellMar>
          <w:left w:w="10" w:type="dxa"/>
          <w:right w:w="10" w:type="dxa"/>
        </w:tblCellMar>
        <w:tblLook w:val="0000" w:firstRow="0" w:lastRow="0" w:firstColumn="0" w:lastColumn="0" w:noHBand="0" w:noVBand="0"/>
      </w:tblPr>
      <w:tblGrid>
        <w:gridCol w:w="1354"/>
        <w:gridCol w:w="2122"/>
        <w:gridCol w:w="2122"/>
        <w:gridCol w:w="2122"/>
      </w:tblGrid>
      <w:tr w:rsidR="002B74B7">
        <w:tblPrEx>
          <w:tblCellMar>
            <w:top w:w="0" w:type="dxa"/>
            <w:bottom w:w="0" w:type="dxa"/>
          </w:tblCellMar>
        </w:tblPrEx>
        <w:trPr>
          <w:trHeight w:val="800"/>
          <w:jc w:val="center"/>
        </w:trPr>
        <w:tc>
          <w:tcPr>
            <w:tcW w:w="7720" w:type="dxa"/>
            <w:gridSpan w:val="4"/>
            <w:tcBorders>
              <w:bottom w:val="single" w:sz="4" w:space="0" w:color="000000"/>
            </w:tcBorders>
            <w:shd w:val="clear" w:color="auto" w:fill="auto"/>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Tarifa a cobrar a partir de 16 de enero de 2025 y hasta el 15 de enero de 2026 (pesos de diciembre 2021)</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CATEGORÍA</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BOQUERON I Y II</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NARANJAL</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PIPIRAL</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$ 15.300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$ 13.200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$ 21.700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$ 46.400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$ 34.800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$ 43.100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$ 23.200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$ 26.100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$ 29.400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$ 61.400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$ 51.600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$ 51.600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$ 69.400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$ 60.200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$ 56.200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VI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$ 77.000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$ 69.400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$ 86.300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IE</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$ 92.400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$ 77.000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$ 111.900 </w:t>
            </w:r>
          </w:p>
        </w:tc>
      </w:tr>
    </w:tbl>
    <w:p w:rsidR="002B74B7" w:rsidRDefault="00000000">
      <w:pPr>
        <w:tabs>
          <w:tab w:val="left" w:pos="1134"/>
        </w:tabs>
        <w:ind w:left="567" w:right="481" w:hanging="141"/>
        <w:jc w:val="both"/>
        <w:rPr>
          <w:rFonts w:ascii="Work Sans" w:hAnsi="Work Sans" w:cs="Calibri"/>
          <w:i/>
          <w:sz w:val="18"/>
          <w:szCs w:val="18"/>
          <w:lang w:val="es-CO"/>
        </w:rPr>
      </w:pPr>
      <w:r>
        <w:rPr>
          <w:rFonts w:ascii="Work Sans" w:hAnsi="Work Sans" w:cs="Calibri"/>
          <w:i/>
          <w:sz w:val="18"/>
          <w:szCs w:val="18"/>
          <w:lang w:val="es-CO"/>
        </w:rPr>
        <w:t>*Las tarifas no incluyen el valor de del Fondo de Seguridad Vial y ninguna otra sobretasa o similar</w:t>
      </w:r>
    </w:p>
    <w:p w:rsidR="002B74B7" w:rsidRDefault="002B74B7">
      <w:pPr>
        <w:tabs>
          <w:tab w:val="left" w:pos="1134"/>
        </w:tabs>
        <w:rPr>
          <w:rFonts w:ascii="Work Sans" w:hAnsi="Work Sans" w:cs="Calibri"/>
          <w:b/>
          <w:bCs/>
          <w:i/>
          <w:sz w:val="18"/>
          <w:szCs w:val="18"/>
          <w:u w:val="single"/>
          <w:lang w:val="es-CO"/>
        </w:rPr>
      </w:pPr>
    </w:p>
    <w:p w:rsidR="002B74B7" w:rsidRDefault="00000000">
      <w:pPr>
        <w:tabs>
          <w:tab w:val="left" w:pos="1134"/>
        </w:tabs>
        <w:jc w:val="center"/>
        <w:rPr>
          <w:rFonts w:ascii="Work Sans" w:hAnsi="Work Sans" w:cs="Calibri"/>
          <w:b/>
          <w:bCs/>
          <w:i/>
          <w:sz w:val="18"/>
          <w:szCs w:val="18"/>
          <w:u w:val="single"/>
          <w:lang w:val="es-CO"/>
        </w:rPr>
      </w:pPr>
      <w:r>
        <w:rPr>
          <w:rFonts w:ascii="Work Sans" w:hAnsi="Work Sans" w:cs="Calibri"/>
          <w:b/>
          <w:bCs/>
          <w:i/>
          <w:sz w:val="18"/>
          <w:szCs w:val="18"/>
          <w:u w:val="single"/>
          <w:lang w:val="es-CO"/>
        </w:rPr>
        <w:t>Tarifas a cobrar a Partir de 16 de enero de 2026 y hasta el 15 de enero de 2027</w:t>
      </w:r>
    </w:p>
    <w:p w:rsidR="002B74B7" w:rsidRDefault="002B74B7">
      <w:pPr>
        <w:tabs>
          <w:tab w:val="left" w:pos="1134"/>
        </w:tabs>
        <w:jc w:val="center"/>
        <w:rPr>
          <w:rFonts w:ascii="Work Sans" w:hAnsi="Work Sans" w:cs="Calibri"/>
          <w:b/>
          <w:bCs/>
          <w:i/>
          <w:sz w:val="18"/>
          <w:szCs w:val="18"/>
          <w:u w:val="single"/>
          <w:lang w:val="es-CO"/>
        </w:rPr>
      </w:pPr>
    </w:p>
    <w:tbl>
      <w:tblPr>
        <w:tblW w:w="7720" w:type="dxa"/>
        <w:jc w:val="center"/>
        <w:tblCellMar>
          <w:left w:w="10" w:type="dxa"/>
          <w:right w:w="10" w:type="dxa"/>
        </w:tblCellMar>
        <w:tblLook w:val="0000" w:firstRow="0" w:lastRow="0" w:firstColumn="0" w:lastColumn="0" w:noHBand="0" w:noVBand="0"/>
      </w:tblPr>
      <w:tblGrid>
        <w:gridCol w:w="1354"/>
        <w:gridCol w:w="2122"/>
        <w:gridCol w:w="2122"/>
        <w:gridCol w:w="2122"/>
      </w:tblGrid>
      <w:tr w:rsidR="002B74B7">
        <w:tblPrEx>
          <w:tblCellMar>
            <w:top w:w="0" w:type="dxa"/>
            <w:bottom w:w="0" w:type="dxa"/>
          </w:tblCellMar>
        </w:tblPrEx>
        <w:trPr>
          <w:trHeight w:val="580"/>
          <w:jc w:val="center"/>
        </w:trPr>
        <w:tc>
          <w:tcPr>
            <w:tcW w:w="7720" w:type="dxa"/>
            <w:gridSpan w:val="4"/>
            <w:tcBorders>
              <w:bottom w:val="single" w:sz="4" w:space="0" w:color="000000"/>
            </w:tcBorders>
            <w:shd w:val="clear" w:color="auto" w:fill="auto"/>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Tarifa a cobrar a partir de 16 de enero de 2026 y hasta el 15 de enero de 2027 (pesos de diciembre 2021)</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CATEGORÍA</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BOQUERON I Y II</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NARANJAL</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jc w:val="center"/>
              <w:rPr>
                <w:rFonts w:ascii="Work Sans" w:hAnsi="Work Sans" w:cs="Calibri"/>
                <w:b/>
                <w:bCs/>
                <w:i/>
                <w:sz w:val="18"/>
                <w:szCs w:val="18"/>
                <w:lang w:val="es-CO" w:eastAsia="es-MX"/>
              </w:rPr>
            </w:pPr>
            <w:r>
              <w:rPr>
                <w:rFonts w:ascii="Work Sans" w:hAnsi="Work Sans" w:cs="Calibri"/>
                <w:b/>
                <w:bCs/>
                <w:i/>
                <w:sz w:val="18"/>
                <w:szCs w:val="18"/>
                <w:lang w:val="es-CO" w:eastAsia="es-MX"/>
              </w:rPr>
              <w:t>PIPIRAL</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$ 15.400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$ 13.300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$ 21.900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$ 46.800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$ 35.100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$ 43.400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$ 23.400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$ 26.300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$ 29.600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$ 61.900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$ 52.000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$ 52.000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$ 69.900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$ 60.700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$ 56.600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lastRenderedPageBreak/>
              <w:t>VI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$ 77.600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$ 69.900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$ 87.000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center"/>
              <w:rPr>
                <w:rFonts w:ascii="Work Sans" w:hAnsi="Work Sans" w:cs="Calibri"/>
                <w:b/>
                <w:bCs/>
                <w:i/>
                <w:color w:val="000000"/>
                <w:sz w:val="18"/>
                <w:szCs w:val="18"/>
                <w:lang w:val="es-CO" w:eastAsia="es-MX"/>
              </w:rPr>
            </w:pPr>
            <w:r>
              <w:rPr>
                <w:rFonts w:ascii="Work Sans" w:hAnsi="Work Sans" w:cs="Calibri"/>
                <w:b/>
                <w:bCs/>
                <w:i/>
                <w:color w:val="000000"/>
                <w:sz w:val="18"/>
                <w:szCs w:val="18"/>
                <w:lang w:val="es-CO" w:eastAsia="es-MX"/>
              </w:rPr>
              <w:t>IE</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$ 93.100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$ 77.600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jc w:val="right"/>
              <w:rPr>
                <w:rFonts w:ascii="Work Sans" w:hAnsi="Work Sans" w:cs="Calibri"/>
                <w:i/>
                <w:color w:val="000000"/>
                <w:sz w:val="18"/>
                <w:szCs w:val="18"/>
                <w:lang w:val="es-CO" w:eastAsia="es-MX"/>
              </w:rPr>
            </w:pPr>
            <w:r>
              <w:rPr>
                <w:rFonts w:ascii="Work Sans" w:hAnsi="Work Sans" w:cs="Calibri"/>
                <w:i/>
                <w:color w:val="000000"/>
                <w:sz w:val="18"/>
                <w:szCs w:val="18"/>
                <w:lang w:val="es-CO" w:eastAsia="es-MX"/>
              </w:rPr>
              <w:t xml:space="preserve">$ 112.800 </w:t>
            </w:r>
          </w:p>
        </w:tc>
      </w:tr>
    </w:tbl>
    <w:p w:rsidR="002B74B7" w:rsidRDefault="00000000">
      <w:pPr>
        <w:tabs>
          <w:tab w:val="left" w:pos="1134"/>
        </w:tabs>
        <w:ind w:left="567" w:right="481" w:hanging="141"/>
        <w:jc w:val="both"/>
      </w:pPr>
      <w:r>
        <w:rPr>
          <w:rFonts w:ascii="Work Sans" w:hAnsi="Work Sans" w:cs="Calibri"/>
          <w:i/>
          <w:sz w:val="18"/>
          <w:szCs w:val="18"/>
          <w:lang w:val="es-CO"/>
        </w:rPr>
        <w:t>*Las tarifas no incluyen el valor de del Fondo de Seguridad Vial y ninguna otra sobretasa o similar</w:t>
      </w:r>
    </w:p>
    <w:p w:rsidR="002B74B7" w:rsidRDefault="002B74B7">
      <w:pPr>
        <w:tabs>
          <w:tab w:val="left" w:pos="1134"/>
        </w:tabs>
        <w:jc w:val="both"/>
        <w:rPr>
          <w:rFonts w:ascii="Work Sans" w:hAnsi="Work Sans" w:cs="Calibri"/>
          <w:b/>
          <w:bCs/>
          <w:i/>
          <w:sz w:val="18"/>
          <w:szCs w:val="18"/>
          <w:lang w:val="es-CO"/>
        </w:rPr>
      </w:pPr>
    </w:p>
    <w:p w:rsidR="002B74B7" w:rsidRDefault="00000000">
      <w:pPr>
        <w:tabs>
          <w:tab w:val="left" w:pos="1134"/>
        </w:tabs>
        <w:ind w:left="567" w:right="623"/>
        <w:jc w:val="both"/>
        <w:rPr>
          <w:rFonts w:ascii="Work Sans" w:hAnsi="Work Sans" w:cs="Calibri"/>
          <w:i/>
          <w:sz w:val="18"/>
          <w:szCs w:val="18"/>
          <w:lang w:val="es-CO"/>
        </w:rPr>
      </w:pPr>
      <w:r>
        <w:rPr>
          <w:rFonts w:ascii="Work Sans" w:hAnsi="Work Sans" w:cs="Calibri"/>
          <w:i/>
          <w:sz w:val="18"/>
          <w:szCs w:val="18"/>
          <w:lang w:val="es-CO"/>
        </w:rPr>
        <w:t xml:space="preserve">Para determinar el valor a cobrar antes de </w:t>
      </w:r>
      <w:proofErr w:type="spellStart"/>
      <w:r>
        <w:rPr>
          <w:rFonts w:ascii="Work Sans" w:hAnsi="Work Sans" w:cs="Calibri"/>
          <w:i/>
          <w:sz w:val="18"/>
          <w:szCs w:val="18"/>
          <w:lang w:val="es-CO"/>
        </w:rPr>
        <w:t>Fosevi</w:t>
      </w:r>
      <w:proofErr w:type="spellEnd"/>
      <w:r>
        <w:rPr>
          <w:rFonts w:ascii="Work Sans" w:hAnsi="Work Sans" w:cs="Calibri"/>
          <w:i/>
          <w:sz w:val="18"/>
          <w:szCs w:val="18"/>
          <w:lang w:val="es-CO"/>
        </w:rPr>
        <w:t xml:space="preserve"> a partir del año 2023 y hasta el año 2026, se tomará el valor descrito en las tablas anteriores para cada año, actualizando la tarifa con el IPC correspondiente al año en que se realice el incremento.</w:t>
      </w:r>
    </w:p>
    <w:p w:rsidR="002B74B7" w:rsidRDefault="002B74B7">
      <w:pPr>
        <w:tabs>
          <w:tab w:val="left" w:pos="1134"/>
        </w:tabs>
        <w:ind w:left="567" w:right="623"/>
        <w:jc w:val="both"/>
        <w:rPr>
          <w:rFonts w:ascii="Work Sans" w:hAnsi="Work Sans" w:cs="Calibri"/>
          <w:i/>
          <w:sz w:val="18"/>
          <w:szCs w:val="18"/>
          <w:lang w:val="es-CO"/>
        </w:rPr>
      </w:pPr>
    </w:p>
    <w:p w:rsidR="002B74B7" w:rsidRDefault="00000000">
      <w:pPr>
        <w:tabs>
          <w:tab w:val="left" w:pos="1134"/>
        </w:tabs>
        <w:ind w:left="567" w:right="623"/>
        <w:jc w:val="both"/>
        <w:rPr>
          <w:rFonts w:ascii="Work Sans" w:hAnsi="Work Sans" w:cs="Calibri"/>
          <w:i/>
          <w:sz w:val="18"/>
          <w:szCs w:val="18"/>
          <w:lang w:val="es-CO"/>
        </w:rPr>
      </w:pPr>
      <w:r>
        <w:rPr>
          <w:rFonts w:ascii="Work Sans" w:hAnsi="Work Sans" w:cs="Calibri"/>
          <w:i/>
          <w:sz w:val="18"/>
          <w:szCs w:val="18"/>
          <w:lang w:val="es-CO"/>
        </w:rPr>
        <w:t>Para los años 2027 en adelante, el incremento de las tarifas de los peajes se realizará de acuerdo con el IPC de cierre de cada año, siguiendo el procedimiento definido en el literal (e) de la Sección 4.2 de la Parte Especial del Contrato de Concesión No. 005 de 2015.</w:t>
      </w:r>
    </w:p>
    <w:p w:rsidR="002B74B7" w:rsidRDefault="002B74B7">
      <w:pPr>
        <w:ind w:left="567" w:right="623"/>
        <w:jc w:val="both"/>
        <w:rPr>
          <w:rFonts w:ascii="Work Sans" w:hAnsi="Work Sans" w:cs="Calibri"/>
          <w:i/>
          <w:sz w:val="18"/>
          <w:szCs w:val="18"/>
          <w:lang w:val="es-CO"/>
        </w:rPr>
      </w:pPr>
    </w:p>
    <w:p w:rsidR="002B74B7" w:rsidRDefault="00000000">
      <w:pPr>
        <w:ind w:left="567" w:right="623"/>
        <w:jc w:val="both"/>
        <w:rPr>
          <w:rFonts w:ascii="Work Sans" w:hAnsi="Work Sans" w:cs="Calibri"/>
          <w:i/>
          <w:sz w:val="18"/>
          <w:szCs w:val="18"/>
          <w:lang w:val="es-CO"/>
        </w:rPr>
      </w:pPr>
      <w:r>
        <w:rPr>
          <w:rFonts w:ascii="Work Sans" w:hAnsi="Work Sans" w:cs="Calibri"/>
          <w:i/>
          <w:sz w:val="18"/>
          <w:szCs w:val="18"/>
          <w:lang w:val="es-CO"/>
        </w:rPr>
        <w:t xml:space="preserve">Por efecto de la actualización anual de las tarifas de peaje, las mismas deberán ser ajustadas a la centena más cercana con el fin de facilitar el recaudo en las estaciones de peaje por parte del Concesionario. A las tarifas de peaje se les adicionará el valor del Fondo de Seguridad Vial del periodo de actualización acorde con la Resolución vigente que el Ministerio de Transporte expida para tal efecto. </w:t>
      </w:r>
    </w:p>
    <w:p w:rsidR="002B74B7" w:rsidRDefault="002B74B7">
      <w:pPr>
        <w:ind w:left="567" w:right="623"/>
        <w:jc w:val="both"/>
        <w:rPr>
          <w:rFonts w:ascii="Work Sans" w:hAnsi="Work Sans" w:cs="Calibri"/>
          <w:b/>
          <w:bCs/>
          <w:i/>
          <w:sz w:val="18"/>
          <w:szCs w:val="18"/>
          <w:u w:val="single"/>
          <w:lang w:val="es-CO"/>
        </w:rPr>
      </w:pPr>
    </w:p>
    <w:p w:rsidR="002B74B7" w:rsidRDefault="00000000">
      <w:pPr>
        <w:ind w:left="567" w:right="623"/>
        <w:jc w:val="both"/>
        <w:rPr>
          <w:rFonts w:ascii="Work Sans" w:hAnsi="Work Sans" w:cs="Calibri"/>
          <w:b/>
          <w:bCs/>
          <w:i/>
          <w:sz w:val="18"/>
          <w:szCs w:val="18"/>
          <w:u w:val="single"/>
          <w:lang w:val="es-CO"/>
        </w:rPr>
      </w:pPr>
      <w:r>
        <w:rPr>
          <w:rFonts w:ascii="Work Sans" w:hAnsi="Work Sans" w:cs="Calibri"/>
          <w:b/>
          <w:bCs/>
          <w:i/>
          <w:sz w:val="18"/>
          <w:szCs w:val="18"/>
          <w:u w:val="single"/>
          <w:lang w:val="es-CO"/>
        </w:rPr>
        <w:t>Tarifas diferenciales:</w:t>
      </w:r>
    </w:p>
    <w:p w:rsidR="002B74B7" w:rsidRDefault="002B74B7">
      <w:pPr>
        <w:ind w:left="567" w:right="623"/>
        <w:jc w:val="both"/>
        <w:rPr>
          <w:rFonts w:ascii="Work Sans" w:hAnsi="Work Sans" w:cs="Calibri"/>
          <w:b/>
          <w:bCs/>
          <w:i/>
          <w:sz w:val="18"/>
          <w:szCs w:val="18"/>
          <w:u w:val="single"/>
          <w:lang w:val="es-CO"/>
        </w:rPr>
      </w:pPr>
    </w:p>
    <w:p w:rsidR="002B74B7" w:rsidRDefault="00000000">
      <w:pPr>
        <w:ind w:left="567" w:right="623"/>
        <w:jc w:val="both"/>
        <w:rPr>
          <w:rFonts w:ascii="Work Sans" w:hAnsi="Work Sans" w:cs="Calibri"/>
          <w:i/>
          <w:sz w:val="18"/>
          <w:szCs w:val="18"/>
          <w:lang w:val="es-CO"/>
        </w:rPr>
      </w:pPr>
      <w:r>
        <w:rPr>
          <w:rFonts w:ascii="Work Sans" w:hAnsi="Work Sans" w:cs="Calibri"/>
          <w:i/>
          <w:sz w:val="18"/>
          <w:szCs w:val="18"/>
          <w:lang w:val="es-CO"/>
        </w:rPr>
        <w:t xml:space="preserve">Actualmente, las estaciones de peaje Boquerón I, Boquerón II, Naranjal y </w:t>
      </w:r>
      <w:proofErr w:type="spellStart"/>
      <w:r>
        <w:rPr>
          <w:rFonts w:ascii="Work Sans" w:hAnsi="Work Sans" w:cs="Calibri"/>
          <w:i/>
          <w:sz w:val="18"/>
          <w:szCs w:val="18"/>
          <w:lang w:val="es-CO"/>
        </w:rPr>
        <w:t>Pipiral</w:t>
      </w:r>
      <w:proofErr w:type="spellEnd"/>
      <w:r>
        <w:rPr>
          <w:rFonts w:ascii="Work Sans" w:hAnsi="Work Sans" w:cs="Calibri"/>
          <w:i/>
          <w:sz w:val="18"/>
          <w:szCs w:val="18"/>
          <w:lang w:val="es-CO"/>
        </w:rPr>
        <w:t xml:space="preserve"> cuentan con el beneficio de tarifas especiales diferenciales, las cuales se encuentran reguladas en la Resoluciones No. 0006137 de 2013 y 1695 de 2015, respectivamente. De conformidad con las disposiciones previstas en dichos actos administrativos, la actualización anual de las tarifas diferenciales debe efectuarse el 16 de noviembre de cada año, según la metodología establecida en cada resolución. </w:t>
      </w:r>
    </w:p>
    <w:p w:rsidR="002B74B7" w:rsidRDefault="002B74B7">
      <w:pPr>
        <w:ind w:left="567" w:right="623"/>
        <w:jc w:val="both"/>
        <w:rPr>
          <w:rFonts w:ascii="Work Sans" w:hAnsi="Work Sans" w:cs="Calibri"/>
          <w:i/>
          <w:sz w:val="18"/>
          <w:szCs w:val="18"/>
          <w:lang w:val="es-CO"/>
        </w:rPr>
      </w:pPr>
    </w:p>
    <w:p w:rsidR="002B74B7" w:rsidRDefault="00000000">
      <w:pPr>
        <w:widowControl/>
        <w:ind w:left="567" w:right="623"/>
        <w:jc w:val="both"/>
      </w:pPr>
      <w:r>
        <w:rPr>
          <w:rFonts w:ascii="Work Sans" w:hAnsi="Work Sans" w:cs="Calibri"/>
          <w:i/>
          <w:sz w:val="18"/>
          <w:szCs w:val="18"/>
          <w:lang w:val="es-CO" w:bidi="ar-SA"/>
        </w:rPr>
        <w:t>Por lo anterior, es necesario modificar la fecha de actualización prevista en las Resoluciones No. 6137 de 2013 y 1695 de 2015, con el fin de que la actualización anual tanto de las tarifas especiales diferenciales como del esquema tarifario pleno correspondiente al Contrato de Concesión No. 005 de 2015 se realice en la en la misma fecha, es decir el 16 de enero de cada año. Ello, en aras de fijar un solo momento de incremento en las tarifas de peajes del corredor concesionado.</w:t>
      </w:r>
    </w:p>
    <w:p w:rsidR="002B74B7" w:rsidRDefault="002B74B7">
      <w:pPr>
        <w:widowControl/>
        <w:ind w:left="567" w:right="623"/>
        <w:jc w:val="both"/>
        <w:rPr>
          <w:rFonts w:ascii="Work Sans" w:hAnsi="Work Sans" w:cs="Arial"/>
          <w:b/>
          <w:bCs/>
          <w:sz w:val="18"/>
          <w:szCs w:val="18"/>
          <w:lang w:val="es-CO" w:bidi="ar-SA"/>
        </w:rPr>
      </w:pPr>
    </w:p>
    <w:p w:rsidR="002B74B7" w:rsidRDefault="002B74B7">
      <w:pPr>
        <w:widowControl/>
        <w:numPr>
          <w:ilvl w:val="0"/>
          <w:numId w:val="21"/>
        </w:numPr>
        <w:jc w:val="both"/>
        <w:textAlignment w:val="auto"/>
        <w:rPr>
          <w:rFonts w:ascii="Work Sans" w:hAnsi="Work Sans" w:cs="Calibri"/>
          <w:b/>
          <w:bCs/>
          <w:i/>
          <w:vanish/>
          <w:sz w:val="18"/>
          <w:szCs w:val="18"/>
          <w:lang w:val="es-CO" w:bidi="ar-SA"/>
        </w:rPr>
      </w:pPr>
    </w:p>
    <w:p w:rsidR="002B74B7" w:rsidRDefault="002B74B7">
      <w:pPr>
        <w:widowControl/>
        <w:numPr>
          <w:ilvl w:val="0"/>
          <w:numId w:val="21"/>
        </w:numPr>
        <w:jc w:val="both"/>
        <w:textAlignment w:val="auto"/>
        <w:rPr>
          <w:rFonts w:ascii="Work Sans" w:hAnsi="Work Sans" w:cs="Calibri"/>
          <w:b/>
          <w:bCs/>
          <w:i/>
          <w:vanish/>
          <w:sz w:val="18"/>
          <w:szCs w:val="18"/>
          <w:lang w:val="es-CO" w:bidi="ar-SA"/>
        </w:rPr>
      </w:pPr>
    </w:p>
    <w:p w:rsidR="002B74B7" w:rsidRDefault="002B74B7">
      <w:pPr>
        <w:widowControl/>
        <w:numPr>
          <w:ilvl w:val="1"/>
          <w:numId w:val="21"/>
        </w:numPr>
        <w:jc w:val="both"/>
        <w:textAlignment w:val="auto"/>
        <w:rPr>
          <w:rFonts w:ascii="Work Sans" w:hAnsi="Work Sans" w:cs="Calibri"/>
          <w:b/>
          <w:bCs/>
          <w:i/>
          <w:vanish/>
          <w:sz w:val="18"/>
          <w:szCs w:val="18"/>
          <w:lang w:val="es-CO" w:bidi="ar-SA"/>
        </w:rPr>
      </w:pPr>
    </w:p>
    <w:p w:rsidR="002B74B7" w:rsidRDefault="002B74B7">
      <w:pPr>
        <w:widowControl/>
        <w:numPr>
          <w:ilvl w:val="1"/>
          <w:numId w:val="21"/>
        </w:numPr>
        <w:jc w:val="both"/>
        <w:textAlignment w:val="auto"/>
        <w:rPr>
          <w:rFonts w:ascii="Work Sans" w:hAnsi="Work Sans" w:cs="Calibri"/>
          <w:b/>
          <w:bCs/>
          <w:i/>
          <w:vanish/>
          <w:sz w:val="18"/>
          <w:szCs w:val="18"/>
          <w:lang w:val="es-CO" w:bidi="ar-SA"/>
        </w:rPr>
      </w:pPr>
    </w:p>
    <w:p w:rsidR="002B74B7" w:rsidRDefault="00000000">
      <w:pPr>
        <w:widowControl/>
        <w:numPr>
          <w:ilvl w:val="1"/>
          <w:numId w:val="21"/>
        </w:numPr>
        <w:ind w:left="567" w:firstLine="0"/>
        <w:jc w:val="both"/>
        <w:textAlignment w:val="auto"/>
        <w:rPr>
          <w:rFonts w:ascii="Work Sans" w:hAnsi="Work Sans" w:cs="Calibri"/>
          <w:b/>
          <w:bCs/>
          <w:i/>
          <w:sz w:val="18"/>
          <w:szCs w:val="18"/>
          <w:lang w:val="es-CO" w:bidi="ar-SA"/>
        </w:rPr>
      </w:pPr>
      <w:r>
        <w:rPr>
          <w:rFonts w:ascii="Work Sans" w:hAnsi="Work Sans" w:cs="Calibri"/>
          <w:b/>
          <w:bCs/>
          <w:i/>
          <w:sz w:val="18"/>
          <w:szCs w:val="18"/>
          <w:lang w:val="es-CO" w:bidi="ar-SA"/>
        </w:rPr>
        <w:t xml:space="preserve">ASPECTOS DE RIESGOS </w:t>
      </w:r>
    </w:p>
    <w:p w:rsidR="002B74B7" w:rsidRDefault="002B74B7">
      <w:pPr>
        <w:widowControl/>
        <w:ind w:left="567"/>
        <w:jc w:val="both"/>
        <w:rPr>
          <w:rFonts w:ascii="Work Sans" w:hAnsi="Work Sans" w:cs="Calibri"/>
          <w:b/>
          <w:bCs/>
          <w:i/>
          <w:sz w:val="18"/>
          <w:szCs w:val="18"/>
          <w:lang w:val="es-CO" w:bidi="ar-SA"/>
        </w:rPr>
      </w:pPr>
    </w:p>
    <w:p w:rsidR="002B74B7" w:rsidRDefault="00000000">
      <w:pPr>
        <w:tabs>
          <w:tab w:val="left" w:pos="1134"/>
        </w:tabs>
        <w:spacing w:after="160" w:line="244" w:lineRule="auto"/>
        <w:ind w:left="567"/>
        <w:jc w:val="both"/>
        <w:rPr>
          <w:rFonts w:ascii="Work Sans" w:hAnsi="Work Sans" w:cs="Calibri"/>
          <w:i/>
          <w:sz w:val="18"/>
          <w:szCs w:val="18"/>
          <w:lang w:val="es-CO"/>
        </w:rPr>
      </w:pPr>
      <w:r>
        <w:rPr>
          <w:rFonts w:ascii="Work Sans" w:hAnsi="Work Sans" w:cs="Calibri"/>
          <w:i/>
          <w:sz w:val="18"/>
          <w:szCs w:val="18"/>
          <w:lang w:val="es-CO"/>
        </w:rPr>
        <w:t>Sobre el particular se tienen las siguientes consideraciones</w:t>
      </w:r>
    </w:p>
    <w:p w:rsidR="002B74B7" w:rsidRDefault="00000000">
      <w:pPr>
        <w:tabs>
          <w:tab w:val="left" w:pos="1134"/>
        </w:tabs>
        <w:spacing w:after="160" w:line="244" w:lineRule="auto"/>
        <w:ind w:left="567"/>
        <w:jc w:val="both"/>
        <w:rPr>
          <w:rFonts w:ascii="Work Sans" w:hAnsi="Work Sans" w:cs="Calibri"/>
          <w:b/>
          <w:bCs/>
          <w:i/>
          <w:sz w:val="18"/>
          <w:szCs w:val="18"/>
          <w:lang w:val="es-CO"/>
        </w:rPr>
      </w:pPr>
      <w:r>
        <w:rPr>
          <w:rFonts w:ascii="Work Sans" w:hAnsi="Work Sans" w:cs="Calibri"/>
          <w:b/>
          <w:bCs/>
          <w:i/>
          <w:sz w:val="18"/>
          <w:szCs w:val="18"/>
          <w:lang w:val="es-CO"/>
        </w:rPr>
        <w:t>2.3.1 Sobre la asignación del Riesgo</w:t>
      </w:r>
    </w:p>
    <w:p w:rsidR="002B74B7" w:rsidRDefault="00000000">
      <w:pPr>
        <w:tabs>
          <w:tab w:val="left" w:pos="1134"/>
        </w:tabs>
        <w:spacing w:line="244" w:lineRule="auto"/>
        <w:ind w:left="567" w:right="481"/>
        <w:jc w:val="both"/>
        <w:rPr>
          <w:rFonts w:ascii="Work Sans" w:hAnsi="Work Sans" w:cs="Calibri"/>
          <w:i/>
          <w:sz w:val="18"/>
          <w:szCs w:val="18"/>
          <w:lang w:val="es-CO"/>
        </w:rPr>
      </w:pPr>
      <w:r>
        <w:rPr>
          <w:rFonts w:ascii="Work Sans" w:hAnsi="Work Sans" w:cs="Calibri"/>
          <w:i/>
          <w:sz w:val="18"/>
          <w:szCs w:val="18"/>
          <w:lang w:val="es-CO"/>
        </w:rPr>
        <w:t xml:space="preserve">La Sección 13.3 (e) de la Parte General del Contrato de Concesión No. 005 de 2015 “Riesgos asignados a la ANI”, establece que: </w:t>
      </w:r>
    </w:p>
    <w:p w:rsidR="002B74B7" w:rsidRDefault="002B74B7">
      <w:pPr>
        <w:widowControl/>
        <w:autoSpaceDE w:val="0"/>
        <w:ind w:right="481"/>
        <w:textAlignment w:val="auto"/>
        <w:rPr>
          <w:rFonts w:ascii="Work Sans" w:eastAsia="SimSun" w:hAnsi="Work Sans" w:cs="Calibri"/>
          <w:i/>
          <w:iCs/>
          <w:color w:val="000000"/>
          <w:kern w:val="0"/>
          <w:sz w:val="18"/>
          <w:szCs w:val="18"/>
          <w:lang w:val="es-CO" w:eastAsia="es-ES" w:bidi="ar-SA"/>
        </w:rPr>
      </w:pPr>
    </w:p>
    <w:p w:rsidR="002B74B7" w:rsidRDefault="00000000">
      <w:pPr>
        <w:autoSpaceDE w:val="0"/>
        <w:ind w:left="851" w:right="481"/>
        <w:jc w:val="both"/>
      </w:pPr>
      <w:r>
        <w:rPr>
          <w:rFonts w:ascii="Work Sans" w:hAnsi="Work Sans" w:cs="Calibri"/>
          <w:i/>
          <w:iCs/>
          <w:color w:val="000000"/>
          <w:sz w:val="18"/>
          <w:szCs w:val="18"/>
          <w:lang w:val="es-CO" w:eastAsia="es-CO"/>
        </w:rPr>
        <w:t xml:space="preserve">“Los efectos desfavorables de modificaciones a las tarifas previstas en la Resolución de Peaje, la implementación de tarifas diferenciales en las Estaciones de Peaje existentes y/o nuevas Estaciones de Peaje, en las vías que hacen parte del Proyecto o, en general, </w:t>
      </w:r>
      <w:r>
        <w:rPr>
          <w:rFonts w:ascii="Work Sans" w:hAnsi="Work Sans" w:cs="Calibri"/>
          <w:b/>
          <w:bCs/>
          <w:i/>
          <w:iCs/>
          <w:color w:val="000000"/>
          <w:sz w:val="18"/>
          <w:szCs w:val="18"/>
          <w:u w:val="single"/>
          <w:lang w:val="es-CO" w:eastAsia="es-CO"/>
        </w:rPr>
        <w:t xml:space="preserve">cualquier cambio en la estructura tarifaria prevista en </w:t>
      </w:r>
      <w:r>
        <w:rPr>
          <w:rFonts w:ascii="Work Sans" w:hAnsi="Work Sans" w:cs="Calibri"/>
          <w:b/>
          <w:bCs/>
          <w:i/>
          <w:iCs/>
          <w:color w:val="000000"/>
          <w:sz w:val="18"/>
          <w:szCs w:val="18"/>
          <w:u w:val="single"/>
          <w:lang w:val="es-CO" w:eastAsia="es-CO"/>
        </w:rPr>
        <w:lastRenderedPageBreak/>
        <w:t>la Resolución de Peaje. Para efectos de compensar el Valor de la Materialización de este Riesgo, se hará uso de los Mecanismos para la Compensación por Riesgos, contemplados en la Sección 3.2 de esta Parte General. “(Negrilla y Subrayado fuera de texto)</w:t>
      </w:r>
    </w:p>
    <w:p w:rsidR="002B74B7" w:rsidRDefault="002B74B7">
      <w:pPr>
        <w:autoSpaceDE w:val="0"/>
        <w:jc w:val="both"/>
        <w:rPr>
          <w:rFonts w:ascii="Work Sans" w:hAnsi="Work Sans" w:cs="Calibri"/>
          <w:i/>
          <w:iCs/>
          <w:color w:val="000000"/>
          <w:sz w:val="18"/>
          <w:szCs w:val="18"/>
          <w:lang w:val="es-CO" w:eastAsia="es-CO"/>
        </w:rPr>
      </w:pPr>
    </w:p>
    <w:p w:rsidR="002B74B7" w:rsidRDefault="00000000">
      <w:pPr>
        <w:widowControl/>
        <w:autoSpaceDE w:val="0"/>
        <w:ind w:left="567" w:right="623"/>
        <w:jc w:val="both"/>
        <w:textAlignment w:val="auto"/>
      </w:pPr>
      <w:r>
        <w:rPr>
          <w:rFonts w:ascii="Work Sans" w:eastAsia="SimSun" w:hAnsi="Work Sans" w:cs="Calibri"/>
          <w:i/>
          <w:color w:val="000000"/>
          <w:kern w:val="0"/>
          <w:sz w:val="18"/>
          <w:szCs w:val="18"/>
          <w:lang w:val="es-CO" w:eastAsia="es-ES" w:bidi="ar-SA"/>
        </w:rPr>
        <w:t>De acuerdo con lo dispuesto en el literal (e) de la Sección 13.3 de la parte general del contrato, la ANI asumió el riesgo consistente en: “</w:t>
      </w:r>
      <w:r>
        <w:rPr>
          <w:rFonts w:ascii="Work Sans" w:eastAsia="SimSun" w:hAnsi="Work Sans" w:cs="Calibri"/>
          <w:i/>
          <w:iCs/>
          <w:color w:val="000000"/>
          <w:kern w:val="0"/>
          <w:sz w:val="18"/>
          <w:szCs w:val="18"/>
          <w:lang w:val="es-CO" w:eastAsia="es-ES" w:bidi="ar-SA"/>
        </w:rPr>
        <w:t xml:space="preserve">Los efectos desfavorables de modificaciones a las tarifas previstas en la Resolución de Peaje, la implementación de tarifas diferenciales en las Estaciones de Peaje existentes y/o nuevas Estaciones de Peaje, en las vías que hacen parte del Proyecto o, en general, cualquier cambio en la estructura tarifaria prevista en la Resolución de Peaje (..).” </w:t>
      </w:r>
    </w:p>
    <w:p w:rsidR="002B74B7" w:rsidRDefault="002B74B7">
      <w:pPr>
        <w:widowControl/>
        <w:autoSpaceDE w:val="0"/>
        <w:ind w:left="567" w:right="623"/>
        <w:jc w:val="both"/>
        <w:textAlignment w:val="auto"/>
        <w:rPr>
          <w:rFonts w:ascii="Work Sans" w:eastAsia="SimSun" w:hAnsi="Work Sans" w:cs="Calibri"/>
          <w:i/>
          <w:iCs/>
          <w:color w:val="000000"/>
          <w:kern w:val="0"/>
          <w:sz w:val="18"/>
          <w:szCs w:val="18"/>
          <w:lang w:val="es-CO" w:eastAsia="es-ES" w:bidi="ar-SA"/>
        </w:rPr>
      </w:pPr>
    </w:p>
    <w:p w:rsidR="002B74B7" w:rsidRDefault="00000000">
      <w:pPr>
        <w:widowControl/>
        <w:autoSpaceDE w:val="0"/>
        <w:ind w:left="567" w:right="623"/>
        <w:jc w:val="both"/>
        <w:textAlignment w:val="auto"/>
        <w:rPr>
          <w:rFonts w:ascii="Work Sans" w:eastAsia="SimSun" w:hAnsi="Work Sans" w:cs="Calibri"/>
          <w:b/>
          <w:bCs/>
          <w:i/>
          <w:color w:val="000000"/>
          <w:kern w:val="0"/>
          <w:sz w:val="18"/>
          <w:szCs w:val="18"/>
          <w:lang w:val="es-CO" w:eastAsia="es-ES" w:bidi="ar-SA"/>
        </w:rPr>
      </w:pPr>
      <w:r>
        <w:rPr>
          <w:rFonts w:ascii="Work Sans" w:eastAsia="SimSun" w:hAnsi="Work Sans" w:cs="Calibri"/>
          <w:b/>
          <w:bCs/>
          <w:i/>
          <w:color w:val="000000"/>
          <w:kern w:val="0"/>
          <w:sz w:val="18"/>
          <w:szCs w:val="18"/>
          <w:lang w:val="es-CO" w:eastAsia="es-ES" w:bidi="ar-SA"/>
        </w:rPr>
        <w:t>2.3.2 Sobre la materialización del Riesgo</w:t>
      </w:r>
    </w:p>
    <w:p w:rsidR="002B74B7" w:rsidRDefault="002B74B7">
      <w:pPr>
        <w:widowControl/>
        <w:autoSpaceDE w:val="0"/>
        <w:ind w:left="567" w:right="623"/>
        <w:jc w:val="both"/>
        <w:textAlignment w:val="auto"/>
        <w:rPr>
          <w:rFonts w:ascii="Work Sans" w:eastAsia="SimSun" w:hAnsi="Work Sans" w:cs="Calibri"/>
          <w:i/>
          <w:color w:val="000000"/>
          <w:kern w:val="0"/>
          <w:sz w:val="18"/>
          <w:szCs w:val="18"/>
          <w:lang w:val="es-CO" w:eastAsia="es-ES" w:bidi="ar-SA"/>
        </w:rPr>
      </w:pPr>
    </w:p>
    <w:p w:rsidR="002B74B7" w:rsidRDefault="00000000">
      <w:pPr>
        <w:widowControl/>
        <w:autoSpaceDE w:val="0"/>
        <w:ind w:left="567" w:right="623"/>
        <w:jc w:val="both"/>
        <w:textAlignment w:val="auto"/>
        <w:rPr>
          <w:rFonts w:ascii="Work Sans" w:eastAsia="SimSun" w:hAnsi="Work Sans" w:cs="Calibri"/>
          <w:i/>
          <w:color w:val="000000"/>
          <w:kern w:val="0"/>
          <w:sz w:val="18"/>
          <w:szCs w:val="18"/>
          <w:lang w:val="es-CO" w:eastAsia="es-ES" w:bidi="ar-SA"/>
        </w:rPr>
      </w:pPr>
      <w:r>
        <w:rPr>
          <w:rFonts w:ascii="Work Sans" w:eastAsia="SimSun" w:hAnsi="Work Sans" w:cs="Calibri"/>
          <w:i/>
          <w:color w:val="000000"/>
          <w:kern w:val="0"/>
          <w:sz w:val="18"/>
          <w:szCs w:val="18"/>
          <w:lang w:val="es-CO" w:eastAsia="es-ES" w:bidi="ar-SA"/>
        </w:rPr>
        <w:t xml:space="preserve">De acuerdo con la Sección 3.5 (c) de la Parte General del Contrato de Concesión, la asunción de este riesgo implica:  </w:t>
      </w:r>
    </w:p>
    <w:p w:rsidR="002B74B7" w:rsidRDefault="002B74B7">
      <w:pPr>
        <w:autoSpaceDE w:val="0"/>
        <w:jc w:val="both"/>
        <w:rPr>
          <w:rFonts w:ascii="Work Sans" w:hAnsi="Work Sans" w:cs="Calibri"/>
          <w:i/>
          <w:iCs/>
          <w:color w:val="000000"/>
          <w:sz w:val="18"/>
          <w:szCs w:val="18"/>
          <w:lang w:val="es-CO" w:eastAsia="es-CO"/>
        </w:rPr>
      </w:pPr>
    </w:p>
    <w:p w:rsidR="002B74B7" w:rsidRDefault="00000000">
      <w:pPr>
        <w:autoSpaceDE w:val="0"/>
        <w:ind w:left="851" w:right="623"/>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“Ajuste por Compensación por Riesgos: En caso de que se verifique la materialización de alguno de los riesgos a cargo de la ANI, deberá llevarse a cabo el procedimiento descrito a continuación, con el fin de determinar el valor de la Compensación por Riesgos a favor del Concesionario.”</w:t>
      </w:r>
    </w:p>
    <w:p w:rsidR="002B74B7" w:rsidRDefault="002B74B7">
      <w:pPr>
        <w:autoSpaceDE w:val="0"/>
        <w:ind w:right="623"/>
        <w:jc w:val="both"/>
        <w:rPr>
          <w:rFonts w:ascii="Work Sans" w:hAnsi="Work Sans" w:cs="Calibri"/>
          <w:i/>
          <w:iCs/>
          <w:color w:val="000000"/>
          <w:sz w:val="18"/>
          <w:szCs w:val="18"/>
          <w:lang w:val="es-CO" w:eastAsia="es-CO"/>
        </w:rPr>
      </w:pPr>
    </w:p>
    <w:p w:rsidR="002B74B7" w:rsidRDefault="00000000">
      <w:pPr>
        <w:widowControl/>
        <w:autoSpaceDE w:val="0"/>
        <w:ind w:left="851" w:right="623"/>
        <w:jc w:val="both"/>
        <w:textAlignment w:val="auto"/>
        <w:rPr>
          <w:rFonts w:ascii="Work Sans" w:eastAsia="SimSun" w:hAnsi="Work Sans" w:cs="Calibri"/>
          <w:i/>
          <w:iCs/>
          <w:color w:val="000000"/>
          <w:kern w:val="0"/>
          <w:sz w:val="18"/>
          <w:szCs w:val="18"/>
          <w:lang w:val="es-CO" w:eastAsia="es-ES" w:bidi="ar-SA"/>
        </w:rPr>
      </w:pPr>
      <w:r>
        <w:rPr>
          <w:rFonts w:ascii="Work Sans" w:eastAsia="SimSun" w:hAnsi="Work Sans" w:cs="Calibri"/>
          <w:i/>
          <w:iCs/>
          <w:color w:val="000000"/>
          <w:kern w:val="0"/>
          <w:sz w:val="18"/>
          <w:szCs w:val="18"/>
          <w:lang w:val="es-CO" w:eastAsia="es-ES" w:bidi="ar-SA"/>
        </w:rPr>
        <w:t>(…)</w:t>
      </w:r>
    </w:p>
    <w:p w:rsidR="002B74B7" w:rsidRDefault="002B74B7">
      <w:pPr>
        <w:widowControl/>
        <w:autoSpaceDE w:val="0"/>
        <w:ind w:left="851" w:right="623"/>
        <w:jc w:val="both"/>
        <w:textAlignment w:val="auto"/>
        <w:rPr>
          <w:rFonts w:ascii="Work Sans" w:eastAsia="SimSun" w:hAnsi="Work Sans" w:cs="Calibri"/>
          <w:i/>
          <w:iCs/>
          <w:color w:val="000000"/>
          <w:kern w:val="0"/>
          <w:sz w:val="18"/>
          <w:szCs w:val="18"/>
          <w:lang w:val="es-CO" w:eastAsia="es-ES" w:bidi="ar-SA"/>
        </w:rPr>
      </w:pPr>
    </w:p>
    <w:p w:rsidR="002B74B7" w:rsidRDefault="00000000">
      <w:pPr>
        <w:autoSpaceDE w:val="0"/>
        <w:ind w:left="851" w:right="623"/>
        <w:jc w:val="both"/>
      </w:pPr>
      <w:r>
        <w:rPr>
          <w:rFonts w:ascii="Work Sans" w:hAnsi="Work Sans" w:cs="Calibri"/>
          <w:i/>
          <w:iCs/>
          <w:color w:val="000000"/>
          <w:sz w:val="18"/>
          <w:szCs w:val="18"/>
          <w:lang w:val="es-CO" w:eastAsia="es-CO"/>
        </w:rPr>
        <w:t xml:space="preserve">(d) Cálculo de la Compensación por Riesgos. Mensualmente dentro de los primeros diez (10) días hábiles del mes siguiente al mes respecto del cual se realiza el presente cálculo, la Interventoría y el Concesionario calcularán el Ajuste por Compensación por Riesgo a que tiene derecho el Concesionario por Compensación por Riesgos, de modo que de ser necesario se cubra: Los mayores aportes realizados por el Concesionario para Adquisición Predial, intervención de Redes, Compensaciones Ambientales, cambios en la ubicación de casetas de peaje, </w:t>
      </w:r>
      <w:r>
        <w:rPr>
          <w:rFonts w:ascii="Work Sans" w:hAnsi="Work Sans" w:cs="Calibri"/>
          <w:b/>
          <w:bCs/>
          <w:i/>
          <w:iCs/>
          <w:color w:val="000000"/>
          <w:sz w:val="18"/>
          <w:szCs w:val="18"/>
          <w:u w:val="single"/>
          <w:lang w:val="es-CO" w:eastAsia="es-CO"/>
        </w:rPr>
        <w:t>cambios en la estructura tarifaria de los peajes</w:t>
      </w:r>
      <w:r>
        <w:rPr>
          <w:rFonts w:ascii="Work Sans" w:hAnsi="Work Sans" w:cs="Calibri"/>
          <w:i/>
          <w:iCs/>
          <w:color w:val="000000"/>
          <w:sz w:val="18"/>
          <w:szCs w:val="18"/>
          <w:lang w:val="es-CO" w:eastAsia="es-CO"/>
        </w:rPr>
        <w:t xml:space="preserve">, Cambio Tributario, fuerza mayor predial, fuerza mayor redes y fuerza mayor ambiental entre otros, </w:t>
      </w:r>
      <w:r>
        <w:rPr>
          <w:rFonts w:ascii="Work Sans" w:hAnsi="Work Sans" w:cs="Calibri"/>
          <w:b/>
          <w:bCs/>
          <w:i/>
          <w:iCs/>
          <w:color w:val="000000"/>
          <w:sz w:val="18"/>
          <w:szCs w:val="18"/>
          <w:u w:val="single"/>
          <w:lang w:val="es-CO" w:eastAsia="es-CO"/>
        </w:rPr>
        <w:t>de acuerdo con lo establecido en la Sección 3.2(g) de esta parte general. (Negrilla y subrayado fuera de texto)</w:t>
      </w:r>
    </w:p>
    <w:p w:rsidR="002B74B7" w:rsidRDefault="002B74B7">
      <w:pPr>
        <w:autoSpaceDE w:val="0"/>
        <w:ind w:left="851"/>
        <w:jc w:val="both"/>
        <w:rPr>
          <w:rFonts w:ascii="Work Sans" w:hAnsi="Work Sans" w:cs="Calibri"/>
          <w:i/>
          <w:iCs/>
          <w:color w:val="000000"/>
          <w:sz w:val="18"/>
          <w:szCs w:val="18"/>
          <w:lang w:val="es-CO" w:eastAsia="es-CO"/>
        </w:rPr>
      </w:pPr>
    </w:p>
    <w:p w:rsidR="002B74B7" w:rsidRDefault="00000000">
      <w:pPr>
        <w:autoSpaceDE w:val="0"/>
        <w:ind w:left="567" w:right="623"/>
        <w:jc w:val="both"/>
      </w:pPr>
      <w:r>
        <w:rPr>
          <w:rFonts w:ascii="Work Sans" w:hAnsi="Work Sans" w:cs="Calibri"/>
          <w:i/>
          <w:color w:val="000000"/>
          <w:sz w:val="18"/>
          <w:szCs w:val="18"/>
          <w:lang w:val="es-CO" w:eastAsia="es-CO"/>
        </w:rPr>
        <w:t>En ese sentido se encuentra que (i) El riesgo está asignado a la Agencia y debe compensarlo y (</w:t>
      </w:r>
      <w:proofErr w:type="spellStart"/>
      <w:r>
        <w:rPr>
          <w:rFonts w:ascii="Work Sans" w:hAnsi="Work Sans" w:cs="Calibri"/>
          <w:i/>
          <w:color w:val="000000"/>
          <w:sz w:val="18"/>
          <w:szCs w:val="18"/>
          <w:lang w:val="es-CO" w:eastAsia="es-CO"/>
        </w:rPr>
        <w:t>ii</w:t>
      </w:r>
      <w:proofErr w:type="spellEnd"/>
      <w:r>
        <w:rPr>
          <w:rFonts w:ascii="Work Sans" w:hAnsi="Work Sans" w:cs="Calibri"/>
          <w:i/>
          <w:color w:val="000000"/>
          <w:sz w:val="18"/>
          <w:szCs w:val="18"/>
          <w:lang w:val="es-CO" w:eastAsia="es-CO"/>
        </w:rPr>
        <w:t>) El riesgo efectivamente se materializó por todo lo expuesto en los fundamentos sociales y el concesionario remitió a la interventoría los oficios mensuales de diferencia de recaudo por los periodos el 03 de noviembre de 2019 al 15 de febrero de 2020 y del 16 de enero del año 2021 al 15 de enero del 2022</w:t>
      </w:r>
    </w:p>
    <w:p w:rsidR="002B74B7" w:rsidRDefault="002B74B7">
      <w:pPr>
        <w:autoSpaceDE w:val="0"/>
        <w:ind w:left="567" w:right="623"/>
        <w:jc w:val="both"/>
        <w:rPr>
          <w:rFonts w:ascii="Work Sans" w:hAnsi="Work Sans" w:cs="Calibri"/>
          <w:i/>
          <w:iCs/>
          <w:color w:val="000000"/>
          <w:sz w:val="18"/>
          <w:szCs w:val="18"/>
          <w:lang w:val="es-CO" w:eastAsia="es-CO"/>
        </w:rPr>
      </w:pPr>
    </w:p>
    <w:p w:rsidR="002B74B7" w:rsidRDefault="00000000">
      <w:pPr>
        <w:widowControl/>
        <w:numPr>
          <w:ilvl w:val="2"/>
          <w:numId w:val="22"/>
        </w:numPr>
        <w:autoSpaceDE w:val="0"/>
        <w:ind w:left="567" w:right="623" w:firstLine="0"/>
        <w:jc w:val="both"/>
        <w:textAlignment w:val="auto"/>
        <w:rPr>
          <w:rFonts w:ascii="Work Sans" w:hAnsi="Work Sans" w:cs="Calibri"/>
          <w:b/>
          <w:bCs/>
          <w:i/>
          <w:color w:val="000000"/>
          <w:sz w:val="18"/>
          <w:szCs w:val="18"/>
          <w:lang w:val="es-CO" w:eastAsia="es-CO" w:bidi="ar-SA"/>
        </w:rPr>
      </w:pPr>
      <w:r>
        <w:rPr>
          <w:rFonts w:ascii="Work Sans" w:hAnsi="Work Sans" w:cs="Calibri"/>
          <w:b/>
          <w:bCs/>
          <w:i/>
          <w:color w:val="000000"/>
          <w:sz w:val="18"/>
          <w:szCs w:val="18"/>
          <w:lang w:val="es-CO" w:eastAsia="es-CO" w:bidi="ar-SA"/>
        </w:rPr>
        <w:t xml:space="preserve">Sobre los mecanismos de compensación </w:t>
      </w:r>
    </w:p>
    <w:p w:rsidR="002B74B7" w:rsidRDefault="002B74B7">
      <w:pPr>
        <w:widowControl/>
        <w:autoSpaceDE w:val="0"/>
        <w:ind w:left="567" w:right="623"/>
        <w:jc w:val="both"/>
        <w:rPr>
          <w:rFonts w:ascii="Work Sans" w:hAnsi="Work Sans" w:cs="Calibri"/>
          <w:b/>
          <w:bCs/>
          <w:i/>
          <w:color w:val="000000"/>
          <w:sz w:val="18"/>
          <w:szCs w:val="18"/>
          <w:lang w:val="es-CO" w:eastAsia="es-CO" w:bidi="ar-SA"/>
        </w:rPr>
      </w:pPr>
    </w:p>
    <w:p w:rsidR="002B74B7" w:rsidRDefault="00000000">
      <w:pPr>
        <w:autoSpaceDE w:val="0"/>
        <w:ind w:left="567" w:right="623"/>
        <w:jc w:val="both"/>
        <w:rPr>
          <w:rFonts w:ascii="Work Sans" w:hAnsi="Work Sans" w:cs="Calibri"/>
          <w:i/>
          <w:color w:val="000000"/>
          <w:sz w:val="18"/>
          <w:szCs w:val="18"/>
          <w:lang w:val="es-CO" w:eastAsia="es-CO"/>
        </w:rPr>
      </w:pPr>
      <w:r>
        <w:rPr>
          <w:rFonts w:ascii="Work Sans" w:hAnsi="Work Sans" w:cs="Calibri"/>
          <w:i/>
          <w:color w:val="000000"/>
          <w:sz w:val="18"/>
          <w:szCs w:val="18"/>
          <w:lang w:val="es-CO" w:eastAsia="es-CO"/>
        </w:rPr>
        <w:t>El literal (I) de la Sección 3.4 de la Parte General del Contrato establece:</w:t>
      </w:r>
    </w:p>
    <w:p w:rsidR="002B74B7" w:rsidRDefault="002B74B7">
      <w:pPr>
        <w:autoSpaceDE w:val="0"/>
        <w:ind w:right="623"/>
        <w:rPr>
          <w:rFonts w:ascii="Work Sans" w:hAnsi="Work Sans" w:cs="Calibri"/>
          <w:i/>
          <w:color w:val="000000"/>
          <w:sz w:val="18"/>
          <w:szCs w:val="18"/>
          <w:lang w:val="es-CO" w:eastAsia="es-CO"/>
        </w:rPr>
      </w:pPr>
    </w:p>
    <w:p w:rsidR="002B74B7" w:rsidRDefault="00000000">
      <w:pPr>
        <w:autoSpaceDE w:val="0"/>
        <w:ind w:left="993" w:right="623"/>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 xml:space="preserve">(i) Si el Ministerio de Transporte o la entidad que resulte competente para fijar las tarifas de Peaje decide i) modificar dichas tarifas, </w:t>
      </w:r>
      <w:proofErr w:type="spellStart"/>
      <w:r>
        <w:rPr>
          <w:rFonts w:ascii="Work Sans" w:hAnsi="Work Sans" w:cs="Calibri"/>
          <w:i/>
          <w:iCs/>
          <w:color w:val="000000"/>
          <w:sz w:val="18"/>
          <w:szCs w:val="18"/>
          <w:lang w:val="es-CO" w:eastAsia="es-CO"/>
        </w:rPr>
        <w:t>ii</w:t>
      </w:r>
      <w:proofErr w:type="spellEnd"/>
      <w:r>
        <w:rPr>
          <w:rFonts w:ascii="Work Sans" w:hAnsi="Work Sans" w:cs="Calibri"/>
          <w:i/>
          <w:iCs/>
          <w:color w:val="000000"/>
          <w:sz w:val="18"/>
          <w:szCs w:val="18"/>
          <w:lang w:val="es-CO" w:eastAsia="es-CO"/>
        </w:rPr>
        <w:t xml:space="preserve">) crear exenciones o tarifas especiales para ciertos usuarios, o </w:t>
      </w:r>
      <w:proofErr w:type="spellStart"/>
      <w:r>
        <w:rPr>
          <w:rFonts w:ascii="Work Sans" w:hAnsi="Work Sans" w:cs="Calibri"/>
          <w:i/>
          <w:iCs/>
          <w:color w:val="000000"/>
          <w:sz w:val="18"/>
          <w:szCs w:val="18"/>
          <w:lang w:val="es-CO" w:eastAsia="es-CO"/>
        </w:rPr>
        <w:t>iii</w:t>
      </w:r>
      <w:proofErr w:type="spellEnd"/>
      <w:r>
        <w:rPr>
          <w:rFonts w:ascii="Work Sans" w:hAnsi="Work Sans" w:cs="Calibri"/>
          <w:i/>
          <w:iCs/>
          <w:color w:val="000000"/>
          <w:sz w:val="18"/>
          <w:szCs w:val="18"/>
          <w:lang w:val="es-CO" w:eastAsia="es-CO"/>
        </w:rPr>
        <w:t xml:space="preserve">) de cualquier otra forma afectar la estructura tarifaria que se desprende de la Resolución de Peaje vigente a la fecha de la suscripción del Contrato, según corresponda, se aplicarán las </w:t>
      </w:r>
      <w:r>
        <w:rPr>
          <w:rFonts w:ascii="Work Sans" w:hAnsi="Work Sans" w:cs="Calibri"/>
          <w:i/>
          <w:iCs/>
          <w:color w:val="000000"/>
          <w:sz w:val="18"/>
          <w:szCs w:val="18"/>
          <w:lang w:val="es-CO" w:eastAsia="es-CO"/>
        </w:rPr>
        <w:lastRenderedPageBreak/>
        <w:t xml:space="preserve">siguientes reglas: </w:t>
      </w:r>
    </w:p>
    <w:p w:rsidR="002B74B7" w:rsidRDefault="002B74B7">
      <w:pPr>
        <w:autoSpaceDE w:val="0"/>
        <w:ind w:right="623"/>
        <w:rPr>
          <w:rFonts w:ascii="Work Sans" w:hAnsi="Work Sans" w:cs="Calibri"/>
          <w:i/>
          <w:color w:val="000000"/>
          <w:sz w:val="18"/>
          <w:szCs w:val="18"/>
          <w:lang w:val="es-CO" w:eastAsia="es-CO"/>
        </w:rPr>
      </w:pPr>
    </w:p>
    <w:p w:rsidR="002B74B7" w:rsidRDefault="00000000">
      <w:pPr>
        <w:widowControl/>
        <w:autoSpaceDE w:val="0"/>
        <w:ind w:left="993" w:right="623"/>
        <w:jc w:val="both"/>
      </w:pPr>
      <w:r>
        <w:rPr>
          <w:rFonts w:ascii="Work Sans" w:hAnsi="Work Sans" w:cs="Calibri"/>
          <w:i/>
          <w:iCs/>
          <w:color w:val="000000"/>
          <w:sz w:val="18"/>
          <w:szCs w:val="18"/>
          <w:lang w:val="es-CO" w:eastAsia="es-CO" w:bidi="ar-SA"/>
        </w:rPr>
        <w:t xml:space="preserve">(i) Para cada trimestre de ejecución del Contrato se deberá calcular, entre el Interventor, el Supervisor y el Concesionario, la diferencia entre el Recaudo de Peaje que se hubiese producido de haberse aplicado la estructura tarifaria (debidamente indexada) </w:t>
      </w:r>
      <w:r>
        <w:rPr>
          <w:rFonts w:ascii="Work Sans" w:hAnsi="Work Sans" w:cs="Calibri"/>
          <w:i/>
          <w:iCs/>
          <w:sz w:val="18"/>
          <w:szCs w:val="18"/>
          <w:lang w:val="es-CO" w:eastAsia="es-CO" w:bidi="ar-SA"/>
        </w:rPr>
        <w:t xml:space="preserve"> </w:t>
      </w:r>
      <w:r>
        <w:rPr>
          <w:rFonts w:ascii="Work Sans" w:hAnsi="Work Sans" w:cs="Calibri"/>
          <w:i/>
          <w:iCs/>
          <w:color w:val="000000"/>
          <w:sz w:val="18"/>
          <w:szCs w:val="18"/>
          <w:lang w:val="es-CO" w:eastAsia="es-CO" w:bidi="ar-SA"/>
        </w:rPr>
        <w:t>prevista en la Resolución de Peaje y el Recaudo de Peaje correspondiente a las modificaciones adoptadas por el Ministerio de Transporte, de lo cual se dejará constancia en el Acta de Cálculo de la Compensación por Riesgo suscrita dentro de los cinco (5) Días siguientes a la terminación de dicho trimestre. En caso de existir diferencias entre las Partes en este cálculo, éstas acudirán al Amigable Componedor para que resuelva la controversia</w:t>
      </w:r>
      <w:r>
        <w:rPr>
          <w:rFonts w:ascii="Work Sans" w:hAnsi="Work Sans" w:cs="Calibri"/>
          <w:i/>
          <w:iCs/>
          <w:sz w:val="18"/>
          <w:szCs w:val="18"/>
          <w:lang w:val="es-CO" w:eastAsia="es-CO" w:bidi="ar-SA"/>
        </w:rPr>
        <w:t>.</w:t>
      </w:r>
    </w:p>
    <w:p w:rsidR="002B74B7" w:rsidRDefault="002B74B7">
      <w:pPr>
        <w:autoSpaceDE w:val="0"/>
        <w:ind w:left="851" w:right="623"/>
        <w:jc w:val="both"/>
        <w:rPr>
          <w:rFonts w:ascii="Work Sans" w:hAnsi="Work Sans" w:cs="Calibri"/>
          <w:i/>
          <w:iCs/>
          <w:color w:val="000000"/>
          <w:sz w:val="18"/>
          <w:szCs w:val="18"/>
          <w:lang w:val="es-CO" w:eastAsia="es-CO"/>
        </w:rPr>
      </w:pPr>
    </w:p>
    <w:p w:rsidR="002B74B7" w:rsidRDefault="00000000">
      <w:pPr>
        <w:widowControl/>
        <w:autoSpaceDE w:val="0"/>
        <w:ind w:left="851" w:right="623"/>
        <w:jc w:val="both"/>
        <w:rPr>
          <w:rFonts w:ascii="Work Sans" w:hAnsi="Work Sans" w:cs="Calibri"/>
          <w:i/>
          <w:iCs/>
          <w:color w:val="000000"/>
          <w:sz w:val="18"/>
          <w:szCs w:val="18"/>
          <w:lang w:val="es-CO" w:eastAsia="es-CO" w:bidi="ar-SA"/>
        </w:rPr>
      </w:pPr>
      <w:r>
        <w:rPr>
          <w:rFonts w:ascii="Work Sans" w:hAnsi="Work Sans" w:cs="Calibri"/>
          <w:i/>
          <w:iCs/>
          <w:color w:val="000000"/>
          <w:sz w:val="18"/>
          <w:szCs w:val="18"/>
          <w:lang w:val="es-CO" w:eastAsia="es-CO" w:bidi="ar-SA"/>
        </w:rPr>
        <w:t>(</w:t>
      </w:r>
      <w:proofErr w:type="spellStart"/>
      <w:r>
        <w:rPr>
          <w:rFonts w:ascii="Work Sans" w:hAnsi="Work Sans" w:cs="Calibri"/>
          <w:i/>
          <w:iCs/>
          <w:color w:val="000000"/>
          <w:sz w:val="18"/>
          <w:szCs w:val="18"/>
          <w:lang w:val="es-CO" w:eastAsia="es-CO" w:bidi="ar-SA"/>
        </w:rPr>
        <w:t>ii</w:t>
      </w:r>
      <w:proofErr w:type="spellEnd"/>
      <w:r>
        <w:rPr>
          <w:rFonts w:ascii="Work Sans" w:hAnsi="Work Sans" w:cs="Calibri"/>
          <w:i/>
          <w:iCs/>
          <w:color w:val="000000"/>
          <w:sz w:val="18"/>
          <w:szCs w:val="18"/>
          <w:lang w:val="es-CO" w:eastAsia="es-CO" w:bidi="ar-SA"/>
        </w:rPr>
        <w:t xml:space="preserve">) El valor a ser compensado derivado del menor Recaudo de Peaje se podrá imputar a los siguientes Mecanismos de Compensación: </w:t>
      </w:r>
    </w:p>
    <w:p w:rsidR="002B74B7" w:rsidRDefault="002B74B7">
      <w:pPr>
        <w:autoSpaceDE w:val="0"/>
        <w:ind w:left="851" w:right="623"/>
        <w:jc w:val="both"/>
        <w:rPr>
          <w:rFonts w:ascii="Work Sans" w:hAnsi="Work Sans" w:cs="Calibri"/>
          <w:i/>
          <w:iCs/>
          <w:color w:val="000000"/>
          <w:sz w:val="18"/>
          <w:szCs w:val="18"/>
          <w:lang w:val="es-CO" w:eastAsia="es-CO"/>
        </w:rPr>
      </w:pPr>
    </w:p>
    <w:p w:rsidR="002B74B7" w:rsidRDefault="00000000">
      <w:pPr>
        <w:autoSpaceDE w:val="0"/>
        <w:spacing w:after="138"/>
        <w:ind w:left="851" w:right="623"/>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 xml:space="preserve">(1) En primer término, al traslado a la Cuenta Proyecto de los recursos de la Subcuenta Excedentes ANI; </w:t>
      </w:r>
    </w:p>
    <w:p w:rsidR="002B74B7" w:rsidRDefault="00000000">
      <w:pPr>
        <w:autoSpaceDE w:val="0"/>
        <w:spacing w:after="138"/>
        <w:ind w:left="851" w:right="623"/>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 xml:space="preserve">(2) De mantenerse la insuficiencia de los recursos para compensar esta diferencia, la ANI procederá a determinar el </w:t>
      </w:r>
      <w:proofErr w:type="spellStart"/>
      <w:r>
        <w:rPr>
          <w:rFonts w:ascii="Work Sans" w:hAnsi="Work Sans" w:cs="Calibri"/>
          <w:i/>
          <w:iCs/>
          <w:color w:val="000000"/>
          <w:sz w:val="18"/>
          <w:szCs w:val="18"/>
          <w:lang w:val="es-CO" w:eastAsia="es-CO"/>
        </w:rPr>
        <w:t>VPIPrp</w:t>
      </w:r>
      <w:proofErr w:type="spellEnd"/>
      <w:r>
        <w:rPr>
          <w:rFonts w:ascii="Work Sans" w:hAnsi="Work Sans" w:cs="Calibri"/>
          <w:i/>
          <w:iCs/>
          <w:color w:val="000000"/>
          <w:sz w:val="18"/>
          <w:szCs w:val="18"/>
          <w:lang w:val="es-CO" w:eastAsia="es-CO"/>
        </w:rPr>
        <w:t>, a aumentar el valor presente esperado por Recaudo de Peaje y a ampliar el plazo del Contrato de acuerdo con lo dispuesto en la Sección 3.2(g)(</w:t>
      </w:r>
      <w:proofErr w:type="spellStart"/>
      <w:r>
        <w:rPr>
          <w:rFonts w:ascii="Work Sans" w:hAnsi="Work Sans" w:cs="Calibri"/>
          <w:i/>
          <w:iCs/>
          <w:color w:val="000000"/>
          <w:sz w:val="18"/>
          <w:szCs w:val="18"/>
          <w:lang w:val="es-CO" w:eastAsia="es-CO"/>
        </w:rPr>
        <w:t>ii</w:t>
      </w:r>
      <w:proofErr w:type="spellEnd"/>
      <w:r>
        <w:rPr>
          <w:rFonts w:ascii="Work Sans" w:hAnsi="Work Sans" w:cs="Calibri"/>
          <w:i/>
          <w:iCs/>
          <w:color w:val="000000"/>
          <w:sz w:val="18"/>
          <w:szCs w:val="18"/>
          <w:lang w:val="es-CO" w:eastAsia="es-CO"/>
        </w:rPr>
        <w:t xml:space="preserve">) de esta Parte General; </w:t>
      </w:r>
    </w:p>
    <w:p w:rsidR="002B74B7" w:rsidRDefault="00000000">
      <w:pPr>
        <w:autoSpaceDE w:val="0"/>
        <w:ind w:left="851" w:right="623"/>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(3) De no ser posible compensar la totalidad del Valor del Riesgo Materializado por ser insuficiente los mecanismos anteriores, la ANI evaluará la posibilidad de incrementar la estructura tarifaria establecida para las Estaciones de Peaje descritas en el Contrato Parte Especial o en su defecto, instalación de estaciones de peaje nuevas, en los términos establecidos en la Sección 3.2(g)(</w:t>
      </w:r>
      <w:proofErr w:type="spellStart"/>
      <w:r>
        <w:rPr>
          <w:rFonts w:ascii="Work Sans" w:hAnsi="Work Sans" w:cs="Calibri"/>
          <w:i/>
          <w:iCs/>
          <w:color w:val="000000"/>
          <w:sz w:val="18"/>
          <w:szCs w:val="18"/>
          <w:lang w:val="es-CO" w:eastAsia="es-CO"/>
        </w:rPr>
        <w:t>iii</w:t>
      </w:r>
      <w:proofErr w:type="spellEnd"/>
      <w:r>
        <w:rPr>
          <w:rFonts w:ascii="Work Sans" w:hAnsi="Work Sans" w:cs="Calibri"/>
          <w:i/>
          <w:iCs/>
          <w:color w:val="000000"/>
          <w:sz w:val="18"/>
          <w:szCs w:val="18"/>
          <w:lang w:val="es-CO" w:eastAsia="es-CO"/>
        </w:rPr>
        <w:t xml:space="preserve">) de esta Parte General; </w:t>
      </w:r>
    </w:p>
    <w:p w:rsidR="002B74B7" w:rsidRDefault="002B74B7">
      <w:pPr>
        <w:autoSpaceDE w:val="0"/>
        <w:ind w:left="851" w:right="623"/>
        <w:rPr>
          <w:rFonts w:ascii="Work Sans" w:hAnsi="Work Sans" w:cs="Calibri"/>
          <w:i/>
          <w:color w:val="000000"/>
          <w:sz w:val="18"/>
          <w:szCs w:val="18"/>
          <w:lang w:val="es-CO" w:eastAsia="es-CO"/>
        </w:rPr>
      </w:pPr>
    </w:p>
    <w:p w:rsidR="002B74B7" w:rsidRDefault="00000000">
      <w:pPr>
        <w:autoSpaceDE w:val="0"/>
        <w:ind w:left="851" w:right="623"/>
        <w:jc w:val="both"/>
      </w:pPr>
      <w:r>
        <w:rPr>
          <w:rFonts w:ascii="Work Sans" w:hAnsi="Work Sans" w:cs="Calibri"/>
          <w:i/>
          <w:iCs/>
          <w:color w:val="000000"/>
          <w:sz w:val="18"/>
          <w:szCs w:val="18"/>
          <w:lang w:val="es-CO" w:eastAsia="es-CO"/>
        </w:rPr>
        <w:t xml:space="preserve">(4) La compensación contra cualquiera de los Mecanismos de Compensación antes mencionados </w:t>
      </w:r>
      <w:r>
        <w:rPr>
          <w:rFonts w:ascii="Work Sans" w:hAnsi="Work Sans" w:cs="Calibri"/>
          <w:b/>
          <w:bCs/>
          <w:i/>
          <w:iCs/>
          <w:color w:val="000000"/>
          <w:sz w:val="18"/>
          <w:szCs w:val="18"/>
          <w:u w:val="single"/>
          <w:lang w:val="es-CO" w:eastAsia="es-CO"/>
        </w:rPr>
        <w:t>solamente procederá i) en la medida en que exista disponibilidad para el uso del Mecanismo, una vez sean cubiertos los riesgos a cargo de la ANI,</w:t>
      </w:r>
      <w:r>
        <w:rPr>
          <w:rFonts w:ascii="Work Sans" w:hAnsi="Work Sans" w:cs="Calibri"/>
          <w:i/>
          <w:iCs/>
          <w:color w:val="000000"/>
          <w:sz w:val="18"/>
          <w:szCs w:val="18"/>
          <w:lang w:val="es-CO" w:eastAsia="es-CO"/>
        </w:rPr>
        <w:t xml:space="preserve"> en los términos del presente Contrato, </w:t>
      </w:r>
      <w:proofErr w:type="spellStart"/>
      <w:r>
        <w:rPr>
          <w:rFonts w:ascii="Work Sans" w:hAnsi="Work Sans" w:cs="Calibri"/>
          <w:i/>
          <w:iCs/>
          <w:color w:val="000000"/>
          <w:sz w:val="18"/>
          <w:szCs w:val="18"/>
          <w:lang w:val="es-CO" w:eastAsia="es-CO"/>
        </w:rPr>
        <w:t>ii</w:t>
      </w:r>
      <w:proofErr w:type="spellEnd"/>
      <w:r>
        <w:rPr>
          <w:rFonts w:ascii="Work Sans" w:hAnsi="Work Sans" w:cs="Calibri"/>
          <w:i/>
          <w:iCs/>
          <w:color w:val="000000"/>
          <w:sz w:val="18"/>
          <w:szCs w:val="18"/>
          <w:lang w:val="es-CO" w:eastAsia="es-CO"/>
        </w:rPr>
        <w:t xml:space="preserve">) bajo las condiciones frente a las cuales se suscribió el presente Contrato y </w:t>
      </w:r>
      <w:proofErr w:type="spellStart"/>
      <w:r>
        <w:rPr>
          <w:rFonts w:ascii="Work Sans" w:hAnsi="Work Sans" w:cs="Calibri"/>
          <w:i/>
          <w:iCs/>
          <w:color w:val="000000"/>
          <w:sz w:val="18"/>
          <w:szCs w:val="18"/>
          <w:lang w:val="es-CO" w:eastAsia="es-CO"/>
        </w:rPr>
        <w:t>iii</w:t>
      </w:r>
      <w:proofErr w:type="spellEnd"/>
      <w:r>
        <w:rPr>
          <w:rFonts w:ascii="Work Sans" w:hAnsi="Work Sans" w:cs="Calibri"/>
          <w:i/>
          <w:iCs/>
          <w:color w:val="000000"/>
          <w:sz w:val="18"/>
          <w:szCs w:val="18"/>
          <w:lang w:val="es-CO" w:eastAsia="es-CO"/>
        </w:rPr>
        <w:t>) con el acuerdo expreso del Concesionario. (Negrilla y subrayado fuera de texto).</w:t>
      </w:r>
    </w:p>
    <w:p w:rsidR="002B74B7" w:rsidRDefault="002B74B7">
      <w:pPr>
        <w:autoSpaceDE w:val="0"/>
        <w:ind w:left="851" w:right="623"/>
        <w:jc w:val="both"/>
        <w:rPr>
          <w:rFonts w:ascii="Work Sans" w:hAnsi="Work Sans" w:cs="Calibri"/>
          <w:i/>
          <w:iCs/>
          <w:color w:val="000000"/>
          <w:sz w:val="18"/>
          <w:szCs w:val="18"/>
          <w:lang w:val="es-CO" w:eastAsia="es-CO"/>
        </w:rPr>
      </w:pPr>
    </w:p>
    <w:p w:rsidR="002B74B7" w:rsidRDefault="00000000">
      <w:pPr>
        <w:autoSpaceDE w:val="0"/>
        <w:ind w:left="567" w:right="623"/>
        <w:jc w:val="both"/>
        <w:rPr>
          <w:rFonts w:ascii="Work Sans" w:hAnsi="Work Sans" w:cs="Calibri"/>
          <w:i/>
          <w:color w:val="000000"/>
          <w:sz w:val="18"/>
          <w:szCs w:val="18"/>
          <w:lang w:val="es-CO" w:eastAsia="es-CO"/>
        </w:rPr>
      </w:pPr>
      <w:r>
        <w:rPr>
          <w:rFonts w:ascii="Work Sans" w:hAnsi="Work Sans" w:cs="Calibri"/>
          <w:i/>
          <w:color w:val="000000"/>
          <w:sz w:val="18"/>
          <w:szCs w:val="18"/>
          <w:lang w:val="es-CO" w:eastAsia="es-CO"/>
        </w:rPr>
        <w:t xml:space="preserve">A la fecha no hay recursos en la subcuenta excedentes para cubrir el riesgo materializado de menor recaudo y de acuerdo con el análisis financiero realizado se encuentra que el mecanismo de </w:t>
      </w:r>
      <w:proofErr w:type="spellStart"/>
      <w:r>
        <w:rPr>
          <w:rFonts w:ascii="Work Sans" w:hAnsi="Work Sans" w:cs="Calibri"/>
          <w:i/>
          <w:color w:val="000000"/>
          <w:sz w:val="18"/>
          <w:szCs w:val="18"/>
          <w:lang w:val="es-CO" w:eastAsia="es-CO"/>
        </w:rPr>
        <w:t>VPIPrp</w:t>
      </w:r>
      <w:proofErr w:type="spellEnd"/>
      <w:r>
        <w:rPr>
          <w:rFonts w:ascii="Work Sans" w:hAnsi="Work Sans" w:cs="Calibri"/>
          <w:i/>
          <w:color w:val="000000"/>
          <w:sz w:val="18"/>
          <w:szCs w:val="18"/>
          <w:lang w:val="es-CO" w:eastAsia="es-CO"/>
        </w:rPr>
        <w:t xml:space="preserve"> es insuficiente para cubrir la totalidad del riesgo materializado. Por lo anterior, la Agencia encuentra procedente el uso del mecanismo de incremento de tarifas, conforme a lo establecido en el acápite (4) del literal (i) de la Sección 3.4 de la Parte General del Contrato citado anteriormente, que establece que los mecanismos proceden en la medida en que exista disponibilidad para el uso del mecanismo.</w:t>
      </w:r>
    </w:p>
    <w:p w:rsidR="002B74B7" w:rsidRDefault="002B74B7">
      <w:pPr>
        <w:autoSpaceDE w:val="0"/>
        <w:ind w:left="567" w:right="623"/>
        <w:jc w:val="both"/>
        <w:rPr>
          <w:rFonts w:ascii="Work Sans" w:hAnsi="Work Sans" w:cs="Calibri"/>
          <w:i/>
          <w:color w:val="000000"/>
          <w:sz w:val="18"/>
          <w:szCs w:val="18"/>
          <w:lang w:val="es-CO" w:eastAsia="es-CO"/>
        </w:rPr>
      </w:pPr>
    </w:p>
    <w:p w:rsidR="002B74B7" w:rsidRDefault="00000000">
      <w:pPr>
        <w:autoSpaceDE w:val="0"/>
        <w:ind w:left="567" w:right="623"/>
        <w:jc w:val="both"/>
        <w:rPr>
          <w:rFonts w:ascii="Work Sans" w:hAnsi="Work Sans" w:cs="Calibri"/>
          <w:i/>
          <w:color w:val="000000"/>
          <w:sz w:val="18"/>
          <w:szCs w:val="18"/>
          <w:lang w:val="es-CO" w:eastAsia="es-CO"/>
        </w:rPr>
      </w:pPr>
      <w:r>
        <w:rPr>
          <w:rFonts w:ascii="Work Sans" w:hAnsi="Work Sans" w:cs="Calibri"/>
          <w:i/>
          <w:color w:val="000000"/>
          <w:sz w:val="18"/>
          <w:szCs w:val="18"/>
          <w:lang w:val="es-CO" w:eastAsia="es-CO"/>
        </w:rPr>
        <w:t xml:space="preserve">Así mismo, de conformidad con la solicitud del Concesionario, el análisis de la interventoría y el del área financiera de la Agencia, se encuentra que para compensar el riesgo de menor recaudo materializado es necesario realizar un incremento del 12, 78% a la estructura tarifaria actual y, de conformidad con las mesas de socialización y todo lo expuesto en los fundamentos sociales, dichos </w:t>
      </w:r>
      <w:r>
        <w:rPr>
          <w:rFonts w:ascii="Work Sans" w:hAnsi="Work Sans" w:cs="Calibri"/>
          <w:i/>
          <w:color w:val="000000"/>
          <w:sz w:val="18"/>
          <w:szCs w:val="18"/>
          <w:lang w:val="es-CO" w:eastAsia="es-CO"/>
        </w:rPr>
        <w:lastRenderedPageBreak/>
        <w:t>incrementos no podrán superar el 3% anual, de manera que desde el GIT de riesgos se encuentra viable que los incrementos se hagan gradualmente, en la medida en que el porcentaje total del 12,78% es suficiente para cubrir los riesgos materializados”.</w:t>
      </w:r>
    </w:p>
    <w:p w:rsidR="002B74B7" w:rsidRDefault="002B74B7">
      <w:pPr>
        <w:tabs>
          <w:tab w:val="left" w:pos="4320"/>
        </w:tabs>
        <w:ind w:left="567" w:right="623"/>
        <w:jc w:val="both"/>
        <w:rPr>
          <w:rFonts w:ascii="Work Sans" w:hAnsi="Work Sans" w:cs="Times New Roman"/>
          <w:sz w:val="18"/>
          <w:szCs w:val="18"/>
          <w:lang w:val="es-CO"/>
        </w:rPr>
      </w:pPr>
    </w:p>
    <w:p w:rsidR="002B74B7" w:rsidRDefault="00000000">
      <w:pPr>
        <w:widowControl/>
        <w:autoSpaceDE w:val="0"/>
        <w:jc w:val="both"/>
        <w:rPr>
          <w:rFonts w:ascii="Work Sans" w:eastAsia="DejaVu Sans" w:hAnsi="Work Sans" w:cs="Arial"/>
          <w:sz w:val="20"/>
          <w:szCs w:val="20"/>
          <w:lang w:bidi="ar-SA"/>
        </w:rPr>
      </w:pPr>
      <w:r>
        <w:rPr>
          <w:rFonts w:ascii="Work Sans" w:eastAsia="DejaVu Sans" w:hAnsi="Work Sans" w:cs="Arial"/>
          <w:sz w:val="20"/>
          <w:szCs w:val="20"/>
          <w:lang w:bidi="ar-SA"/>
        </w:rPr>
        <w:t xml:space="preserve">Que mediante oficio MA-CTE-365-0651-2022, radicado en la Agencia Nacional de Infraestructura con el número 20224090679642 de junio 17 de 2022, la Interventoría del proyecto - Consorcio Metrolínea, señaló frente al establecimiento de las tarifas, lo siguiente: </w:t>
      </w:r>
    </w:p>
    <w:p w:rsidR="002B74B7" w:rsidRDefault="002B74B7">
      <w:pPr>
        <w:widowControl/>
        <w:autoSpaceDE w:val="0"/>
        <w:jc w:val="both"/>
        <w:rPr>
          <w:rFonts w:ascii="Work Sans" w:eastAsia="DejaVu Sans" w:hAnsi="Work Sans" w:cs="Arial"/>
          <w:sz w:val="20"/>
          <w:szCs w:val="20"/>
          <w:lang w:bidi="ar-SA"/>
        </w:rPr>
      </w:pPr>
    </w:p>
    <w:p w:rsidR="002B74B7" w:rsidRDefault="00000000">
      <w:pPr>
        <w:widowControl/>
        <w:autoSpaceDE w:val="0"/>
        <w:ind w:left="426" w:right="481"/>
        <w:jc w:val="both"/>
        <w:rPr>
          <w:rFonts w:ascii="Work Sans" w:eastAsia="DejaVu Sans" w:hAnsi="Work Sans" w:cs="Arial"/>
          <w:i/>
          <w:sz w:val="18"/>
          <w:szCs w:val="18"/>
          <w:lang w:bidi="ar-SA"/>
        </w:rPr>
      </w:pPr>
      <w:r>
        <w:rPr>
          <w:rFonts w:ascii="Work Sans" w:eastAsia="DejaVu Sans" w:hAnsi="Work Sans" w:cs="Arial"/>
          <w:i/>
          <w:sz w:val="18"/>
          <w:szCs w:val="18"/>
          <w:lang w:bidi="ar-SA"/>
        </w:rPr>
        <w:t>(…)”</w:t>
      </w:r>
    </w:p>
    <w:p w:rsidR="002B74B7" w:rsidRDefault="002B74B7">
      <w:pPr>
        <w:widowControl/>
        <w:autoSpaceDE w:val="0"/>
        <w:ind w:left="426" w:right="481"/>
        <w:jc w:val="both"/>
        <w:rPr>
          <w:rFonts w:ascii="Work Sans" w:eastAsia="DejaVu Sans" w:hAnsi="Work Sans" w:cs="Arial"/>
          <w:i/>
          <w:sz w:val="18"/>
          <w:szCs w:val="18"/>
          <w:lang w:bidi="ar-SA"/>
        </w:rPr>
      </w:pPr>
    </w:p>
    <w:p w:rsidR="002B74B7" w:rsidRDefault="00000000">
      <w:pPr>
        <w:widowControl/>
        <w:autoSpaceDE w:val="0"/>
        <w:ind w:left="426" w:right="481"/>
        <w:jc w:val="both"/>
        <w:rPr>
          <w:rFonts w:ascii="Work Sans" w:eastAsia="DejaVu Sans" w:hAnsi="Work Sans" w:cs="Arial"/>
          <w:i/>
          <w:sz w:val="18"/>
          <w:szCs w:val="18"/>
          <w:lang w:bidi="ar-SA"/>
        </w:rPr>
      </w:pPr>
      <w:r>
        <w:rPr>
          <w:rFonts w:ascii="Work Sans" w:eastAsia="DejaVu Sans" w:hAnsi="Work Sans" w:cs="Arial"/>
          <w:i/>
          <w:sz w:val="18"/>
          <w:szCs w:val="18"/>
          <w:lang w:bidi="ar-SA"/>
        </w:rPr>
        <w:t xml:space="preserve">Sin perjuicio de lo anterior, a juicio de esta interventoría presuntamente se materializo el riesgo relativo a las modificaciones a las tarifas previstas en la resolución de peajes como consecuencia de i) la demora en la aplicación de incremento desde noviembre 2019, hasta febrero de 2020 </w:t>
      </w:r>
      <w:proofErr w:type="spellStart"/>
      <w:r>
        <w:rPr>
          <w:rFonts w:ascii="Work Sans" w:eastAsia="DejaVu Sans" w:hAnsi="Work Sans" w:cs="Arial"/>
          <w:i/>
          <w:sz w:val="18"/>
          <w:szCs w:val="18"/>
          <w:lang w:bidi="ar-SA"/>
        </w:rPr>
        <w:t>ii</w:t>
      </w:r>
      <w:proofErr w:type="spellEnd"/>
      <w:r>
        <w:rPr>
          <w:rFonts w:ascii="Work Sans" w:eastAsia="DejaVu Sans" w:hAnsi="Work Sans" w:cs="Arial"/>
          <w:i/>
          <w:sz w:val="18"/>
          <w:szCs w:val="18"/>
          <w:lang w:bidi="ar-SA"/>
        </w:rPr>
        <w:t xml:space="preserve">) la imposibilidad de incrementar en el IPC+7,8% la tarifa de los peajes en el año 2021, teniendo en cuenta lo establecido en la sección 13.3. (e)  de la parte general del contrato de concesión y </w:t>
      </w:r>
      <w:proofErr w:type="spellStart"/>
      <w:r>
        <w:rPr>
          <w:rFonts w:ascii="Work Sans" w:eastAsia="DejaVu Sans" w:hAnsi="Work Sans" w:cs="Arial"/>
          <w:i/>
          <w:sz w:val="18"/>
          <w:szCs w:val="18"/>
          <w:lang w:bidi="ar-SA"/>
        </w:rPr>
        <w:t>iii</w:t>
      </w:r>
      <w:proofErr w:type="spellEnd"/>
      <w:r>
        <w:rPr>
          <w:rFonts w:ascii="Work Sans" w:eastAsia="DejaVu Sans" w:hAnsi="Work Sans" w:cs="Arial"/>
          <w:i/>
          <w:sz w:val="18"/>
          <w:szCs w:val="18"/>
          <w:lang w:bidi="ar-SA"/>
        </w:rPr>
        <w:t>) la afectación de ingresos como consecuencia de la pandemia (acuerdo II).</w:t>
      </w:r>
    </w:p>
    <w:p w:rsidR="002B74B7" w:rsidRDefault="002B74B7">
      <w:pPr>
        <w:widowControl/>
        <w:autoSpaceDE w:val="0"/>
        <w:ind w:left="426" w:right="481"/>
        <w:jc w:val="both"/>
        <w:rPr>
          <w:rFonts w:ascii="Work Sans" w:eastAsia="DejaVu Sans" w:hAnsi="Work Sans" w:cs="Arial"/>
          <w:i/>
          <w:sz w:val="18"/>
          <w:szCs w:val="18"/>
          <w:lang w:bidi="ar-SA"/>
        </w:rPr>
      </w:pPr>
    </w:p>
    <w:p w:rsidR="002B74B7" w:rsidRDefault="00000000">
      <w:pPr>
        <w:widowControl/>
        <w:autoSpaceDE w:val="0"/>
        <w:ind w:left="426" w:right="481"/>
        <w:jc w:val="both"/>
        <w:rPr>
          <w:rFonts w:ascii="Work Sans" w:eastAsia="DejaVu Sans" w:hAnsi="Work Sans" w:cs="Arial"/>
          <w:i/>
          <w:sz w:val="18"/>
          <w:szCs w:val="18"/>
          <w:lang w:bidi="ar-SA"/>
        </w:rPr>
      </w:pPr>
      <w:r>
        <w:rPr>
          <w:rFonts w:ascii="Work Sans" w:eastAsia="DejaVu Sans" w:hAnsi="Work Sans" w:cs="Arial"/>
          <w:i/>
          <w:sz w:val="18"/>
          <w:szCs w:val="18"/>
          <w:lang w:bidi="ar-SA"/>
        </w:rPr>
        <w:t xml:space="preserve">Respecto a la utilización de los mecanismos para la compensación por riesgos, a la fecha no hay recursos suficientes en la subcuenta excedentes ANI para cubrir el riesgo materializado por menor recaudo, por lo tanto, de acuerdo al análisis financiero realizado se encuentra que el mecanismo de </w:t>
      </w:r>
      <w:proofErr w:type="spellStart"/>
      <w:r>
        <w:rPr>
          <w:rFonts w:ascii="Work Sans" w:eastAsia="DejaVu Sans" w:hAnsi="Work Sans" w:cs="Arial"/>
          <w:i/>
          <w:sz w:val="18"/>
          <w:szCs w:val="18"/>
          <w:lang w:bidi="ar-SA"/>
        </w:rPr>
        <w:t>VPIPrp</w:t>
      </w:r>
      <w:proofErr w:type="spellEnd"/>
      <w:r>
        <w:rPr>
          <w:rFonts w:ascii="Work Sans" w:eastAsia="DejaVu Sans" w:hAnsi="Work Sans" w:cs="Arial"/>
          <w:i/>
          <w:sz w:val="18"/>
          <w:szCs w:val="18"/>
          <w:lang w:bidi="ar-SA"/>
        </w:rPr>
        <w:t xml:space="preserve"> es insuficiente para cubrir la totalidad del riesgo materializado.  </w:t>
      </w:r>
    </w:p>
    <w:p w:rsidR="002B74B7" w:rsidRDefault="002B74B7">
      <w:pPr>
        <w:widowControl/>
        <w:autoSpaceDE w:val="0"/>
        <w:ind w:left="426" w:right="481"/>
        <w:jc w:val="both"/>
        <w:rPr>
          <w:rFonts w:ascii="Work Sans" w:eastAsia="DejaVu Sans" w:hAnsi="Work Sans" w:cs="Arial"/>
          <w:i/>
          <w:sz w:val="18"/>
          <w:szCs w:val="18"/>
          <w:lang w:bidi="ar-SA"/>
        </w:rPr>
      </w:pPr>
    </w:p>
    <w:p w:rsidR="002B74B7" w:rsidRDefault="00000000">
      <w:pPr>
        <w:widowControl/>
        <w:autoSpaceDE w:val="0"/>
        <w:ind w:left="426" w:right="481"/>
        <w:jc w:val="both"/>
        <w:rPr>
          <w:rFonts w:ascii="Work Sans" w:eastAsia="DejaVu Sans" w:hAnsi="Work Sans" w:cs="Arial"/>
          <w:i/>
          <w:sz w:val="18"/>
          <w:szCs w:val="18"/>
          <w:lang w:bidi="ar-SA"/>
        </w:rPr>
      </w:pPr>
      <w:r>
        <w:rPr>
          <w:rFonts w:ascii="Work Sans" w:eastAsia="DejaVu Sans" w:hAnsi="Work Sans" w:cs="Arial"/>
          <w:i/>
          <w:sz w:val="18"/>
          <w:szCs w:val="18"/>
          <w:lang w:bidi="ar-SA"/>
        </w:rPr>
        <w:t>En atención a lo anterior y luego de ser discutidas las alternativas en mesas de trabajo, con el fin de restablecer las condiciones iniciales del Contrato y compensar los riesgos materializados, esta interventoría encuentra que la propuesta encaminada al incremento de tarifas escalonado de la siguiente forma hasta el 12.78% acumulado al año 2026 podría llegar a ser utilizada como quiera que no se encuentra prohibición ni legal ni contractual al respecto, siempre y cuando haya un previo acuerdo entre las Partes.</w:t>
      </w:r>
    </w:p>
    <w:p w:rsidR="002B74B7" w:rsidRDefault="002B74B7">
      <w:pPr>
        <w:widowControl/>
        <w:autoSpaceDE w:val="0"/>
        <w:ind w:left="426" w:right="481"/>
        <w:jc w:val="both"/>
        <w:rPr>
          <w:rFonts w:ascii="Work Sans" w:eastAsia="DejaVu Sans" w:hAnsi="Work Sans" w:cs="Arial"/>
          <w:i/>
          <w:sz w:val="18"/>
          <w:szCs w:val="18"/>
          <w:lang w:bidi="ar-SA"/>
        </w:rPr>
      </w:pPr>
    </w:p>
    <w:p w:rsidR="002B74B7" w:rsidRDefault="00000000">
      <w:pPr>
        <w:widowControl/>
        <w:autoSpaceDE w:val="0"/>
        <w:ind w:left="426" w:right="481"/>
        <w:jc w:val="both"/>
        <w:rPr>
          <w:rFonts w:ascii="Work Sans" w:eastAsia="DejaVu Sans" w:hAnsi="Work Sans" w:cs="Arial"/>
          <w:i/>
          <w:sz w:val="18"/>
          <w:szCs w:val="18"/>
          <w:lang w:bidi="ar-SA"/>
        </w:rPr>
      </w:pPr>
      <w:r>
        <w:rPr>
          <w:rFonts w:ascii="Work Sans" w:eastAsia="DejaVu Sans" w:hAnsi="Work Sans" w:cs="Arial"/>
          <w:i/>
          <w:sz w:val="18"/>
          <w:szCs w:val="18"/>
          <w:lang w:bidi="ar-SA"/>
        </w:rPr>
        <w:t xml:space="preserve">(…)” </w:t>
      </w:r>
    </w:p>
    <w:p w:rsidR="002B74B7" w:rsidRDefault="002B74B7">
      <w:pPr>
        <w:widowControl/>
        <w:autoSpaceDE w:val="0"/>
        <w:jc w:val="both"/>
        <w:rPr>
          <w:rFonts w:ascii="Work Sans" w:eastAsia="DejaVu Sans" w:hAnsi="Work Sans" w:cs="Arial"/>
          <w:sz w:val="20"/>
          <w:szCs w:val="20"/>
          <w:lang w:bidi="ar-SA"/>
        </w:rPr>
      </w:pPr>
    </w:p>
    <w:p w:rsidR="002B74B7" w:rsidRDefault="00000000">
      <w:pPr>
        <w:widowControl/>
        <w:autoSpaceDE w:val="0"/>
        <w:jc w:val="both"/>
      </w:pPr>
      <w:r>
        <w:rPr>
          <w:rFonts w:ascii="Work Sans" w:eastAsia="DejaVu Sans" w:hAnsi="Work Sans" w:cs="Arial"/>
          <w:sz w:val="20"/>
          <w:szCs w:val="20"/>
          <w:lang w:bidi="ar-SA"/>
        </w:rPr>
        <w:t xml:space="preserve">Que mediante memorando 20221410135083 de diciembre 13 de 2022, la Oficina de Regulación Económica del Ministerio de Transporte en cumplimiento de lo establecido en el numeral 9.8. del artículo 9 del Decreto 087 de 2011, analizó y viabilizó el </w:t>
      </w:r>
      <w:r>
        <w:rPr>
          <w:rFonts w:ascii="Work Sans" w:hAnsi="Work Sans" w:cs="Courier New"/>
          <w:sz w:val="20"/>
          <w:szCs w:val="20"/>
          <w:lang w:bidi="ar-SA"/>
        </w:rPr>
        <w:t xml:space="preserve">establecimiento de las tarifas a cobrar en las estaciones de peaje denominadas Boquerón I, </w:t>
      </w:r>
      <w:proofErr w:type="spellStart"/>
      <w:r>
        <w:rPr>
          <w:rFonts w:ascii="Work Sans" w:hAnsi="Work Sans" w:cs="Courier New"/>
          <w:sz w:val="20"/>
          <w:szCs w:val="20"/>
          <w:lang w:bidi="ar-SA"/>
        </w:rPr>
        <w:t>Boqueron</w:t>
      </w:r>
      <w:proofErr w:type="spellEnd"/>
      <w:r>
        <w:rPr>
          <w:rFonts w:ascii="Work Sans" w:hAnsi="Work Sans" w:cs="Courier New"/>
          <w:sz w:val="20"/>
          <w:szCs w:val="20"/>
          <w:lang w:bidi="ar-SA"/>
        </w:rPr>
        <w:t xml:space="preserve"> II, Naranjal y </w:t>
      </w:r>
      <w:proofErr w:type="spellStart"/>
      <w:r>
        <w:rPr>
          <w:rFonts w:ascii="Work Sans" w:hAnsi="Work Sans" w:cs="Courier New"/>
          <w:sz w:val="20"/>
          <w:szCs w:val="20"/>
          <w:lang w:bidi="ar-SA"/>
        </w:rPr>
        <w:t>pipiral</w:t>
      </w:r>
      <w:proofErr w:type="spellEnd"/>
      <w:r>
        <w:rPr>
          <w:rFonts w:ascii="Work Sans" w:hAnsi="Work Sans" w:cs="Courier New"/>
          <w:sz w:val="20"/>
          <w:szCs w:val="20"/>
          <w:lang w:bidi="ar-SA"/>
        </w:rPr>
        <w:t>, las cuales forman parte del proyecto de asociación público- privada de iniciativa privada: “</w:t>
      </w:r>
      <w:proofErr w:type="spellStart"/>
      <w:r>
        <w:rPr>
          <w:rFonts w:ascii="Work Sans" w:hAnsi="Work Sans" w:cs="Courier New"/>
          <w:sz w:val="20"/>
          <w:szCs w:val="20"/>
          <w:lang w:bidi="ar-SA"/>
        </w:rPr>
        <w:t>Chirajara</w:t>
      </w:r>
      <w:proofErr w:type="spellEnd"/>
      <w:r>
        <w:rPr>
          <w:rFonts w:ascii="Work Sans" w:hAnsi="Work Sans" w:cs="Courier New"/>
          <w:sz w:val="20"/>
          <w:szCs w:val="20"/>
          <w:lang w:bidi="ar-SA"/>
        </w:rPr>
        <w:t xml:space="preserve"> – intersección Fundadores,  </w:t>
      </w:r>
    </w:p>
    <w:p w:rsidR="002B74B7" w:rsidRDefault="00000000">
      <w:pPr>
        <w:pStyle w:val="Standard"/>
        <w:jc w:val="both"/>
        <w:rPr>
          <w:rFonts w:ascii="Work Sans" w:eastAsia="Arial Narrow" w:hAnsi="Work Sans" w:cs="Times New Roman"/>
          <w:sz w:val="20"/>
          <w:lang w:val="es-CO"/>
        </w:rPr>
      </w:pPr>
      <w:r>
        <w:rPr>
          <w:rFonts w:ascii="Work Sans" w:eastAsia="Arial Narrow" w:hAnsi="Work Sans" w:cs="Times New Roman"/>
          <w:sz w:val="20"/>
          <w:lang w:val="es-CO"/>
        </w:rPr>
        <w:t xml:space="preserve">Y la modificación del artículo 7° de la Resolución 6137 de 2013 y el artículo 10° de la Resolución 1695 de 2015, en el sentido de establecer la fecha de actualización anual de las Tarifas Especiales Diferenciales de las estaciones de Peaje Boquerón I y II, Naranjal y </w:t>
      </w:r>
      <w:proofErr w:type="spellStart"/>
      <w:r>
        <w:rPr>
          <w:rFonts w:ascii="Work Sans" w:eastAsia="Arial Narrow" w:hAnsi="Work Sans" w:cs="Times New Roman"/>
          <w:sz w:val="20"/>
          <w:lang w:val="es-CO"/>
        </w:rPr>
        <w:t>Pipiral</w:t>
      </w:r>
      <w:proofErr w:type="spellEnd"/>
      <w:r>
        <w:rPr>
          <w:rFonts w:ascii="Work Sans" w:eastAsia="Arial Narrow" w:hAnsi="Work Sans" w:cs="Times New Roman"/>
          <w:sz w:val="20"/>
          <w:lang w:val="es-CO"/>
        </w:rPr>
        <w:t>.</w:t>
      </w:r>
    </w:p>
    <w:p w:rsidR="002B74B7" w:rsidRDefault="002B74B7">
      <w:pPr>
        <w:pStyle w:val="Standard"/>
        <w:jc w:val="both"/>
        <w:rPr>
          <w:lang w:val="es-CO"/>
        </w:rPr>
      </w:pPr>
    </w:p>
    <w:p w:rsidR="002B74B7" w:rsidRDefault="00000000">
      <w:pPr>
        <w:widowControl/>
        <w:jc w:val="both"/>
        <w:textAlignment w:val="auto"/>
        <w:rPr>
          <w:rFonts w:ascii="Work Sans" w:eastAsia="Calibri" w:hAnsi="Work Sans" w:cs="Times New Roman"/>
          <w:kern w:val="0"/>
          <w:sz w:val="20"/>
          <w:szCs w:val="20"/>
          <w:lang w:val="es-CO" w:eastAsia="en-US" w:bidi="ar-SA"/>
        </w:rPr>
      </w:pPr>
      <w:bookmarkStart w:id="1" w:name="_Hlk123035230"/>
      <w:r>
        <w:rPr>
          <w:rFonts w:ascii="Work Sans" w:eastAsia="Calibri" w:hAnsi="Work Sans" w:cs="Times New Roman"/>
          <w:kern w:val="0"/>
          <w:sz w:val="20"/>
          <w:szCs w:val="20"/>
          <w:lang w:val="es-CO" w:eastAsia="en-US" w:bidi="ar-SA"/>
        </w:rPr>
        <w:t xml:space="preserve">Que el contenido de la presente resolución se publicará en la página web del Ministerio de Transporte y de la Agencia Nacional de Infraestructura, en cumplimiento de lo </w:t>
      </w:r>
      <w:r>
        <w:rPr>
          <w:rFonts w:ascii="Work Sans" w:eastAsia="Calibri" w:hAnsi="Work Sans" w:cs="Times New Roman"/>
          <w:kern w:val="0"/>
          <w:sz w:val="20"/>
          <w:szCs w:val="20"/>
          <w:lang w:val="es-CO" w:eastAsia="en-US" w:bidi="ar-SA"/>
        </w:rPr>
        <w:lastRenderedPageBreak/>
        <w:t>determinado en el numeral 8 del artículo 8° de la Ley 1437 de 2011, artículo 2.1.2.1.14 del Decreto 1081 de 2015 modificado y adicionado por el Decreto 270 de 2017 y la Resolución 994 de 2017 del Ministerio de Transporte.</w:t>
      </w:r>
    </w:p>
    <w:bookmarkEnd w:id="1"/>
    <w:p w:rsidR="002B74B7" w:rsidRDefault="002B74B7">
      <w:pPr>
        <w:widowControl/>
        <w:jc w:val="both"/>
        <w:textAlignment w:val="auto"/>
        <w:rPr>
          <w:rFonts w:ascii="Work Sans" w:hAnsi="Work Sans" w:cs="Times New Roman"/>
          <w:color w:val="000000"/>
          <w:kern w:val="0"/>
          <w:sz w:val="20"/>
          <w:szCs w:val="20"/>
          <w:lang w:val="es-CO" w:eastAsia="es-CO" w:bidi="ar-SA"/>
        </w:rPr>
      </w:pPr>
    </w:p>
    <w:p w:rsidR="002B74B7" w:rsidRDefault="00000000">
      <w:pPr>
        <w:widowControl/>
        <w:autoSpaceDE w:val="0"/>
        <w:jc w:val="both"/>
        <w:rPr>
          <w:rFonts w:ascii="Work Sans" w:eastAsia="DengXian Light" w:hAnsi="Work Sans" w:cs="Arial"/>
          <w:color w:val="000000"/>
          <w:sz w:val="20"/>
          <w:szCs w:val="20"/>
          <w:lang w:bidi="ar-SA"/>
        </w:rPr>
      </w:pPr>
      <w:r>
        <w:rPr>
          <w:rFonts w:ascii="Work Sans" w:eastAsia="DengXian Light" w:hAnsi="Work Sans" w:cs="Arial"/>
          <w:color w:val="000000"/>
          <w:sz w:val="20"/>
          <w:szCs w:val="20"/>
          <w:lang w:bidi="ar-SA"/>
        </w:rPr>
        <w:t>En tal razón, la Oficina Asesora de Jurídica del Ministerio de Transporte, conservará los documentos asociados a la publicación del presente acto administrativo. Todo ello en concordancia con las políticas de gestión documental y de archivo de la entidad.</w:t>
      </w:r>
    </w:p>
    <w:p w:rsidR="002B74B7" w:rsidRDefault="002B74B7">
      <w:pPr>
        <w:widowControl/>
        <w:autoSpaceDE w:val="0"/>
        <w:jc w:val="both"/>
        <w:rPr>
          <w:rFonts w:ascii="Work Sans" w:eastAsia="DengXian Light" w:hAnsi="Work Sans" w:cs="Arial"/>
          <w:color w:val="000000"/>
          <w:sz w:val="20"/>
          <w:szCs w:val="20"/>
          <w:lang w:bidi="ar-SA"/>
        </w:rPr>
      </w:pPr>
    </w:p>
    <w:p w:rsidR="002B74B7" w:rsidRDefault="00000000">
      <w:pPr>
        <w:widowControl/>
        <w:autoSpaceDE w:val="0"/>
        <w:jc w:val="both"/>
        <w:rPr>
          <w:rFonts w:ascii="Work Sans" w:eastAsia="DengXian Light" w:hAnsi="Work Sans" w:cs="Arial"/>
          <w:color w:val="000000"/>
          <w:sz w:val="20"/>
          <w:szCs w:val="20"/>
          <w:lang w:bidi="ar-SA"/>
        </w:rPr>
      </w:pPr>
      <w:r>
        <w:rPr>
          <w:rFonts w:ascii="Work Sans" w:eastAsia="DengXian Light" w:hAnsi="Work Sans" w:cs="Arial"/>
          <w:color w:val="000000"/>
          <w:sz w:val="20"/>
          <w:szCs w:val="20"/>
          <w:lang w:bidi="ar-SA"/>
        </w:rPr>
        <w:t>En mérito de lo expuesto,</w:t>
      </w:r>
    </w:p>
    <w:p w:rsidR="002B74B7" w:rsidRDefault="002B74B7">
      <w:pPr>
        <w:widowControl/>
        <w:autoSpaceDE w:val="0"/>
        <w:jc w:val="both"/>
        <w:rPr>
          <w:rFonts w:ascii="Work Sans" w:eastAsia="DengXian Light" w:hAnsi="Work Sans" w:cs="Arial"/>
          <w:color w:val="000000"/>
          <w:sz w:val="20"/>
          <w:szCs w:val="20"/>
          <w:lang w:bidi="ar-SA"/>
        </w:rPr>
      </w:pPr>
    </w:p>
    <w:p w:rsidR="002B74B7" w:rsidRDefault="00000000">
      <w:pPr>
        <w:autoSpaceDE w:val="0"/>
        <w:jc w:val="center"/>
        <w:rPr>
          <w:rFonts w:ascii="Work Sans" w:hAnsi="Work Sans" w:cs="Times New Roman"/>
          <w:b/>
          <w:sz w:val="20"/>
          <w:szCs w:val="20"/>
        </w:rPr>
      </w:pPr>
      <w:r>
        <w:rPr>
          <w:rFonts w:ascii="Work Sans" w:hAnsi="Work Sans" w:cs="Times New Roman"/>
          <w:b/>
          <w:sz w:val="20"/>
          <w:szCs w:val="20"/>
        </w:rPr>
        <w:t>RESUELVE:</w:t>
      </w:r>
    </w:p>
    <w:p w:rsidR="002B74B7" w:rsidRDefault="002B74B7">
      <w:pPr>
        <w:pStyle w:val="Standard"/>
        <w:jc w:val="both"/>
        <w:rPr>
          <w:lang w:val="es-CO"/>
        </w:rPr>
      </w:pPr>
    </w:p>
    <w:p w:rsidR="002B74B7" w:rsidRDefault="00000000">
      <w:pPr>
        <w:widowControl/>
        <w:jc w:val="both"/>
      </w:pPr>
      <w:r>
        <w:rPr>
          <w:rFonts w:ascii="Work Sans" w:eastAsia="Arial Narrow" w:hAnsi="Work Sans" w:cs="Times New Roman"/>
          <w:b/>
          <w:bCs/>
          <w:sz w:val="20"/>
          <w:szCs w:val="20"/>
          <w:lang w:val="es-CO"/>
        </w:rPr>
        <w:t>Artículo 1.-</w:t>
      </w:r>
      <w:r>
        <w:rPr>
          <w:rFonts w:ascii="Work Sans" w:eastAsia="Arial Narrow" w:hAnsi="Work Sans" w:cs="Times New Roman"/>
          <w:sz w:val="20"/>
          <w:szCs w:val="20"/>
          <w:lang w:val="es-CO"/>
        </w:rPr>
        <w:t xml:space="preserve"> </w:t>
      </w:r>
      <w:bookmarkStart w:id="2" w:name="_Hlk76745898"/>
      <w:bookmarkStart w:id="3" w:name="_Hlk79133203"/>
      <w:r>
        <w:rPr>
          <w:rFonts w:ascii="Work Sans" w:eastAsia="Arial Narrow" w:hAnsi="Work Sans" w:cs="Times New Roman"/>
          <w:sz w:val="20"/>
          <w:szCs w:val="20"/>
          <w:lang w:val="es-CO"/>
        </w:rPr>
        <w:t xml:space="preserve">Establecer las siguientes tarifas a cobrar en las estaciones de peaje denominadas Boquerón I, Boquerón II, Naranjal y </w:t>
      </w:r>
      <w:proofErr w:type="spellStart"/>
      <w:r>
        <w:rPr>
          <w:rFonts w:ascii="Work Sans" w:eastAsia="Arial Narrow" w:hAnsi="Work Sans" w:cs="Times New Roman"/>
          <w:sz w:val="20"/>
          <w:szCs w:val="20"/>
          <w:lang w:val="es-CO"/>
        </w:rPr>
        <w:t>Pipiral</w:t>
      </w:r>
      <w:proofErr w:type="spellEnd"/>
      <w:r>
        <w:rPr>
          <w:rFonts w:ascii="Work Sans" w:eastAsia="Arial Narrow" w:hAnsi="Work Sans" w:cs="Times New Roman"/>
          <w:sz w:val="20"/>
          <w:szCs w:val="20"/>
          <w:lang w:val="es-CO"/>
        </w:rPr>
        <w:t>, del Proyecto de Concesión Vial bajo el esquema de APP de Iniciativa Privada sin Recursos de la Nación “</w:t>
      </w:r>
      <w:proofErr w:type="spellStart"/>
      <w:r>
        <w:rPr>
          <w:rFonts w:ascii="Work Sans" w:eastAsia="Arial Narrow" w:hAnsi="Work Sans" w:cs="Times New Roman"/>
          <w:sz w:val="20"/>
          <w:szCs w:val="20"/>
          <w:lang w:val="es-CO"/>
        </w:rPr>
        <w:t>Chirajara</w:t>
      </w:r>
      <w:proofErr w:type="spellEnd"/>
      <w:r>
        <w:rPr>
          <w:rFonts w:ascii="Work Sans" w:eastAsia="Arial Narrow" w:hAnsi="Work Sans" w:cs="Times New Roman"/>
          <w:sz w:val="20"/>
          <w:szCs w:val="20"/>
          <w:lang w:val="es-CO"/>
        </w:rPr>
        <w:t xml:space="preserve"> – Fundadores” del Contrato de Concesión No. 005 de 2015, según el año, así:</w:t>
      </w:r>
    </w:p>
    <w:p w:rsidR="002B74B7" w:rsidRDefault="002B74B7">
      <w:pPr>
        <w:widowControl/>
        <w:jc w:val="both"/>
        <w:rPr>
          <w:rFonts w:ascii="Work Sans" w:eastAsia="Arial Narrow" w:hAnsi="Work Sans" w:cs="Times New Roman"/>
          <w:sz w:val="20"/>
          <w:szCs w:val="20"/>
          <w:lang w:val="es-CO"/>
        </w:rPr>
      </w:pPr>
    </w:p>
    <w:tbl>
      <w:tblPr>
        <w:tblW w:w="7720" w:type="dxa"/>
        <w:jc w:val="center"/>
        <w:tblCellMar>
          <w:left w:w="10" w:type="dxa"/>
          <w:right w:w="10" w:type="dxa"/>
        </w:tblCellMar>
        <w:tblLook w:val="0000" w:firstRow="0" w:lastRow="0" w:firstColumn="0" w:lastColumn="0" w:noHBand="0" w:noVBand="0"/>
      </w:tblPr>
      <w:tblGrid>
        <w:gridCol w:w="1354"/>
        <w:gridCol w:w="2122"/>
        <w:gridCol w:w="2122"/>
        <w:gridCol w:w="2122"/>
      </w:tblGrid>
      <w:tr w:rsidR="002B74B7">
        <w:tblPrEx>
          <w:tblCellMar>
            <w:top w:w="0" w:type="dxa"/>
            <w:bottom w:w="0" w:type="dxa"/>
          </w:tblCellMar>
        </w:tblPrEx>
        <w:trPr>
          <w:trHeight w:val="540"/>
          <w:jc w:val="center"/>
        </w:trPr>
        <w:tc>
          <w:tcPr>
            <w:tcW w:w="7720" w:type="dxa"/>
            <w:gridSpan w:val="4"/>
            <w:tcBorders>
              <w:bottom w:val="single" w:sz="4" w:space="0" w:color="000000"/>
            </w:tcBorders>
            <w:shd w:val="clear" w:color="auto" w:fill="auto"/>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 xml:space="preserve">Hasta el 15 de enero de 2023 </w:t>
            </w:r>
          </w:p>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(pesos de diciembre 2021)</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CATEGORÍA</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BOQUERON I Y II</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NARANJAL</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PIPIRAL</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$ 14.100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$ 12.000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$ 19.900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$ 42.400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$ 31.800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$ 39.400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$ 21.200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$ 23.900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$ 26.900 </w:t>
            </w:r>
          </w:p>
        </w:tc>
      </w:tr>
      <w:tr w:rsidR="002B74B7">
        <w:tblPrEx>
          <w:tblCellMar>
            <w:top w:w="0" w:type="dxa"/>
            <w:bottom w:w="0" w:type="dxa"/>
          </w:tblCellMar>
        </w:tblPrEx>
        <w:trPr>
          <w:trHeight w:val="32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IV</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$ 56.200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$ 47.200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$ 47.200 </w:t>
            </w:r>
          </w:p>
        </w:tc>
      </w:tr>
      <w:tr w:rsidR="002B74B7">
        <w:tblPrEx>
          <w:tblCellMar>
            <w:top w:w="0" w:type="dxa"/>
            <w:bottom w:w="0" w:type="dxa"/>
          </w:tblCellMar>
        </w:tblPrEx>
        <w:trPr>
          <w:trHeight w:val="32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$ 63.500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$ 55.000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$ 51.500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$ 70.500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$ 63.500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$ 79.000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IE</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$ 84.600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$ 70.500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$ 102.300 </w:t>
            </w:r>
          </w:p>
        </w:tc>
      </w:tr>
    </w:tbl>
    <w:p w:rsidR="002B74B7" w:rsidRDefault="00000000">
      <w:pPr>
        <w:widowControl/>
        <w:tabs>
          <w:tab w:val="left" w:pos="1134"/>
        </w:tabs>
        <w:ind w:left="720"/>
        <w:jc w:val="both"/>
        <w:rPr>
          <w:rFonts w:ascii="Work Sans" w:hAnsi="Work Sans" w:cs="Calibri"/>
          <w:sz w:val="20"/>
          <w:szCs w:val="20"/>
          <w:lang w:val="es-CO" w:bidi="ar-SA"/>
        </w:rPr>
      </w:pPr>
      <w:r>
        <w:rPr>
          <w:rFonts w:ascii="Work Sans" w:hAnsi="Work Sans" w:cs="Calibri"/>
          <w:sz w:val="20"/>
          <w:szCs w:val="20"/>
          <w:lang w:val="es-CO" w:bidi="ar-SA"/>
        </w:rPr>
        <w:t>* Las tarifas no incluyen el valor de del Fondo de Seguridad Vial y ninguna otra sobretasa o similar</w:t>
      </w:r>
    </w:p>
    <w:p w:rsidR="002B74B7" w:rsidRDefault="002B74B7">
      <w:pPr>
        <w:tabs>
          <w:tab w:val="left" w:pos="1134"/>
        </w:tabs>
        <w:jc w:val="center"/>
        <w:rPr>
          <w:rFonts w:ascii="Work Sans" w:hAnsi="Work Sans" w:cs="Calibri"/>
          <w:b/>
          <w:bCs/>
          <w:sz w:val="20"/>
          <w:szCs w:val="20"/>
          <w:u w:val="single"/>
          <w:lang w:val="es-CO"/>
        </w:rPr>
      </w:pPr>
    </w:p>
    <w:tbl>
      <w:tblPr>
        <w:tblW w:w="7720" w:type="dxa"/>
        <w:jc w:val="center"/>
        <w:tblCellMar>
          <w:left w:w="10" w:type="dxa"/>
          <w:right w:w="10" w:type="dxa"/>
        </w:tblCellMar>
        <w:tblLook w:val="0000" w:firstRow="0" w:lastRow="0" w:firstColumn="0" w:lastColumn="0" w:noHBand="0" w:noVBand="0"/>
      </w:tblPr>
      <w:tblGrid>
        <w:gridCol w:w="1354"/>
        <w:gridCol w:w="2122"/>
        <w:gridCol w:w="2122"/>
        <w:gridCol w:w="2122"/>
      </w:tblGrid>
      <w:tr w:rsidR="002B74B7">
        <w:tblPrEx>
          <w:tblCellMar>
            <w:top w:w="0" w:type="dxa"/>
            <w:bottom w:w="0" w:type="dxa"/>
          </w:tblCellMar>
        </w:tblPrEx>
        <w:trPr>
          <w:trHeight w:val="580"/>
          <w:jc w:val="center"/>
        </w:trPr>
        <w:tc>
          <w:tcPr>
            <w:tcW w:w="7720" w:type="dxa"/>
            <w:gridSpan w:val="4"/>
            <w:tcBorders>
              <w:bottom w:val="single" w:sz="4" w:space="0" w:color="000000"/>
            </w:tcBorders>
            <w:shd w:val="clear" w:color="auto" w:fill="auto"/>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 xml:space="preserve">Tarifa a cobrar a partir de 16 de enero de 2023 y hasta el 15 de enero de 2024 </w:t>
            </w:r>
          </w:p>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(pesos de diciembre 2021)</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CATEGORÍA</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BOQUERON I Y II</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NARANJAL</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PIPIRAL</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$ 14.500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$ 12.400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$ 20.500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$ 43.700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$ 32.800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$ 40.600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$ 21.800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$ 24.600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$ 27.700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$ 57.900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$ 48.600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$ 48.600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$ 65.400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$ 56.700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$ 53.000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$ 72.600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$ 65.400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$ 81.400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IE</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$ 87.100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$ 72.600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$ 105.400 </w:t>
            </w:r>
          </w:p>
        </w:tc>
      </w:tr>
    </w:tbl>
    <w:p w:rsidR="002B74B7" w:rsidRDefault="00000000">
      <w:pPr>
        <w:tabs>
          <w:tab w:val="left" w:pos="1134"/>
        </w:tabs>
        <w:jc w:val="center"/>
        <w:rPr>
          <w:rFonts w:ascii="Work Sans" w:hAnsi="Work Sans" w:cs="Calibri"/>
          <w:sz w:val="20"/>
          <w:szCs w:val="20"/>
          <w:lang w:val="es-CO"/>
        </w:rPr>
      </w:pPr>
      <w:r>
        <w:rPr>
          <w:rFonts w:ascii="Work Sans" w:hAnsi="Work Sans" w:cs="Calibri"/>
          <w:sz w:val="20"/>
          <w:szCs w:val="20"/>
          <w:lang w:val="es-CO"/>
        </w:rPr>
        <w:t>*Las tarifas no incluyen el valor de del Fondo de Seguridad Vial y ninguna otra sobretasa o similar</w:t>
      </w:r>
    </w:p>
    <w:p w:rsidR="002B74B7" w:rsidRDefault="002B74B7">
      <w:pPr>
        <w:tabs>
          <w:tab w:val="left" w:pos="1134"/>
        </w:tabs>
        <w:rPr>
          <w:rFonts w:ascii="Work Sans" w:hAnsi="Work Sans" w:cs="Calibri"/>
          <w:b/>
          <w:bCs/>
          <w:sz w:val="20"/>
          <w:szCs w:val="20"/>
          <w:u w:val="single"/>
          <w:lang w:val="es-CO"/>
        </w:rPr>
      </w:pPr>
    </w:p>
    <w:tbl>
      <w:tblPr>
        <w:tblW w:w="7720" w:type="dxa"/>
        <w:jc w:val="center"/>
        <w:tblCellMar>
          <w:left w:w="10" w:type="dxa"/>
          <w:right w:w="10" w:type="dxa"/>
        </w:tblCellMar>
        <w:tblLook w:val="0000" w:firstRow="0" w:lastRow="0" w:firstColumn="0" w:lastColumn="0" w:noHBand="0" w:noVBand="0"/>
      </w:tblPr>
      <w:tblGrid>
        <w:gridCol w:w="1354"/>
        <w:gridCol w:w="2122"/>
        <w:gridCol w:w="2122"/>
        <w:gridCol w:w="2122"/>
      </w:tblGrid>
      <w:tr w:rsidR="002B74B7">
        <w:tblPrEx>
          <w:tblCellMar>
            <w:top w:w="0" w:type="dxa"/>
            <w:bottom w:w="0" w:type="dxa"/>
          </w:tblCellMar>
        </w:tblPrEx>
        <w:trPr>
          <w:trHeight w:val="620"/>
          <w:jc w:val="center"/>
        </w:trPr>
        <w:tc>
          <w:tcPr>
            <w:tcW w:w="7720" w:type="dxa"/>
            <w:gridSpan w:val="4"/>
            <w:tcBorders>
              <w:bottom w:val="single" w:sz="4" w:space="0" w:color="000000"/>
            </w:tcBorders>
            <w:shd w:val="clear" w:color="auto" w:fill="auto"/>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 xml:space="preserve">Tarifa a cobrar a partir de 16 de enero de 2024 y hasta el 15 de enero de 2025 </w:t>
            </w:r>
          </w:p>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(pesos de diciembre 2021)</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CATEGORÍA</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BOQUERON I Y II</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NARANJAL</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PIPIRAL</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$ 14.900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$ 12.800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$ 21.100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$ 45.000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$ 33.800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$ 41.800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$ 22.500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$ 25.300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$ 28.500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$ 59.600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$ 50.100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$ 50.100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$ 67.400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$ 58.400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$ 54.600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$ 74.800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$ 67.400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$ 83.800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IE</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$ 89.700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$ 74.800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$ 108.600 </w:t>
            </w:r>
          </w:p>
        </w:tc>
      </w:tr>
    </w:tbl>
    <w:p w:rsidR="002B74B7" w:rsidRDefault="00000000">
      <w:pPr>
        <w:widowControl/>
        <w:tabs>
          <w:tab w:val="left" w:pos="1134"/>
        </w:tabs>
        <w:ind w:left="720"/>
        <w:jc w:val="both"/>
        <w:rPr>
          <w:rFonts w:ascii="Work Sans" w:hAnsi="Work Sans" w:cs="Calibri"/>
          <w:sz w:val="20"/>
          <w:szCs w:val="20"/>
          <w:lang w:val="es-CO" w:bidi="ar-SA"/>
        </w:rPr>
      </w:pPr>
      <w:r>
        <w:rPr>
          <w:rFonts w:ascii="Work Sans" w:hAnsi="Work Sans" w:cs="Calibri"/>
          <w:sz w:val="20"/>
          <w:szCs w:val="20"/>
          <w:lang w:val="es-CO" w:bidi="ar-SA"/>
        </w:rPr>
        <w:t>* Las tarifas no incluyen el valor de del Fondo de Seguridad Vial y ninguna otra sobretasa o similar</w:t>
      </w:r>
    </w:p>
    <w:p w:rsidR="002B74B7" w:rsidRDefault="002B74B7">
      <w:pPr>
        <w:tabs>
          <w:tab w:val="left" w:pos="1134"/>
        </w:tabs>
        <w:jc w:val="both"/>
        <w:rPr>
          <w:rFonts w:ascii="Work Sans" w:hAnsi="Work Sans" w:cs="Calibri"/>
          <w:b/>
          <w:bCs/>
          <w:sz w:val="20"/>
          <w:szCs w:val="20"/>
          <w:lang w:val="es-CO"/>
        </w:rPr>
      </w:pPr>
    </w:p>
    <w:tbl>
      <w:tblPr>
        <w:tblW w:w="7720" w:type="dxa"/>
        <w:jc w:val="center"/>
        <w:tblCellMar>
          <w:left w:w="10" w:type="dxa"/>
          <w:right w:w="10" w:type="dxa"/>
        </w:tblCellMar>
        <w:tblLook w:val="0000" w:firstRow="0" w:lastRow="0" w:firstColumn="0" w:lastColumn="0" w:noHBand="0" w:noVBand="0"/>
      </w:tblPr>
      <w:tblGrid>
        <w:gridCol w:w="1354"/>
        <w:gridCol w:w="2122"/>
        <w:gridCol w:w="2122"/>
        <w:gridCol w:w="2122"/>
      </w:tblGrid>
      <w:tr w:rsidR="002B74B7">
        <w:tblPrEx>
          <w:tblCellMar>
            <w:top w:w="0" w:type="dxa"/>
            <w:bottom w:w="0" w:type="dxa"/>
          </w:tblCellMar>
        </w:tblPrEx>
        <w:trPr>
          <w:trHeight w:val="800"/>
          <w:jc w:val="center"/>
        </w:trPr>
        <w:tc>
          <w:tcPr>
            <w:tcW w:w="7720" w:type="dxa"/>
            <w:gridSpan w:val="4"/>
            <w:tcBorders>
              <w:bottom w:val="single" w:sz="4" w:space="0" w:color="000000"/>
            </w:tcBorders>
            <w:shd w:val="clear" w:color="auto" w:fill="auto"/>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 xml:space="preserve">Tarifa a cobrar a partir de 16 de enero de 2025 y hasta el 15 de enero de 2026 </w:t>
            </w:r>
          </w:p>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(pesos de diciembre 2021)</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CATEGORÍA</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BOQUERON I Y II</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NARANJAL</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PIPIRAL</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$ 15.300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$ 13.200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$ 21.700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$ 46.400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$ 34.800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$ 43.100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$ 23.200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$ 26.100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$ 29.400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$ 61.400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$ 51.600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$ 51.600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$ 69.400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$ 60.200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$ 56.200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$ 77.000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$ 69.400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$ 86.300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IE</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$ 92.400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$ 77.000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$ 111.900 </w:t>
            </w:r>
          </w:p>
        </w:tc>
      </w:tr>
    </w:tbl>
    <w:p w:rsidR="002B74B7" w:rsidRDefault="00000000">
      <w:pPr>
        <w:widowControl/>
        <w:tabs>
          <w:tab w:val="left" w:pos="1134"/>
        </w:tabs>
        <w:ind w:left="720"/>
        <w:jc w:val="both"/>
        <w:rPr>
          <w:rFonts w:ascii="Work Sans" w:hAnsi="Work Sans" w:cs="Calibri"/>
          <w:sz w:val="20"/>
          <w:szCs w:val="20"/>
          <w:lang w:val="es-CO" w:bidi="ar-SA"/>
        </w:rPr>
      </w:pPr>
      <w:r>
        <w:rPr>
          <w:rFonts w:ascii="Work Sans" w:hAnsi="Work Sans" w:cs="Calibri"/>
          <w:sz w:val="20"/>
          <w:szCs w:val="20"/>
          <w:lang w:val="es-CO" w:bidi="ar-SA"/>
        </w:rPr>
        <w:t>* Las tarifas no incluyen el valor de del Fondo de Seguridad Vial y ninguna otra sobretasa o similar</w:t>
      </w:r>
    </w:p>
    <w:p w:rsidR="002B74B7" w:rsidRDefault="002B74B7">
      <w:pPr>
        <w:tabs>
          <w:tab w:val="left" w:pos="1134"/>
        </w:tabs>
        <w:rPr>
          <w:rFonts w:ascii="Work Sans" w:hAnsi="Work Sans" w:cs="Calibri"/>
          <w:b/>
          <w:bCs/>
          <w:sz w:val="20"/>
          <w:szCs w:val="20"/>
          <w:u w:val="single"/>
          <w:lang w:val="es-CO"/>
        </w:rPr>
      </w:pPr>
    </w:p>
    <w:tbl>
      <w:tblPr>
        <w:tblW w:w="7720" w:type="dxa"/>
        <w:jc w:val="center"/>
        <w:tblCellMar>
          <w:left w:w="10" w:type="dxa"/>
          <w:right w:w="10" w:type="dxa"/>
        </w:tblCellMar>
        <w:tblLook w:val="0000" w:firstRow="0" w:lastRow="0" w:firstColumn="0" w:lastColumn="0" w:noHBand="0" w:noVBand="0"/>
      </w:tblPr>
      <w:tblGrid>
        <w:gridCol w:w="1354"/>
        <w:gridCol w:w="2122"/>
        <w:gridCol w:w="2122"/>
        <w:gridCol w:w="2122"/>
      </w:tblGrid>
      <w:tr w:rsidR="002B74B7">
        <w:tblPrEx>
          <w:tblCellMar>
            <w:top w:w="0" w:type="dxa"/>
            <w:bottom w:w="0" w:type="dxa"/>
          </w:tblCellMar>
        </w:tblPrEx>
        <w:trPr>
          <w:trHeight w:val="580"/>
          <w:jc w:val="center"/>
        </w:trPr>
        <w:tc>
          <w:tcPr>
            <w:tcW w:w="7720" w:type="dxa"/>
            <w:gridSpan w:val="4"/>
            <w:tcBorders>
              <w:bottom w:val="single" w:sz="4" w:space="0" w:color="000000"/>
            </w:tcBorders>
            <w:shd w:val="clear" w:color="auto" w:fill="auto"/>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 xml:space="preserve">Tarifa a cobrar a partir de 16 de enero de 2026 y hasta el 15 de enero de 2027 </w:t>
            </w:r>
          </w:p>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(pesos de diciembre 2021)</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CATEGORÍA</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BOQUERON I Y II</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NARANJAL</w:t>
            </w:r>
          </w:p>
        </w:tc>
        <w:tc>
          <w:tcPr>
            <w:tcW w:w="212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2B74B7" w:rsidRDefault="00000000">
            <w:pPr>
              <w:widowControl/>
              <w:jc w:val="center"/>
              <w:textAlignment w:val="auto"/>
              <w:rPr>
                <w:rFonts w:ascii="Work Sans" w:hAnsi="Work Sans" w:cs="Calibri"/>
                <w:b/>
                <w:bCs/>
                <w:kern w:val="0"/>
                <w:sz w:val="20"/>
                <w:szCs w:val="20"/>
                <w:lang w:val="es-CO" w:eastAsia="es-MX" w:bidi="ar-SA"/>
              </w:rPr>
            </w:pPr>
            <w:r>
              <w:rPr>
                <w:rFonts w:ascii="Work Sans" w:hAnsi="Work Sans" w:cs="Calibri"/>
                <w:b/>
                <w:bCs/>
                <w:kern w:val="0"/>
                <w:sz w:val="20"/>
                <w:szCs w:val="20"/>
                <w:lang w:val="es-CO" w:eastAsia="es-MX" w:bidi="ar-SA"/>
              </w:rPr>
              <w:t>PIPIRAL</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$ 15.400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$ 13.300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$ 21.900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$ 46.800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$ 35.100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$ 43.400 </w:t>
            </w:r>
          </w:p>
        </w:tc>
      </w:tr>
      <w:tr w:rsidR="002B74B7">
        <w:tblPrEx>
          <w:tblCellMar>
            <w:top w:w="0" w:type="dxa"/>
            <w:bottom w:w="0" w:type="dxa"/>
          </w:tblCellMar>
        </w:tblPrEx>
        <w:trPr>
          <w:trHeight w:val="32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III</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$ 23.400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$ 26.300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$ 29.600 </w:t>
            </w:r>
          </w:p>
        </w:tc>
      </w:tr>
      <w:tr w:rsidR="002B74B7">
        <w:tblPrEx>
          <w:tblCellMar>
            <w:top w:w="0" w:type="dxa"/>
            <w:bottom w:w="0" w:type="dxa"/>
          </w:tblCellMar>
        </w:tblPrEx>
        <w:trPr>
          <w:trHeight w:val="320"/>
          <w:jc w:val="center"/>
        </w:trPr>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IV</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$ 61.900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$ 52.000 </w:t>
            </w:r>
          </w:p>
        </w:tc>
        <w:tc>
          <w:tcPr>
            <w:tcW w:w="21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$ 52.000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$ 69.900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$ 60.700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$ 56.600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VI</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$ 77.600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$ 69.900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$ 87.000 </w:t>
            </w:r>
          </w:p>
        </w:tc>
      </w:tr>
      <w:tr w:rsidR="002B74B7">
        <w:tblPrEx>
          <w:tblCellMar>
            <w:top w:w="0" w:type="dxa"/>
            <w:bottom w:w="0" w:type="dxa"/>
          </w:tblCellMar>
        </w:tblPrEx>
        <w:trPr>
          <w:trHeight w:val="320"/>
          <w:jc w:val="center"/>
        </w:trPr>
        <w:tc>
          <w:tcPr>
            <w:tcW w:w="13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center"/>
              <w:textAlignment w:val="auto"/>
              <w:rPr>
                <w:rFonts w:ascii="Work Sans" w:hAnsi="Work Sans" w:cs="Calibri"/>
                <w:b/>
                <w:bCs/>
                <w:color w:val="000000"/>
                <w:kern w:val="0"/>
                <w:sz w:val="20"/>
                <w:szCs w:val="20"/>
                <w:lang w:val="es-CO" w:eastAsia="es-MX" w:bidi="ar-SA"/>
              </w:rPr>
            </w:pPr>
            <w:r>
              <w:rPr>
                <w:rFonts w:ascii="Work Sans" w:hAnsi="Work Sans" w:cs="Calibri"/>
                <w:b/>
                <w:bCs/>
                <w:color w:val="000000"/>
                <w:kern w:val="0"/>
                <w:sz w:val="20"/>
                <w:szCs w:val="20"/>
                <w:lang w:val="es-CO" w:eastAsia="es-MX" w:bidi="ar-SA"/>
              </w:rPr>
              <w:t>IE</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$ 93.100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Calibri"/>
                <w:color w:val="000000"/>
                <w:kern w:val="0"/>
                <w:sz w:val="20"/>
                <w:szCs w:val="20"/>
                <w:lang w:val="es-CO" w:eastAsia="es-MX" w:bidi="ar-SA"/>
              </w:rPr>
            </w:pPr>
            <w:r>
              <w:rPr>
                <w:rFonts w:ascii="Work Sans" w:hAnsi="Work Sans" w:cs="Calibri"/>
                <w:color w:val="000000"/>
                <w:kern w:val="0"/>
                <w:sz w:val="20"/>
                <w:szCs w:val="20"/>
                <w:lang w:val="es-CO" w:eastAsia="es-MX" w:bidi="ar-SA"/>
              </w:rPr>
              <w:t xml:space="preserve">$ 77.600 </w:t>
            </w:r>
          </w:p>
        </w:tc>
        <w:tc>
          <w:tcPr>
            <w:tcW w:w="212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B74B7" w:rsidRDefault="00000000">
            <w:pPr>
              <w:widowControl/>
              <w:jc w:val="right"/>
              <w:textAlignment w:val="auto"/>
              <w:rPr>
                <w:rFonts w:ascii="Work Sans" w:hAnsi="Work Sans" w:cs="Times New Roman"/>
                <w:color w:val="000000"/>
                <w:kern w:val="0"/>
                <w:sz w:val="20"/>
                <w:szCs w:val="20"/>
                <w:lang w:val="es-CO" w:eastAsia="es-MX" w:bidi="ar-SA"/>
              </w:rPr>
            </w:pPr>
            <w:r>
              <w:rPr>
                <w:rFonts w:ascii="Work Sans" w:hAnsi="Work Sans" w:cs="Times New Roman"/>
                <w:color w:val="000000"/>
                <w:kern w:val="0"/>
                <w:sz w:val="20"/>
                <w:szCs w:val="20"/>
                <w:lang w:val="es-CO" w:eastAsia="es-MX" w:bidi="ar-SA"/>
              </w:rPr>
              <w:t xml:space="preserve">$ 112.800 </w:t>
            </w:r>
          </w:p>
        </w:tc>
      </w:tr>
    </w:tbl>
    <w:p w:rsidR="002B74B7" w:rsidRDefault="002B74B7">
      <w:pPr>
        <w:widowControl/>
        <w:tabs>
          <w:tab w:val="left" w:pos="1134"/>
        </w:tabs>
        <w:jc w:val="both"/>
        <w:rPr>
          <w:rFonts w:ascii="Work Sans" w:hAnsi="Work Sans"/>
          <w:b/>
          <w:bCs/>
          <w:sz w:val="20"/>
          <w:szCs w:val="20"/>
        </w:rPr>
      </w:pPr>
    </w:p>
    <w:p w:rsidR="002B74B7" w:rsidRDefault="00000000">
      <w:pPr>
        <w:widowControl/>
        <w:tabs>
          <w:tab w:val="left" w:pos="1134"/>
        </w:tabs>
        <w:jc w:val="both"/>
      </w:pPr>
      <w:r>
        <w:rPr>
          <w:rFonts w:ascii="Work Sans" w:hAnsi="Work Sans"/>
          <w:b/>
          <w:bCs/>
          <w:sz w:val="20"/>
          <w:szCs w:val="20"/>
        </w:rPr>
        <w:lastRenderedPageBreak/>
        <w:t xml:space="preserve">Parágrafo Primero: </w:t>
      </w:r>
      <w:r>
        <w:rPr>
          <w:rFonts w:ascii="Work Sans" w:hAnsi="Work Sans"/>
          <w:sz w:val="20"/>
          <w:szCs w:val="20"/>
        </w:rPr>
        <w:t>Las</w:t>
      </w:r>
      <w:r>
        <w:rPr>
          <w:rFonts w:ascii="Work Sans" w:hAnsi="Work Sans" w:cs="Arial"/>
          <w:sz w:val="20"/>
          <w:szCs w:val="20"/>
          <w:lang w:val="es-CO" w:eastAsia="es-CO"/>
        </w:rPr>
        <w:t xml:space="preserve"> tarifas diferenciales de que trata el presente acto administrativo, no incluyen el valor correspondiente al Programa de Seguridad en Carreteras – FOSEVI </w:t>
      </w:r>
      <w:r>
        <w:rPr>
          <w:rFonts w:ascii="Work Sans" w:hAnsi="Work Sans" w:cs="Calibri"/>
          <w:sz w:val="20"/>
          <w:szCs w:val="20"/>
          <w:lang w:val="es-CO" w:bidi="ar-SA"/>
        </w:rPr>
        <w:t>y ninguna otra sobretasa o similar.</w:t>
      </w:r>
    </w:p>
    <w:p w:rsidR="002B74B7" w:rsidRDefault="002B74B7">
      <w:pPr>
        <w:tabs>
          <w:tab w:val="left" w:pos="1134"/>
        </w:tabs>
        <w:jc w:val="both"/>
        <w:rPr>
          <w:rFonts w:ascii="Work Sans" w:hAnsi="Work Sans" w:cs="Times New Roman"/>
          <w:b/>
          <w:bCs/>
          <w:sz w:val="20"/>
          <w:szCs w:val="20"/>
          <w:lang w:val="es-CO"/>
        </w:rPr>
      </w:pPr>
    </w:p>
    <w:p w:rsidR="002B74B7" w:rsidRDefault="00000000">
      <w:pPr>
        <w:tabs>
          <w:tab w:val="left" w:pos="1134"/>
        </w:tabs>
        <w:jc w:val="both"/>
      </w:pPr>
      <w:r>
        <w:rPr>
          <w:rFonts w:ascii="Work Sans" w:hAnsi="Work Sans" w:cs="Times New Roman"/>
          <w:b/>
          <w:bCs/>
          <w:sz w:val="20"/>
          <w:szCs w:val="20"/>
          <w:lang w:val="es-CO"/>
        </w:rPr>
        <w:t>Parágrafo segundo:</w:t>
      </w:r>
      <w:r>
        <w:rPr>
          <w:rFonts w:ascii="Work Sans" w:hAnsi="Work Sans" w:cs="Times New Roman"/>
          <w:sz w:val="20"/>
          <w:szCs w:val="20"/>
          <w:lang w:val="es-CO"/>
        </w:rPr>
        <w:t xml:space="preserve"> Para determinar el valor a cobrar de la tarifa antes del FOSEVI a partir del año 2023 y hasta el año 2026, se tomará el valor descrito en las tablas contenidas en el presente artículo, actualizando la tarifa con el IPC correspondiente al año en que se realice el incremento.</w:t>
      </w:r>
      <w:r>
        <w:rPr>
          <w:rFonts w:ascii="Work Sans" w:hAnsi="Work Sans" w:cs="Times New Roman"/>
          <w:b/>
          <w:bCs/>
          <w:sz w:val="20"/>
          <w:szCs w:val="20"/>
          <w:lang w:val="es-CO"/>
        </w:rPr>
        <w:t xml:space="preserve"> </w:t>
      </w:r>
      <w:r>
        <w:rPr>
          <w:rFonts w:ascii="Work Sans" w:hAnsi="Work Sans" w:cs="Times New Roman"/>
          <w:sz w:val="20"/>
          <w:szCs w:val="20"/>
          <w:lang w:val="es-CO"/>
        </w:rPr>
        <w:t>Para los años 2027 en adelante, el incremento de las tarifas de los peajes se realizará de acuerdo con el IPC de cierre de cada año, siguiendo el procedimiento definido en el literal (e) de la Sección 4.2 de la Parte Especial del Contrato de Concesión No. 005 de 2015.</w:t>
      </w:r>
    </w:p>
    <w:p w:rsidR="002B74B7" w:rsidRDefault="002B74B7">
      <w:pPr>
        <w:jc w:val="both"/>
        <w:rPr>
          <w:rFonts w:ascii="Work Sans" w:hAnsi="Work Sans" w:cs="Calibri"/>
          <w:sz w:val="20"/>
          <w:szCs w:val="20"/>
          <w:lang w:val="es-CO"/>
        </w:rPr>
      </w:pPr>
    </w:p>
    <w:p w:rsidR="002B74B7" w:rsidRDefault="00000000">
      <w:pPr>
        <w:jc w:val="both"/>
      </w:pPr>
      <w:r>
        <w:rPr>
          <w:rFonts w:ascii="Work Sans" w:hAnsi="Work Sans" w:cs="Times New Roman"/>
          <w:b/>
          <w:bCs/>
          <w:sz w:val="20"/>
          <w:szCs w:val="20"/>
          <w:lang w:val="es-CO"/>
        </w:rPr>
        <w:t>Parágrafo tercero:</w:t>
      </w:r>
      <w:r>
        <w:rPr>
          <w:rFonts w:ascii="Work Sans" w:hAnsi="Work Sans" w:cs="Times New Roman"/>
          <w:sz w:val="20"/>
          <w:szCs w:val="20"/>
          <w:lang w:val="es-CO"/>
        </w:rPr>
        <w:t xml:space="preserve"> Las tarifas de peaje previstas en esta resolución deberán ser ajustadas a la centena más cercana, una vez efectuada la operación de actualización, de acuerdo con lo señalado en la Sección 4.2 de la Parte Especial del Contrato de Concesión No. 005 de 2015. </w:t>
      </w:r>
    </w:p>
    <w:p w:rsidR="002B74B7" w:rsidRDefault="002B74B7">
      <w:pPr>
        <w:jc w:val="both"/>
        <w:rPr>
          <w:rFonts w:ascii="Work Sans" w:hAnsi="Work Sans" w:cs="Calibri"/>
          <w:sz w:val="20"/>
          <w:szCs w:val="20"/>
          <w:lang w:val="es-CO"/>
        </w:rPr>
      </w:pPr>
    </w:p>
    <w:p w:rsidR="002B74B7" w:rsidRDefault="00000000">
      <w:pPr>
        <w:jc w:val="both"/>
      </w:pPr>
      <w:r>
        <w:rPr>
          <w:rFonts w:ascii="Work Sans" w:hAnsi="Work Sans" w:cs="Calibri"/>
          <w:b/>
          <w:bCs/>
          <w:sz w:val="20"/>
          <w:szCs w:val="20"/>
          <w:lang w:val="es-CO"/>
        </w:rPr>
        <w:t xml:space="preserve">Parágrafo cuarto: </w:t>
      </w:r>
      <w:r>
        <w:rPr>
          <w:rFonts w:ascii="Work Sans" w:hAnsi="Work Sans" w:cs="Calibri"/>
          <w:sz w:val="20"/>
          <w:szCs w:val="20"/>
          <w:lang w:val="es-CO"/>
        </w:rPr>
        <w:t xml:space="preserve">A las tarifas de peaje de que trata la presente Resolución se les adicionará el valor del Fondo de Seguridad Vial del periodo de actualización, acorde con la Resolución vigente que el Ministerio de Transporte expida para tal efecto. </w:t>
      </w:r>
    </w:p>
    <w:p w:rsidR="002B74B7" w:rsidRDefault="002B74B7">
      <w:pPr>
        <w:jc w:val="both"/>
        <w:rPr>
          <w:rFonts w:ascii="Work Sans" w:hAnsi="Work Sans" w:cs="Calibri"/>
          <w:b/>
          <w:bCs/>
          <w:sz w:val="20"/>
          <w:szCs w:val="20"/>
          <w:lang w:val="es-CO"/>
        </w:rPr>
      </w:pPr>
    </w:p>
    <w:p w:rsidR="002B74B7" w:rsidRDefault="00000000">
      <w:pPr>
        <w:jc w:val="both"/>
        <w:textAlignment w:val="auto"/>
      </w:pPr>
      <w:r>
        <w:rPr>
          <w:rFonts w:ascii="Work Sans" w:hAnsi="Work Sans" w:cs="Calibri"/>
          <w:b/>
          <w:bCs/>
          <w:sz w:val="20"/>
          <w:szCs w:val="20"/>
          <w:lang w:val="es-CO"/>
        </w:rPr>
        <w:t>Artículo 2.-</w:t>
      </w:r>
      <w:r>
        <w:rPr>
          <w:rFonts w:ascii="Work Sans" w:hAnsi="Work Sans" w:cs="Calibri"/>
          <w:sz w:val="20"/>
          <w:szCs w:val="20"/>
          <w:lang w:val="es-CO"/>
        </w:rPr>
        <w:t xml:space="preserve"> Modificar el artículo 7° de la Resolución No. 6137 de 2013, en lo que respecta únicamente a la fecha de actualización anual de las tarifas diferenciales, el cual quedará así:</w:t>
      </w:r>
    </w:p>
    <w:p w:rsidR="002B74B7" w:rsidRDefault="002B74B7">
      <w:pPr>
        <w:widowControl/>
        <w:ind w:left="708"/>
        <w:jc w:val="both"/>
        <w:rPr>
          <w:rFonts w:ascii="Work Sans" w:hAnsi="Work Sans" w:cs="Calibri"/>
          <w:sz w:val="20"/>
          <w:szCs w:val="20"/>
          <w:lang w:val="es-CO" w:bidi="ar-SA"/>
        </w:rPr>
      </w:pPr>
    </w:p>
    <w:p w:rsidR="002B74B7" w:rsidRDefault="00000000">
      <w:pPr>
        <w:ind w:left="709" w:right="481"/>
        <w:jc w:val="both"/>
      </w:pPr>
      <w:r>
        <w:rPr>
          <w:rFonts w:ascii="Work Sans" w:hAnsi="Work Sans" w:cs="Times New Roman"/>
          <w:bCs/>
          <w:iCs/>
          <w:sz w:val="20"/>
          <w:szCs w:val="20"/>
          <w:lang w:val="es-CO"/>
        </w:rPr>
        <w:t>“</w:t>
      </w:r>
      <w:r>
        <w:rPr>
          <w:rFonts w:ascii="Work Sans" w:hAnsi="Work Sans" w:cs="Times New Roman"/>
          <w:b/>
          <w:bCs/>
          <w:iCs/>
          <w:sz w:val="20"/>
          <w:szCs w:val="20"/>
          <w:lang w:val="es-CO"/>
        </w:rPr>
        <w:t>Artículo 7.-</w:t>
      </w:r>
      <w:r>
        <w:rPr>
          <w:rFonts w:ascii="Work Sans" w:hAnsi="Work Sans" w:cs="Times New Roman"/>
          <w:iCs/>
          <w:sz w:val="20"/>
          <w:szCs w:val="20"/>
          <w:lang w:val="es-CO"/>
        </w:rPr>
        <w:t xml:space="preserve"> </w:t>
      </w:r>
      <w:r>
        <w:rPr>
          <w:rFonts w:ascii="Work Sans" w:hAnsi="Work Sans" w:cs="Calibri"/>
          <w:iCs/>
          <w:sz w:val="20"/>
          <w:szCs w:val="20"/>
          <w:lang w:val="es-CO"/>
        </w:rPr>
        <w:t xml:space="preserve">Las tarifas especiales diferenciales para las estaciones de Peaje Boquerón I, Boquerón II y Puente </w:t>
      </w:r>
      <w:proofErr w:type="spellStart"/>
      <w:r>
        <w:rPr>
          <w:rFonts w:ascii="Work Sans" w:hAnsi="Work Sans" w:cs="Calibri"/>
          <w:iCs/>
          <w:sz w:val="20"/>
          <w:szCs w:val="20"/>
          <w:lang w:val="es-CO"/>
        </w:rPr>
        <w:t>Quetame</w:t>
      </w:r>
      <w:proofErr w:type="spellEnd"/>
      <w:r>
        <w:rPr>
          <w:rFonts w:ascii="Work Sans" w:hAnsi="Work Sans" w:cs="Calibri"/>
          <w:iCs/>
          <w:sz w:val="20"/>
          <w:szCs w:val="20"/>
          <w:lang w:val="es-CO"/>
        </w:rPr>
        <w:t xml:space="preserve"> serán actualizadas por el concesionario en forma automática, el dieciséis (16) de enero de cada año, con base en la siguiente metodología:</w:t>
      </w:r>
    </w:p>
    <w:p w:rsidR="002B74B7" w:rsidRDefault="002B74B7">
      <w:pPr>
        <w:widowControl/>
        <w:ind w:left="709" w:right="481"/>
        <w:jc w:val="both"/>
        <w:rPr>
          <w:rFonts w:ascii="Work Sans" w:hAnsi="Work Sans" w:cs="Calibri"/>
          <w:iCs/>
          <w:sz w:val="20"/>
          <w:szCs w:val="20"/>
          <w:lang w:val="es-CO" w:bidi="ar-SA"/>
        </w:rPr>
      </w:pPr>
    </w:p>
    <w:p w:rsidR="002B74B7" w:rsidRDefault="00000000">
      <w:pPr>
        <w:ind w:left="709" w:right="481"/>
        <w:jc w:val="both"/>
        <w:rPr>
          <w:rFonts w:ascii="Work Sans" w:hAnsi="Work Sans" w:cs="Calibri"/>
          <w:iCs/>
          <w:sz w:val="20"/>
          <w:szCs w:val="20"/>
          <w:lang w:val="es-CO"/>
        </w:rPr>
      </w:pPr>
      <w:r>
        <w:rPr>
          <w:rFonts w:ascii="Work Sans" w:hAnsi="Work Sans" w:cs="Calibri"/>
          <w:iCs/>
          <w:sz w:val="20"/>
          <w:szCs w:val="20"/>
          <w:lang w:val="es-CO"/>
        </w:rPr>
        <w:t>Las tarifas especiales diferenciales del Peaje Boquerón I y Boquerón II se actualizarán cada año, utilizando la variación porcentual entre el índice de precios al consumidor (IPC) del mes de octubre del año en el cual se realiza el reajuste, el cual será certificado por el DANE. La tarifa deberá ser ajustada a la centena más cercana, con el fin de facilitar el recaudo por parte del Concesionario.</w:t>
      </w:r>
    </w:p>
    <w:p w:rsidR="002B74B7" w:rsidRDefault="002B74B7">
      <w:pPr>
        <w:widowControl/>
        <w:ind w:left="709" w:right="481"/>
        <w:jc w:val="both"/>
        <w:rPr>
          <w:rFonts w:ascii="Work Sans" w:hAnsi="Work Sans" w:cs="Calibri"/>
          <w:iCs/>
          <w:sz w:val="20"/>
          <w:szCs w:val="20"/>
          <w:lang w:val="es-CO" w:bidi="ar-SA"/>
        </w:rPr>
      </w:pPr>
    </w:p>
    <w:p w:rsidR="002B74B7" w:rsidRDefault="00000000">
      <w:pPr>
        <w:ind w:left="709" w:right="481"/>
        <w:jc w:val="both"/>
        <w:rPr>
          <w:rFonts w:ascii="Work Sans" w:hAnsi="Work Sans" w:cs="Calibri"/>
          <w:iCs/>
          <w:sz w:val="20"/>
          <w:szCs w:val="20"/>
          <w:lang w:val="es-CO"/>
        </w:rPr>
      </w:pPr>
      <w:r>
        <w:rPr>
          <w:rFonts w:ascii="Work Sans" w:hAnsi="Work Sans" w:cs="Calibri"/>
          <w:iCs/>
          <w:sz w:val="20"/>
          <w:szCs w:val="20"/>
          <w:lang w:val="es-CO"/>
        </w:rPr>
        <w:t>En concordancia con la metodología, las tarifas especiales diferenciales del peaje Boquerón I y Boquerón II, que regirán a partir de la publicación de la presente Resolución, serán las siguientes:</w:t>
      </w:r>
    </w:p>
    <w:p w:rsidR="002B74B7" w:rsidRDefault="002B74B7">
      <w:pPr>
        <w:widowControl/>
        <w:ind w:left="709" w:right="481"/>
        <w:jc w:val="both"/>
        <w:rPr>
          <w:rFonts w:ascii="Work Sans" w:hAnsi="Work Sans" w:cs="Calibri"/>
          <w:iCs/>
          <w:sz w:val="18"/>
          <w:szCs w:val="18"/>
          <w:lang w:val="es-CO" w:bidi="ar-SA"/>
        </w:rPr>
      </w:pPr>
    </w:p>
    <w:tbl>
      <w:tblPr>
        <w:tblW w:w="6520" w:type="dxa"/>
        <w:tblInd w:w="988" w:type="dxa"/>
        <w:tblCellMar>
          <w:left w:w="10" w:type="dxa"/>
          <w:right w:w="10" w:type="dxa"/>
        </w:tblCellMar>
        <w:tblLook w:val="0000" w:firstRow="0" w:lastRow="0" w:firstColumn="0" w:lastColumn="0" w:noHBand="0" w:noVBand="0"/>
      </w:tblPr>
      <w:tblGrid>
        <w:gridCol w:w="3543"/>
        <w:gridCol w:w="2977"/>
      </w:tblGrid>
      <w:tr w:rsidR="002B74B7">
        <w:tblPrEx>
          <w:tblCellMar>
            <w:top w:w="0" w:type="dxa"/>
            <w:bottom w:w="0" w:type="dxa"/>
          </w:tblCellMar>
        </w:tblPrEx>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t>Categoría I E – Vehículo Particular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t>$100</w:t>
            </w:r>
          </w:p>
        </w:tc>
      </w:tr>
      <w:tr w:rsidR="002B74B7">
        <w:tblPrEx>
          <w:tblCellMar>
            <w:top w:w="0" w:type="dxa"/>
            <w:bottom w:w="0" w:type="dxa"/>
          </w:tblCellMar>
        </w:tblPrEx>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t>Categoría I EE – Taxi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t>$1.100</w:t>
            </w:r>
          </w:p>
        </w:tc>
      </w:tr>
      <w:tr w:rsidR="002B74B7">
        <w:tblPrEx>
          <w:tblCellMar>
            <w:top w:w="0" w:type="dxa"/>
            <w:bottom w:w="0" w:type="dxa"/>
          </w:tblCellMar>
        </w:tblPrEx>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t xml:space="preserve">Categoría I EEE – Transporte Público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t>$4.700</w:t>
            </w:r>
          </w:p>
        </w:tc>
      </w:tr>
      <w:tr w:rsidR="002B74B7">
        <w:tblPrEx>
          <w:tblCellMar>
            <w:top w:w="0" w:type="dxa"/>
            <w:bottom w:w="0" w:type="dxa"/>
          </w:tblCellMar>
        </w:tblPrEx>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lastRenderedPageBreak/>
              <w:t xml:space="preserve">Categoría II E – Particular o Público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t>$9.000</w:t>
            </w:r>
          </w:p>
        </w:tc>
      </w:tr>
      <w:tr w:rsidR="002B74B7">
        <w:tblPrEx>
          <w:tblCellMar>
            <w:top w:w="0" w:type="dxa"/>
            <w:bottom w:w="0" w:type="dxa"/>
          </w:tblCellMar>
        </w:tblPrEx>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t>Categoría III E – Particular o Público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18"/>
                <w:szCs w:val="18"/>
                <w:lang w:val="es-CO" w:bidi="ar-SA"/>
              </w:rPr>
            </w:pPr>
            <w:r>
              <w:rPr>
                <w:rFonts w:ascii="Work Sans" w:hAnsi="Work Sans" w:cs="Calibri"/>
                <w:iCs/>
                <w:sz w:val="18"/>
                <w:szCs w:val="18"/>
                <w:lang w:val="es-CO" w:bidi="ar-SA"/>
              </w:rPr>
              <w:t>$100</w:t>
            </w:r>
          </w:p>
        </w:tc>
      </w:tr>
    </w:tbl>
    <w:p w:rsidR="002B74B7" w:rsidRDefault="002B74B7">
      <w:pPr>
        <w:widowControl/>
        <w:ind w:left="709"/>
        <w:jc w:val="both"/>
        <w:rPr>
          <w:rFonts w:ascii="Work Sans" w:hAnsi="Work Sans" w:cs="Calibri"/>
          <w:iCs/>
          <w:sz w:val="20"/>
          <w:szCs w:val="20"/>
          <w:lang w:val="es-CO" w:bidi="ar-SA"/>
        </w:rPr>
      </w:pPr>
    </w:p>
    <w:bookmarkEnd w:id="2"/>
    <w:bookmarkEnd w:id="3"/>
    <w:p w:rsidR="002B74B7" w:rsidRDefault="00000000">
      <w:pPr>
        <w:ind w:left="709" w:right="481"/>
        <w:jc w:val="both"/>
        <w:textAlignment w:val="auto"/>
        <w:rPr>
          <w:rFonts w:ascii="Work Sans" w:hAnsi="Work Sans" w:cs="Calibri"/>
          <w:iCs/>
          <w:sz w:val="20"/>
          <w:szCs w:val="20"/>
          <w:lang w:val="es-CO"/>
        </w:rPr>
      </w:pPr>
      <w:r>
        <w:rPr>
          <w:rFonts w:ascii="Work Sans" w:hAnsi="Work Sans" w:cs="Calibri"/>
          <w:iCs/>
          <w:sz w:val="20"/>
          <w:szCs w:val="20"/>
          <w:lang w:val="es-CO"/>
        </w:rPr>
        <w:t>Estas tarifas no incluyen el valor a pagar por Fondo de Seguridad Vial, el cual deberá ser cobrado por el concesionario para su debido recaudo.</w:t>
      </w:r>
    </w:p>
    <w:p w:rsidR="002B74B7" w:rsidRDefault="002B74B7">
      <w:pPr>
        <w:ind w:left="709" w:right="481"/>
        <w:jc w:val="both"/>
        <w:textAlignment w:val="auto"/>
        <w:rPr>
          <w:rFonts w:ascii="Work Sans" w:hAnsi="Work Sans" w:cs="Calibri"/>
          <w:iCs/>
          <w:sz w:val="20"/>
          <w:szCs w:val="20"/>
          <w:lang w:val="es-CO"/>
        </w:rPr>
      </w:pPr>
    </w:p>
    <w:p w:rsidR="002B74B7" w:rsidRDefault="00000000">
      <w:pPr>
        <w:ind w:left="709" w:right="481"/>
        <w:jc w:val="both"/>
        <w:textAlignment w:val="auto"/>
        <w:rPr>
          <w:rFonts w:ascii="Work Sans" w:hAnsi="Work Sans" w:cs="Calibri"/>
          <w:iCs/>
          <w:sz w:val="20"/>
          <w:szCs w:val="20"/>
          <w:lang w:val="es-CO"/>
        </w:rPr>
      </w:pPr>
      <w:r>
        <w:rPr>
          <w:rFonts w:ascii="Work Sans" w:hAnsi="Work Sans" w:cs="Calibri"/>
          <w:iCs/>
          <w:sz w:val="20"/>
          <w:szCs w:val="20"/>
          <w:lang w:val="es-CO"/>
        </w:rPr>
        <w:t xml:space="preserve">Las tarifas especiales diferenciales del peaje de Puente </w:t>
      </w:r>
      <w:proofErr w:type="spellStart"/>
      <w:r>
        <w:rPr>
          <w:rFonts w:ascii="Work Sans" w:hAnsi="Work Sans" w:cs="Calibri"/>
          <w:iCs/>
          <w:sz w:val="20"/>
          <w:szCs w:val="20"/>
          <w:lang w:val="es-CO"/>
        </w:rPr>
        <w:t>Quetame</w:t>
      </w:r>
      <w:proofErr w:type="spellEnd"/>
      <w:r>
        <w:rPr>
          <w:rFonts w:ascii="Work Sans" w:hAnsi="Work Sans" w:cs="Calibri"/>
          <w:iCs/>
          <w:sz w:val="20"/>
          <w:szCs w:val="20"/>
          <w:lang w:val="es-CO"/>
        </w:rPr>
        <w:t xml:space="preserve"> se actualizarán cada año, teniendo como base las tarifas registradas en la Resolución No. D004318 del 29 de diciembre de 1998 emitido por el Ministerio de Transporte, utilizando la variación porcentual entre el índice de precios al consumidor (IPC) del mes de diciembre de 1998 y el índice de precios al consumidor (IPC) del mes de octubre del año en el cual se realiza el reajuste, el cual será certificados por el DANE. Las tarifas deberán ser ajustados a la Centena más cercana, con el fin de facilitar el recaudo por parte del Concesionario.</w:t>
      </w:r>
    </w:p>
    <w:p w:rsidR="002B74B7" w:rsidRDefault="002B74B7">
      <w:pPr>
        <w:ind w:left="709" w:right="481"/>
        <w:jc w:val="both"/>
        <w:textAlignment w:val="auto"/>
        <w:rPr>
          <w:rFonts w:ascii="Work Sans" w:hAnsi="Work Sans" w:cs="Calibri"/>
          <w:iCs/>
          <w:sz w:val="20"/>
          <w:szCs w:val="20"/>
          <w:lang w:val="es-CO"/>
        </w:rPr>
      </w:pPr>
    </w:p>
    <w:p w:rsidR="002B74B7" w:rsidRDefault="00000000">
      <w:pPr>
        <w:ind w:left="709" w:right="481"/>
        <w:jc w:val="both"/>
        <w:textAlignment w:val="auto"/>
        <w:rPr>
          <w:rFonts w:ascii="Work Sans" w:hAnsi="Work Sans" w:cs="Calibri"/>
          <w:iCs/>
          <w:sz w:val="20"/>
          <w:szCs w:val="20"/>
          <w:lang w:val="es-CO"/>
        </w:rPr>
      </w:pPr>
      <w:r>
        <w:rPr>
          <w:rFonts w:ascii="Work Sans" w:hAnsi="Work Sans" w:cs="Calibri"/>
          <w:iCs/>
          <w:sz w:val="20"/>
          <w:szCs w:val="20"/>
          <w:lang w:val="es-CO"/>
        </w:rPr>
        <w:t xml:space="preserve">En concordancia con la metodología descrita, las tarifas especiales diferenciales del peaje Puente </w:t>
      </w:r>
      <w:proofErr w:type="spellStart"/>
      <w:r>
        <w:rPr>
          <w:rFonts w:ascii="Work Sans" w:hAnsi="Work Sans" w:cs="Calibri"/>
          <w:iCs/>
          <w:sz w:val="20"/>
          <w:szCs w:val="20"/>
          <w:lang w:val="es-CO"/>
        </w:rPr>
        <w:t>Quetame</w:t>
      </w:r>
      <w:proofErr w:type="spellEnd"/>
      <w:r>
        <w:rPr>
          <w:rFonts w:ascii="Work Sans" w:hAnsi="Work Sans" w:cs="Calibri"/>
          <w:iCs/>
          <w:sz w:val="20"/>
          <w:szCs w:val="20"/>
          <w:lang w:val="es-CO"/>
        </w:rPr>
        <w:t xml:space="preserve"> que regirán a partir de la publicación de la presente Resolución, serán las siguientes:</w:t>
      </w:r>
    </w:p>
    <w:p w:rsidR="002B74B7" w:rsidRDefault="002B74B7">
      <w:pPr>
        <w:ind w:left="709"/>
        <w:jc w:val="both"/>
        <w:textAlignment w:val="auto"/>
        <w:rPr>
          <w:rFonts w:ascii="Work Sans" w:hAnsi="Work Sans" w:cs="Calibri"/>
          <w:iCs/>
          <w:sz w:val="20"/>
          <w:szCs w:val="20"/>
          <w:lang w:val="es-CO"/>
        </w:rPr>
      </w:pPr>
    </w:p>
    <w:tbl>
      <w:tblPr>
        <w:tblW w:w="5954" w:type="dxa"/>
        <w:tblInd w:w="1129" w:type="dxa"/>
        <w:tblCellMar>
          <w:left w:w="10" w:type="dxa"/>
          <w:right w:w="10" w:type="dxa"/>
        </w:tblCellMar>
        <w:tblLook w:val="0000" w:firstRow="0" w:lastRow="0" w:firstColumn="0" w:lastColumn="0" w:noHBand="0" w:noVBand="0"/>
      </w:tblPr>
      <w:tblGrid>
        <w:gridCol w:w="2789"/>
        <w:gridCol w:w="3165"/>
      </w:tblGrid>
      <w:tr w:rsidR="002B74B7">
        <w:tblPrEx>
          <w:tblCellMar>
            <w:top w:w="0" w:type="dxa"/>
            <w:bottom w:w="0" w:type="dxa"/>
          </w:tblCellMar>
        </w:tblPrEx>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rPr>
                <w:rFonts w:ascii="Work Sans" w:hAnsi="Work Sans" w:cs="Calibri"/>
                <w:iCs/>
                <w:sz w:val="20"/>
                <w:szCs w:val="20"/>
                <w:lang w:val="es-CO"/>
              </w:rPr>
            </w:pPr>
            <w:r>
              <w:rPr>
                <w:rFonts w:ascii="Work Sans" w:hAnsi="Work Sans" w:cs="Calibri"/>
                <w:iCs/>
                <w:sz w:val="20"/>
                <w:szCs w:val="20"/>
                <w:lang w:val="es-CO"/>
              </w:rPr>
              <w:t>Categoría I E – Vehículo Particular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20"/>
                <w:szCs w:val="20"/>
                <w:lang w:val="es-CO" w:bidi="ar-SA"/>
              </w:rPr>
            </w:pPr>
            <w:r>
              <w:rPr>
                <w:rFonts w:ascii="Work Sans" w:hAnsi="Work Sans" w:cs="Calibri"/>
                <w:iCs/>
                <w:sz w:val="20"/>
                <w:szCs w:val="20"/>
                <w:lang w:val="es-CO" w:bidi="ar-SA"/>
              </w:rPr>
              <w:t>$200</w:t>
            </w:r>
          </w:p>
        </w:tc>
      </w:tr>
      <w:tr w:rsidR="002B74B7">
        <w:tblPrEx>
          <w:tblCellMar>
            <w:top w:w="0" w:type="dxa"/>
            <w:bottom w:w="0" w:type="dxa"/>
          </w:tblCellMar>
        </w:tblPrEx>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rPr>
                <w:rFonts w:ascii="Work Sans" w:hAnsi="Work Sans" w:cs="Calibri"/>
                <w:iCs/>
                <w:sz w:val="20"/>
                <w:szCs w:val="20"/>
                <w:lang w:val="es-CO"/>
              </w:rPr>
            </w:pPr>
            <w:r>
              <w:rPr>
                <w:rFonts w:ascii="Work Sans" w:hAnsi="Work Sans" w:cs="Calibri"/>
                <w:iCs/>
                <w:sz w:val="20"/>
                <w:szCs w:val="20"/>
                <w:lang w:val="es-CO"/>
              </w:rPr>
              <w:t>Categoría I EE – Taxi</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20"/>
                <w:szCs w:val="20"/>
                <w:lang w:val="es-CO" w:bidi="ar-SA"/>
              </w:rPr>
            </w:pPr>
            <w:r>
              <w:rPr>
                <w:rFonts w:ascii="Work Sans" w:hAnsi="Work Sans" w:cs="Calibri"/>
                <w:iCs/>
                <w:sz w:val="20"/>
                <w:szCs w:val="20"/>
                <w:lang w:val="es-CO" w:bidi="ar-SA"/>
              </w:rPr>
              <w:t>$200</w:t>
            </w:r>
          </w:p>
        </w:tc>
      </w:tr>
      <w:tr w:rsidR="002B74B7">
        <w:tblPrEx>
          <w:tblCellMar>
            <w:top w:w="0" w:type="dxa"/>
            <w:bottom w:w="0" w:type="dxa"/>
          </w:tblCellMar>
        </w:tblPrEx>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rPr>
                <w:rFonts w:ascii="Work Sans" w:hAnsi="Work Sans" w:cs="Calibri"/>
                <w:iCs/>
                <w:sz w:val="20"/>
                <w:szCs w:val="20"/>
                <w:lang w:val="es-CO"/>
              </w:rPr>
            </w:pPr>
            <w:r>
              <w:rPr>
                <w:rFonts w:ascii="Work Sans" w:hAnsi="Work Sans" w:cs="Calibri"/>
                <w:iCs/>
                <w:sz w:val="20"/>
                <w:szCs w:val="20"/>
                <w:lang w:val="es-CO"/>
              </w:rPr>
              <w:t xml:space="preserve">Categoría I EEE – Transporte Público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20"/>
                <w:szCs w:val="20"/>
                <w:lang w:val="es-CO" w:bidi="ar-SA"/>
              </w:rPr>
            </w:pPr>
            <w:r>
              <w:rPr>
                <w:rFonts w:ascii="Work Sans" w:hAnsi="Work Sans" w:cs="Calibri"/>
                <w:iCs/>
                <w:sz w:val="20"/>
                <w:szCs w:val="20"/>
                <w:lang w:val="es-CO" w:bidi="ar-SA"/>
              </w:rPr>
              <w:t>$200</w:t>
            </w:r>
          </w:p>
        </w:tc>
      </w:tr>
      <w:tr w:rsidR="002B74B7">
        <w:tblPrEx>
          <w:tblCellMar>
            <w:top w:w="0" w:type="dxa"/>
            <w:bottom w:w="0" w:type="dxa"/>
          </w:tblCellMar>
        </w:tblPrEx>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rPr>
                <w:rFonts w:ascii="Work Sans" w:hAnsi="Work Sans" w:cs="Calibri"/>
                <w:iCs/>
                <w:sz w:val="20"/>
                <w:szCs w:val="20"/>
                <w:lang w:val="es-CO"/>
              </w:rPr>
            </w:pPr>
            <w:r>
              <w:rPr>
                <w:rFonts w:ascii="Work Sans" w:hAnsi="Work Sans" w:cs="Calibri"/>
                <w:iCs/>
                <w:sz w:val="20"/>
                <w:szCs w:val="20"/>
                <w:lang w:val="es-CO"/>
              </w:rPr>
              <w:t xml:space="preserve">Categoría II E – Particular o Público </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20"/>
                <w:szCs w:val="20"/>
                <w:lang w:val="es-CO" w:bidi="ar-SA"/>
              </w:rPr>
            </w:pPr>
            <w:r>
              <w:rPr>
                <w:rFonts w:ascii="Work Sans" w:hAnsi="Work Sans" w:cs="Calibri"/>
                <w:iCs/>
                <w:sz w:val="20"/>
                <w:szCs w:val="20"/>
                <w:lang w:val="es-CO" w:bidi="ar-SA"/>
              </w:rPr>
              <w:t>$200</w:t>
            </w:r>
          </w:p>
        </w:tc>
      </w:tr>
      <w:tr w:rsidR="002B74B7">
        <w:tblPrEx>
          <w:tblCellMar>
            <w:top w:w="0" w:type="dxa"/>
            <w:bottom w:w="0" w:type="dxa"/>
          </w:tblCellMar>
        </w:tblPrEx>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rPr>
                <w:rFonts w:ascii="Work Sans" w:hAnsi="Work Sans" w:cs="Calibri"/>
                <w:iCs/>
                <w:sz w:val="20"/>
                <w:szCs w:val="20"/>
                <w:lang w:val="es-CO"/>
              </w:rPr>
            </w:pPr>
            <w:r>
              <w:rPr>
                <w:rFonts w:ascii="Work Sans" w:hAnsi="Work Sans" w:cs="Calibri"/>
                <w:iCs/>
                <w:sz w:val="20"/>
                <w:szCs w:val="20"/>
                <w:lang w:val="es-CO"/>
              </w:rPr>
              <w:t>Categoría III E – Particular o Público</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20"/>
                <w:szCs w:val="20"/>
                <w:lang w:val="es-CO" w:bidi="ar-SA"/>
              </w:rPr>
            </w:pPr>
            <w:r>
              <w:rPr>
                <w:rFonts w:ascii="Work Sans" w:hAnsi="Work Sans" w:cs="Calibri"/>
                <w:iCs/>
                <w:sz w:val="20"/>
                <w:szCs w:val="20"/>
                <w:lang w:val="es-CO" w:bidi="ar-SA"/>
              </w:rPr>
              <w:t>$200</w:t>
            </w:r>
          </w:p>
        </w:tc>
      </w:tr>
      <w:tr w:rsidR="002B74B7">
        <w:tblPrEx>
          <w:tblCellMar>
            <w:top w:w="0" w:type="dxa"/>
            <w:bottom w:w="0" w:type="dxa"/>
          </w:tblCellMar>
        </w:tblPrEx>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rPr>
                <w:rFonts w:ascii="Work Sans" w:hAnsi="Work Sans" w:cs="Calibri"/>
                <w:iCs/>
                <w:sz w:val="20"/>
                <w:szCs w:val="20"/>
                <w:lang w:val="es-CO"/>
              </w:rPr>
            </w:pPr>
            <w:r>
              <w:rPr>
                <w:rFonts w:ascii="Work Sans" w:hAnsi="Work Sans" w:cs="Calibri"/>
                <w:iCs/>
                <w:sz w:val="20"/>
                <w:szCs w:val="20"/>
                <w:lang w:val="es-CO"/>
              </w:rPr>
              <w:t>Categoría IV E – Particular o Público</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20"/>
                <w:szCs w:val="20"/>
                <w:lang w:val="es-CO" w:bidi="ar-SA"/>
              </w:rPr>
            </w:pPr>
            <w:r>
              <w:rPr>
                <w:rFonts w:ascii="Work Sans" w:hAnsi="Work Sans" w:cs="Calibri"/>
                <w:iCs/>
                <w:sz w:val="20"/>
                <w:szCs w:val="20"/>
                <w:lang w:val="es-CO" w:bidi="ar-SA"/>
              </w:rPr>
              <w:t>$200</w:t>
            </w:r>
          </w:p>
        </w:tc>
      </w:tr>
      <w:tr w:rsidR="002B74B7">
        <w:tblPrEx>
          <w:tblCellMar>
            <w:top w:w="0" w:type="dxa"/>
            <w:bottom w:w="0" w:type="dxa"/>
          </w:tblCellMar>
        </w:tblPrEx>
        <w:tc>
          <w:tcPr>
            <w:tcW w:w="2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rPr>
                <w:rFonts w:ascii="Work Sans" w:hAnsi="Work Sans" w:cs="Calibri"/>
                <w:iCs/>
                <w:sz w:val="20"/>
                <w:szCs w:val="20"/>
                <w:lang w:val="es-CO"/>
              </w:rPr>
            </w:pPr>
            <w:r>
              <w:rPr>
                <w:rFonts w:ascii="Work Sans" w:hAnsi="Work Sans" w:cs="Calibri"/>
                <w:iCs/>
                <w:sz w:val="20"/>
                <w:szCs w:val="20"/>
                <w:lang w:val="es-CO"/>
              </w:rPr>
              <w:t>Categoría VI E – Particular o Público</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000000">
            <w:pPr>
              <w:widowControl/>
              <w:ind w:left="709"/>
              <w:jc w:val="both"/>
              <w:rPr>
                <w:rFonts w:ascii="Work Sans" w:hAnsi="Work Sans" w:cs="Calibri"/>
                <w:iCs/>
                <w:sz w:val="20"/>
                <w:szCs w:val="20"/>
                <w:lang w:val="es-CO" w:bidi="ar-SA"/>
              </w:rPr>
            </w:pPr>
            <w:r>
              <w:rPr>
                <w:rFonts w:ascii="Work Sans" w:hAnsi="Work Sans" w:cs="Calibri"/>
                <w:iCs/>
                <w:sz w:val="20"/>
                <w:szCs w:val="20"/>
                <w:lang w:val="es-CO" w:bidi="ar-SA"/>
              </w:rPr>
              <w:t>$200</w:t>
            </w:r>
          </w:p>
        </w:tc>
      </w:tr>
    </w:tbl>
    <w:p w:rsidR="002B74B7" w:rsidRDefault="002B74B7">
      <w:pPr>
        <w:ind w:left="709"/>
        <w:jc w:val="both"/>
        <w:textAlignment w:val="auto"/>
        <w:rPr>
          <w:rFonts w:ascii="Work Sans" w:hAnsi="Work Sans" w:cs="Calibri"/>
          <w:iCs/>
          <w:sz w:val="20"/>
          <w:szCs w:val="20"/>
          <w:lang w:val="es-CO"/>
        </w:rPr>
      </w:pPr>
    </w:p>
    <w:p w:rsidR="002B74B7" w:rsidRDefault="00000000">
      <w:pPr>
        <w:ind w:left="709"/>
        <w:jc w:val="both"/>
        <w:textAlignment w:val="auto"/>
        <w:rPr>
          <w:rFonts w:ascii="Work Sans" w:hAnsi="Work Sans" w:cs="Calibri"/>
          <w:iCs/>
          <w:sz w:val="20"/>
          <w:szCs w:val="20"/>
          <w:lang w:val="es-CO"/>
        </w:rPr>
      </w:pPr>
      <w:r>
        <w:rPr>
          <w:rFonts w:ascii="Work Sans" w:hAnsi="Work Sans" w:cs="Calibri"/>
          <w:iCs/>
          <w:sz w:val="20"/>
          <w:szCs w:val="20"/>
          <w:lang w:val="es-CO"/>
        </w:rPr>
        <w:t>Estas tarifas no incluyen el valor a pagar por Fondo de Seguridad Vial, el cual deberá ser cobrado por el concesionario para su debido recaudo”.</w:t>
      </w:r>
    </w:p>
    <w:p w:rsidR="002B74B7" w:rsidRDefault="002B74B7">
      <w:pPr>
        <w:ind w:left="709"/>
        <w:jc w:val="both"/>
        <w:textAlignment w:val="auto"/>
        <w:rPr>
          <w:rFonts w:ascii="Work Sans" w:eastAsia="Arial Narrow" w:hAnsi="Work Sans" w:cs="Calibri"/>
          <w:bCs/>
          <w:sz w:val="20"/>
          <w:szCs w:val="20"/>
          <w:lang w:val="es-CO"/>
        </w:rPr>
      </w:pPr>
    </w:p>
    <w:p w:rsidR="002B74B7" w:rsidRDefault="00000000">
      <w:pPr>
        <w:jc w:val="both"/>
        <w:textAlignment w:val="auto"/>
      </w:pPr>
      <w:r>
        <w:rPr>
          <w:rFonts w:ascii="Work Sans" w:eastAsia="Arial Narrow" w:hAnsi="Work Sans" w:cs="Calibri"/>
          <w:b/>
          <w:bCs/>
          <w:sz w:val="20"/>
          <w:szCs w:val="20"/>
          <w:lang w:val="es-CO"/>
        </w:rPr>
        <w:t>ARTÍCULO 3</w:t>
      </w:r>
      <w:r>
        <w:rPr>
          <w:rFonts w:ascii="Work Sans" w:eastAsia="Arial Narrow" w:hAnsi="Work Sans" w:cs="Calibri"/>
          <w:sz w:val="20"/>
          <w:szCs w:val="20"/>
          <w:lang w:val="es-CO"/>
        </w:rPr>
        <w:t xml:space="preserve">.- </w:t>
      </w:r>
      <w:r>
        <w:rPr>
          <w:rFonts w:ascii="Work Sans" w:hAnsi="Work Sans" w:cs="Calibri"/>
          <w:sz w:val="20"/>
          <w:szCs w:val="20"/>
          <w:lang w:val="es-CO"/>
        </w:rPr>
        <w:t>Modificar el artículo 10° de la Resolución No. 1695 de 2015, en lo que respecta únicamente a la fecha de actualización anual de las tarifas diferenciales, el cual quedará así:</w:t>
      </w:r>
    </w:p>
    <w:p w:rsidR="002B74B7" w:rsidRDefault="002B74B7">
      <w:pPr>
        <w:widowControl/>
        <w:ind w:left="708"/>
        <w:jc w:val="both"/>
        <w:rPr>
          <w:rFonts w:ascii="Work Sans" w:hAnsi="Work Sans" w:cs="Calibri"/>
          <w:sz w:val="20"/>
          <w:szCs w:val="20"/>
          <w:lang w:val="es-CO" w:bidi="ar-SA"/>
        </w:rPr>
      </w:pPr>
    </w:p>
    <w:p w:rsidR="002B74B7" w:rsidRDefault="00000000">
      <w:pPr>
        <w:widowControl/>
        <w:ind w:left="426" w:right="481"/>
        <w:jc w:val="both"/>
      </w:pPr>
      <w:r>
        <w:rPr>
          <w:rFonts w:ascii="Work Sans" w:hAnsi="Work Sans" w:cs="Calibri"/>
          <w:b/>
          <w:bCs/>
          <w:iCs/>
          <w:sz w:val="20"/>
          <w:szCs w:val="20"/>
          <w:lang w:val="es-CO" w:bidi="ar-SA"/>
        </w:rPr>
        <w:t>“ARTÍCULO DÉCIMO: ACTUALIZACIÓN DE TARIFA PEAJE PIPIRAL</w:t>
      </w:r>
      <w:r>
        <w:rPr>
          <w:rFonts w:ascii="Work Sans" w:hAnsi="Work Sans" w:cs="Calibri"/>
          <w:iCs/>
          <w:sz w:val="20"/>
          <w:szCs w:val="20"/>
          <w:lang w:val="es-CO" w:bidi="ar-SA"/>
        </w:rPr>
        <w:t xml:space="preserve">. La tarifa especial diferencial para la estación de Peaje </w:t>
      </w:r>
      <w:proofErr w:type="spellStart"/>
      <w:r>
        <w:rPr>
          <w:rFonts w:ascii="Work Sans" w:hAnsi="Work Sans" w:cs="Calibri"/>
          <w:iCs/>
          <w:sz w:val="20"/>
          <w:szCs w:val="20"/>
          <w:lang w:val="es-CO" w:bidi="ar-SA"/>
        </w:rPr>
        <w:t>Pipiral</w:t>
      </w:r>
      <w:proofErr w:type="spellEnd"/>
      <w:r>
        <w:rPr>
          <w:rFonts w:ascii="Work Sans" w:hAnsi="Work Sans" w:cs="Calibri"/>
          <w:iCs/>
          <w:sz w:val="20"/>
          <w:szCs w:val="20"/>
          <w:lang w:val="es-CO" w:bidi="ar-SA"/>
        </w:rPr>
        <w:t xml:space="preserve"> será actualizada por el concesionario en forma automática, el dieciséis (16) de enero de cada año </w:t>
      </w:r>
      <w:r>
        <w:rPr>
          <w:rFonts w:ascii="Work Sans" w:hAnsi="Work Sans" w:cs="Calibri"/>
          <w:iCs/>
          <w:sz w:val="20"/>
          <w:szCs w:val="20"/>
          <w:lang w:val="es-CO" w:bidi="ar-SA"/>
        </w:rPr>
        <w:lastRenderedPageBreak/>
        <w:t xml:space="preserve">utilizando la variación porcentual entre el índice de precios al consumidor (IPC) del mes de abril de 2015 y el IPC del mes de octubre del año en el cual se realiza el reajuste, el cual será certificado por el DANE. La tarifa deberá se ajustada a la centena más cercana, con el fin de facilitar el recaudo por parte del Concesionario”. </w:t>
      </w:r>
    </w:p>
    <w:p w:rsidR="002B74B7" w:rsidRDefault="002B74B7">
      <w:pPr>
        <w:widowControl/>
        <w:autoSpaceDE w:val="0"/>
        <w:jc w:val="both"/>
        <w:rPr>
          <w:rFonts w:ascii="Work Sans" w:eastAsia="Arial Narrow" w:hAnsi="Work Sans" w:cs="Calibri"/>
          <w:sz w:val="20"/>
          <w:szCs w:val="20"/>
          <w:lang w:val="es-CO"/>
        </w:rPr>
      </w:pPr>
    </w:p>
    <w:p w:rsidR="002B74B7" w:rsidRDefault="00000000">
      <w:pPr>
        <w:widowControl/>
        <w:autoSpaceDE w:val="0"/>
        <w:jc w:val="both"/>
      </w:pPr>
      <w:r>
        <w:rPr>
          <w:rFonts w:ascii="Work Sans" w:eastAsia="Arial Narrow" w:hAnsi="Work Sans" w:cs="Calibri"/>
          <w:b/>
          <w:bCs/>
          <w:sz w:val="20"/>
          <w:szCs w:val="20"/>
          <w:lang w:val="es-CO"/>
        </w:rPr>
        <w:t>ARTÍCULO 4</w:t>
      </w:r>
      <w:r>
        <w:rPr>
          <w:rFonts w:ascii="Work Sans" w:eastAsia="Arial Narrow" w:hAnsi="Work Sans" w:cs="Calibri"/>
          <w:sz w:val="20"/>
          <w:szCs w:val="20"/>
          <w:lang w:val="es-CO"/>
        </w:rPr>
        <w:t>.- La presente Resolución rige a partir de la fecha de su publicación en el Diario Oficial y deroga la Resolución No 0001131 del 28 de abril de 2015.</w:t>
      </w:r>
    </w:p>
    <w:p w:rsidR="002B74B7" w:rsidRDefault="002B74B7">
      <w:pPr>
        <w:widowControl/>
        <w:jc w:val="both"/>
        <w:rPr>
          <w:rFonts w:ascii="Work Sans" w:eastAsia="Arial Narrow" w:hAnsi="Work Sans" w:cs="Calibri"/>
          <w:sz w:val="20"/>
          <w:szCs w:val="20"/>
          <w:lang w:val="es-CO"/>
        </w:rPr>
      </w:pPr>
    </w:p>
    <w:p w:rsidR="002B74B7" w:rsidRDefault="002B74B7">
      <w:pPr>
        <w:widowControl/>
        <w:jc w:val="both"/>
        <w:rPr>
          <w:rFonts w:ascii="Work Sans" w:eastAsia="Arial Narrow" w:hAnsi="Work Sans" w:cs="Calibri"/>
          <w:sz w:val="20"/>
          <w:szCs w:val="20"/>
          <w:lang w:val="es-CO"/>
        </w:rPr>
      </w:pPr>
    </w:p>
    <w:p w:rsidR="002B74B7" w:rsidRDefault="00000000">
      <w:pPr>
        <w:widowControl/>
        <w:spacing w:line="276" w:lineRule="auto"/>
        <w:ind w:right="-1"/>
        <w:jc w:val="center"/>
        <w:rPr>
          <w:rFonts w:ascii="Work Sans" w:hAnsi="Work Sans" w:cs="Arial"/>
          <w:b/>
          <w:bCs/>
          <w:color w:val="000000"/>
          <w:sz w:val="20"/>
          <w:szCs w:val="20"/>
          <w:lang w:bidi="ar-SA"/>
        </w:rPr>
      </w:pPr>
      <w:bookmarkStart w:id="4" w:name="_Hlk123034678"/>
      <w:r>
        <w:rPr>
          <w:rFonts w:ascii="Work Sans" w:hAnsi="Work Sans" w:cs="Arial"/>
          <w:b/>
          <w:bCs/>
          <w:color w:val="000000"/>
          <w:sz w:val="20"/>
          <w:szCs w:val="20"/>
          <w:lang w:bidi="ar-SA"/>
        </w:rPr>
        <w:t>PUBLÍQUESE, CÚMPLASE</w:t>
      </w:r>
    </w:p>
    <w:p w:rsidR="002B74B7" w:rsidRDefault="002B74B7">
      <w:pPr>
        <w:widowControl/>
        <w:spacing w:line="276" w:lineRule="auto"/>
        <w:ind w:right="-1"/>
        <w:jc w:val="both"/>
        <w:rPr>
          <w:rFonts w:ascii="Work Sans" w:hAnsi="Work Sans" w:cs="Arial"/>
          <w:color w:val="000000"/>
          <w:sz w:val="20"/>
          <w:szCs w:val="20"/>
          <w:lang w:bidi="ar-SA"/>
        </w:rPr>
      </w:pPr>
    </w:p>
    <w:p w:rsidR="002B74B7" w:rsidRDefault="002B74B7">
      <w:pPr>
        <w:spacing w:line="276" w:lineRule="auto"/>
        <w:jc w:val="center"/>
        <w:rPr>
          <w:rFonts w:ascii="Work Sans" w:eastAsia="DengXian Light" w:hAnsi="Work Sans" w:cs="Arial"/>
          <w:b/>
          <w:bCs/>
          <w:color w:val="000000"/>
          <w:sz w:val="20"/>
          <w:szCs w:val="20"/>
        </w:rPr>
      </w:pPr>
    </w:p>
    <w:p w:rsidR="002B74B7" w:rsidRDefault="002B74B7">
      <w:pPr>
        <w:spacing w:line="276" w:lineRule="auto"/>
        <w:jc w:val="center"/>
        <w:rPr>
          <w:rFonts w:ascii="Work Sans" w:eastAsia="DengXian Light" w:hAnsi="Work Sans" w:cs="Arial"/>
          <w:b/>
          <w:bCs/>
          <w:color w:val="000000"/>
          <w:sz w:val="20"/>
          <w:szCs w:val="20"/>
        </w:rPr>
      </w:pPr>
    </w:p>
    <w:p w:rsidR="002B74B7" w:rsidRDefault="002B74B7">
      <w:pPr>
        <w:spacing w:line="276" w:lineRule="auto"/>
        <w:jc w:val="center"/>
        <w:rPr>
          <w:rFonts w:ascii="Work Sans" w:eastAsia="DengXian Light" w:hAnsi="Work Sans" w:cs="Arial"/>
          <w:b/>
          <w:bCs/>
          <w:color w:val="000000"/>
          <w:sz w:val="20"/>
          <w:szCs w:val="20"/>
        </w:rPr>
      </w:pPr>
    </w:p>
    <w:p w:rsidR="002B74B7" w:rsidRDefault="002B74B7">
      <w:pPr>
        <w:spacing w:line="276" w:lineRule="auto"/>
        <w:jc w:val="center"/>
        <w:rPr>
          <w:rFonts w:ascii="Work Sans" w:eastAsia="DengXian Light" w:hAnsi="Work Sans" w:cs="Arial"/>
          <w:b/>
          <w:bCs/>
          <w:color w:val="000000"/>
          <w:sz w:val="20"/>
          <w:szCs w:val="20"/>
        </w:rPr>
      </w:pPr>
    </w:p>
    <w:p w:rsidR="002B74B7" w:rsidRDefault="00000000">
      <w:pPr>
        <w:autoSpaceDE w:val="0"/>
        <w:spacing w:line="276" w:lineRule="auto"/>
        <w:jc w:val="center"/>
        <w:rPr>
          <w:rFonts w:ascii="Work Sans" w:hAnsi="Work Sans" w:cs="Arial"/>
          <w:b/>
          <w:bCs/>
          <w:color w:val="000000"/>
          <w:sz w:val="20"/>
          <w:szCs w:val="20"/>
          <w:lang w:bidi="ar-SA"/>
        </w:rPr>
      </w:pPr>
      <w:r>
        <w:rPr>
          <w:rFonts w:ascii="Work Sans" w:hAnsi="Work Sans" w:cs="Arial"/>
          <w:b/>
          <w:bCs/>
          <w:color w:val="000000"/>
          <w:sz w:val="20"/>
          <w:szCs w:val="20"/>
          <w:lang w:bidi="ar-SA"/>
        </w:rPr>
        <w:t>GUILLERMO FRANCISCO REYES GONZÁLEZ</w:t>
      </w:r>
    </w:p>
    <w:p w:rsidR="002B74B7" w:rsidRDefault="002B74B7">
      <w:pPr>
        <w:widowControl/>
        <w:tabs>
          <w:tab w:val="left" w:pos="3717"/>
        </w:tabs>
        <w:spacing w:line="276" w:lineRule="auto"/>
        <w:ind w:left="20"/>
        <w:jc w:val="both"/>
        <w:textAlignment w:val="auto"/>
        <w:rPr>
          <w:rFonts w:ascii="Work Sans" w:eastAsia="DengXian Light" w:hAnsi="Work Sans" w:cs="Arial"/>
          <w:color w:val="000000"/>
          <w:sz w:val="12"/>
          <w:szCs w:val="12"/>
        </w:rPr>
      </w:pPr>
    </w:p>
    <w:p w:rsidR="002B74B7" w:rsidRDefault="002B74B7">
      <w:pPr>
        <w:widowControl/>
        <w:tabs>
          <w:tab w:val="left" w:pos="3717"/>
        </w:tabs>
        <w:spacing w:line="276" w:lineRule="auto"/>
        <w:ind w:left="20"/>
        <w:jc w:val="both"/>
        <w:textAlignment w:val="auto"/>
        <w:rPr>
          <w:rFonts w:ascii="Work Sans" w:eastAsia="DengXian Light" w:hAnsi="Work Sans" w:cs="Arial"/>
          <w:color w:val="000000"/>
          <w:sz w:val="12"/>
          <w:szCs w:val="12"/>
        </w:rPr>
      </w:pPr>
    </w:p>
    <w:tbl>
      <w:tblPr>
        <w:tblW w:w="7513" w:type="dxa"/>
        <w:tblInd w:w="562" w:type="dxa"/>
        <w:tblCellMar>
          <w:left w:w="10" w:type="dxa"/>
          <w:right w:w="10" w:type="dxa"/>
        </w:tblCellMar>
        <w:tblLook w:val="0000" w:firstRow="0" w:lastRow="0" w:firstColumn="0" w:lastColumn="0" w:noHBand="0" w:noVBand="0"/>
      </w:tblPr>
      <w:tblGrid>
        <w:gridCol w:w="750"/>
        <w:gridCol w:w="2211"/>
        <w:gridCol w:w="4134"/>
        <w:gridCol w:w="418"/>
      </w:tblGrid>
      <w:tr w:rsidR="002B74B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rPr>
            </w:pPr>
            <w:r>
              <w:rPr>
                <w:rFonts w:ascii="Work Sans" w:hAnsi="Work Sans" w:cs="Arial"/>
                <w:sz w:val="12"/>
                <w:szCs w:val="12"/>
              </w:rPr>
              <w:t>V.B.</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lang w:eastAsia="es-CO"/>
              </w:rPr>
              <w:t>William Fernando Camargo Triana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lang w:eastAsia="es-CO"/>
              </w:rPr>
              <w:t>Presidente Agencia Nacional de Infraestructura</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2B74B7">
            <w:pPr>
              <w:rPr>
                <w:rFonts w:ascii="Work Sans" w:hAnsi="Work Sans" w:cs="Arial"/>
                <w:sz w:val="12"/>
                <w:szCs w:val="12"/>
              </w:rPr>
            </w:pPr>
          </w:p>
        </w:tc>
      </w:tr>
      <w:tr w:rsidR="002B74B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lang w:eastAsia="es-CO"/>
              </w:rPr>
              <w:t>Fernando Ramírez Laguado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lang w:eastAsia="es-CO"/>
              </w:rPr>
              <w:t>Vicepresidente Jurídico, Agencia Nacional de Infraestructura</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2B74B7">
            <w:pPr>
              <w:rPr>
                <w:rFonts w:ascii="Work Sans" w:hAnsi="Work Sans" w:cs="Arial"/>
                <w:sz w:val="12"/>
                <w:szCs w:val="12"/>
              </w:rPr>
            </w:pPr>
          </w:p>
        </w:tc>
      </w:tr>
      <w:tr w:rsidR="002B74B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rPr>
            </w:pPr>
            <w:r>
              <w:rPr>
                <w:rFonts w:ascii="Work Sans" w:hAnsi="Work Sans" w:cs="Arial"/>
                <w:sz w:val="12"/>
                <w:szCs w:val="12"/>
              </w:rPr>
              <w:t>Proyectó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lang w:eastAsia="es-CO"/>
              </w:rPr>
            </w:pPr>
            <w:r>
              <w:rPr>
                <w:rFonts w:ascii="Work Sans" w:hAnsi="Work Sans" w:cs="Arial"/>
                <w:sz w:val="12"/>
                <w:szCs w:val="12"/>
                <w:lang w:eastAsia="es-CO"/>
              </w:rPr>
              <w:t>Carlos Andrés Ortega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lang w:eastAsia="es-CO"/>
              </w:rPr>
            </w:pPr>
            <w:r>
              <w:rPr>
                <w:rFonts w:ascii="Work Sans" w:hAnsi="Work Sans" w:cs="Arial"/>
                <w:sz w:val="12"/>
                <w:szCs w:val="12"/>
                <w:lang w:eastAsia="es-CO"/>
              </w:rPr>
              <w:t>Apoyo Jurídico Vicepresidencia Jurídica</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2B74B7">
            <w:pPr>
              <w:rPr>
                <w:rFonts w:ascii="Work Sans" w:hAnsi="Work Sans" w:cs="Arial"/>
                <w:sz w:val="12"/>
                <w:szCs w:val="12"/>
              </w:rPr>
            </w:pPr>
          </w:p>
        </w:tc>
      </w:tr>
      <w:tr w:rsidR="002B74B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rPr>
            </w:pPr>
            <w:r>
              <w:rPr>
                <w:rFonts w:ascii="Work Sans" w:hAnsi="Work Sans" w:cs="Arial"/>
                <w:sz w:val="12"/>
                <w:szCs w:val="12"/>
              </w:rPr>
              <w:t>Carolina Palacio Montoya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rPr>
              <w:t>Jefe Oficina Asesora de Jurídica, Ministerio de Transporte (E)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2B74B7">
            <w:pPr>
              <w:rPr>
                <w:rFonts w:ascii="Work Sans" w:hAnsi="Work Sans" w:cs="Arial"/>
                <w:sz w:val="12"/>
                <w:szCs w:val="12"/>
              </w:rPr>
            </w:pPr>
          </w:p>
        </w:tc>
      </w:tr>
      <w:tr w:rsidR="002B74B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lang w:eastAsia="es-CO"/>
              </w:rPr>
              <w:t>Sol Ángel Cala Acosta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lang w:eastAsia="es-CO"/>
              </w:rPr>
              <w:t>Asesora Despacho del ministro,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2B74B7">
            <w:pPr>
              <w:rPr>
                <w:rFonts w:ascii="Work Sans" w:hAnsi="Work Sans" w:cs="Arial"/>
                <w:sz w:val="12"/>
                <w:szCs w:val="12"/>
              </w:rPr>
            </w:pPr>
          </w:p>
        </w:tc>
      </w:tr>
      <w:tr w:rsidR="002B74B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lang w:eastAsia="es-CO"/>
              </w:rPr>
              <w:t>Julián Soto Ocampo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lang w:eastAsia="es-CO"/>
              </w:rPr>
              <w:t>Jefe de Oficina de Regulación Económica,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2B74B7">
            <w:pPr>
              <w:rPr>
                <w:rFonts w:ascii="Work Sans" w:hAnsi="Work Sans" w:cs="Arial"/>
                <w:sz w:val="12"/>
                <w:szCs w:val="12"/>
              </w:rPr>
            </w:pPr>
          </w:p>
        </w:tc>
      </w:tr>
      <w:tr w:rsidR="002B74B7">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r>
              <w:rPr>
                <w:rFonts w:ascii="Work Sans" w:hAnsi="Work Sans" w:cs="Arial"/>
                <w:sz w:val="12"/>
                <w:szCs w:val="12"/>
                <w:lang w:eastAsia="es-CO"/>
              </w:rPr>
              <w:t>Magda Paola Suárez Alejo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B74B7" w:rsidRDefault="00000000">
            <w:proofErr w:type="spellStart"/>
            <w:r>
              <w:rPr>
                <w:rFonts w:ascii="Work Sans" w:hAnsi="Work Sans"/>
                <w:sz w:val="12"/>
                <w:szCs w:val="12"/>
              </w:rPr>
              <w:t>Abg</w:t>
            </w:r>
            <w:proofErr w:type="spellEnd"/>
            <w:r>
              <w:rPr>
                <w:rFonts w:ascii="Work Sans" w:hAnsi="Work Sans" w:cs="Arial"/>
                <w:sz w:val="12"/>
                <w:szCs w:val="12"/>
                <w:lang w:eastAsia="es-CO"/>
              </w:rPr>
              <w:t xml:space="preserve"> Grupo de Conceptos, Oficina Asesora de </w:t>
            </w:r>
            <w:proofErr w:type="spellStart"/>
            <w:r>
              <w:rPr>
                <w:rFonts w:ascii="Work Sans" w:hAnsi="Work Sans" w:cs="Arial"/>
                <w:sz w:val="12"/>
                <w:szCs w:val="12"/>
                <w:lang w:eastAsia="es-CO"/>
              </w:rPr>
              <w:t>Juridica</w:t>
            </w:r>
            <w:proofErr w:type="spellEnd"/>
            <w:r>
              <w:rPr>
                <w:rFonts w:ascii="Work Sans" w:hAnsi="Work Sans" w:cs="Arial"/>
                <w:sz w:val="12"/>
                <w:szCs w:val="12"/>
                <w:lang w:eastAsia="es-CO"/>
              </w:rPr>
              <w:t>,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74B7" w:rsidRDefault="002B74B7">
            <w:pPr>
              <w:rPr>
                <w:rFonts w:ascii="Work Sans" w:hAnsi="Work Sans" w:cs="Arial"/>
                <w:sz w:val="12"/>
                <w:szCs w:val="12"/>
              </w:rPr>
            </w:pPr>
          </w:p>
        </w:tc>
      </w:tr>
      <w:bookmarkEnd w:id="4"/>
    </w:tbl>
    <w:p w:rsidR="002B74B7" w:rsidRDefault="002B74B7">
      <w:pPr>
        <w:pStyle w:val="Standard"/>
        <w:rPr>
          <w:lang w:val="es-CO"/>
        </w:rPr>
      </w:pPr>
    </w:p>
    <w:sectPr w:rsidR="002B74B7">
      <w:headerReference w:type="even" r:id="rId10"/>
      <w:headerReference w:type="default" r:id="rId11"/>
      <w:footerReference w:type="even" r:id="rId12"/>
      <w:footerReference w:type="default" r:id="rId13"/>
      <w:headerReference w:type="first" r:id="rId14"/>
      <w:footerReference w:type="first" r:id="rId15"/>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A0B" w:rsidRDefault="001B1A0B">
      <w:r>
        <w:separator/>
      </w:r>
    </w:p>
  </w:endnote>
  <w:endnote w:type="continuationSeparator" w:id="0">
    <w:p w:rsidR="001B1A0B" w:rsidRDefault="001B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ork Sans">
    <w:panose1 w:val="00000800000000000000"/>
    <w:charset w:val="4D"/>
    <w:family w:val="auto"/>
    <w:notTrueType/>
    <w:pitch w:val="variable"/>
    <w:sig w:usb0="20000007" w:usb1="00000001"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4020202020204"/>
    <w:charset w:val="00"/>
    <w:family w:val="swiss"/>
    <w:pitch w:val="variable"/>
  </w:font>
  <w:font w:name="Code3of9">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659" w:rsidRDefault="00FB46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47B" w:rsidRDefault="00000000">
    <w:pPr>
      <w:pStyle w:val="Piedepgina"/>
      <w:jc w:val="center"/>
    </w:pPr>
    <w:r>
      <w:fldChar w:fldCharType="begin"/>
    </w:r>
    <w:r>
      <w:instrText xml:space="preserve"> PAGE </w:instrText>
    </w:r>
    <w:r>
      <w:fldChar w:fldCharType="separate"/>
    </w:r>
    <w:r>
      <w:t>2</w:t>
    </w:r>
    <w:r>
      <w:fldChar w:fldCharType="end"/>
    </w:r>
  </w:p>
  <w:p w:rsidR="0007047B"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659" w:rsidRDefault="00FB4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A0B" w:rsidRDefault="001B1A0B">
      <w:r>
        <w:rPr>
          <w:color w:val="000000"/>
        </w:rPr>
        <w:separator/>
      </w:r>
    </w:p>
  </w:footnote>
  <w:footnote w:type="continuationSeparator" w:id="0">
    <w:p w:rsidR="001B1A0B" w:rsidRDefault="001B1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659" w:rsidRDefault="00FB46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047B" w:rsidRDefault="00000000">
    <w:r>
      <w:rPr>
        <w:noProof/>
        <w:lang w:val="es-CO" w:eastAsia="es-CO" w:bidi="ar-SA"/>
      </w:rPr>
      <w:drawing>
        <wp:inline distT="0" distB="0" distL="0" distR="0">
          <wp:extent cx="2552757" cy="447836"/>
          <wp:effectExtent l="0" t="0" r="0" b="0"/>
          <wp:docPr id="1" name="Imagen 2" descr="C:\Users\cecampos\Downloads\17. Ministerio de Transport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52757" cy="447836"/>
                  </a:xfrm>
                  <a:prstGeom prst="rect">
                    <a:avLst/>
                  </a:prstGeom>
                  <a:noFill/>
                  <a:ln>
                    <a:noFill/>
                    <a:prstDash/>
                  </a:ln>
                </pic:spPr>
              </pic:pic>
            </a:graphicData>
          </a:graphic>
        </wp:inline>
      </w:drawing>
    </w:r>
  </w:p>
  <w:p w:rsidR="0007047B" w:rsidRDefault="00000000">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07047B" w:rsidRDefault="00000000">
    <w:pPr>
      <w:pStyle w:val="Encabezado"/>
      <w:jc w:val="center"/>
    </w:pPr>
    <w:r>
      <w:rPr>
        <w:rFonts w:ascii="Work Sans" w:hAnsi="Work Sans"/>
        <w:sz w:val="20"/>
      </w:rPr>
      <w:t xml:space="preserve">de </w:t>
    </w:r>
    <w:r>
      <w:rPr>
        <w:rFonts w:ascii="Work Sans" w:hAnsi="Work Sans" w:cs="Arial"/>
        <w:sz w:val="20"/>
        <w:lang w:val="es-CO"/>
      </w:rPr>
      <w:t>*F_RAD_S*</w:t>
    </w:r>
  </w:p>
  <w:p w:rsidR="0007047B" w:rsidRDefault="00000000">
    <w:pPr>
      <w:pStyle w:val="Encabezado"/>
      <w:jc w:val="center"/>
      <w:rPr>
        <w:rFonts w:ascii="Code3of9" w:hAnsi="Code3of9" w:cs="Tahoma"/>
        <w:sz w:val="36"/>
        <w:szCs w:val="40"/>
      </w:rPr>
    </w:pPr>
    <w:r>
      <w:rPr>
        <w:rFonts w:ascii="Code3of9" w:hAnsi="Code3of9" w:cs="Tahoma"/>
        <w:sz w:val="36"/>
        <w:szCs w:val="40"/>
      </w:rPr>
      <w:t>**RAD_S**</w:t>
    </w:r>
  </w:p>
  <w:p w:rsidR="0007047B" w:rsidRDefault="00000000">
    <w:pPr>
      <w:widowControl/>
      <w:autoSpaceDE w:val="0"/>
      <w:jc w:val="center"/>
    </w:pPr>
    <w:r>
      <w:rPr>
        <w:rFonts w:ascii="Work Sans" w:hAnsi="Work Sans" w:cs="Courier New"/>
        <w:i/>
        <w:sz w:val="20"/>
        <w:szCs w:val="20"/>
        <w:lang w:bidi="ar-SA"/>
      </w:rPr>
      <w:t xml:space="preserve">“Por la cual se establecen las tarifas a cobrar en las estaciones de peaje denominadas Boquerón I, </w:t>
    </w:r>
    <w:proofErr w:type="spellStart"/>
    <w:r>
      <w:rPr>
        <w:rFonts w:ascii="Work Sans" w:hAnsi="Work Sans" w:cs="Courier New"/>
        <w:i/>
        <w:sz w:val="20"/>
        <w:szCs w:val="20"/>
        <w:lang w:bidi="ar-SA"/>
      </w:rPr>
      <w:t>Boqueron</w:t>
    </w:r>
    <w:proofErr w:type="spellEnd"/>
    <w:r>
      <w:rPr>
        <w:rFonts w:ascii="Work Sans" w:hAnsi="Work Sans" w:cs="Courier New"/>
        <w:i/>
        <w:sz w:val="20"/>
        <w:szCs w:val="20"/>
        <w:lang w:bidi="ar-SA"/>
      </w:rPr>
      <w:t xml:space="preserve"> II, Naranjal y </w:t>
    </w:r>
    <w:proofErr w:type="spellStart"/>
    <w:r>
      <w:rPr>
        <w:rFonts w:ascii="Work Sans" w:hAnsi="Work Sans" w:cs="Courier New"/>
        <w:i/>
        <w:sz w:val="20"/>
        <w:szCs w:val="20"/>
        <w:lang w:bidi="ar-SA"/>
      </w:rPr>
      <w:t>pipiral</w:t>
    </w:r>
    <w:proofErr w:type="spellEnd"/>
    <w:r>
      <w:rPr>
        <w:rFonts w:ascii="Work Sans" w:hAnsi="Work Sans" w:cs="Courier New"/>
        <w:i/>
        <w:sz w:val="20"/>
        <w:szCs w:val="20"/>
        <w:lang w:bidi="ar-SA"/>
      </w:rPr>
      <w:t>, las cuales forman parte del proyecto de asociación público- privada de iniciativa privada: “</w:t>
    </w:r>
    <w:proofErr w:type="spellStart"/>
    <w:r>
      <w:rPr>
        <w:rFonts w:ascii="Work Sans" w:hAnsi="Work Sans" w:cs="Courier New"/>
        <w:i/>
        <w:sz w:val="20"/>
        <w:szCs w:val="20"/>
        <w:lang w:bidi="ar-SA"/>
      </w:rPr>
      <w:t>Chirajara</w:t>
    </w:r>
    <w:proofErr w:type="spellEnd"/>
    <w:r>
      <w:rPr>
        <w:rFonts w:ascii="Work Sans" w:hAnsi="Work Sans" w:cs="Courier New"/>
        <w:i/>
        <w:sz w:val="20"/>
        <w:szCs w:val="20"/>
        <w:lang w:bidi="ar-SA"/>
      </w:rPr>
      <w:t xml:space="preserve"> – intersección Fundadores y se dictan otras disposiciones” </w:t>
    </w:r>
  </w:p>
  <w:p w:rsidR="0007047B" w:rsidRDefault="00000000">
    <w:pPr>
      <w:pStyle w:val="Standard"/>
      <w:autoSpaceDE w:val="0"/>
      <w:rPr>
        <w:rFonts w:ascii="Work Sans" w:hAnsi="Work San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659" w:rsidRDefault="00FB46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924"/>
    <w:multiLevelType w:val="multilevel"/>
    <w:tmpl w:val="F8F0C718"/>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63A1F83"/>
    <w:multiLevelType w:val="multilevel"/>
    <w:tmpl w:val="128037BC"/>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A482891"/>
    <w:multiLevelType w:val="multilevel"/>
    <w:tmpl w:val="0592271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D2F6E54"/>
    <w:multiLevelType w:val="multilevel"/>
    <w:tmpl w:val="9C7E0ABE"/>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FC100FE"/>
    <w:multiLevelType w:val="multilevel"/>
    <w:tmpl w:val="6AA24B8C"/>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195386C"/>
    <w:multiLevelType w:val="multilevel"/>
    <w:tmpl w:val="B2B2D4D2"/>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6393DE1"/>
    <w:multiLevelType w:val="multilevel"/>
    <w:tmpl w:val="50D8CADA"/>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99A51B4"/>
    <w:multiLevelType w:val="multilevel"/>
    <w:tmpl w:val="5B3A11A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15:restartNumberingAfterBreak="0">
    <w:nsid w:val="1B427ACE"/>
    <w:multiLevelType w:val="multilevel"/>
    <w:tmpl w:val="146CF416"/>
    <w:lvl w:ilvl="0">
      <w:start w:val="2"/>
      <w:numFmt w:val="decimal"/>
      <w:lvlText w:val="%1."/>
      <w:lvlJc w:val="left"/>
      <w:pPr>
        <w:ind w:left="360" w:hanging="360"/>
      </w:pPr>
      <w:rPr>
        <w:rFonts w:eastAsia="Arial Narrow"/>
      </w:rPr>
    </w:lvl>
    <w:lvl w:ilvl="1">
      <w:start w:val="2"/>
      <w:numFmt w:val="decimal"/>
      <w:lvlText w:val="%1.%2."/>
      <w:lvlJc w:val="left"/>
      <w:pPr>
        <w:ind w:left="360" w:hanging="360"/>
      </w:pPr>
      <w:rPr>
        <w:rFonts w:eastAsia="Arial Narrow"/>
      </w:rPr>
    </w:lvl>
    <w:lvl w:ilvl="2">
      <w:start w:val="1"/>
      <w:numFmt w:val="decimal"/>
      <w:lvlText w:val="%1.%2.%3."/>
      <w:lvlJc w:val="left"/>
      <w:pPr>
        <w:ind w:left="720" w:hanging="720"/>
      </w:pPr>
      <w:rPr>
        <w:rFonts w:eastAsia="Arial Narrow"/>
      </w:rPr>
    </w:lvl>
    <w:lvl w:ilvl="3">
      <w:start w:val="1"/>
      <w:numFmt w:val="decimal"/>
      <w:lvlText w:val="%1.%2.%3.%4."/>
      <w:lvlJc w:val="left"/>
      <w:pPr>
        <w:ind w:left="720" w:hanging="720"/>
      </w:pPr>
      <w:rPr>
        <w:rFonts w:eastAsia="Arial Narrow"/>
      </w:rPr>
    </w:lvl>
    <w:lvl w:ilvl="4">
      <w:start w:val="1"/>
      <w:numFmt w:val="decimal"/>
      <w:lvlText w:val="%1.%2.%3.%4.%5."/>
      <w:lvlJc w:val="left"/>
      <w:pPr>
        <w:ind w:left="1080" w:hanging="1080"/>
      </w:pPr>
      <w:rPr>
        <w:rFonts w:eastAsia="Arial Narrow"/>
      </w:rPr>
    </w:lvl>
    <w:lvl w:ilvl="5">
      <w:start w:val="1"/>
      <w:numFmt w:val="decimal"/>
      <w:lvlText w:val="%1.%2.%3.%4.%5.%6."/>
      <w:lvlJc w:val="left"/>
      <w:pPr>
        <w:ind w:left="1080" w:hanging="1080"/>
      </w:pPr>
      <w:rPr>
        <w:rFonts w:eastAsia="Arial Narrow"/>
      </w:rPr>
    </w:lvl>
    <w:lvl w:ilvl="6">
      <w:start w:val="1"/>
      <w:numFmt w:val="decimal"/>
      <w:lvlText w:val="%1.%2.%3.%4.%5.%6.%7."/>
      <w:lvlJc w:val="left"/>
      <w:pPr>
        <w:ind w:left="1080" w:hanging="1080"/>
      </w:pPr>
      <w:rPr>
        <w:rFonts w:eastAsia="Arial Narrow"/>
      </w:rPr>
    </w:lvl>
    <w:lvl w:ilvl="7">
      <w:start w:val="1"/>
      <w:numFmt w:val="decimal"/>
      <w:lvlText w:val="%1.%2.%3.%4.%5.%6.%7.%8."/>
      <w:lvlJc w:val="left"/>
      <w:pPr>
        <w:ind w:left="1440" w:hanging="1440"/>
      </w:pPr>
      <w:rPr>
        <w:rFonts w:eastAsia="Arial Narrow"/>
      </w:rPr>
    </w:lvl>
    <w:lvl w:ilvl="8">
      <w:start w:val="1"/>
      <w:numFmt w:val="decimal"/>
      <w:lvlText w:val="%1.%2.%3.%4.%5.%6.%7.%8.%9."/>
      <w:lvlJc w:val="left"/>
      <w:pPr>
        <w:ind w:left="1440" w:hanging="1440"/>
      </w:pPr>
      <w:rPr>
        <w:rFonts w:eastAsia="Arial Narrow"/>
      </w:rPr>
    </w:lvl>
  </w:abstractNum>
  <w:abstractNum w:abstractNumId="9" w15:restartNumberingAfterBreak="0">
    <w:nsid w:val="26431FA4"/>
    <w:multiLevelType w:val="multilevel"/>
    <w:tmpl w:val="264E036C"/>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2DFA7F1A"/>
    <w:multiLevelType w:val="multilevel"/>
    <w:tmpl w:val="D91E0844"/>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2F3F3391"/>
    <w:multiLevelType w:val="multilevel"/>
    <w:tmpl w:val="ED30F12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35356022"/>
    <w:multiLevelType w:val="multilevel"/>
    <w:tmpl w:val="6420B0B4"/>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3591485E"/>
    <w:multiLevelType w:val="multilevel"/>
    <w:tmpl w:val="E236BB3E"/>
    <w:lvl w:ilvl="0">
      <w:start w:val="2"/>
      <w:numFmt w:val="decimal"/>
      <w:lvlText w:val="%1"/>
      <w:lvlJc w:val="left"/>
      <w:pPr>
        <w:ind w:left="435" w:hanging="435"/>
      </w:pPr>
    </w:lvl>
    <w:lvl w:ilvl="1">
      <w:start w:val="3"/>
      <w:numFmt w:val="decimal"/>
      <w:lvlText w:val="%1.%2"/>
      <w:lvlJc w:val="left"/>
      <w:pPr>
        <w:ind w:left="615" w:hanging="435"/>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4" w15:restartNumberingAfterBreak="0">
    <w:nsid w:val="525E2BFA"/>
    <w:multiLevelType w:val="multilevel"/>
    <w:tmpl w:val="B6267F8A"/>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5F53468D"/>
    <w:multiLevelType w:val="multilevel"/>
    <w:tmpl w:val="C97C399E"/>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63A02A77"/>
    <w:multiLevelType w:val="multilevel"/>
    <w:tmpl w:val="BE48646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63FC0C98"/>
    <w:multiLevelType w:val="multilevel"/>
    <w:tmpl w:val="A7F87296"/>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64B77EE2"/>
    <w:multiLevelType w:val="multilevel"/>
    <w:tmpl w:val="DACEBBE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6F6540EA"/>
    <w:multiLevelType w:val="multilevel"/>
    <w:tmpl w:val="104EDCCE"/>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73EE425A"/>
    <w:multiLevelType w:val="multilevel"/>
    <w:tmpl w:val="4C0CC936"/>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D5A4635"/>
    <w:multiLevelType w:val="multilevel"/>
    <w:tmpl w:val="27B472A8"/>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73623415">
    <w:abstractNumId w:val="18"/>
  </w:num>
  <w:num w:numId="2" w16cid:durableId="1450008264">
    <w:abstractNumId w:val="4"/>
  </w:num>
  <w:num w:numId="3" w16cid:durableId="933587038">
    <w:abstractNumId w:val="17"/>
  </w:num>
  <w:num w:numId="4" w16cid:durableId="1067146816">
    <w:abstractNumId w:val="10"/>
  </w:num>
  <w:num w:numId="5" w16cid:durableId="984967725">
    <w:abstractNumId w:val="0"/>
  </w:num>
  <w:num w:numId="6" w16cid:durableId="1889106601">
    <w:abstractNumId w:val="2"/>
  </w:num>
  <w:num w:numId="7" w16cid:durableId="1198008885">
    <w:abstractNumId w:val="1"/>
  </w:num>
  <w:num w:numId="8" w16cid:durableId="1826121621">
    <w:abstractNumId w:val="20"/>
  </w:num>
  <w:num w:numId="9" w16cid:durableId="1387684095">
    <w:abstractNumId w:val="6"/>
  </w:num>
  <w:num w:numId="10" w16cid:durableId="1628274467">
    <w:abstractNumId w:val="15"/>
  </w:num>
  <w:num w:numId="11" w16cid:durableId="1666737070">
    <w:abstractNumId w:val="9"/>
  </w:num>
  <w:num w:numId="12" w16cid:durableId="526137714">
    <w:abstractNumId w:val="14"/>
  </w:num>
  <w:num w:numId="13" w16cid:durableId="1300451423">
    <w:abstractNumId w:val="3"/>
  </w:num>
  <w:num w:numId="14" w16cid:durableId="466775124">
    <w:abstractNumId w:val="5"/>
  </w:num>
  <w:num w:numId="15" w16cid:durableId="442530767">
    <w:abstractNumId w:val="11"/>
  </w:num>
  <w:num w:numId="16" w16cid:durableId="255333663">
    <w:abstractNumId w:val="21"/>
  </w:num>
  <w:num w:numId="17" w16cid:durableId="903292498">
    <w:abstractNumId w:val="19"/>
  </w:num>
  <w:num w:numId="18" w16cid:durableId="349069743">
    <w:abstractNumId w:val="16"/>
  </w:num>
  <w:num w:numId="19" w16cid:durableId="974674085">
    <w:abstractNumId w:val="12"/>
  </w:num>
  <w:num w:numId="20" w16cid:durableId="1317615282">
    <w:abstractNumId w:val="8"/>
  </w:num>
  <w:num w:numId="21" w16cid:durableId="1628390749">
    <w:abstractNumId w:val="7"/>
  </w:num>
  <w:num w:numId="22" w16cid:durableId="14303470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B74B7"/>
    <w:rsid w:val="001B1A0B"/>
    <w:rsid w:val="002B74B7"/>
    <w:rsid w:val="00FB46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docId w15:val="{85DA3112-0EC4-6140-96F9-B184789E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paragraph" w:customStyle="1" w:styleId="pa7">
    <w:name w:val="pa7"/>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default">
    <w:name w:val="default"/>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24">
    <w:name w:val="pa24"/>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a10">
    <w:name w:val="a10"/>
    <w:basedOn w:val="Fuentedeprrafopredeter"/>
  </w:style>
  <w:style w:type="paragraph" w:customStyle="1" w:styleId="pa1">
    <w:name w:val="pa1"/>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36">
    <w:name w:val="pa36"/>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spelle">
    <w:name w:val="spelle"/>
    <w:basedOn w:val="Fuentedeprrafopredete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kern w:val="3"/>
      <w:sz w:val="24"/>
      <w:szCs w:val="21"/>
      <w:lang w:val="es-ES" w:eastAsia="zh-CN" w:bidi="hi-IN"/>
    </w:rP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Resoluciones/Min-Transporte/2013/R6137de2013.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7214</Words>
  <Characters>39680</Characters>
  <Application>Microsoft Office Word</Application>
  <DocSecurity>0</DocSecurity>
  <Lines>330</Lines>
  <Paragraphs>93</Paragraphs>
  <ScaleCrop>false</ScaleCrop>
  <Company/>
  <LinksUpToDate>false</LinksUpToDate>
  <CharactersWithSpaces>46801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Microsoft Office User</cp:lastModifiedBy>
  <cp:revision>2</cp:revision>
  <cp:lastPrinted>2020-04-03T23:17:00Z</cp:lastPrinted>
  <dcterms:created xsi:type="dcterms:W3CDTF">2022-12-29T21:41:00Z</dcterms:created>
  <dcterms:modified xsi:type="dcterms:W3CDTF">2022-12-29T21:41:00Z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