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BD0" w:rsidRPr="00791DEC" w:rsidRDefault="00980BD0" w:rsidP="00980BD0">
      <w:pPr>
        <w:pStyle w:val="Prrafodelista"/>
        <w:numPr>
          <w:ilvl w:val="0"/>
          <w:numId w:val="1"/>
        </w:numPr>
        <w:jc w:val="both"/>
        <w:rPr>
          <w:rFonts w:eastAsia="Times New Roman"/>
          <w:b/>
          <w:bCs/>
          <w:sz w:val="28"/>
          <w:szCs w:val="28"/>
          <w:lang w:val="es-MX"/>
        </w:rPr>
      </w:pPr>
      <w:r w:rsidRPr="00791DEC">
        <w:rPr>
          <w:rFonts w:eastAsia="Times New Roman"/>
          <w:b/>
          <w:bCs/>
          <w:sz w:val="28"/>
          <w:szCs w:val="28"/>
          <w:lang w:val="es-MX"/>
        </w:rPr>
        <w:t>¿Qué hacen con el dinero que reciben por el pago de los peajes?</w:t>
      </w:r>
    </w:p>
    <w:p w:rsidR="00980BD0" w:rsidRDefault="00980BD0" w:rsidP="00980BD0">
      <w:pPr>
        <w:pStyle w:val="Prrafodelista"/>
        <w:jc w:val="both"/>
        <w:rPr>
          <w:rFonts w:eastAsia="Times New Roman"/>
          <w:sz w:val="28"/>
          <w:szCs w:val="28"/>
          <w:lang w:val="es-MX"/>
        </w:rPr>
      </w:pPr>
      <w:proofErr w:type="spellStart"/>
      <w:r>
        <w:rPr>
          <w:rFonts w:eastAsia="Times New Roman"/>
          <w:sz w:val="28"/>
          <w:szCs w:val="28"/>
          <w:lang w:val="es-MX"/>
        </w:rPr>
        <w:t>Rta</w:t>
      </w:r>
      <w:proofErr w:type="spellEnd"/>
      <w:r>
        <w:rPr>
          <w:rFonts w:eastAsia="Times New Roman"/>
          <w:sz w:val="28"/>
          <w:szCs w:val="28"/>
          <w:lang w:val="es-MX"/>
        </w:rPr>
        <w:t xml:space="preserve">. </w:t>
      </w:r>
      <w:r w:rsidR="00791DEC" w:rsidRPr="00791DEC">
        <w:rPr>
          <w:rFonts w:eastAsia="Times New Roman"/>
          <w:sz w:val="28"/>
          <w:szCs w:val="28"/>
          <w:lang w:val="es-MX"/>
        </w:rPr>
        <w:t xml:space="preserve">En los proyectos de Cuarta Generación, durante la etapa de preconstrucción y construcción </w:t>
      </w:r>
      <w:r w:rsidR="002B305E">
        <w:rPr>
          <w:rFonts w:eastAsia="Times New Roman"/>
          <w:sz w:val="28"/>
          <w:szCs w:val="28"/>
          <w:lang w:val="es-MX"/>
        </w:rPr>
        <w:t xml:space="preserve">los recaudos provenientes del pago de peaje, </w:t>
      </w:r>
      <w:r w:rsidR="00791DEC" w:rsidRPr="00791DEC">
        <w:rPr>
          <w:rFonts w:eastAsia="Times New Roman"/>
          <w:sz w:val="28"/>
          <w:szCs w:val="28"/>
          <w:lang w:val="es-MX"/>
        </w:rPr>
        <w:t xml:space="preserve">se consignan en </w:t>
      </w:r>
      <w:r w:rsidR="002B305E">
        <w:rPr>
          <w:rFonts w:eastAsia="Times New Roman"/>
          <w:sz w:val="28"/>
          <w:szCs w:val="28"/>
          <w:lang w:val="es-MX"/>
        </w:rPr>
        <w:t>l</w:t>
      </w:r>
      <w:r w:rsidR="00791DEC" w:rsidRPr="00791DEC">
        <w:rPr>
          <w:rFonts w:eastAsia="Times New Roman"/>
          <w:sz w:val="28"/>
          <w:szCs w:val="28"/>
          <w:lang w:val="es-MX"/>
        </w:rPr>
        <w:t>a Fiducia del proyecto. Una vez el Concesionario haya finalizado</w:t>
      </w:r>
      <w:r w:rsidR="002B305E">
        <w:rPr>
          <w:rFonts w:eastAsia="Times New Roman"/>
          <w:sz w:val="28"/>
          <w:szCs w:val="28"/>
          <w:lang w:val="es-MX"/>
        </w:rPr>
        <w:t xml:space="preserve"> y</w:t>
      </w:r>
      <w:r w:rsidR="00791DEC" w:rsidRPr="00791DEC">
        <w:rPr>
          <w:rFonts w:eastAsia="Times New Roman"/>
          <w:sz w:val="28"/>
          <w:szCs w:val="28"/>
          <w:lang w:val="es-MX"/>
        </w:rPr>
        <w:t xml:space="preserve"> entregado </w:t>
      </w:r>
      <w:r w:rsidR="002B305E">
        <w:rPr>
          <w:rFonts w:eastAsia="Times New Roman"/>
          <w:sz w:val="28"/>
          <w:szCs w:val="28"/>
          <w:lang w:val="es-MX"/>
        </w:rPr>
        <w:t xml:space="preserve">las obras </w:t>
      </w:r>
      <w:r w:rsidR="00791DEC" w:rsidRPr="00791DEC">
        <w:rPr>
          <w:rFonts w:eastAsia="Times New Roman"/>
          <w:sz w:val="28"/>
          <w:szCs w:val="28"/>
          <w:lang w:val="es-MX"/>
        </w:rPr>
        <w:t xml:space="preserve">y </w:t>
      </w:r>
      <w:r w:rsidR="002B305E">
        <w:rPr>
          <w:rFonts w:eastAsia="Times New Roman"/>
          <w:sz w:val="28"/>
          <w:szCs w:val="28"/>
          <w:lang w:val="es-MX"/>
        </w:rPr>
        <w:t>cuente con</w:t>
      </w:r>
      <w:r w:rsidR="00791DEC" w:rsidRPr="00791DEC">
        <w:rPr>
          <w:rFonts w:eastAsia="Times New Roman"/>
          <w:sz w:val="28"/>
          <w:szCs w:val="28"/>
          <w:lang w:val="es-MX"/>
        </w:rPr>
        <w:t xml:space="preserve"> el recibo de Interventoría y ANI</w:t>
      </w:r>
      <w:r w:rsidR="002B305E">
        <w:rPr>
          <w:rFonts w:eastAsia="Times New Roman"/>
          <w:sz w:val="28"/>
          <w:szCs w:val="28"/>
          <w:lang w:val="es-MX"/>
        </w:rPr>
        <w:t xml:space="preserve">, </w:t>
      </w:r>
      <w:r w:rsidR="00791DEC" w:rsidRPr="00791DEC">
        <w:rPr>
          <w:rFonts w:eastAsia="Times New Roman"/>
          <w:sz w:val="28"/>
          <w:szCs w:val="28"/>
          <w:lang w:val="es-MX"/>
        </w:rPr>
        <w:t>tiene derecho al acumulado correspondiente a la Unidad Funcional</w:t>
      </w:r>
      <w:r w:rsidR="002B305E">
        <w:rPr>
          <w:rFonts w:eastAsia="Times New Roman"/>
          <w:sz w:val="28"/>
          <w:szCs w:val="28"/>
          <w:lang w:val="es-MX"/>
        </w:rPr>
        <w:t>,</w:t>
      </w:r>
      <w:r w:rsidR="00791DEC" w:rsidRPr="00791DEC">
        <w:rPr>
          <w:rFonts w:eastAsia="Times New Roman"/>
          <w:sz w:val="28"/>
          <w:szCs w:val="28"/>
          <w:lang w:val="es-MX"/>
        </w:rPr>
        <w:t xml:space="preserve"> a partir de esa fecha recibe el proporcional del recaudo de peajes como retribución por las obras ejecutadas, la operación y mantenimiento de estas.</w:t>
      </w:r>
    </w:p>
    <w:p w:rsidR="00980BD0" w:rsidRDefault="00980BD0" w:rsidP="00980BD0">
      <w:pPr>
        <w:pStyle w:val="Prrafodelista"/>
        <w:jc w:val="both"/>
        <w:rPr>
          <w:rFonts w:eastAsia="Times New Roman"/>
          <w:sz w:val="28"/>
          <w:szCs w:val="28"/>
          <w:lang w:val="es-MX"/>
        </w:rPr>
      </w:pPr>
    </w:p>
    <w:p w:rsidR="00980BD0" w:rsidRPr="00791DEC" w:rsidRDefault="00980BD0" w:rsidP="00980BD0">
      <w:pPr>
        <w:pStyle w:val="Prrafodelista"/>
        <w:numPr>
          <w:ilvl w:val="0"/>
          <w:numId w:val="1"/>
        </w:numPr>
        <w:jc w:val="both"/>
        <w:rPr>
          <w:rFonts w:eastAsia="Times New Roman"/>
          <w:b/>
          <w:bCs/>
          <w:sz w:val="28"/>
          <w:szCs w:val="28"/>
          <w:lang w:val="es-MX"/>
        </w:rPr>
      </w:pPr>
      <w:r w:rsidRPr="00791DEC">
        <w:rPr>
          <w:rFonts w:eastAsia="Times New Roman"/>
          <w:b/>
          <w:bCs/>
          <w:sz w:val="28"/>
          <w:szCs w:val="28"/>
          <w:lang w:val="es-MX"/>
        </w:rPr>
        <w:t>¿Cómo se distribuye el dinero que se recibe como pago en los peajes?</w:t>
      </w:r>
    </w:p>
    <w:p w:rsidR="00980BD0" w:rsidRDefault="00980BD0" w:rsidP="00980BD0">
      <w:pPr>
        <w:pStyle w:val="Prrafodelista"/>
        <w:jc w:val="both"/>
        <w:rPr>
          <w:rFonts w:eastAsia="Times New Roman"/>
          <w:sz w:val="28"/>
          <w:szCs w:val="28"/>
          <w:lang w:val="es-MX"/>
        </w:rPr>
      </w:pPr>
      <w:proofErr w:type="spellStart"/>
      <w:r>
        <w:rPr>
          <w:rFonts w:eastAsia="Times New Roman"/>
          <w:sz w:val="28"/>
          <w:szCs w:val="28"/>
          <w:lang w:val="es-MX"/>
        </w:rPr>
        <w:t>Rta</w:t>
      </w:r>
      <w:proofErr w:type="spellEnd"/>
      <w:r>
        <w:rPr>
          <w:rFonts w:eastAsia="Times New Roman"/>
          <w:sz w:val="28"/>
          <w:szCs w:val="28"/>
          <w:lang w:val="es-MX"/>
        </w:rPr>
        <w:t xml:space="preserve">. </w:t>
      </w:r>
      <w:r w:rsidR="00E45C35">
        <w:rPr>
          <w:rFonts w:eastAsia="Times New Roman"/>
          <w:sz w:val="28"/>
          <w:szCs w:val="28"/>
          <w:lang w:val="es-MX"/>
        </w:rPr>
        <w:t>S</w:t>
      </w:r>
      <w:r w:rsidR="002B305E">
        <w:rPr>
          <w:rFonts w:eastAsia="Times New Roman"/>
          <w:sz w:val="28"/>
          <w:szCs w:val="28"/>
          <w:lang w:val="es-MX"/>
        </w:rPr>
        <w:t xml:space="preserve">egún la categoría, </w:t>
      </w:r>
      <w:r w:rsidR="00791DEC" w:rsidRPr="00791DEC">
        <w:rPr>
          <w:rFonts w:eastAsia="Times New Roman"/>
          <w:sz w:val="28"/>
          <w:szCs w:val="28"/>
          <w:lang w:val="es-MX"/>
        </w:rPr>
        <w:t xml:space="preserve">$200 </w:t>
      </w:r>
      <w:r w:rsidR="00E45C35">
        <w:rPr>
          <w:rFonts w:eastAsia="Times New Roman"/>
          <w:sz w:val="28"/>
          <w:szCs w:val="28"/>
          <w:lang w:val="es-MX"/>
        </w:rPr>
        <w:t>de</w:t>
      </w:r>
      <w:r w:rsidR="00791DEC" w:rsidRPr="00791DEC">
        <w:rPr>
          <w:rFonts w:eastAsia="Times New Roman"/>
          <w:sz w:val="28"/>
          <w:szCs w:val="28"/>
          <w:lang w:val="es-MX"/>
        </w:rPr>
        <w:t xml:space="preserve"> cada vehículo que pasa por los peajes son destinados al Fondo de Seguridad Vial, el restante se distribuye de acuerdo con el peso porcentual de cada una de las Unidades Funcionales en las que está dividido el proyecto y se entrega el acumulado al Concesionario cuando se firma el Acta de Terminación de la correspondiente Unidad Funcional</w:t>
      </w:r>
      <w:r w:rsidR="00E45C35">
        <w:rPr>
          <w:rFonts w:eastAsia="Times New Roman"/>
          <w:sz w:val="28"/>
          <w:szCs w:val="28"/>
          <w:lang w:val="es-MX"/>
        </w:rPr>
        <w:t>,</w:t>
      </w:r>
      <w:r w:rsidR="00791DEC" w:rsidRPr="00791DEC">
        <w:rPr>
          <w:rFonts w:eastAsia="Times New Roman"/>
          <w:sz w:val="28"/>
          <w:szCs w:val="28"/>
          <w:lang w:val="es-MX"/>
        </w:rPr>
        <w:t xml:space="preserve"> a partir de esa fecha el mismo porcentaje del recaudo de todos los peajes se entrega al Concesionario como retribución por las obras ejecutadas, la operación y mantenimiento de las mismas.</w:t>
      </w:r>
    </w:p>
    <w:p w:rsidR="00980BD0" w:rsidRDefault="00980BD0" w:rsidP="00980BD0">
      <w:pPr>
        <w:pStyle w:val="Prrafodelista"/>
        <w:jc w:val="both"/>
        <w:rPr>
          <w:rFonts w:eastAsia="Times New Roman"/>
          <w:sz w:val="28"/>
          <w:szCs w:val="28"/>
          <w:lang w:val="es-MX"/>
        </w:rPr>
      </w:pPr>
    </w:p>
    <w:p w:rsidR="00980BD0" w:rsidRPr="00791DEC" w:rsidRDefault="00980BD0" w:rsidP="00980BD0">
      <w:pPr>
        <w:pStyle w:val="Prrafodelista"/>
        <w:numPr>
          <w:ilvl w:val="0"/>
          <w:numId w:val="1"/>
        </w:numPr>
        <w:jc w:val="both"/>
        <w:rPr>
          <w:rFonts w:eastAsia="Times New Roman"/>
          <w:b/>
          <w:bCs/>
          <w:lang w:val="es-MX"/>
        </w:rPr>
      </w:pPr>
      <w:r w:rsidRPr="00791DEC">
        <w:rPr>
          <w:rFonts w:eastAsia="Times New Roman"/>
          <w:b/>
          <w:bCs/>
          <w:sz w:val="28"/>
          <w:szCs w:val="28"/>
          <w:lang w:val="es-MX"/>
        </w:rPr>
        <w:t>¿A quién le corresponde realizar labores de iluminación y señalización en las vías?</w:t>
      </w:r>
    </w:p>
    <w:p w:rsidR="00980BD0" w:rsidRDefault="00980BD0" w:rsidP="00980BD0">
      <w:pPr>
        <w:pStyle w:val="Prrafodelista"/>
        <w:jc w:val="both"/>
        <w:rPr>
          <w:rFonts w:eastAsia="Times New Roman"/>
          <w:sz w:val="28"/>
          <w:szCs w:val="28"/>
          <w:lang w:val="es-MX"/>
        </w:rPr>
      </w:pPr>
      <w:proofErr w:type="spellStart"/>
      <w:r>
        <w:rPr>
          <w:rFonts w:eastAsia="Times New Roman"/>
          <w:sz w:val="28"/>
          <w:szCs w:val="28"/>
          <w:lang w:val="es-MX"/>
        </w:rPr>
        <w:t>Rta</w:t>
      </w:r>
      <w:proofErr w:type="spellEnd"/>
      <w:r>
        <w:rPr>
          <w:rFonts w:eastAsia="Times New Roman"/>
          <w:sz w:val="28"/>
          <w:szCs w:val="28"/>
          <w:lang w:val="es-MX"/>
        </w:rPr>
        <w:t>. En las vías que han sido concesionadas</w:t>
      </w:r>
      <w:r w:rsidR="00265847">
        <w:rPr>
          <w:rFonts w:eastAsia="Times New Roman"/>
          <w:sz w:val="28"/>
          <w:szCs w:val="28"/>
          <w:lang w:val="es-MX"/>
        </w:rPr>
        <w:t>, es responsabilidad de cada uno de los Concesionarios garantizar la adecuada iluminación en cada uno de los sitios que se mencionan a continuación:</w:t>
      </w:r>
    </w:p>
    <w:p w:rsidR="00265847" w:rsidRPr="00265847" w:rsidRDefault="00265847" w:rsidP="00265847">
      <w:pPr>
        <w:pStyle w:val="Prrafodelista"/>
        <w:numPr>
          <w:ilvl w:val="0"/>
          <w:numId w:val="2"/>
        </w:numPr>
        <w:jc w:val="both"/>
        <w:rPr>
          <w:rFonts w:eastAsia="Times New Roman"/>
          <w:sz w:val="28"/>
          <w:szCs w:val="28"/>
          <w:lang w:val="es-MX"/>
        </w:rPr>
      </w:pPr>
      <w:r w:rsidRPr="00265847">
        <w:rPr>
          <w:rFonts w:eastAsia="Times New Roman"/>
          <w:sz w:val="28"/>
          <w:szCs w:val="28"/>
          <w:lang w:val="es-MX"/>
        </w:rPr>
        <w:t>Estaciones de Pesaje</w:t>
      </w:r>
      <w:r w:rsidR="00791DEC">
        <w:rPr>
          <w:rFonts w:eastAsia="Times New Roman"/>
          <w:sz w:val="28"/>
          <w:szCs w:val="28"/>
          <w:lang w:val="es-MX"/>
        </w:rPr>
        <w:t>.</w:t>
      </w:r>
    </w:p>
    <w:p w:rsidR="00265847" w:rsidRPr="00265847" w:rsidRDefault="00265847" w:rsidP="00265847">
      <w:pPr>
        <w:pStyle w:val="Prrafodelista"/>
        <w:numPr>
          <w:ilvl w:val="0"/>
          <w:numId w:val="2"/>
        </w:numPr>
        <w:jc w:val="both"/>
        <w:rPr>
          <w:rFonts w:eastAsia="Times New Roman"/>
          <w:sz w:val="28"/>
          <w:szCs w:val="28"/>
          <w:lang w:val="es-MX"/>
        </w:rPr>
      </w:pPr>
      <w:r w:rsidRPr="00265847">
        <w:rPr>
          <w:rFonts w:eastAsia="Times New Roman"/>
          <w:sz w:val="28"/>
          <w:szCs w:val="28"/>
          <w:lang w:val="es-MX"/>
        </w:rPr>
        <w:t>Estaciones de Peaje</w:t>
      </w:r>
      <w:r w:rsidR="00791DEC">
        <w:rPr>
          <w:rFonts w:eastAsia="Times New Roman"/>
          <w:sz w:val="28"/>
          <w:szCs w:val="28"/>
          <w:lang w:val="es-MX"/>
        </w:rPr>
        <w:t>.</w:t>
      </w:r>
    </w:p>
    <w:p w:rsidR="00265847" w:rsidRPr="00265847" w:rsidRDefault="00265847" w:rsidP="00265847">
      <w:pPr>
        <w:pStyle w:val="Prrafodelista"/>
        <w:numPr>
          <w:ilvl w:val="0"/>
          <w:numId w:val="2"/>
        </w:numPr>
        <w:jc w:val="both"/>
        <w:rPr>
          <w:rFonts w:eastAsia="Times New Roman"/>
          <w:sz w:val="28"/>
          <w:szCs w:val="28"/>
          <w:lang w:val="es-MX"/>
        </w:rPr>
      </w:pPr>
      <w:r w:rsidRPr="00265847">
        <w:rPr>
          <w:rFonts w:eastAsia="Times New Roman"/>
          <w:sz w:val="28"/>
          <w:szCs w:val="28"/>
          <w:lang w:val="es-MX"/>
        </w:rPr>
        <w:t>Centros de Control y Operación (CCO)</w:t>
      </w:r>
      <w:r w:rsidR="00791DEC">
        <w:rPr>
          <w:rFonts w:eastAsia="Times New Roman"/>
          <w:sz w:val="28"/>
          <w:szCs w:val="28"/>
          <w:lang w:val="es-MX"/>
        </w:rPr>
        <w:t>.</w:t>
      </w:r>
    </w:p>
    <w:p w:rsidR="00265847" w:rsidRPr="00265847" w:rsidRDefault="00265847" w:rsidP="00265847">
      <w:pPr>
        <w:pStyle w:val="Prrafodelista"/>
        <w:numPr>
          <w:ilvl w:val="0"/>
          <w:numId w:val="2"/>
        </w:numPr>
        <w:jc w:val="both"/>
        <w:rPr>
          <w:rFonts w:eastAsia="Times New Roman"/>
          <w:sz w:val="28"/>
          <w:szCs w:val="28"/>
          <w:lang w:val="es-MX"/>
        </w:rPr>
      </w:pPr>
      <w:r w:rsidRPr="00265847">
        <w:rPr>
          <w:rFonts w:eastAsia="Times New Roman"/>
          <w:sz w:val="28"/>
          <w:szCs w:val="28"/>
          <w:lang w:val="es-MX"/>
        </w:rPr>
        <w:t>Intersecciones a nivel y desnivel</w:t>
      </w:r>
      <w:r w:rsidR="00791DEC">
        <w:rPr>
          <w:rFonts w:eastAsia="Times New Roman"/>
          <w:sz w:val="28"/>
          <w:szCs w:val="28"/>
          <w:lang w:val="es-MX"/>
        </w:rPr>
        <w:t>.</w:t>
      </w:r>
    </w:p>
    <w:p w:rsidR="00265847" w:rsidRPr="00265847" w:rsidRDefault="00265847" w:rsidP="00265847">
      <w:pPr>
        <w:pStyle w:val="Prrafodelista"/>
        <w:numPr>
          <w:ilvl w:val="0"/>
          <w:numId w:val="2"/>
        </w:numPr>
        <w:jc w:val="both"/>
        <w:rPr>
          <w:rFonts w:eastAsia="Times New Roman"/>
          <w:sz w:val="28"/>
          <w:szCs w:val="28"/>
          <w:lang w:val="es-MX"/>
        </w:rPr>
      </w:pPr>
      <w:r w:rsidRPr="00265847">
        <w:rPr>
          <w:rFonts w:eastAsia="Times New Roman"/>
          <w:sz w:val="28"/>
          <w:szCs w:val="28"/>
          <w:lang w:val="es-MX"/>
        </w:rPr>
        <w:t>Paraderos y Puentes Peatonales, y</w:t>
      </w:r>
    </w:p>
    <w:p w:rsidR="00265847" w:rsidRDefault="00265847" w:rsidP="00265847">
      <w:pPr>
        <w:pStyle w:val="Prrafodelista"/>
        <w:numPr>
          <w:ilvl w:val="0"/>
          <w:numId w:val="2"/>
        </w:numPr>
        <w:jc w:val="both"/>
        <w:rPr>
          <w:rFonts w:eastAsia="Times New Roman"/>
          <w:sz w:val="28"/>
          <w:szCs w:val="28"/>
          <w:lang w:val="es-MX"/>
        </w:rPr>
      </w:pPr>
      <w:r w:rsidRPr="00265847">
        <w:rPr>
          <w:rFonts w:eastAsia="Times New Roman"/>
          <w:sz w:val="28"/>
          <w:szCs w:val="28"/>
          <w:lang w:val="es-MX"/>
        </w:rPr>
        <w:t>Áreas de servicio de la vía</w:t>
      </w:r>
      <w:r w:rsidR="00791DEC">
        <w:rPr>
          <w:rFonts w:eastAsia="Times New Roman"/>
          <w:sz w:val="28"/>
          <w:szCs w:val="28"/>
          <w:lang w:val="es-MX"/>
        </w:rPr>
        <w:t>.</w:t>
      </w:r>
    </w:p>
    <w:p w:rsidR="00791DEC" w:rsidRPr="00791DEC" w:rsidRDefault="00791DEC" w:rsidP="00791DEC">
      <w:pPr>
        <w:ind w:left="708"/>
        <w:jc w:val="both"/>
        <w:rPr>
          <w:rFonts w:eastAsia="Times New Roman"/>
          <w:sz w:val="28"/>
          <w:szCs w:val="28"/>
          <w:lang w:val="es-MX"/>
        </w:rPr>
      </w:pPr>
      <w:r>
        <w:rPr>
          <w:rFonts w:eastAsia="Times New Roman"/>
          <w:sz w:val="28"/>
          <w:szCs w:val="28"/>
          <w:lang w:val="es-MX"/>
        </w:rPr>
        <w:t>Para las demás zonas que no se incluyen en el listado anterior, la responsabilidad de la iluminación recae en las alcaldías locales.</w:t>
      </w:r>
    </w:p>
    <w:p w:rsidR="00265847" w:rsidRDefault="00265847" w:rsidP="00265847">
      <w:pPr>
        <w:pStyle w:val="Prrafodelista"/>
        <w:ind w:left="1440"/>
        <w:jc w:val="both"/>
        <w:rPr>
          <w:rFonts w:eastAsia="Times New Roman"/>
          <w:sz w:val="28"/>
          <w:szCs w:val="28"/>
          <w:lang w:val="es-MX"/>
        </w:rPr>
      </w:pPr>
    </w:p>
    <w:p w:rsidR="00265847" w:rsidRPr="00265847" w:rsidRDefault="00265847" w:rsidP="00791DEC">
      <w:pPr>
        <w:ind w:left="720"/>
        <w:jc w:val="both"/>
        <w:rPr>
          <w:rFonts w:eastAsia="Times New Roman"/>
          <w:sz w:val="28"/>
          <w:szCs w:val="28"/>
          <w:lang w:val="es-MX"/>
        </w:rPr>
      </w:pPr>
      <w:r>
        <w:rPr>
          <w:rFonts w:eastAsia="Times New Roman"/>
          <w:sz w:val="28"/>
          <w:szCs w:val="28"/>
          <w:lang w:val="es-MX"/>
        </w:rPr>
        <w:t xml:space="preserve">En cuanto a la señalización vertical y demarcación horizontal, </w:t>
      </w:r>
      <w:r w:rsidR="00791DEC">
        <w:rPr>
          <w:rFonts w:eastAsia="Times New Roman"/>
          <w:sz w:val="28"/>
          <w:szCs w:val="28"/>
          <w:lang w:val="es-MX"/>
        </w:rPr>
        <w:t>cada</w:t>
      </w:r>
      <w:r w:rsidR="00791DEC" w:rsidRPr="00791DEC">
        <w:rPr>
          <w:rFonts w:eastAsia="Times New Roman"/>
          <w:sz w:val="28"/>
          <w:szCs w:val="28"/>
          <w:lang w:val="es-MX"/>
        </w:rPr>
        <w:t xml:space="preserve"> Concesionario deberá asegurar, durante toda la vigencia del Contrato y </w:t>
      </w:r>
      <w:r w:rsidR="00791DEC" w:rsidRPr="00791DEC">
        <w:rPr>
          <w:rFonts w:eastAsia="Times New Roman"/>
          <w:sz w:val="28"/>
          <w:szCs w:val="28"/>
          <w:lang w:val="es-MX"/>
        </w:rPr>
        <w:lastRenderedPageBreak/>
        <w:t>en todo momento, con los Índices de Estándares de Calidad del Apéndice Técnico 4, tanto de la señalización horizontal como de la señalización vertical, cumpliendo con las normas vigentes, incluyendo sin limitación al Manual de Señalización Vial del Ministerio de Transporte última versión según se modifique o adicione de tiempo en tiempo y con otras normas referidas a materiales utilizados, reflectividad y limpieza.</w:t>
      </w:r>
    </w:p>
    <w:p w:rsidR="0043735A" w:rsidRDefault="0043735A" w:rsidP="00980BD0">
      <w:pPr>
        <w:jc w:val="both"/>
      </w:pPr>
    </w:p>
    <w:p w:rsidR="00FF4C90" w:rsidRPr="00234D65" w:rsidRDefault="00FF4C90" w:rsidP="00FF4C90">
      <w:pPr>
        <w:rPr>
          <w:b/>
        </w:rPr>
      </w:pPr>
      <w:r w:rsidRPr="00D23E01">
        <w:rPr>
          <w:b/>
          <w:lang w:val="es-MX"/>
        </w:rPr>
        <w:t>¿A qué se debe la demora en el pago de predios?</w:t>
      </w:r>
    </w:p>
    <w:p w:rsidR="00FF4C90" w:rsidRDefault="00FF4C90" w:rsidP="00FF4C90">
      <w:pPr>
        <w:pStyle w:val="Sinespaciado"/>
        <w:jc w:val="both"/>
      </w:pPr>
      <w:r>
        <w:t>Para dar respuesta a esta pregunta, resulta necesaria realizar una sucinta explicación sobre el procedimiento para pagos de predios en la ANI, así:</w:t>
      </w:r>
    </w:p>
    <w:p w:rsidR="00FF4C90" w:rsidRDefault="00FF4C90" w:rsidP="00FF4C90">
      <w:pPr>
        <w:pStyle w:val="Sinespaciado"/>
        <w:jc w:val="both"/>
      </w:pPr>
    </w:p>
    <w:p w:rsidR="00FF4C90" w:rsidRDefault="00FF4C90" w:rsidP="00FF4C90">
      <w:pPr>
        <w:pStyle w:val="Sinespaciado"/>
        <w:jc w:val="both"/>
      </w:pPr>
      <w:r>
        <w:t>En el curso del procedimiento de Adquisición Predial previsto en el Contrato de Concesión; el apéndice técnico 7 y las demás normas que lo regulan se surten varios hechos generadores de pagos derivados de la gestión predial, unos que realiza el concesionario y otros que se hacen por conducto de la ANI, de la siguiente manera:</w:t>
      </w:r>
    </w:p>
    <w:p w:rsidR="00FF4C90" w:rsidRDefault="00FF4C90" w:rsidP="00FF4C90">
      <w:pPr>
        <w:pStyle w:val="Sinespaciado"/>
      </w:pPr>
    </w:p>
    <w:p w:rsidR="00FF4C90" w:rsidRDefault="00FF4C90" w:rsidP="00FF4C90">
      <w:pPr>
        <w:pStyle w:val="Sinespaciado"/>
        <w:numPr>
          <w:ilvl w:val="0"/>
          <w:numId w:val="6"/>
        </w:numPr>
        <w:rPr>
          <w:b/>
        </w:rPr>
      </w:pPr>
      <w:r w:rsidRPr="006754E4">
        <w:rPr>
          <w:b/>
        </w:rPr>
        <w:t>PAGO</w:t>
      </w:r>
      <w:r>
        <w:rPr>
          <w:b/>
        </w:rPr>
        <w:t>S</w:t>
      </w:r>
      <w:r w:rsidRPr="006754E4">
        <w:rPr>
          <w:b/>
        </w:rPr>
        <w:t xml:space="preserve"> A CARGO DEL CONCESIONARIO</w:t>
      </w:r>
      <w:r>
        <w:rPr>
          <w:b/>
        </w:rPr>
        <w:t>:</w:t>
      </w:r>
    </w:p>
    <w:p w:rsidR="00FF4C90" w:rsidRDefault="00FF4C90" w:rsidP="00FF4C90">
      <w:pPr>
        <w:pStyle w:val="Sinespaciado"/>
      </w:pPr>
    </w:p>
    <w:p w:rsidR="00FF4C90" w:rsidRPr="00B32B81" w:rsidRDefault="00FF4C90" w:rsidP="00FF4C90">
      <w:pPr>
        <w:pStyle w:val="Sinespaciado"/>
        <w:jc w:val="both"/>
      </w:pPr>
      <w:r w:rsidRPr="00B32B81">
        <w:t xml:space="preserve">En los proyectos donde la Gestión Predial </w:t>
      </w:r>
      <w:r>
        <w:t>se encuentra d</w:t>
      </w:r>
      <w:r w:rsidRPr="00B32B81">
        <w:t>elegada en el Concesionario (4G) el tema asociado a pagos de predios, compensaciones sociales y expropiaciones se encuentra radicado</w:t>
      </w:r>
      <w:r>
        <w:t xml:space="preserve"> </w:t>
      </w:r>
      <w:r w:rsidRPr="00B32B81">
        <w:t>contractualmente en cabeza del Concesionario, quien es el encargado de expedir las respectivas Ordenes de Operación para poder atender dichos pagos.</w:t>
      </w:r>
    </w:p>
    <w:p w:rsidR="00FF4C90" w:rsidRPr="00B32B81" w:rsidRDefault="00FF4C90" w:rsidP="00FF4C90">
      <w:pPr>
        <w:pStyle w:val="Sinespaciado"/>
      </w:pPr>
    </w:p>
    <w:p w:rsidR="00FF4C90" w:rsidRPr="00B32B81" w:rsidRDefault="00FF4C90" w:rsidP="00FF4C90">
      <w:pPr>
        <w:pStyle w:val="Sinespaciado"/>
        <w:jc w:val="both"/>
      </w:pPr>
      <w:r w:rsidRPr="00B32B81">
        <w:t>En este caso, el procedimiento de pagos de este tipo se carga a la SUBCUENTA PREDIAL que es una de las Cuentas del respectivo Patrimonio Autónomo del Proyecto, la cual es manejada “únicamente” por el Concesionario y sobre la cual la ANI se encarga de realizar la debida vigilancia, control y seguimiento con apoyo del Estamento Interventor.</w:t>
      </w:r>
    </w:p>
    <w:p w:rsidR="00FF4C90" w:rsidRPr="00B32B81" w:rsidRDefault="00FF4C90" w:rsidP="00FF4C90">
      <w:pPr>
        <w:pStyle w:val="Sinespaciado"/>
      </w:pPr>
    </w:p>
    <w:p w:rsidR="00FF4C90" w:rsidRDefault="00FF4C90" w:rsidP="00FF4C90">
      <w:pPr>
        <w:pStyle w:val="Sinespaciado"/>
        <w:jc w:val="both"/>
        <w:rPr>
          <w:lang w:val="es-ES_tradnl"/>
        </w:rPr>
      </w:pPr>
      <w:r>
        <w:rPr>
          <w:lang w:val="es-ES_tradnl"/>
        </w:rPr>
        <w:t>Así las cosas, en este procedimiento intervienen 3 partes responsables:</w:t>
      </w:r>
    </w:p>
    <w:p w:rsidR="00FF4C90" w:rsidRDefault="00FF4C90" w:rsidP="00FF4C90">
      <w:pPr>
        <w:pStyle w:val="Sinespaciado"/>
        <w:jc w:val="both"/>
        <w:rPr>
          <w:lang w:val="es-ES_tradnl"/>
        </w:rPr>
      </w:pPr>
    </w:p>
    <w:p w:rsidR="00FF4C90" w:rsidRDefault="00FF4C90" w:rsidP="00FF4C90">
      <w:pPr>
        <w:pStyle w:val="Sinespaciado"/>
        <w:numPr>
          <w:ilvl w:val="0"/>
          <w:numId w:val="5"/>
        </w:numPr>
        <w:jc w:val="both"/>
        <w:rPr>
          <w:lang w:val="es-ES_tradnl"/>
        </w:rPr>
      </w:pPr>
      <w:r w:rsidRPr="000A0CEF">
        <w:rPr>
          <w:lang w:val="es-ES_tradnl"/>
        </w:rPr>
        <w:t>El propietario del Predio, beneficiario del pago y/o Autorizados (Quienes le corresponde adjunta</w:t>
      </w:r>
      <w:r>
        <w:rPr>
          <w:lang w:val="es-ES_tradnl"/>
        </w:rPr>
        <w:t>r</w:t>
      </w:r>
      <w:r w:rsidRPr="000A0CEF">
        <w:rPr>
          <w:lang w:val="es-ES_tradnl"/>
        </w:rPr>
        <w:t xml:space="preserve"> y/o aportar los documentos para poder gestionar los pagos)</w:t>
      </w:r>
    </w:p>
    <w:p w:rsidR="00FF4C90" w:rsidRDefault="00FF4C90" w:rsidP="00FF4C90">
      <w:pPr>
        <w:pStyle w:val="Sinespaciado"/>
        <w:numPr>
          <w:ilvl w:val="0"/>
          <w:numId w:val="5"/>
        </w:numPr>
        <w:jc w:val="both"/>
        <w:rPr>
          <w:lang w:val="es-ES_tradnl"/>
        </w:rPr>
      </w:pPr>
      <w:r w:rsidRPr="000A0CEF">
        <w:rPr>
          <w:lang w:val="es-ES_tradnl"/>
        </w:rPr>
        <w:t>El Concesionario (Quien emite las respectivas Ordenes de Pago a la Fiduciaria para tramitar pagos)</w:t>
      </w:r>
    </w:p>
    <w:p w:rsidR="00FF4C90" w:rsidRDefault="00FF4C90" w:rsidP="00FF4C90">
      <w:pPr>
        <w:pStyle w:val="Sinespaciado"/>
        <w:numPr>
          <w:ilvl w:val="0"/>
          <w:numId w:val="5"/>
        </w:numPr>
        <w:jc w:val="both"/>
        <w:rPr>
          <w:lang w:val="es-ES_tradnl"/>
        </w:rPr>
      </w:pPr>
      <w:r w:rsidRPr="000A0CEF">
        <w:rPr>
          <w:lang w:val="es-ES_tradnl"/>
        </w:rPr>
        <w:t>La Fiduciaria (Quien se encarga de administrar los recursos, validar soportes documentales del pago y hacer los desembolsos con cargo a la Subcuenta Predial a los beneficiarios)</w:t>
      </w:r>
    </w:p>
    <w:p w:rsidR="00FF4C90" w:rsidRPr="000A0CEF" w:rsidRDefault="00FF4C90" w:rsidP="00FF4C90">
      <w:pPr>
        <w:pStyle w:val="Sinespaciado"/>
        <w:numPr>
          <w:ilvl w:val="0"/>
          <w:numId w:val="5"/>
        </w:numPr>
        <w:jc w:val="both"/>
        <w:rPr>
          <w:lang w:val="es-ES_tradnl"/>
        </w:rPr>
      </w:pPr>
      <w:r w:rsidRPr="000A0CEF">
        <w:rPr>
          <w:lang w:val="es-ES_tradnl"/>
        </w:rPr>
        <w:t>La ANI e Interventorías (Quienes vigilan y hacen seguimiento a dichos pagos)</w:t>
      </w:r>
    </w:p>
    <w:p w:rsidR="00FF4C90" w:rsidRPr="00104AFA" w:rsidRDefault="00FF4C90" w:rsidP="00FF4C90">
      <w:pPr>
        <w:pStyle w:val="Sinespaciado"/>
        <w:jc w:val="both"/>
        <w:rPr>
          <w:b/>
          <w:lang w:val="es-ES_tradnl"/>
        </w:rPr>
      </w:pPr>
    </w:p>
    <w:p w:rsidR="00FF4C90" w:rsidRPr="00872020" w:rsidRDefault="00FF4C90" w:rsidP="00FF4C90">
      <w:pPr>
        <w:pStyle w:val="Sinespaciado"/>
        <w:numPr>
          <w:ilvl w:val="0"/>
          <w:numId w:val="6"/>
        </w:numPr>
        <w:jc w:val="both"/>
        <w:rPr>
          <w:b/>
          <w:lang w:val="es-ES_tradnl"/>
        </w:rPr>
      </w:pPr>
      <w:r w:rsidRPr="00872020">
        <w:rPr>
          <w:b/>
          <w:lang w:val="es-ES_tradnl"/>
        </w:rPr>
        <w:t>PAGOS A CARGO DE LA AGENCIA NACIONAL DE INFRAESTRUCTURA:</w:t>
      </w:r>
    </w:p>
    <w:p w:rsidR="00FF4C90" w:rsidRPr="00104AFA" w:rsidRDefault="00FF4C90" w:rsidP="00FF4C90">
      <w:pPr>
        <w:pStyle w:val="Sinespaciado"/>
        <w:jc w:val="both"/>
        <w:rPr>
          <w:lang w:val="es-ES_tradnl"/>
        </w:rPr>
      </w:pPr>
    </w:p>
    <w:p w:rsidR="00FF4C90" w:rsidRDefault="00FF4C90" w:rsidP="00FF4C90">
      <w:pPr>
        <w:pStyle w:val="Sinespaciado"/>
        <w:jc w:val="both"/>
      </w:pPr>
      <w:r w:rsidRPr="00104AFA">
        <w:t>En los proyectos donde la Gestión Predial e</w:t>
      </w:r>
      <w:r>
        <w:t>s</w:t>
      </w:r>
      <w:r w:rsidRPr="00104AFA">
        <w:t xml:space="preserve"> </w:t>
      </w:r>
      <w:r>
        <w:t xml:space="preserve">“compartida” esto es una parte la adelanta el </w:t>
      </w:r>
      <w:r w:rsidRPr="00104AFA">
        <w:t xml:space="preserve">Concesionario </w:t>
      </w:r>
      <w:r>
        <w:t xml:space="preserve">y otra la ANI, en virtud a las estipulaciones contractuales dada la Generación a la cual </w:t>
      </w:r>
      <w:r>
        <w:lastRenderedPageBreak/>
        <w:t xml:space="preserve">corresponde el Contrato de Concesión (1G, 2G y 3G) </w:t>
      </w:r>
      <w:r w:rsidRPr="00104AFA">
        <w:t>el tema asociado a pagos de predios,</w:t>
      </w:r>
      <w:r>
        <w:t xml:space="preserve"> </w:t>
      </w:r>
      <w:r w:rsidRPr="00104AFA">
        <w:t>compensaciones sociales y expropiaciones, se encuentra radicado contractualmente en cabeza de</w:t>
      </w:r>
      <w:r>
        <w:t xml:space="preserve"> </w:t>
      </w:r>
      <w:r w:rsidRPr="00104AFA">
        <w:t>l</w:t>
      </w:r>
      <w:r>
        <w:t>a ANI - quien como ordenador del Gasto- le corresponde tramitar y gestionar las</w:t>
      </w:r>
      <w:r w:rsidRPr="00104AFA">
        <w:t xml:space="preserve"> respectivas Ordenes de Operación para poder atender dichos pagos.</w:t>
      </w:r>
    </w:p>
    <w:p w:rsidR="00FF4C90" w:rsidRDefault="00FF4C90" w:rsidP="00FF4C90">
      <w:pPr>
        <w:pStyle w:val="Sinespaciado"/>
        <w:jc w:val="both"/>
      </w:pPr>
    </w:p>
    <w:p w:rsidR="00FF4C90" w:rsidRDefault="00FF4C90" w:rsidP="00FF4C90">
      <w:pPr>
        <w:pStyle w:val="Sinespaciado"/>
        <w:jc w:val="both"/>
      </w:pPr>
      <w:r w:rsidRPr="00533CB0">
        <w:t>En este caso, el procedimiento de</w:t>
      </w:r>
      <w:r>
        <w:t xml:space="preserve"> </w:t>
      </w:r>
      <w:r w:rsidRPr="00533CB0">
        <w:t xml:space="preserve">pagos de </w:t>
      </w:r>
      <w:r>
        <w:t>este tipo se condiciona a la existencia de recursos en la respectiva subcuenta, así:</w:t>
      </w:r>
    </w:p>
    <w:p w:rsidR="00FF4C90" w:rsidRDefault="00FF4C90" w:rsidP="00FF4C90">
      <w:pPr>
        <w:pStyle w:val="Sinespaciado"/>
        <w:jc w:val="both"/>
      </w:pPr>
    </w:p>
    <w:p w:rsidR="00FF4C90" w:rsidRDefault="00FF4C90" w:rsidP="00FF4C90">
      <w:pPr>
        <w:pStyle w:val="Sinespaciado"/>
        <w:jc w:val="both"/>
      </w:pPr>
      <w:r>
        <w:t xml:space="preserve">Si los recursos son insuficientes en la respectiva Subcuenta y se requiere acudir al Fondo Público, por Intermedio del FONDO DE PASIVOS CONTINGENTES DE ENTIDADES PUBLICAS </w:t>
      </w:r>
      <w:r w:rsidRPr="001C7AAC">
        <w:t>creado por la Ley 448 de 1998</w:t>
      </w:r>
      <w:r>
        <w:t>, se requiere agotar previamente un procedimiento para el pago, consistente en:</w:t>
      </w:r>
    </w:p>
    <w:p w:rsidR="00FF4C90" w:rsidRDefault="00FF4C90" w:rsidP="00FF4C90">
      <w:pPr>
        <w:jc w:val="both"/>
      </w:pPr>
    </w:p>
    <w:p w:rsidR="00FF4C90" w:rsidRDefault="00FF4C90" w:rsidP="00FF4C90">
      <w:pPr>
        <w:pStyle w:val="Prrafodelista"/>
        <w:numPr>
          <w:ilvl w:val="0"/>
          <w:numId w:val="3"/>
        </w:numPr>
        <w:spacing w:after="160" w:line="259" w:lineRule="auto"/>
        <w:contextualSpacing/>
        <w:jc w:val="both"/>
      </w:pPr>
      <w:r>
        <w:t>Una vez el Concesionario remite el soporte para tramitar el respectivo pago, previamente revisada y validada por la Interventoría, la ANI procede a r</w:t>
      </w:r>
      <w:r w:rsidRPr="00DF4CC7">
        <w:t>evisar los expedientes prediales (verificar que el expediente predial cumpla con la normatividad</w:t>
      </w:r>
      <w:r>
        <w:t xml:space="preserve"> </w:t>
      </w:r>
      <w:r w:rsidRPr="00DF4CC7">
        <w:t>vigente para la adquisición de los predios y verificar que los insumos prediales estén completos) y la cuenta de cobro (</w:t>
      </w:r>
      <w:r>
        <w:t xml:space="preserve">verificación </w:t>
      </w:r>
      <w:r w:rsidRPr="00DF4CC7">
        <w:t>que los valores relacionados en la</w:t>
      </w:r>
      <w:r>
        <w:t xml:space="preserve"> </w:t>
      </w:r>
      <w:r w:rsidRPr="00DF4CC7">
        <w:t>cuenta estén acordes con los documentos previamente</w:t>
      </w:r>
      <w:r>
        <w:t xml:space="preserve"> certificados</w:t>
      </w:r>
      <w:r w:rsidRPr="00DF4CC7">
        <w:t>)</w:t>
      </w:r>
      <w:r>
        <w:t>.</w:t>
      </w:r>
    </w:p>
    <w:p w:rsidR="00FF4C90" w:rsidRDefault="00FF4C90" w:rsidP="00FF4C90">
      <w:pPr>
        <w:pStyle w:val="Prrafodelista"/>
        <w:jc w:val="both"/>
      </w:pPr>
    </w:p>
    <w:p w:rsidR="00FF4C90" w:rsidRDefault="00FF4C90" w:rsidP="00FF4C90">
      <w:pPr>
        <w:pStyle w:val="Prrafodelista"/>
        <w:numPr>
          <w:ilvl w:val="0"/>
          <w:numId w:val="3"/>
        </w:numPr>
        <w:spacing w:after="160" w:line="259" w:lineRule="auto"/>
        <w:contextualSpacing/>
        <w:jc w:val="both"/>
      </w:pPr>
      <w:r>
        <w:t>Como resultado de dicha verificación si la misma cumple se continúa con el trámite, de lo contrario si esta carece de los soportes documentales necesario se requiere al Concesionario para que los aporte o en su defecto si son responsabilidad del propietario del predio y/o beneficiario de pago se le solicita que proceda a adjuntarlos.</w:t>
      </w:r>
    </w:p>
    <w:p w:rsidR="00FF4C90" w:rsidRDefault="00FF4C90" w:rsidP="00FF4C90">
      <w:pPr>
        <w:pStyle w:val="Prrafodelista"/>
        <w:jc w:val="both"/>
      </w:pPr>
    </w:p>
    <w:p w:rsidR="00FF4C90" w:rsidRDefault="00FF4C90" w:rsidP="00FF4C90">
      <w:pPr>
        <w:pStyle w:val="Prrafodelista"/>
        <w:numPr>
          <w:ilvl w:val="0"/>
          <w:numId w:val="3"/>
        </w:numPr>
        <w:spacing w:after="160" w:line="259" w:lineRule="auto"/>
        <w:contextualSpacing/>
        <w:jc w:val="both"/>
      </w:pPr>
      <w:r>
        <w:t xml:space="preserve">Realizada esta verificación, se elabora y remite memorando interno </w:t>
      </w:r>
      <w:r w:rsidRPr="0000531A">
        <w:t>al ordenador</w:t>
      </w:r>
      <w:r>
        <w:t xml:space="preserve"> </w:t>
      </w:r>
      <w:r w:rsidRPr="0000531A">
        <w:t>del gasto</w:t>
      </w:r>
      <w:r>
        <w:t xml:space="preserve"> (VGC o VEJ)</w:t>
      </w:r>
      <w:r w:rsidRPr="0000531A">
        <w:t xml:space="preserve"> </w:t>
      </w:r>
      <w:r>
        <w:t xml:space="preserve">con </w:t>
      </w:r>
      <w:r w:rsidRPr="0000531A">
        <w:t>los documentos</w:t>
      </w:r>
      <w:r>
        <w:t xml:space="preserve"> </w:t>
      </w:r>
      <w:r w:rsidRPr="0000531A">
        <w:t xml:space="preserve">soporte de pago, </w:t>
      </w:r>
      <w:r>
        <w:t xml:space="preserve">y el respectivo </w:t>
      </w:r>
      <w:r w:rsidRPr="0000531A">
        <w:t>concepto favorable técnico, jurídico y social</w:t>
      </w:r>
      <w:r>
        <w:t xml:space="preserve"> para proseguir con el trámite.</w:t>
      </w:r>
      <w:r w:rsidRPr="0000531A">
        <w:t xml:space="preserve"> </w:t>
      </w:r>
    </w:p>
    <w:p w:rsidR="00FF4C90" w:rsidRDefault="00FF4C90" w:rsidP="00FF4C90">
      <w:pPr>
        <w:pStyle w:val="Prrafodelista"/>
      </w:pPr>
    </w:p>
    <w:p w:rsidR="00FF4C90" w:rsidRDefault="00FF4C90" w:rsidP="00FF4C90">
      <w:pPr>
        <w:pStyle w:val="Prrafodelista"/>
        <w:numPr>
          <w:ilvl w:val="0"/>
          <w:numId w:val="3"/>
        </w:numPr>
        <w:spacing w:after="160" w:line="259" w:lineRule="auto"/>
        <w:contextualSpacing/>
        <w:jc w:val="both"/>
      </w:pPr>
      <w:r>
        <w:t xml:space="preserve">De conformidad con los Lineamientos funcionales de la ANI, corresponde al Grupo de Apoyo </w:t>
      </w:r>
      <w:proofErr w:type="spellStart"/>
      <w:r>
        <w:t>Juridico</w:t>
      </w:r>
      <w:proofErr w:type="spellEnd"/>
      <w:r>
        <w:t xml:space="preserve"> Contractual del respectivo proyecto elaborar el Acto Administrativo – Resolución de Contingencia con el apoyo de los profesionales responsables de las áreas que deban conocer del asunto (predial, jurídico-predial, social, riesgos o las que sea necesario)</w:t>
      </w:r>
    </w:p>
    <w:p w:rsidR="00FF4C90" w:rsidRDefault="00FF4C90" w:rsidP="00FF4C90">
      <w:pPr>
        <w:pStyle w:val="Prrafodelista"/>
      </w:pPr>
    </w:p>
    <w:p w:rsidR="00FF4C90" w:rsidRDefault="00FF4C90" w:rsidP="00FF4C90">
      <w:pPr>
        <w:pStyle w:val="Prrafodelista"/>
        <w:jc w:val="both"/>
      </w:pPr>
      <w:r>
        <w:t>Es de aclarar que para expedir el respectivo acto administrativo se requieren los siguientes documentos:</w:t>
      </w:r>
    </w:p>
    <w:p w:rsidR="00FF4C90" w:rsidRPr="004E3ED3" w:rsidRDefault="00FF4C90" w:rsidP="00FF4C90">
      <w:pPr>
        <w:pStyle w:val="Prrafodelista"/>
        <w:rPr>
          <w:lang w:val="es-ES"/>
        </w:rPr>
      </w:pPr>
    </w:p>
    <w:p w:rsidR="00FF4C90" w:rsidRPr="004E3ED3" w:rsidRDefault="00FF4C90" w:rsidP="00FF4C90">
      <w:pPr>
        <w:pStyle w:val="Prrafodelista"/>
        <w:numPr>
          <w:ilvl w:val="0"/>
          <w:numId w:val="4"/>
        </w:numPr>
        <w:spacing w:after="160" w:line="259" w:lineRule="auto"/>
        <w:contextualSpacing/>
        <w:jc w:val="both"/>
        <w:rPr>
          <w:lang w:val="es-ES"/>
        </w:rPr>
      </w:pPr>
      <w:r w:rsidRPr="004E3ED3">
        <w:rPr>
          <w:lang w:val="es-ES"/>
        </w:rPr>
        <w:t>Oficio de la</w:t>
      </w:r>
      <w:r>
        <w:rPr>
          <w:lang w:val="es-ES"/>
        </w:rPr>
        <w:t xml:space="preserve"> respectiva Fiduciaria</w:t>
      </w:r>
      <w:r w:rsidRPr="004E3ED3">
        <w:rPr>
          <w:lang w:val="es-ES"/>
        </w:rPr>
        <w:t>, en el que se indique la disponibilidad de los recursos en la subcuenta predial del fondo de contingencias del proyecto.</w:t>
      </w:r>
    </w:p>
    <w:p w:rsidR="00FF4C90" w:rsidRPr="004E3ED3" w:rsidRDefault="00FF4C90" w:rsidP="00FF4C90">
      <w:pPr>
        <w:pStyle w:val="Prrafodelista"/>
        <w:numPr>
          <w:ilvl w:val="0"/>
          <w:numId w:val="4"/>
        </w:numPr>
        <w:spacing w:after="160" w:line="259" w:lineRule="auto"/>
        <w:contextualSpacing/>
        <w:jc w:val="both"/>
        <w:rPr>
          <w:lang w:val="es-ES"/>
        </w:rPr>
      </w:pPr>
      <w:r w:rsidRPr="004E3ED3">
        <w:rPr>
          <w:lang w:val="es-ES"/>
        </w:rPr>
        <w:t>Certificación del Patrimonio Autónomo en la que se indique que se agotaron los recursos de la subcuenta predio básico del fideicomiso</w:t>
      </w:r>
      <w:r>
        <w:rPr>
          <w:lang w:val="es-ES"/>
        </w:rPr>
        <w:t>.</w:t>
      </w:r>
    </w:p>
    <w:p w:rsidR="00FF4C90" w:rsidRPr="004E3ED3" w:rsidRDefault="00FF4C90" w:rsidP="00FF4C90">
      <w:pPr>
        <w:pStyle w:val="Prrafodelista"/>
        <w:numPr>
          <w:ilvl w:val="0"/>
          <w:numId w:val="4"/>
        </w:numPr>
        <w:spacing w:after="160" w:line="259" w:lineRule="auto"/>
        <w:contextualSpacing/>
        <w:jc w:val="both"/>
        <w:rPr>
          <w:lang w:val="es-ES"/>
        </w:rPr>
      </w:pPr>
      <w:r w:rsidRPr="004E3ED3">
        <w:rPr>
          <w:lang w:val="es-ES"/>
        </w:rPr>
        <w:t>Certificación de la cuenta bancaria del beneficiario de los pagos.</w:t>
      </w:r>
    </w:p>
    <w:p w:rsidR="00FF4C90" w:rsidRPr="004E3ED3" w:rsidRDefault="00FF4C90" w:rsidP="00FF4C90">
      <w:pPr>
        <w:pStyle w:val="Prrafodelista"/>
        <w:numPr>
          <w:ilvl w:val="0"/>
          <w:numId w:val="4"/>
        </w:numPr>
        <w:spacing w:after="160" w:line="259" w:lineRule="auto"/>
        <w:contextualSpacing/>
        <w:jc w:val="both"/>
        <w:rPr>
          <w:lang w:val="es-ES"/>
        </w:rPr>
      </w:pPr>
      <w:r w:rsidRPr="004E3ED3">
        <w:rPr>
          <w:lang w:val="es-ES"/>
        </w:rPr>
        <w:t>Cuenta de cobro o documento equivalente, que sustente los valores de la contingencia para cada uno de los predios.</w:t>
      </w:r>
    </w:p>
    <w:p w:rsidR="00FF4C90" w:rsidRDefault="00FF4C90" w:rsidP="00FF4C90">
      <w:pPr>
        <w:pStyle w:val="Prrafodelista"/>
        <w:numPr>
          <w:ilvl w:val="0"/>
          <w:numId w:val="4"/>
        </w:numPr>
        <w:spacing w:after="160" w:line="259" w:lineRule="auto"/>
        <w:contextualSpacing/>
        <w:jc w:val="both"/>
        <w:rPr>
          <w:lang w:val="es-ES"/>
        </w:rPr>
      </w:pPr>
      <w:r w:rsidRPr="004E3ED3">
        <w:rPr>
          <w:lang w:val="es-ES"/>
        </w:rPr>
        <w:t>Informe de interventoría avalando el valor de la contingencia.</w:t>
      </w:r>
    </w:p>
    <w:p w:rsidR="00FF4C90" w:rsidRDefault="00FF4C90" w:rsidP="00FF4C90">
      <w:pPr>
        <w:pStyle w:val="Prrafodelista"/>
        <w:jc w:val="both"/>
        <w:rPr>
          <w:lang w:val="es-ES"/>
        </w:rPr>
      </w:pPr>
    </w:p>
    <w:p w:rsidR="00FF4C90" w:rsidRDefault="00FF4C90" w:rsidP="00FF4C90">
      <w:pPr>
        <w:pStyle w:val="Prrafodelista"/>
        <w:numPr>
          <w:ilvl w:val="0"/>
          <w:numId w:val="3"/>
        </w:numPr>
        <w:spacing w:after="160" w:line="259" w:lineRule="auto"/>
        <w:contextualSpacing/>
        <w:jc w:val="both"/>
        <w:rPr>
          <w:lang w:val="es-ES"/>
        </w:rPr>
      </w:pPr>
      <w:r>
        <w:rPr>
          <w:lang w:val="es-ES"/>
        </w:rPr>
        <w:lastRenderedPageBreak/>
        <w:t>Expedido el Acto Administrativo, por la respectiva Vicepresidencia –ordenadora del Gasto – emite el oficio que ordena el pago a la Fiduciaria encargada de manejar los recursos.</w:t>
      </w:r>
    </w:p>
    <w:p w:rsidR="00FF4C90" w:rsidRDefault="00FF4C90" w:rsidP="00FF4C90">
      <w:pPr>
        <w:pStyle w:val="Prrafodelista"/>
        <w:jc w:val="both"/>
        <w:rPr>
          <w:lang w:val="es-ES"/>
        </w:rPr>
      </w:pPr>
    </w:p>
    <w:p w:rsidR="00FF4C90" w:rsidRDefault="00FF4C90" w:rsidP="00FF4C90">
      <w:pPr>
        <w:pStyle w:val="Prrafodelista"/>
        <w:numPr>
          <w:ilvl w:val="0"/>
          <w:numId w:val="3"/>
        </w:numPr>
        <w:spacing w:after="160" w:line="259" w:lineRule="auto"/>
        <w:contextualSpacing/>
        <w:jc w:val="both"/>
        <w:rPr>
          <w:lang w:val="es-ES"/>
        </w:rPr>
      </w:pPr>
      <w:r>
        <w:rPr>
          <w:lang w:val="es-ES"/>
        </w:rPr>
        <w:t>La fiduciaria dentro de los términos propios de esta procede a verificar los soportes documentales y si cumplen se realizar el pago a quien corresponda.</w:t>
      </w:r>
    </w:p>
    <w:p w:rsidR="00FF4C90" w:rsidRPr="00B5684E" w:rsidRDefault="00FF4C90" w:rsidP="00FF4C90">
      <w:pPr>
        <w:pStyle w:val="Sinespaciado"/>
        <w:jc w:val="both"/>
        <w:rPr>
          <w:lang w:val="es-ES"/>
        </w:rPr>
      </w:pPr>
    </w:p>
    <w:p w:rsidR="00265847" w:rsidRDefault="00FF4C90" w:rsidP="00FF4C90">
      <w:pPr>
        <w:jc w:val="both"/>
      </w:pPr>
      <w:r>
        <w:rPr>
          <w:lang w:val="es-ES"/>
        </w:rPr>
        <w:t>Por lo anterior, es claro que los procedimientos de pagos a Propietarios y/o beneficiarios, en los proyectos donde la gestión está a cargo de la Entidad comporta una serie de procesos internos previos que implican tiempos y en algunas ocasiones las demoras surgen por cuanto los propietarios no aportan los documentos requeridos para ello.</w:t>
      </w:r>
      <w:bookmarkStart w:id="0" w:name="_GoBack"/>
      <w:bookmarkEnd w:id="0"/>
    </w:p>
    <w:sectPr w:rsidR="002658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1E29"/>
    <w:multiLevelType w:val="hybridMultilevel"/>
    <w:tmpl w:val="0F72F4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EDE23D7"/>
    <w:multiLevelType w:val="hybridMultilevel"/>
    <w:tmpl w:val="B83EB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6192CFF"/>
    <w:multiLevelType w:val="hybridMultilevel"/>
    <w:tmpl w:val="30C41DDA"/>
    <w:lvl w:ilvl="0" w:tplc="65E22EB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66DCF"/>
    <w:multiLevelType w:val="hybridMultilevel"/>
    <w:tmpl w:val="F266D7D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B507671"/>
    <w:multiLevelType w:val="hybridMultilevel"/>
    <w:tmpl w:val="A94407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4136DC5"/>
    <w:multiLevelType w:val="hybridMultilevel"/>
    <w:tmpl w:val="82D2147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D0"/>
    <w:rsid w:val="00021381"/>
    <w:rsid w:val="00265847"/>
    <w:rsid w:val="002B305E"/>
    <w:rsid w:val="0043735A"/>
    <w:rsid w:val="00474260"/>
    <w:rsid w:val="00791DEC"/>
    <w:rsid w:val="00980BD0"/>
    <w:rsid w:val="00E45C35"/>
    <w:rsid w:val="00FF4C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27C0E-A79C-4978-A590-D197212C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0BD0"/>
    <w:pPr>
      <w:spacing w:after="0" w:line="240" w:lineRule="auto"/>
      <w:ind w:left="720"/>
    </w:pPr>
    <w:rPr>
      <w:rFonts w:ascii="Calibri" w:hAnsi="Calibri" w:cs="Calibri"/>
    </w:rPr>
  </w:style>
  <w:style w:type="paragraph" w:styleId="Sinespaciado">
    <w:name w:val="No Spacing"/>
    <w:uiPriority w:val="1"/>
    <w:qFormat/>
    <w:rsid w:val="00FF4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0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1213</Words>
  <Characters>6677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Fernando Monroy Duque</dc:creator>
  <cp:keywords/>
  <dc:description/>
  <cp:lastModifiedBy>Ricardo Aguilera Wilches</cp:lastModifiedBy>
  <cp:revision>3</cp:revision>
  <dcterms:created xsi:type="dcterms:W3CDTF">2019-09-03T16:58:00Z</dcterms:created>
  <dcterms:modified xsi:type="dcterms:W3CDTF">2019-09-09T18:56:00Z</dcterms:modified>
</cp:coreProperties>
</file>