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B3" w:rsidRDefault="000703B3">
      <w:pPr>
        <w:pStyle w:val="Standard"/>
        <w:jc w:val="center"/>
        <w:rPr>
          <w:rFonts w:ascii="Futura Bk BT" w:hAnsi="Futura Bk BT" w:cs="Times New Roman"/>
          <w:sz w:val="20"/>
        </w:rPr>
      </w:pPr>
      <w:bookmarkStart w:id="0" w:name="_GoBack"/>
      <w:bookmarkEnd w:id="0"/>
    </w:p>
    <w:p w:rsidR="000703B3" w:rsidRDefault="00AD73BB">
      <w:pPr>
        <w:pStyle w:val="Ttulo2"/>
        <w:tabs>
          <w:tab w:val="left" w:pos="4253"/>
        </w:tabs>
      </w:pPr>
      <w:proofErr w:type="gramStart"/>
      <w:r>
        <w:rPr>
          <w:rFonts w:ascii="Futura Bk BT" w:hAnsi="Futura Bk BT" w:cs="Times New Roman"/>
          <w:sz w:val="20"/>
        </w:rPr>
        <w:t>RESOLUCIÓN  NÚMERO</w:t>
      </w:r>
      <w:proofErr w:type="gramEnd"/>
      <w:r>
        <w:rPr>
          <w:rFonts w:ascii="Futura Bk BT" w:hAnsi="Futura Bk BT" w:cs="Times New Roman"/>
          <w:sz w:val="20"/>
        </w:rPr>
        <w:t xml:space="preserve">                                          DE 2017</w:t>
      </w:r>
    </w:p>
    <w:p w:rsidR="000703B3" w:rsidRDefault="000703B3">
      <w:pPr>
        <w:pStyle w:val="toa"/>
        <w:tabs>
          <w:tab w:val="left" w:pos="708"/>
        </w:tabs>
        <w:jc w:val="center"/>
        <w:rPr>
          <w:rFonts w:ascii="Futura Bk BT" w:hAnsi="Futura Bk BT" w:cs="Times New Roman"/>
          <w:sz w:val="20"/>
          <w:lang w:val="es-ES"/>
        </w:rPr>
      </w:pPr>
    </w:p>
    <w:p w:rsidR="000703B3" w:rsidRDefault="00AD73BB">
      <w:pPr>
        <w:ind w:left="-187" w:right="-130"/>
        <w:jc w:val="center"/>
        <w:rPr>
          <w:rFonts w:ascii="Futura Bk BT" w:hAnsi="Futura Bk BT" w:cs="Times New Roman"/>
          <w:b/>
          <w:sz w:val="20"/>
          <w:szCs w:val="20"/>
        </w:rPr>
      </w:pPr>
      <w:r>
        <w:rPr>
          <w:rFonts w:ascii="Futura Bk BT" w:hAnsi="Futura Bk BT" w:cs="Times New Roman"/>
          <w:b/>
          <w:sz w:val="20"/>
          <w:szCs w:val="20"/>
        </w:rPr>
        <w:t xml:space="preserve"> (</w:t>
      </w:r>
      <w:r>
        <w:rPr>
          <w:rFonts w:ascii="Futura Bk BT" w:hAnsi="Futura Bk BT" w:cs="Times New Roman"/>
          <w:b/>
          <w:sz w:val="20"/>
          <w:szCs w:val="20"/>
        </w:rPr>
        <w:tab/>
      </w:r>
      <w:r>
        <w:rPr>
          <w:rFonts w:ascii="Futura Bk BT" w:hAnsi="Futura Bk BT" w:cs="Times New Roman"/>
          <w:b/>
          <w:sz w:val="20"/>
          <w:szCs w:val="20"/>
        </w:rPr>
        <w:tab/>
      </w:r>
      <w:r>
        <w:rPr>
          <w:rFonts w:ascii="Futura Bk BT" w:hAnsi="Futura Bk BT" w:cs="Times New Roman"/>
          <w:b/>
          <w:sz w:val="20"/>
          <w:szCs w:val="20"/>
        </w:rPr>
        <w:tab/>
      </w:r>
      <w:r>
        <w:rPr>
          <w:rFonts w:ascii="Futura Bk BT" w:hAnsi="Futura Bk BT" w:cs="Times New Roman"/>
          <w:b/>
          <w:sz w:val="20"/>
          <w:szCs w:val="20"/>
        </w:rPr>
        <w:tab/>
      </w:r>
      <w:r>
        <w:rPr>
          <w:rFonts w:ascii="Futura Bk BT" w:hAnsi="Futura Bk BT" w:cs="Times New Roman"/>
          <w:b/>
          <w:sz w:val="20"/>
          <w:szCs w:val="20"/>
        </w:rPr>
        <w:tab/>
        <w:t xml:space="preserve">  )</w:t>
      </w:r>
    </w:p>
    <w:p w:rsidR="000703B3" w:rsidRDefault="000703B3">
      <w:pPr>
        <w:pStyle w:val="Sangradetextonormal"/>
        <w:spacing w:after="0"/>
        <w:ind w:left="0" w:right="193"/>
        <w:jc w:val="both"/>
        <w:rPr>
          <w:rFonts w:ascii="Futura Bk BT" w:hAnsi="Futura Bk BT"/>
        </w:rPr>
      </w:pPr>
    </w:p>
    <w:p w:rsidR="000703B3" w:rsidRDefault="000703B3">
      <w:pPr>
        <w:pStyle w:val="Sangradetextonormal"/>
        <w:spacing w:after="0"/>
        <w:ind w:left="0" w:right="193"/>
        <w:jc w:val="both"/>
        <w:rPr>
          <w:rFonts w:ascii="Futura Bk BT" w:hAnsi="Futura Bk BT"/>
        </w:rPr>
      </w:pPr>
    </w:p>
    <w:p w:rsidR="000703B3" w:rsidRDefault="00AD73BB">
      <w:pPr>
        <w:autoSpaceDE w:val="0"/>
        <w:jc w:val="center"/>
        <w:rPr>
          <w:rFonts w:ascii="Futura Bk BT" w:hAnsi="Futura Bk BT" w:cs="Times New Roman"/>
          <w:i/>
          <w:sz w:val="20"/>
          <w:szCs w:val="20"/>
        </w:rPr>
      </w:pPr>
      <w:r>
        <w:rPr>
          <w:rFonts w:ascii="Futura Bk BT" w:hAnsi="Futura Bk BT" w:cs="Times New Roman"/>
          <w:i/>
          <w:sz w:val="20"/>
          <w:szCs w:val="20"/>
        </w:rPr>
        <w:t>“Por la cual se suspenden los efectos de las resoluciones 0001919 de 2015,</w:t>
      </w:r>
    </w:p>
    <w:p w:rsidR="000703B3" w:rsidRDefault="00AD73BB">
      <w:pPr>
        <w:autoSpaceDE w:val="0"/>
        <w:jc w:val="center"/>
        <w:rPr>
          <w:rFonts w:ascii="Futura Bk BT" w:hAnsi="Futura Bk BT" w:cs="Times New Roman"/>
          <w:i/>
          <w:sz w:val="20"/>
          <w:szCs w:val="20"/>
        </w:rPr>
      </w:pPr>
      <w:r>
        <w:rPr>
          <w:rFonts w:ascii="Futura Bk BT" w:hAnsi="Futura Bk BT" w:cs="Times New Roman"/>
          <w:i/>
          <w:sz w:val="20"/>
          <w:szCs w:val="20"/>
        </w:rPr>
        <w:t xml:space="preserve">0002036 de 2016 y todas aquellas que la hayan modificado o adicionado en lo que atañe </w:t>
      </w:r>
    </w:p>
    <w:p w:rsidR="000703B3" w:rsidRDefault="00AD73BB">
      <w:pPr>
        <w:autoSpaceDE w:val="0"/>
        <w:jc w:val="center"/>
        <w:rPr>
          <w:rFonts w:ascii="Futura Bk BT" w:hAnsi="Futura Bk BT" w:cs="Times New Roman"/>
          <w:i/>
          <w:sz w:val="20"/>
          <w:szCs w:val="20"/>
        </w:rPr>
      </w:pPr>
      <w:r>
        <w:rPr>
          <w:rFonts w:ascii="Futura Bk BT" w:hAnsi="Futura Bk BT" w:cs="Times New Roman"/>
          <w:i/>
          <w:sz w:val="20"/>
          <w:szCs w:val="20"/>
        </w:rPr>
        <w:t>a las estaciones de peaje de Río Seco y Salguero, pertenecientes al proyecto de asociación publico privada de iniciativa privada para la conexión de los Departamentos del Cesar y la Guajira”</w:t>
      </w:r>
    </w:p>
    <w:p w:rsidR="000703B3" w:rsidRDefault="000703B3">
      <w:pPr>
        <w:autoSpaceDE w:val="0"/>
        <w:jc w:val="center"/>
        <w:rPr>
          <w:rFonts w:ascii="Futura Bk BT" w:hAnsi="Futura Bk BT" w:cs="Times New Roman"/>
          <w:i/>
          <w:sz w:val="20"/>
          <w:szCs w:val="20"/>
        </w:rPr>
      </w:pPr>
    </w:p>
    <w:p w:rsidR="000703B3" w:rsidRDefault="000703B3">
      <w:pPr>
        <w:autoSpaceDE w:val="0"/>
        <w:jc w:val="center"/>
        <w:rPr>
          <w:rFonts w:ascii="Futura Bk BT" w:eastAsia="Times New Roman" w:hAnsi="Futura Bk BT" w:cs="Times New Roman"/>
          <w:color w:val="000000"/>
          <w:sz w:val="20"/>
          <w:szCs w:val="20"/>
          <w:lang w:eastAsia="es-ES"/>
        </w:rPr>
      </w:pPr>
    </w:p>
    <w:p w:rsidR="000703B3" w:rsidRDefault="000703B3">
      <w:pPr>
        <w:jc w:val="center"/>
        <w:rPr>
          <w:rFonts w:ascii="Futura Bk BT" w:eastAsia="Times New Roman" w:hAnsi="Futura Bk BT" w:cs="Times New Roman"/>
          <w:b/>
          <w:i/>
          <w:sz w:val="20"/>
          <w:szCs w:val="20"/>
          <w:lang w:eastAsia="es-ES"/>
        </w:rPr>
      </w:pPr>
    </w:p>
    <w:p w:rsidR="000703B3" w:rsidRDefault="00AD73BB">
      <w:pPr>
        <w:jc w:val="center"/>
        <w:rPr>
          <w:rFonts w:ascii="Futura Bk BT" w:eastAsia="Times New Roman" w:hAnsi="Futura Bk BT" w:cs="Times New Roman"/>
          <w:b/>
          <w:sz w:val="20"/>
          <w:szCs w:val="20"/>
          <w:lang w:eastAsia="es-ES"/>
        </w:rPr>
      </w:pPr>
      <w:r>
        <w:rPr>
          <w:rFonts w:ascii="Futura Bk BT" w:eastAsia="Times New Roman" w:hAnsi="Futura Bk BT" w:cs="Times New Roman"/>
          <w:b/>
          <w:sz w:val="20"/>
          <w:szCs w:val="20"/>
          <w:lang w:eastAsia="es-ES"/>
        </w:rPr>
        <w:t>EL MINISTRO DE TRANSPORTE</w:t>
      </w:r>
    </w:p>
    <w:p w:rsidR="000703B3" w:rsidRDefault="000703B3">
      <w:pPr>
        <w:jc w:val="center"/>
        <w:rPr>
          <w:rFonts w:ascii="Futura Bk BT" w:eastAsia="Times New Roman" w:hAnsi="Futura Bk BT" w:cs="Times New Roman"/>
          <w:sz w:val="20"/>
          <w:szCs w:val="20"/>
          <w:lang w:eastAsia="es-ES"/>
        </w:rPr>
      </w:pPr>
    </w:p>
    <w:p w:rsidR="000703B3" w:rsidRDefault="00AD73BB">
      <w:pPr>
        <w:jc w:val="center"/>
        <w:rPr>
          <w:rFonts w:ascii="Futura Bk BT" w:hAnsi="Futura Bk BT" w:cs="Times New Roman"/>
          <w:sz w:val="20"/>
          <w:szCs w:val="20"/>
        </w:rPr>
      </w:pPr>
      <w:r>
        <w:rPr>
          <w:rFonts w:ascii="Futura Bk BT" w:hAnsi="Futura Bk BT" w:cs="Times New Roman"/>
          <w:sz w:val="20"/>
          <w:szCs w:val="20"/>
        </w:rPr>
        <w:t xml:space="preserve">En ejercicio de las facultades legales y en especial las conferidas por el artículo 21 de la Ley 105 de 1993 modificado por el artículo 1 de la Ley 787 de 2002 y los numerales 6.14 y 6.15 del artículo </w:t>
      </w:r>
      <w:proofErr w:type="gramStart"/>
      <w:r>
        <w:rPr>
          <w:rFonts w:ascii="Futura Bk BT" w:hAnsi="Futura Bk BT" w:cs="Times New Roman"/>
          <w:sz w:val="20"/>
          <w:szCs w:val="20"/>
        </w:rPr>
        <w:t>6  del</w:t>
      </w:r>
      <w:proofErr w:type="gramEnd"/>
      <w:r>
        <w:rPr>
          <w:rFonts w:ascii="Futura Bk BT" w:hAnsi="Futura Bk BT" w:cs="Times New Roman"/>
          <w:sz w:val="20"/>
          <w:szCs w:val="20"/>
        </w:rPr>
        <w:t xml:space="preserve"> Decreto 087 de 2011, y </w:t>
      </w:r>
    </w:p>
    <w:p w:rsidR="000703B3" w:rsidRDefault="000703B3">
      <w:pPr>
        <w:jc w:val="center"/>
        <w:rPr>
          <w:rFonts w:ascii="Futura Bk BT" w:eastAsia="Times New Roman" w:hAnsi="Futura Bk BT" w:cs="Times New Roman"/>
          <w:sz w:val="20"/>
          <w:szCs w:val="20"/>
          <w:lang w:eastAsia="es-ES"/>
        </w:rPr>
      </w:pPr>
    </w:p>
    <w:p w:rsidR="000703B3" w:rsidRDefault="000703B3">
      <w:pPr>
        <w:jc w:val="center"/>
        <w:rPr>
          <w:rFonts w:ascii="Futura Bk BT" w:eastAsia="Times New Roman" w:hAnsi="Futura Bk BT" w:cs="Times New Roman"/>
          <w:b/>
          <w:sz w:val="20"/>
          <w:szCs w:val="20"/>
          <w:lang w:eastAsia="es-ES"/>
        </w:rPr>
      </w:pPr>
    </w:p>
    <w:p w:rsidR="000703B3" w:rsidRDefault="00AD73BB">
      <w:pPr>
        <w:jc w:val="center"/>
        <w:rPr>
          <w:rFonts w:ascii="Futura Bk BT" w:eastAsia="Times New Roman" w:hAnsi="Futura Bk BT" w:cs="Times New Roman"/>
          <w:b/>
          <w:sz w:val="20"/>
          <w:szCs w:val="20"/>
          <w:lang w:val="es" w:eastAsia="es-ES"/>
        </w:rPr>
      </w:pPr>
      <w:r>
        <w:rPr>
          <w:rFonts w:ascii="Futura Bk BT" w:eastAsia="Times New Roman" w:hAnsi="Futura Bk BT" w:cs="Times New Roman"/>
          <w:b/>
          <w:sz w:val="20"/>
          <w:szCs w:val="20"/>
          <w:lang w:val="es" w:eastAsia="es-ES"/>
        </w:rPr>
        <w:t>CONSIDERANDO</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pPr>
      <w:r>
        <w:rPr>
          <w:rFonts w:ascii="Futura Bk BT" w:hAnsi="Futura Bk BT" w:cs="Times New Roman"/>
          <w:sz w:val="20"/>
          <w:szCs w:val="20"/>
        </w:rPr>
        <w:t xml:space="preserve">Que la Ley 105 de 1993, </w:t>
      </w:r>
      <w:r>
        <w:rPr>
          <w:rFonts w:ascii="Futura Bk BT" w:hAnsi="Futura Bk BT" w:cs="Times New Roman"/>
          <w:i/>
          <w:sz w:val="20"/>
          <w:szCs w:val="20"/>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proofErr w:type="gramStart"/>
      <w:r>
        <w:rPr>
          <w:rFonts w:ascii="Futura Bk BT" w:hAnsi="Futura Bk BT" w:cs="Times New Roman"/>
          <w:i/>
          <w:sz w:val="20"/>
          <w:szCs w:val="20"/>
        </w:rPr>
        <w:t>)</w:t>
      </w:r>
      <w:r>
        <w:rPr>
          <w:rFonts w:ascii="Futura Bk BT" w:hAnsi="Futura Bk BT" w:cs="Times New Roman"/>
          <w:sz w:val="20"/>
          <w:szCs w:val="20"/>
        </w:rPr>
        <w:t xml:space="preserve">  establece</w:t>
      </w:r>
      <w:proofErr w:type="gramEnd"/>
      <w:r>
        <w:rPr>
          <w:rFonts w:ascii="Futura Bk BT" w:hAnsi="Futura Bk BT" w:cs="Times New Roman"/>
          <w:sz w:val="20"/>
          <w:szCs w:val="20"/>
        </w:rPr>
        <w:t>:</w:t>
      </w:r>
    </w:p>
    <w:p w:rsidR="000703B3" w:rsidRDefault="000703B3">
      <w:pPr>
        <w:tabs>
          <w:tab w:val="left" w:pos="0"/>
        </w:tabs>
        <w:jc w:val="both"/>
        <w:rPr>
          <w:rFonts w:ascii="Futura Bk BT" w:hAnsi="Futura Bk BT" w:cs="Times New Roman"/>
          <w:sz w:val="20"/>
          <w:szCs w:val="20"/>
        </w:rPr>
      </w:pPr>
    </w:p>
    <w:p w:rsidR="000703B3" w:rsidRDefault="00AD73BB">
      <w:pPr>
        <w:ind w:left="700" w:right="618"/>
        <w:jc w:val="both"/>
        <w:rPr>
          <w:rFonts w:ascii="Futura Bk BT" w:hAnsi="Futura Bk BT" w:cs="Times New Roman"/>
          <w:i/>
          <w:sz w:val="20"/>
          <w:szCs w:val="20"/>
        </w:rPr>
      </w:pPr>
      <w:r>
        <w:rPr>
          <w:rFonts w:ascii="Futura Bk BT" w:hAnsi="Futura Bk BT" w:cs="Times New Roman"/>
          <w:i/>
          <w:sz w:val="20"/>
          <w:szCs w:val="20"/>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0703B3" w:rsidRDefault="00AD73BB">
      <w:pPr>
        <w:ind w:left="700" w:right="618"/>
        <w:jc w:val="both"/>
        <w:rPr>
          <w:rFonts w:ascii="Futura Bk BT" w:hAnsi="Futura Bk BT" w:cs="Times New Roman"/>
          <w:i/>
          <w:sz w:val="20"/>
          <w:szCs w:val="20"/>
        </w:rPr>
      </w:pPr>
      <w:r>
        <w:rPr>
          <w:rFonts w:ascii="Futura Bk BT" w:hAnsi="Futura Bk BT" w:cs="Times New Roman"/>
          <w:i/>
          <w:sz w:val="20"/>
          <w:szCs w:val="20"/>
        </w:rPr>
        <w:t xml:space="preserve"> </w:t>
      </w:r>
    </w:p>
    <w:p w:rsidR="000703B3" w:rsidRDefault="00AD73BB">
      <w:pPr>
        <w:ind w:left="700" w:right="618"/>
        <w:jc w:val="both"/>
        <w:rPr>
          <w:rFonts w:ascii="Futura Bk BT" w:hAnsi="Futura Bk BT" w:cs="Times New Roman"/>
          <w:i/>
          <w:sz w:val="20"/>
          <w:szCs w:val="20"/>
        </w:rPr>
      </w:pPr>
      <w:r>
        <w:rPr>
          <w:rFonts w:ascii="Futura Bk BT" w:hAnsi="Futura Bk BT" w:cs="Times New Roman"/>
          <w:i/>
          <w:sz w:val="20"/>
          <w:szCs w:val="20"/>
        </w:rPr>
        <w:t>Para estos efectos, la Nación establecerá peajes, tarifas y tasas sobre el uso de la infraestructura nacional de transporte y los recursos provenientes de su cobro se usarán exclusivamente para ese modo de transporte.”</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pPr>
      <w:r>
        <w:rPr>
          <w:rFonts w:ascii="Futura Bk BT" w:eastAsia="Times New Roman" w:hAnsi="Futura Bk BT" w:cs="Times New Roman"/>
          <w:sz w:val="20"/>
          <w:szCs w:val="20"/>
          <w:lang w:val="es" w:eastAsia="es-ES"/>
        </w:rPr>
        <w:t xml:space="preserve">Que el Decreto 087 de 2011 </w:t>
      </w:r>
      <w:r>
        <w:rPr>
          <w:rFonts w:ascii="Futura Bk BT" w:eastAsia="Times New Roman" w:hAnsi="Futura Bk BT" w:cs="Times New Roman"/>
          <w:i/>
          <w:sz w:val="20"/>
          <w:szCs w:val="20"/>
          <w:lang w:val="es" w:eastAsia="es-ES"/>
        </w:rPr>
        <w:t>“Por el cual se modifica la estructura del Ministerio de Transporte, y se determinan las funciones de sus dependencias”</w:t>
      </w:r>
      <w:r>
        <w:rPr>
          <w:rFonts w:ascii="Futura Bk BT" w:eastAsia="Times New Roman" w:hAnsi="Futura Bk BT" w:cs="Times New Roman"/>
          <w:sz w:val="20"/>
          <w:szCs w:val="20"/>
          <w:lang w:val="es" w:eastAsia="es-ES"/>
        </w:rPr>
        <w:t xml:space="preserve"> estableció en los numerales 6.14 y 6.15 del artículo 6:</w:t>
      </w:r>
    </w:p>
    <w:p w:rsidR="000703B3" w:rsidRDefault="00AD73BB">
      <w:pPr>
        <w:ind w:left="700" w:right="616"/>
        <w:jc w:val="both"/>
        <w:rPr>
          <w:rFonts w:ascii="Futura Bk BT" w:eastAsia="Times New Roman" w:hAnsi="Futura Bk BT" w:cs="Times New Roman"/>
          <w:i/>
          <w:sz w:val="20"/>
          <w:szCs w:val="20"/>
          <w:lang w:val="es" w:eastAsia="es-ES"/>
        </w:rPr>
      </w:pPr>
      <w:r>
        <w:rPr>
          <w:rFonts w:ascii="Futura Bk BT" w:eastAsia="Times New Roman" w:hAnsi="Futura Bk BT" w:cs="Times New Roman"/>
          <w:i/>
          <w:sz w:val="20"/>
          <w:szCs w:val="20"/>
          <w:lang w:val="es"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0703B3" w:rsidRDefault="000703B3">
      <w:pPr>
        <w:ind w:left="700" w:right="616"/>
        <w:jc w:val="both"/>
        <w:rPr>
          <w:rFonts w:ascii="Futura Bk BT" w:eastAsia="Times New Roman" w:hAnsi="Futura Bk BT" w:cs="Times New Roman"/>
          <w:i/>
          <w:sz w:val="20"/>
          <w:szCs w:val="20"/>
          <w:lang w:val="es" w:eastAsia="es-ES"/>
        </w:rPr>
      </w:pPr>
    </w:p>
    <w:p w:rsidR="000703B3" w:rsidRDefault="00AD73BB">
      <w:pPr>
        <w:ind w:left="700" w:right="616"/>
        <w:jc w:val="both"/>
        <w:rPr>
          <w:rFonts w:ascii="Futura Bk BT" w:eastAsia="Times New Roman" w:hAnsi="Futura Bk BT" w:cs="Times New Roman"/>
          <w:i/>
          <w:sz w:val="20"/>
          <w:szCs w:val="20"/>
          <w:lang w:val="es" w:eastAsia="es-ES"/>
        </w:rPr>
      </w:pPr>
      <w:r>
        <w:rPr>
          <w:rFonts w:ascii="Futura Bk BT" w:eastAsia="Times New Roman" w:hAnsi="Futura Bk BT" w:cs="Times New Roman"/>
          <w:i/>
          <w:sz w:val="20"/>
          <w:szCs w:val="20"/>
          <w:lang w:val="es" w:eastAsia="es-ES"/>
        </w:rPr>
        <w:t>6.15. Establecer los peajes, tarifas, tasas y derechos a cobrar por el uso de la infraestructura de los modos de transporte, excepto el aéreo.”</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0703B3" w:rsidRDefault="00AD73BB">
      <w:pPr>
        <w:tabs>
          <w:tab w:val="left" w:pos="0"/>
          <w:tab w:val="left" w:pos="214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ab/>
      </w: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 igualmente se contempla el derecho al recaudo de recursos de explotación económica del proyecto. </w:t>
      </w:r>
    </w:p>
    <w:p w:rsidR="000703B3" w:rsidRDefault="000703B3">
      <w:pPr>
        <w:autoSpaceDE w:val="0"/>
        <w:rPr>
          <w:rFonts w:ascii="Futura Bk BT" w:eastAsia="Times New Roman" w:hAnsi="Futura Bk BT" w:cs="Times New Roman"/>
          <w:sz w:val="20"/>
          <w:szCs w:val="20"/>
          <w:lang w:val="es" w:eastAsia="es-ES"/>
        </w:rPr>
      </w:pPr>
    </w:p>
    <w:p w:rsidR="000703B3" w:rsidRDefault="00AD73BB">
      <w:pPr>
        <w:tabs>
          <w:tab w:val="left" w:pos="0"/>
        </w:tabs>
        <w:jc w:val="both"/>
      </w:pPr>
      <w:r>
        <w:rPr>
          <w:rFonts w:ascii="Futura Bk BT" w:eastAsia="Times New Roman" w:hAnsi="Futura Bk BT" w:cs="Times New Roman"/>
          <w:sz w:val="20"/>
          <w:szCs w:val="20"/>
          <w:lang w:val="es" w:eastAsia="es-ES"/>
        </w:rPr>
        <w:t xml:space="preserve">Que en desarrollo de las disposiciones contempladas en la ley 1508 de 2012 el Originador, Construcciones el Cóndor S.A, formuló ante la Agencia Nacional de Infraestructura ANI, un proyecto de concesión vial de Asociación Público Privada de Iniciativa Privada cuyo objeto es: </w:t>
      </w:r>
      <w:r>
        <w:rPr>
          <w:rFonts w:ascii="Futura Bk BT" w:eastAsia="Times New Roman" w:hAnsi="Futura Bk BT" w:cs="Times New Roman"/>
          <w:i/>
          <w:sz w:val="20"/>
          <w:szCs w:val="20"/>
          <w:lang w:val="es" w:eastAsia="es-ES"/>
        </w:rPr>
        <w:t>“Construcción, Rehabilitación, Operación y Mantenimiento y Reversión del sistema vial para la conexión de los Departamento del Cesar y la Guajira”.</w:t>
      </w:r>
    </w:p>
    <w:p w:rsidR="000703B3" w:rsidRDefault="000703B3">
      <w:pPr>
        <w:tabs>
          <w:tab w:val="left" w:pos="0"/>
        </w:tabs>
        <w:jc w:val="both"/>
        <w:rPr>
          <w:rFonts w:ascii="Futura Bk BT" w:eastAsia="Times New Roman" w:hAnsi="Futura Bk BT" w:cs="Times New Roman"/>
          <w:i/>
          <w:sz w:val="20"/>
          <w:szCs w:val="20"/>
          <w:lang w:val="es" w:eastAsia="es-ES"/>
        </w:rPr>
      </w:pPr>
    </w:p>
    <w:p w:rsidR="000703B3" w:rsidRDefault="00AD73BB">
      <w:pPr>
        <w:tabs>
          <w:tab w:val="left" w:pos="0"/>
        </w:tabs>
        <w:jc w:val="both"/>
      </w:pPr>
      <w:r>
        <w:rPr>
          <w:rFonts w:ascii="Futura Bk BT" w:eastAsia="Times New Roman" w:hAnsi="Futura Bk BT" w:cs="Times New Roman"/>
          <w:sz w:val="20"/>
          <w:szCs w:val="20"/>
          <w:lang w:val="es" w:eastAsia="es-ES"/>
        </w:rPr>
        <w:t>Que el Ministerio de Transporte, expidió la Resolución 0001919 de 2015, “</w:t>
      </w:r>
      <w:r>
        <w:rPr>
          <w:rFonts w:ascii="Futura Bk BT" w:eastAsia="Times New Roman" w:hAnsi="Futura Bk BT" w:cs="Times New Roman"/>
          <w:i/>
          <w:sz w:val="20"/>
          <w:szCs w:val="20"/>
          <w:lang w:val="es" w:eastAsia="es-ES"/>
        </w:rPr>
        <w:t>Por la cual se emite Concepto vinculante previo al establecimiento de las estaciones de peaje denominadas Rincón Hondo, Cuestecitas, San Diego, Salguero, Rio Seco y Urumita, se establecen las tarifas a cobrar en las anteriores estaciones y en una estación de peaje existente denominada San Juan ubicada en el trayecto El Molino-San Juan del Cesar- Distracción, pertenecientes al proyecto de asociación publico privada para la conexión de los Departamentos del Cesar y La Guajira y se dictan otras disposiciones”</w:t>
      </w:r>
      <w:r>
        <w:rPr>
          <w:rFonts w:ascii="Futura Bk BT" w:eastAsia="Times New Roman" w:hAnsi="Futura Bk BT" w:cs="Times New Roman"/>
          <w:sz w:val="20"/>
          <w:szCs w:val="20"/>
          <w:lang w:val="es" w:eastAsia="es-ES"/>
        </w:rPr>
        <w:t>.</w:t>
      </w:r>
    </w:p>
    <w:p w:rsidR="000703B3" w:rsidRDefault="000703B3">
      <w:pPr>
        <w:tabs>
          <w:tab w:val="left" w:pos="0"/>
        </w:tabs>
        <w:jc w:val="both"/>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Que mediante la Resolución 2036 de 2016, el Ministerio de Transporte modificó el artículo 1 para cambiar la ubicación de la estación de peaje de Río Seco, y adicionó los artículos 7, 8, 9, 10 y 11 a la Resolución 1919 de 2015, en el sentido de establecer categorías vehiculares y tarifas especiales diferenciales en las estaciones de peaje San Diego y San Juan del Cesar.</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Que posteriormente se emitieron por parte del Ministerio de Transporte las Resoluciones 0003104 de 2016 y 3921 de 2016 por la cual se modifican los artículos 3 y 7 y se adicionó un artículo a la Resolución 0001919 de 2015, modificada y adicionada por las Resoluciones 0002036 y 0003104 de </w:t>
      </w:r>
      <w:r>
        <w:rPr>
          <w:rFonts w:ascii="Futura Bk BT" w:eastAsia="Times New Roman" w:hAnsi="Futura Bk BT" w:cs="Times New Roman"/>
          <w:sz w:val="20"/>
          <w:szCs w:val="20"/>
          <w:lang w:val="es" w:eastAsia="es-ES"/>
        </w:rPr>
        <w:lastRenderedPageBreak/>
        <w:t>2016.</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El 25 de enero de 2017, se decide la impugnación formulada frente al fallo proferido el 10 de noviembre de 2016 por la Sala Civil – Familia – Laboral del Tribunal Superior de Distrito Judicial de Valledupar, dentro de la acción de tutela STC496-2017 Radicación No. 20001-22-14-002-206-00195-02 promovida por la Organización </w:t>
      </w:r>
      <w:proofErr w:type="spellStart"/>
      <w:r>
        <w:rPr>
          <w:rFonts w:ascii="Futura Bk BT" w:eastAsia="Times New Roman" w:hAnsi="Futura Bk BT" w:cs="Times New Roman"/>
          <w:sz w:val="20"/>
          <w:szCs w:val="20"/>
          <w:lang w:val="es" w:eastAsia="es-ES"/>
        </w:rPr>
        <w:t>Wiwa</w:t>
      </w:r>
      <w:proofErr w:type="spellEnd"/>
      <w:r>
        <w:rPr>
          <w:rFonts w:ascii="Futura Bk BT" w:eastAsia="Times New Roman" w:hAnsi="Futura Bk BT" w:cs="Times New Roman"/>
          <w:sz w:val="20"/>
          <w:szCs w:val="20"/>
          <w:lang w:val="es" w:eastAsia="es-ES"/>
        </w:rPr>
        <w:t xml:space="preserve"> </w:t>
      </w:r>
      <w:proofErr w:type="spellStart"/>
      <w:r>
        <w:rPr>
          <w:rFonts w:ascii="Futura Bk BT" w:eastAsia="Times New Roman" w:hAnsi="Futura Bk BT" w:cs="Times New Roman"/>
          <w:sz w:val="20"/>
          <w:szCs w:val="20"/>
          <w:lang w:val="es" w:eastAsia="es-ES"/>
        </w:rPr>
        <w:t>Yugumaiun</w:t>
      </w:r>
      <w:proofErr w:type="spellEnd"/>
      <w:r>
        <w:rPr>
          <w:rFonts w:ascii="Futura Bk BT" w:eastAsia="Times New Roman" w:hAnsi="Futura Bk BT" w:cs="Times New Roman"/>
          <w:sz w:val="20"/>
          <w:szCs w:val="20"/>
          <w:lang w:val="es" w:eastAsia="es-ES"/>
        </w:rPr>
        <w:t xml:space="preserve"> </w:t>
      </w:r>
      <w:proofErr w:type="spellStart"/>
      <w:r>
        <w:rPr>
          <w:rFonts w:ascii="Futura Bk BT" w:eastAsia="Times New Roman" w:hAnsi="Futura Bk BT" w:cs="Times New Roman"/>
          <w:sz w:val="20"/>
          <w:szCs w:val="20"/>
          <w:lang w:val="es" w:eastAsia="es-ES"/>
        </w:rPr>
        <w:t>Bunkuanarrua</w:t>
      </w:r>
      <w:proofErr w:type="spellEnd"/>
      <w:r>
        <w:rPr>
          <w:rFonts w:ascii="Futura Bk BT" w:eastAsia="Times New Roman" w:hAnsi="Futura Bk BT" w:cs="Times New Roman"/>
          <w:sz w:val="20"/>
          <w:szCs w:val="20"/>
          <w:lang w:val="es" w:eastAsia="es-ES"/>
        </w:rPr>
        <w:t xml:space="preserve"> </w:t>
      </w:r>
      <w:proofErr w:type="spellStart"/>
      <w:r>
        <w:rPr>
          <w:rFonts w:ascii="Futura Bk BT" w:eastAsia="Times New Roman" w:hAnsi="Futura Bk BT" w:cs="Times New Roman"/>
          <w:sz w:val="20"/>
          <w:szCs w:val="20"/>
          <w:lang w:val="es" w:eastAsia="es-ES"/>
        </w:rPr>
        <w:t>Tayrona</w:t>
      </w:r>
      <w:proofErr w:type="spellEnd"/>
      <w:r>
        <w:rPr>
          <w:rFonts w:ascii="Futura Bk BT" w:eastAsia="Times New Roman" w:hAnsi="Futura Bk BT" w:cs="Times New Roman"/>
          <w:sz w:val="20"/>
          <w:szCs w:val="20"/>
          <w:lang w:val="es" w:eastAsia="es-ES"/>
        </w:rPr>
        <w:t xml:space="preserve">, contra los Ministerios de Transporte y del Interior, así como de la Agencia Nacional de Infraestructura, a cuyo trámite fueron vinculados la Autoridad Nacional de Licencias Ambientales, la Concesión Cesar – Guajira S.A.S., los resguardos </w:t>
      </w:r>
      <w:proofErr w:type="spellStart"/>
      <w:r>
        <w:rPr>
          <w:rFonts w:ascii="Futura Bk BT" w:eastAsia="Times New Roman" w:hAnsi="Futura Bk BT" w:cs="Times New Roman"/>
          <w:sz w:val="20"/>
          <w:szCs w:val="20"/>
          <w:lang w:val="es" w:eastAsia="es-ES"/>
        </w:rPr>
        <w:t>Kogi</w:t>
      </w:r>
      <w:proofErr w:type="spellEnd"/>
      <w:r>
        <w:rPr>
          <w:rFonts w:ascii="Futura Bk BT" w:eastAsia="Times New Roman" w:hAnsi="Futura Bk BT" w:cs="Times New Roman"/>
          <w:sz w:val="20"/>
          <w:szCs w:val="20"/>
          <w:lang w:val="es" w:eastAsia="es-ES"/>
        </w:rPr>
        <w:t xml:space="preserve">, Arahuaco, </w:t>
      </w:r>
      <w:proofErr w:type="spellStart"/>
      <w:r>
        <w:rPr>
          <w:rFonts w:ascii="Futura Bk BT" w:eastAsia="Times New Roman" w:hAnsi="Futura Bk BT" w:cs="Times New Roman"/>
          <w:sz w:val="20"/>
          <w:szCs w:val="20"/>
          <w:lang w:val="es" w:eastAsia="es-ES"/>
        </w:rPr>
        <w:t>Wiwa</w:t>
      </w:r>
      <w:proofErr w:type="spellEnd"/>
      <w:r>
        <w:rPr>
          <w:rFonts w:ascii="Futura Bk BT" w:eastAsia="Times New Roman" w:hAnsi="Futura Bk BT" w:cs="Times New Roman"/>
          <w:sz w:val="20"/>
          <w:szCs w:val="20"/>
          <w:lang w:val="es" w:eastAsia="es-ES"/>
        </w:rPr>
        <w:t xml:space="preserve"> y </w:t>
      </w:r>
      <w:proofErr w:type="spellStart"/>
      <w:r>
        <w:rPr>
          <w:rFonts w:ascii="Futura Bk BT" w:eastAsia="Times New Roman" w:hAnsi="Futura Bk BT" w:cs="Times New Roman"/>
          <w:sz w:val="20"/>
          <w:szCs w:val="20"/>
          <w:lang w:val="es" w:eastAsia="es-ES"/>
        </w:rPr>
        <w:t>Kaukamo</w:t>
      </w:r>
      <w:proofErr w:type="spellEnd"/>
      <w:r>
        <w:rPr>
          <w:rFonts w:ascii="Futura Bk BT" w:eastAsia="Times New Roman" w:hAnsi="Futura Bk BT" w:cs="Times New Roman"/>
          <w:sz w:val="20"/>
          <w:szCs w:val="20"/>
          <w:lang w:val="es" w:eastAsia="es-ES"/>
        </w:rPr>
        <w:t xml:space="preserve">. </w:t>
      </w:r>
    </w:p>
    <w:p w:rsidR="000703B3" w:rsidRDefault="000703B3">
      <w:pPr>
        <w:tabs>
          <w:tab w:val="left" w:pos="0"/>
        </w:tabs>
        <w:jc w:val="both"/>
        <w:rPr>
          <w:rFonts w:ascii="Futura Bk BT" w:eastAsia="Times New Roman" w:hAnsi="Futura Bk BT" w:cs="Times New Roman"/>
          <w:i/>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Conforme a lo anterior la Corte Suprema de Justicia, en Sala de Casación Civil, ordena:</w:t>
      </w:r>
    </w:p>
    <w:p w:rsidR="000703B3" w:rsidRDefault="000703B3">
      <w:pPr>
        <w:tabs>
          <w:tab w:val="left" w:pos="0"/>
        </w:tabs>
        <w:jc w:val="both"/>
        <w:rPr>
          <w:rFonts w:ascii="Futura Bk BT" w:eastAsia="Times New Roman" w:hAnsi="Futura Bk BT" w:cs="Times New Roman"/>
          <w:i/>
          <w:sz w:val="20"/>
          <w:szCs w:val="20"/>
          <w:lang w:val="es" w:eastAsia="es-ES"/>
        </w:rPr>
      </w:pPr>
    </w:p>
    <w:p w:rsidR="000703B3" w:rsidRDefault="00AD73BB">
      <w:pPr>
        <w:tabs>
          <w:tab w:val="left" w:pos="0"/>
        </w:tabs>
        <w:ind w:left="686" w:right="616"/>
        <w:jc w:val="both"/>
        <w:rPr>
          <w:rFonts w:ascii="Futura Bk BT" w:eastAsia="Times New Roman" w:hAnsi="Futura Bk BT" w:cs="Times New Roman"/>
          <w:i/>
          <w:sz w:val="20"/>
          <w:szCs w:val="20"/>
          <w:lang w:val="es" w:eastAsia="es-ES"/>
        </w:rPr>
      </w:pPr>
      <w:r>
        <w:rPr>
          <w:rFonts w:ascii="Futura Bk BT" w:eastAsia="Times New Roman" w:hAnsi="Futura Bk BT" w:cs="Times New Roman"/>
          <w:i/>
          <w:sz w:val="20"/>
          <w:szCs w:val="20"/>
          <w:lang w:val="es" w:eastAsia="es-ES"/>
        </w:rPr>
        <w:tab/>
      </w:r>
      <w:r>
        <w:rPr>
          <w:rFonts w:ascii="Futura Bk BT" w:eastAsia="Times New Roman" w:hAnsi="Futura Bk BT" w:cs="Times New Roman"/>
          <w:i/>
          <w:sz w:val="20"/>
          <w:szCs w:val="20"/>
          <w:lang w:val="es" w:eastAsia="es-ES"/>
        </w:rPr>
        <w:tab/>
      </w:r>
      <w:r>
        <w:rPr>
          <w:rFonts w:ascii="Futura Bk BT" w:eastAsia="Times New Roman" w:hAnsi="Futura Bk BT" w:cs="Times New Roman"/>
          <w:i/>
          <w:sz w:val="20"/>
          <w:szCs w:val="20"/>
          <w:lang w:val="es" w:eastAsia="es-ES"/>
        </w:rPr>
        <w:tab/>
        <w:t>“Suspende los efectos de las resoluciones 1919 de 2015, la 2036 de 2016 y todas aquellas que las hayan modificado o adicionado, expedidas por el Ministerio de Transporte, en lo que atañe a las estaciones de  Rio Seco y Salguero, hasta tanto se agote el trámite de consulta previa al que se refiere el siguiente numeral, destacando que, finalizado éste, dicha Cartera Ministerial deberá adoptar las decisiones que corresponda acorde con el mismo, ya sea reanudando, modificando o restando los efectos de los aludidos actos administrativos.”</w:t>
      </w:r>
    </w:p>
    <w:p w:rsidR="000703B3" w:rsidRDefault="000703B3">
      <w:pPr>
        <w:tabs>
          <w:tab w:val="left" w:pos="0"/>
        </w:tabs>
        <w:jc w:val="both"/>
        <w:rPr>
          <w:rFonts w:ascii="Futura Bk BT" w:eastAsia="Times New Roman" w:hAnsi="Futura Bk BT" w:cs="Times New Roman"/>
          <w:i/>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En esta misma fecha se decide la impugnación interpuesta frente a la sentencia del 21 de noviembre de 2016, dictada por la Sala Civil Familia Laboral del Tribunal Superior del Distrito Judicial de Riohacha, dentro de la acción de tutela STC482-2017 Radicación No. 44001-22-14-002-2016-00043-02 instaurada por el Consejo Comunitario Ancestral “Carmelo </w:t>
      </w:r>
      <w:proofErr w:type="spellStart"/>
      <w:r>
        <w:rPr>
          <w:rFonts w:ascii="Futura Bk BT" w:eastAsia="Times New Roman" w:hAnsi="Futura Bk BT" w:cs="Times New Roman"/>
          <w:sz w:val="20"/>
          <w:szCs w:val="20"/>
          <w:lang w:val="es" w:eastAsia="es-ES"/>
        </w:rPr>
        <w:t>Banquet</w:t>
      </w:r>
      <w:proofErr w:type="spellEnd"/>
      <w:r>
        <w:rPr>
          <w:rFonts w:ascii="Futura Bk BT" w:eastAsia="Times New Roman" w:hAnsi="Futura Bk BT" w:cs="Times New Roman"/>
          <w:sz w:val="20"/>
          <w:szCs w:val="20"/>
          <w:lang w:val="es" w:eastAsia="es-ES"/>
        </w:rPr>
        <w:t xml:space="preserve">” del Corregimiento de Los </w:t>
      </w:r>
      <w:proofErr w:type="spellStart"/>
      <w:r>
        <w:rPr>
          <w:rFonts w:ascii="Futura Bk BT" w:eastAsia="Times New Roman" w:hAnsi="Futura Bk BT" w:cs="Times New Roman"/>
          <w:sz w:val="20"/>
          <w:szCs w:val="20"/>
          <w:lang w:val="es" w:eastAsia="es-ES"/>
        </w:rPr>
        <w:t>Háticos</w:t>
      </w:r>
      <w:proofErr w:type="spellEnd"/>
      <w:r>
        <w:rPr>
          <w:rFonts w:ascii="Futura Bk BT" w:eastAsia="Times New Roman" w:hAnsi="Futura Bk BT" w:cs="Times New Roman"/>
          <w:sz w:val="20"/>
          <w:szCs w:val="20"/>
          <w:lang w:val="es" w:eastAsia="es-ES"/>
        </w:rPr>
        <w:t xml:space="preserve"> ubicado en el municipio de San Juan del Cesar, reconocido mediante Resolución No. 0576 de 19 de septiembre de 2014, contra la Agencia Nacional de Infraestructura y los Ministerios de Transporte y del Interior, extensiva a la cartera ministerial de Medio Amiente y Desarrollo Sostenible, a la Autoridad Nacional de Licencias Ambientales – ANLA-, al Instituto Nacional de Vías .INVIAS-, a la Agencia Nacional de Infraestructura –ANI-, a la Concesión Cesar- Guajira S.A.S., a la Procuraduría Doce Judicial II Agraria y Ambiental, a la Defensoría del Pueblo y a las “Comunidades étnicas, indígenas y afrodescendientes, que habitan en la región de influencia del peaje de Río Seco. </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Conforme a lo anterior la Corte Suprema de Justicia, en Sala de Casación Civil, ordena:</w:t>
      </w: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 </w:t>
      </w:r>
    </w:p>
    <w:p w:rsidR="000703B3" w:rsidRDefault="00AD73BB">
      <w:pPr>
        <w:tabs>
          <w:tab w:val="left" w:pos="0"/>
        </w:tabs>
        <w:ind w:left="728" w:right="616"/>
        <w:jc w:val="both"/>
        <w:rPr>
          <w:rFonts w:ascii="Futura Bk BT" w:eastAsia="Times New Roman" w:hAnsi="Futura Bk BT" w:cs="Times New Roman"/>
          <w:i/>
          <w:sz w:val="20"/>
          <w:szCs w:val="20"/>
          <w:lang w:val="es" w:eastAsia="es-ES"/>
        </w:rPr>
      </w:pPr>
      <w:r>
        <w:rPr>
          <w:rFonts w:ascii="Futura Bk BT" w:eastAsia="Times New Roman" w:hAnsi="Futura Bk BT" w:cs="Times New Roman"/>
          <w:i/>
          <w:sz w:val="20"/>
          <w:szCs w:val="20"/>
          <w:lang w:val="es" w:eastAsia="es-ES"/>
        </w:rPr>
        <w:t>“(…)</w:t>
      </w:r>
      <w:r>
        <w:rPr>
          <w:rFonts w:ascii="Futura Bk BT" w:eastAsia="Times New Roman" w:hAnsi="Futura Bk BT" w:cs="Times New Roman"/>
          <w:i/>
          <w:sz w:val="20"/>
          <w:szCs w:val="20"/>
          <w:lang w:val="es" w:eastAsia="es-ES"/>
        </w:rPr>
        <w:tab/>
      </w:r>
      <w:r>
        <w:rPr>
          <w:rFonts w:ascii="Futura Bk BT" w:eastAsia="Times New Roman" w:hAnsi="Futura Bk BT" w:cs="Times New Roman"/>
          <w:i/>
          <w:sz w:val="20"/>
          <w:szCs w:val="20"/>
          <w:lang w:val="es" w:eastAsia="es-ES"/>
        </w:rPr>
        <w:tab/>
      </w:r>
      <w:r>
        <w:rPr>
          <w:rFonts w:ascii="Futura Bk BT" w:eastAsia="Times New Roman" w:hAnsi="Futura Bk BT" w:cs="Times New Roman"/>
          <w:i/>
          <w:sz w:val="20"/>
          <w:szCs w:val="20"/>
          <w:lang w:val="es" w:eastAsia="es-ES"/>
        </w:rPr>
        <w:tab/>
      </w:r>
      <w:r>
        <w:rPr>
          <w:rFonts w:ascii="Futura Bk BT" w:eastAsia="Times New Roman" w:hAnsi="Futura Bk BT" w:cs="Times New Roman"/>
          <w:i/>
          <w:sz w:val="20"/>
          <w:szCs w:val="20"/>
          <w:lang w:val="es" w:eastAsia="es-ES"/>
        </w:rPr>
        <w:tab/>
      </w:r>
      <w:r>
        <w:rPr>
          <w:rFonts w:ascii="Futura Bk BT" w:eastAsia="Times New Roman" w:hAnsi="Futura Bk BT" w:cs="Times New Roman"/>
          <w:i/>
          <w:sz w:val="20"/>
          <w:szCs w:val="20"/>
          <w:lang w:val="es" w:eastAsia="es-ES"/>
        </w:rPr>
        <w:tab/>
        <w:t xml:space="preserve">suspender las Resoluciones No. 1919 de 2915 y 2036 de 2016 expedidas por el Ministerio de Transporte, así como todo aquel acto para la construcción del peaje “Río Seco”, mientras el Ministerio del Interior lleva a cabo el proceso de consulta previa a la comunidad </w:t>
      </w:r>
      <w:proofErr w:type="spellStart"/>
      <w:r>
        <w:rPr>
          <w:rFonts w:ascii="Futura Bk BT" w:eastAsia="Times New Roman" w:hAnsi="Futura Bk BT" w:cs="Times New Roman"/>
          <w:i/>
          <w:sz w:val="20"/>
          <w:szCs w:val="20"/>
          <w:lang w:val="es" w:eastAsia="es-ES"/>
        </w:rPr>
        <w:t>tutelante</w:t>
      </w:r>
      <w:proofErr w:type="spellEnd"/>
      <w:r>
        <w:rPr>
          <w:rFonts w:ascii="Futura Bk BT" w:eastAsia="Times New Roman" w:hAnsi="Futura Bk BT" w:cs="Times New Roman"/>
          <w:i/>
          <w:sz w:val="20"/>
          <w:szCs w:val="20"/>
          <w:lang w:val="es" w:eastAsia="es-ES"/>
        </w:rPr>
        <w:t>, el cual deberá efectuarse con la concurrencia de los demás vinculados dentro del mes siguiente a la notificación de este proveído.”.</w:t>
      </w:r>
    </w:p>
    <w:p w:rsidR="000703B3" w:rsidRDefault="000703B3">
      <w:pPr>
        <w:tabs>
          <w:tab w:val="left" w:pos="0"/>
        </w:tabs>
        <w:jc w:val="both"/>
        <w:rPr>
          <w:rFonts w:ascii="Futura Bk BT" w:eastAsia="Times New Roman" w:hAnsi="Futura Bk BT" w:cs="Times New Roman"/>
          <w:i/>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El día 16 de </w:t>
      </w:r>
      <w:proofErr w:type="gramStart"/>
      <w:r>
        <w:rPr>
          <w:rFonts w:ascii="Futura Bk BT" w:eastAsia="Times New Roman" w:hAnsi="Futura Bk BT" w:cs="Times New Roman"/>
          <w:sz w:val="20"/>
          <w:szCs w:val="20"/>
          <w:lang w:val="es" w:eastAsia="es-ES"/>
        </w:rPr>
        <w:t>Febrero</w:t>
      </w:r>
      <w:proofErr w:type="gramEnd"/>
      <w:r>
        <w:rPr>
          <w:rFonts w:ascii="Futura Bk BT" w:eastAsia="Times New Roman" w:hAnsi="Futura Bk BT" w:cs="Times New Roman"/>
          <w:sz w:val="20"/>
          <w:szCs w:val="20"/>
          <w:lang w:val="es" w:eastAsia="es-ES"/>
        </w:rPr>
        <w:t xml:space="preserve"> de 2017 a las 6:00 de la mañana, en cumplimiento de los fallos de tutela anteriormente descritos, se suspendió la operación del peaje Rio Seco.</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both"/>
      </w:pPr>
      <w:proofErr w:type="gramStart"/>
      <w:r>
        <w:rPr>
          <w:rFonts w:ascii="Futura Bk BT" w:eastAsia="Times New Roman" w:hAnsi="Futura Bk BT" w:cs="Times New Roman"/>
          <w:sz w:val="20"/>
          <w:szCs w:val="20"/>
          <w:lang w:val="es" w:eastAsia="es-ES"/>
        </w:rPr>
        <w:lastRenderedPageBreak/>
        <w:t>Que</w:t>
      </w:r>
      <w:proofErr w:type="gramEnd"/>
      <w:r>
        <w:rPr>
          <w:rFonts w:ascii="Futura Bk BT" w:eastAsia="Times New Roman" w:hAnsi="Futura Bk BT" w:cs="Times New Roman"/>
          <w:sz w:val="20"/>
          <w:szCs w:val="20"/>
          <w:lang w:val="es" w:eastAsia="es-ES"/>
        </w:rPr>
        <w:t xml:space="preserve"> en acatamiento a los fallos de tutela precedentemente descritos, se expide la presente resolución, cuyo contenido fue publicado en la página web de la Agencia Nacional de Infraestructura ANI, del XX al XX de Febrero de 2017 en cumplimiento a lo determinado en el numeral 8 del artículo 8 de la Ley 1437 de 2011, con el objeto de recibir opiniones, sugerencias o propuestas alternativas.  </w:t>
      </w:r>
    </w:p>
    <w:p w:rsidR="000703B3" w:rsidRDefault="000703B3">
      <w:pPr>
        <w:tabs>
          <w:tab w:val="left" w:pos="0"/>
        </w:tabs>
        <w:jc w:val="both"/>
        <w:rPr>
          <w:rFonts w:ascii="Futura Bk BT" w:eastAsia="Times New Roman" w:hAnsi="Futura Bk BT" w:cs="Times New Roman"/>
          <w:i/>
          <w:sz w:val="20"/>
          <w:szCs w:val="20"/>
          <w:lang w:val="es" w:eastAsia="es-ES"/>
        </w:rPr>
      </w:pPr>
    </w:p>
    <w:p w:rsidR="000703B3" w:rsidRDefault="00AD73BB">
      <w:pPr>
        <w:tabs>
          <w:tab w:val="left" w:pos="0"/>
        </w:tabs>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Que no se recibieron comentarios del contenido del presente acto administrativo.</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jc w:val="both"/>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En mérito de lo expuesto, </w:t>
      </w:r>
    </w:p>
    <w:p w:rsidR="000703B3" w:rsidRDefault="000703B3">
      <w:pPr>
        <w:jc w:val="both"/>
        <w:rPr>
          <w:rFonts w:ascii="Futura Bk BT" w:eastAsia="Times New Roman" w:hAnsi="Futura Bk BT" w:cs="Times New Roman"/>
          <w:sz w:val="20"/>
          <w:szCs w:val="20"/>
          <w:lang w:val="es" w:eastAsia="es-ES"/>
        </w:rPr>
      </w:pPr>
    </w:p>
    <w:p w:rsidR="000703B3" w:rsidRDefault="000703B3">
      <w:pPr>
        <w:jc w:val="both"/>
        <w:rPr>
          <w:rFonts w:ascii="Futura Bk BT" w:eastAsia="Times New Roman" w:hAnsi="Futura Bk BT" w:cs="Times New Roman"/>
          <w:sz w:val="20"/>
          <w:szCs w:val="20"/>
          <w:lang w:val="es" w:eastAsia="es-ES"/>
        </w:rPr>
      </w:pPr>
    </w:p>
    <w:p w:rsidR="000703B3" w:rsidRDefault="000703B3">
      <w:pPr>
        <w:jc w:val="both"/>
        <w:rPr>
          <w:rFonts w:ascii="Futura Bk BT" w:eastAsia="Times New Roman" w:hAnsi="Futura Bk BT" w:cs="Times New Roman"/>
          <w:sz w:val="20"/>
          <w:szCs w:val="20"/>
          <w:lang w:val="es" w:eastAsia="es-ES"/>
        </w:rPr>
      </w:pPr>
    </w:p>
    <w:p w:rsidR="000703B3" w:rsidRDefault="000703B3">
      <w:pPr>
        <w:jc w:val="both"/>
        <w:rPr>
          <w:rFonts w:ascii="Futura Bk BT" w:eastAsia="Times New Roman" w:hAnsi="Futura Bk BT" w:cs="Times New Roman"/>
          <w:sz w:val="20"/>
          <w:szCs w:val="20"/>
          <w:lang w:val="es" w:eastAsia="es-ES"/>
        </w:rPr>
      </w:pPr>
    </w:p>
    <w:p w:rsidR="000703B3" w:rsidRDefault="00AD73BB">
      <w:pPr>
        <w:jc w:val="center"/>
        <w:rPr>
          <w:rFonts w:ascii="Futura Bk BT" w:eastAsia="Times New Roman" w:hAnsi="Futura Bk BT" w:cs="Times New Roman"/>
          <w:b/>
          <w:sz w:val="20"/>
          <w:szCs w:val="20"/>
          <w:lang w:val="es" w:eastAsia="es-ES"/>
        </w:rPr>
      </w:pPr>
      <w:r>
        <w:rPr>
          <w:rFonts w:ascii="Futura Bk BT" w:eastAsia="Times New Roman" w:hAnsi="Futura Bk BT" w:cs="Times New Roman"/>
          <w:b/>
          <w:sz w:val="20"/>
          <w:szCs w:val="20"/>
          <w:lang w:val="es" w:eastAsia="es-ES"/>
        </w:rPr>
        <w:t>RESUELVE:</w:t>
      </w:r>
    </w:p>
    <w:p w:rsidR="000703B3" w:rsidRDefault="000703B3">
      <w:pPr>
        <w:jc w:val="center"/>
        <w:rPr>
          <w:rFonts w:ascii="Futura Bk BT" w:eastAsia="Times New Roman" w:hAnsi="Futura Bk BT" w:cs="Times New Roman"/>
          <w:b/>
          <w:sz w:val="20"/>
          <w:szCs w:val="20"/>
          <w:lang w:val="es" w:eastAsia="es-ES"/>
        </w:rPr>
      </w:pPr>
    </w:p>
    <w:p w:rsidR="000703B3" w:rsidRDefault="000703B3">
      <w:pPr>
        <w:jc w:val="center"/>
        <w:rPr>
          <w:rFonts w:ascii="Futura Bk BT" w:eastAsia="Times New Roman" w:hAnsi="Futura Bk BT" w:cs="Times New Roman"/>
          <w:b/>
          <w:sz w:val="20"/>
          <w:szCs w:val="20"/>
          <w:lang w:val="es" w:eastAsia="es-ES"/>
        </w:rPr>
      </w:pPr>
    </w:p>
    <w:p w:rsidR="000703B3" w:rsidRDefault="00AD73BB">
      <w:pPr>
        <w:tabs>
          <w:tab w:val="left" w:pos="0"/>
        </w:tabs>
        <w:jc w:val="both"/>
      </w:pPr>
      <w:r>
        <w:rPr>
          <w:rFonts w:ascii="Futura Bk BT" w:eastAsia="Times New Roman" w:hAnsi="Futura Bk BT" w:cs="Times New Roman"/>
          <w:b/>
          <w:sz w:val="20"/>
          <w:szCs w:val="20"/>
          <w:lang w:val="es" w:eastAsia="es-ES"/>
        </w:rPr>
        <w:t xml:space="preserve">ARTÍCULO PRIMERO: </w:t>
      </w:r>
      <w:r>
        <w:rPr>
          <w:rFonts w:ascii="Futura Bk BT" w:eastAsia="Times New Roman" w:hAnsi="Futura Bk BT" w:cs="Times New Roman"/>
          <w:sz w:val="20"/>
          <w:szCs w:val="20"/>
          <w:lang w:val="es" w:eastAsia="es-ES"/>
        </w:rPr>
        <w:t>En cumplimiento de los fallos de tutela se suspenden los efectos de las resoluciones No. 0001919 de 2015, No. 0002036 de 2016 y todas aquellas que las hayan modificado o adicionado en lo que atañe a las estaciones de peaje de Rio Seco y Salguero, pertenecientes al proyecto de asociación publico privada de iniciativa privada para la conexión de los Departamentos del Cesar y la Guajira, dicha suspensión tendrá como termino el mismo del trámite de la consulta previa a las comunidades que según las sentencias proferidas por la Sala Civil de la Corte Suprema de Justicia deben ser consultadas como condición para levantar la suspensión de las citadas resoluciones, es decir que una vez agotado el trámite de consulta previa descrito, se levantará automáticamente la suspensión de las mismas.</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jc w:val="both"/>
      </w:pPr>
      <w:r>
        <w:rPr>
          <w:rFonts w:ascii="Futura Bk BT" w:eastAsia="Times New Roman" w:hAnsi="Futura Bk BT" w:cs="Times New Roman"/>
          <w:b/>
          <w:sz w:val="20"/>
          <w:szCs w:val="20"/>
          <w:lang w:val="es" w:eastAsia="es-ES"/>
        </w:rPr>
        <w:t xml:space="preserve">ARTÍCULO SEGUNDO: </w:t>
      </w:r>
      <w:r>
        <w:rPr>
          <w:rFonts w:ascii="Futura Bk BT" w:eastAsia="Times New Roman" w:hAnsi="Futura Bk BT" w:cs="Times New Roman"/>
          <w:sz w:val="20"/>
          <w:szCs w:val="20"/>
          <w:lang w:val="es" w:eastAsia="es-ES"/>
        </w:rPr>
        <w:t>La presente resolución rige a partir de su expedición y deroga todas aquellas disposiciones que le sean contrarias.</w:t>
      </w:r>
    </w:p>
    <w:p w:rsidR="000703B3" w:rsidRDefault="000703B3">
      <w:pPr>
        <w:jc w:val="both"/>
        <w:rPr>
          <w:rFonts w:ascii="Futura Bk BT" w:eastAsia="Times New Roman" w:hAnsi="Futura Bk BT" w:cs="Times New Roman"/>
          <w:sz w:val="20"/>
          <w:szCs w:val="20"/>
          <w:lang w:val="es" w:eastAsia="es-ES"/>
        </w:rPr>
      </w:pPr>
    </w:p>
    <w:p w:rsidR="000703B3" w:rsidRDefault="00AD73BB">
      <w:pPr>
        <w:tabs>
          <w:tab w:val="left" w:pos="0"/>
        </w:tabs>
        <w:rPr>
          <w:rFonts w:ascii="Futura Bk BT" w:eastAsia="Times New Roman" w:hAnsi="Futura Bk BT" w:cs="Times New Roman"/>
          <w:sz w:val="20"/>
          <w:szCs w:val="20"/>
          <w:lang w:val="es" w:eastAsia="es-ES"/>
        </w:rPr>
      </w:pPr>
      <w:r>
        <w:rPr>
          <w:rFonts w:ascii="Futura Bk BT" w:eastAsia="Times New Roman" w:hAnsi="Futura Bk BT" w:cs="Times New Roman"/>
          <w:sz w:val="20"/>
          <w:szCs w:val="20"/>
          <w:lang w:val="es" w:eastAsia="es-ES"/>
        </w:rPr>
        <w:t xml:space="preserve">Dada en Bogotá D.C., a los </w:t>
      </w: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0703B3">
      <w:pPr>
        <w:tabs>
          <w:tab w:val="left" w:pos="0"/>
        </w:tabs>
        <w:jc w:val="both"/>
        <w:rPr>
          <w:rFonts w:ascii="Futura Bk BT" w:eastAsia="Times New Roman" w:hAnsi="Futura Bk BT" w:cs="Times New Roman"/>
          <w:sz w:val="20"/>
          <w:szCs w:val="20"/>
          <w:lang w:val="es" w:eastAsia="es-ES"/>
        </w:rPr>
      </w:pPr>
    </w:p>
    <w:p w:rsidR="000703B3" w:rsidRDefault="00AD73BB">
      <w:pPr>
        <w:tabs>
          <w:tab w:val="left" w:pos="0"/>
        </w:tabs>
        <w:jc w:val="center"/>
        <w:rPr>
          <w:rFonts w:ascii="Futura Bk BT" w:eastAsia="Times New Roman" w:hAnsi="Futura Bk BT" w:cs="Times New Roman"/>
          <w:b/>
          <w:sz w:val="20"/>
          <w:szCs w:val="20"/>
          <w:lang w:val="es" w:eastAsia="es-ES"/>
        </w:rPr>
      </w:pPr>
      <w:r>
        <w:rPr>
          <w:rFonts w:ascii="Futura Bk BT" w:eastAsia="Times New Roman" w:hAnsi="Futura Bk BT" w:cs="Times New Roman"/>
          <w:b/>
          <w:sz w:val="20"/>
          <w:szCs w:val="20"/>
          <w:lang w:val="es" w:eastAsia="es-ES"/>
        </w:rPr>
        <w:t xml:space="preserve">JORGE EDUARDO ROJAS </w:t>
      </w:r>
    </w:p>
    <w:p w:rsidR="000703B3" w:rsidRDefault="00AD73BB">
      <w:pPr>
        <w:tabs>
          <w:tab w:val="left" w:pos="0"/>
        </w:tabs>
        <w:jc w:val="center"/>
      </w:pPr>
      <w:r>
        <w:rPr>
          <w:rFonts w:ascii="Futura Bk BT" w:eastAsia="Times New Roman" w:hAnsi="Futura Bk BT" w:cs="Times New Roman"/>
          <w:b/>
          <w:sz w:val="20"/>
          <w:szCs w:val="20"/>
          <w:lang w:val="es" w:eastAsia="es-ES"/>
        </w:rPr>
        <w:t>Ministro de Transporte</w:t>
      </w:r>
    </w:p>
    <w:p w:rsidR="000703B3" w:rsidRDefault="000703B3">
      <w:pPr>
        <w:tabs>
          <w:tab w:val="left" w:pos="-720"/>
        </w:tabs>
        <w:jc w:val="both"/>
        <w:rPr>
          <w:rFonts w:ascii="Futura Bk BT" w:eastAsia="Times New Roman" w:hAnsi="Futura Bk BT" w:cs="Times New Roman"/>
          <w:spacing w:val="-3"/>
          <w:sz w:val="20"/>
          <w:szCs w:val="20"/>
          <w:lang w:val="es" w:eastAsia="es-ES"/>
        </w:rPr>
      </w:pPr>
    </w:p>
    <w:p w:rsidR="000703B3" w:rsidRDefault="000703B3">
      <w:pPr>
        <w:tabs>
          <w:tab w:val="left" w:pos="-720"/>
        </w:tabs>
        <w:jc w:val="both"/>
        <w:rPr>
          <w:rFonts w:ascii="Futura Bk BT" w:eastAsia="Times New Roman" w:hAnsi="Futura Bk BT" w:cs="Times New Roman"/>
          <w:spacing w:val="-3"/>
          <w:sz w:val="20"/>
          <w:szCs w:val="20"/>
          <w:lang w:val="es" w:eastAsia="es-ES"/>
        </w:rPr>
      </w:pPr>
    </w:p>
    <w:p w:rsidR="000703B3" w:rsidRDefault="000703B3">
      <w:pPr>
        <w:tabs>
          <w:tab w:val="left" w:pos="-720"/>
        </w:tabs>
        <w:jc w:val="both"/>
        <w:rPr>
          <w:rFonts w:ascii="Futura Bk BT" w:eastAsia="Times New Roman" w:hAnsi="Futura Bk BT" w:cs="Times New Roman"/>
          <w:spacing w:val="-3"/>
          <w:sz w:val="20"/>
          <w:szCs w:val="20"/>
          <w:lang w:val="es" w:eastAsia="es-ES"/>
        </w:rPr>
      </w:pP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Faby Natalia Caycedo - Líder equipo de apoyo a la supervisión</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Alberto Augusto Rodriguez – Gerente de Proyectos Carreteros Vicepresidencia de Gestión Contractual</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Natalia Campos – Contratista Vicepresidencia Jurídica</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Gabriel Vélez Calderón – Gerente de Proyecto 9 Vicepresidencia Jurídica</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lastRenderedPageBreak/>
        <w:t>Andrés Figueredo Serpa – Vicepresidente de Gestión Contractual</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Amparo Lotero Zuluaga-Jefe Oficina Asesora de Jurídica-Ministerio de Transporte</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Claudia Montoya Campos –Coordinadora Grupo de Apoyo Legal Ministerio de Transporte</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 xml:space="preserve">Astrid Fortich Pérez-Jefe Oficina Regulación Económica Ministerio de Transporte. </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Mario Franco Morales-Coordinador GEF - Oficina Regulación Económica Ministerio de Transporte.</w:t>
      </w:r>
    </w:p>
    <w:p w:rsidR="000703B3" w:rsidRDefault="00AD73BB">
      <w:pPr>
        <w:tabs>
          <w:tab w:val="left" w:pos="-720"/>
        </w:tabs>
        <w:jc w:val="both"/>
        <w:rPr>
          <w:rFonts w:ascii="Futura Bk BT" w:eastAsia="Times New Roman" w:hAnsi="Futura Bk BT" w:cs="Times New Roman"/>
          <w:spacing w:val="-3"/>
          <w:sz w:val="16"/>
          <w:szCs w:val="20"/>
          <w:lang w:eastAsia="es-ES"/>
        </w:rPr>
      </w:pPr>
      <w:r>
        <w:rPr>
          <w:rFonts w:ascii="Futura Bk BT" w:eastAsia="Times New Roman" w:hAnsi="Futura Bk BT" w:cs="Times New Roman"/>
          <w:spacing w:val="-3"/>
          <w:sz w:val="16"/>
          <w:szCs w:val="20"/>
          <w:lang w:eastAsia="es-ES"/>
        </w:rPr>
        <w:t>Judy Prieto Camargo-Abogada GEF - Oficina Regulación Económica Ministerio de Transporte.</w:t>
      </w:r>
    </w:p>
    <w:p w:rsidR="000703B3" w:rsidRDefault="000703B3">
      <w:pPr>
        <w:tabs>
          <w:tab w:val="left" w:pos="-720"/>
        </w:tabs>
        <w:jc w:val="both"/>
        <w:rPr>
          <w:rFonts w:ascii="Futura Bk BT" w:eastAsia="Times New Roman" w:hAnsi="Futura Bk BT" w:cs="Times New Roman"/>
          <w:spacing w:val="-3"/>
          <w:sz w:val="20"/>
          <w:szCs w:val="20"/>
          <w:lang w:eastAsia="es-ES"/>
        </w:rPr>
      </w:pPr>
    </w:p>
    <w:p w:rsidR="000703B3" w:rsidRDefault="00AD73BB">
      <w:pPr>
        <w:tabs>
          <w:tab w:val="left" w:pos="-720"/>
        </w:tabs>
        <w:jc w:val="both"/>
        <w:rPr>
          <w:rFonts w:ascii="Futura Bk BT" w:eastAsia="Times New Roman" w:hAnsi="Futura Bk BT" w:cs="Times New Roman"/>
          <w:spacing w:val="-3"/>
          <w:sz w:val="20"/>
          <w:szCs w:val="20"/>
          <w:lang w:eastAsia="es-ES"/>
        </w:rPr>
      </w:pPr>
      <w:r>
        <w:rPr>
          <w:rFonts w:ascii="Futura Bk BT" w:eastAsia="Times New Roman" w:hAnsi="Futura Bk BT" w:cs="Times New Roman"/>
          <w:spacing w:val="-3"/>
          <w:sz w:val="20"/>
          <w:szCs w:val="20"/>
          <w:lang w:eastAsia="es-ES"/>
        </w:rPr>
        <w:t xml:space="preserve">                                           </w:t>
      </w:r>
    </w:p>
    <w:p w:rsidR="000703B3" w:rsidRDefault="000703B3">
      <w:pPr>
        <w:tabs>
          <w:tab w:val="left" w:pos="-720"/>
        </w:tabs>
        <w:jc w:val="both"/>
        <w:rPr>
          <w:rFonts w:ascii="Futura Bk BT" w:eastAsia="Times New Roman" w:hAnsi="Futura Bk BT" w:cs="Times New Roman"/>
          <w:spacing w:val="-3"/>
          <w:sz w:val="20"/>
          <w:szCs w:val="20"/>
          <w:lang w:val="es" w:eastAsia="es-ES"/>
        </w:rPr>
      </w:pPr>
    </w:p>
    <w:p w:rsidR="000703B3" w:rsidRDefault="000703B3">
      <w:pPr>
        <w:tabs>
          <w:tab w:val="left" w:pos="-720"/>
        </w:tabs>
        <w:jc w:val="both"/>
        <w:rPr>
          <w:rFonts w:ascii="Futura Bk BT" w:eastAsia="Times New Roman" w:hAnsi="Futura Bk BT" w:cs="Times New Roman"/>
          <w:spacing w:val="-3"/>
          <w:sz w:val="20"/>
          <w:szCs w:val="20"/>
          <w:lang w:val="es" w:eastAsia="es-ES"/>
        </w:rPr>
      </w:pPr>
    </w:p>
    <w:p w:rsidR="000703B3" w:rsidRDefault="000703B3">
      <w:pPr>
        <w:pStyle w:val="Estilo"/>
        <w:spacing w:before="211"/>
        <w:ind w:right="220"/>
        <w:rPr>
          <w:rFonts w:ascii="Futura Bk BT" w:hAnsi="Futura Bk BT" w:cs="Times New Roman"/>
          <w:b/>
          <w:sz w:val="20"/>
          <w:szCs w:val="20"/>
          <w:lang w:val="es" w:eastAsia="es-CO"/>
        </w:rPr>
      </w:pPr>
    </w:p>
    <w:p w:rsidR="000703B3" w:rsidRDefault="000703B3">
      <w:pPr>
        <w:pStyle w:val="Estilo"/>
        <w:spacing w:before="211"/>
        <w:ind w:right="220"/>
        <w:rPr>
          <w:rFonts w:ascii="Futura Bk BT" w:hAnsi="Futura Bk BT" w:cs="Times New Roman"/>
          <w:b/>
          <w:sz w:val="20"/>
          <w:szCs w:val="20"/>
          <w:lang w:val="es" w:eastAsia="es-CO"/>
        </w:rPr>
      </w:pPr>
    </w:p>
    <w:p w:rsidR="000703B3" w:rsidRDefault="000703B3">
      <w:pPr>
        <w:pStyle w:val="Estilo"/>
        <w:spacing w:before="211"/>
        <w:ind w:right="220"/>
        <w:rPr>
          <w:rFonts w:ascii="Futura Bk BT" w:hAnsi="Futura Bk BT" w:cs="Times New Roman"/>
          <w:b/>
          <w:sz w:val="20"/>
          <w:szCs w:val="20"/>
          <w:lang w:val="es" w:eastAsia="es-CO"/>
        </w:rPr>
      </w:pPr>
    </w:p>
    <w:p w:rsidR="000703B3" w:rsidRDefault="000703B3">
      <w:pPr>
        <w:pStyle w:val="Estilo"/>
        <w:spacing w:before="211"/>
        <w:ind w:right="220"/>
        <w:rPr>
          <w:rFonts w:ascii="Futura Bk BT" w:hAnsi="Futura Bk BT" w:cs="Times New Roman"/>
          <w:b/>
          <w:sz w:val="20"/>
          <w:szCs w:val="20"/>
          <w:lang w:val="es" w:eastAsia="es-CO"/>
        </w:rPr>
      </w:pPr>
    </w:p>
    <w:p w:rsidR="000703B3" w:rsidRDefault="000703B3">
      <w:pPr>
        <w:pStyle w:val="Estilo"/>
        <w:spacing w:before="211"/>
        <w:ind w:right="220"/>
        <w:rPr>
          <w:rFonts w:ascii="Futura Bk BT" w:hAnsi="Futura Bk BT" w:cs="Times New Roman"/>
          <w:b/>
          <w:sz w:val="20"/>
          <w:szCs w:val="20"/>
          <w:lang w:val="es" w:eastAsia="es-CO"/>
        </w:rPr>
      </w:pPr>
    </w:p>
    <w:sectPr w:rsidR="000703B3">
      <w:headerReference w:type="default" r:id="rId7"/>
      <w:headerReference w:type="first" r:id="rId8"/>
      <w:pgSz w:w="12240" w:h="1584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27" w:rsidRDefault="00E15D27">
      <w:r>
        <w:separator/>
      </w:r>
    </w:p>
  </w:endnote>
  <w:endnote w:type="continuationSeparator" w:id="0">
    <w:p w:rsidR="00E15D27" w:rsidRDefault="00E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Segoe UI"/>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27" w:rsidRDefault="00E15D27">
      <w:r>
        <w:rPr>
          <w:color w:val="000000"/>
        </w:rPr>
        <w:separator/>
      </w:r>
    </w:p>
  </w:footnote>
  <w:footnote w:type="continuationSeparator" w:id="0">
    <w:p w:rsidR="00E15D27" w:rsidRDefault="00E1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E2" w:rsidRDefault="00AD73BB">
    <w:pPr>
      <w:pStyle w:val="Standard"/>
      <w:tabs>
        <w:tab w:val="left" w:pos="-720"/>
      </w:tabs>
      <w:jc w:val="both"/>
    </w:pPr>
    <w:r>
      <w:rPr>
        <w:rFonts w:ascii="Futura Bk BT" w:hAnsi="Futura Bk BT" w:cs="Arial"/>
        <w:b/>
        <w:sz w:val="22"/>
        <w:szCs w:val="22"/>
      </w:rPr>
      <w:t xml:space="preserve">RESOLUCIÓN NÚMERO _                                                                   HOJA No. </w:t>
    </w:r>
    <w:r>
      <w:rPr>
        <w:rFonts w:ascii="Futura Bk BT" w:hAnsi="Futura Bk BT" w:cs="Arial"/>
        <w:b/>
      </w:rPr>
      <w:fldChar w:fldCharType="begin"/>
    </w:r>
    <w:r>
      <w:rPr>
        <w:rFonts w:ascii="Futura Bk BT" w:hAnsi="Futura Bk BT" w:cs="Arial"/>
        <w:b/>
      </w:rPr>
      <w:instrText xml:space="preserve"> PAGE </w:instrText>
    </w:r>
    <w:r>
      <w:rPr>
        <w:rFonts w:ascii="Futura Bk BT" w:hAnsi="Futura Bk BT" w:cs="Arial"/>
        <w:b/>
      </w:rPr>
      <w:fldChar w:fldCharType="separate"/>
    </w:r>
    <w:r w:rsidR="00403DBA">
      <w:rPr>
        <w:rFonts w:ascii="Futura Bk BT" w:hAnsi="Futura Bk BT" w:cs="Arial"/>
        <w:b/>
        <w:noProof/>
      </w:rPr>
      <w:t>5</w:t>
    </w:r>
    <w:r>
      <w:rPr>
        <w:rFonts w:ascii="Futura Bk BT" w:hAnsi="Futura Bk BT" w:cs="Arial"/>
        <w:b/>
      </w:rPr>
      <w:fldChar w:fldCharType="end"/>
    </w:r>
  </w:p>
  <w:p w:rsidR="000D2DE2" w:rsidRDefault="00E15D27">
    <w:pPr>
      <w:pStyle w:val="Standard"/>
      <w:ind w:right="360"/>
      <w:jc w:val="both"/>
      <w:rPr>
        <w:rFonts w:ascii="Garamond" w:hAnsi="Garamond" w:cs="Garamond"/>
        <w:i/>
        <w:spacing w:val="-3"/>
        <w:sz w:val="22"/>
        <w:szCs w:val="22"/>
      </w:rPr>
    </w:pPr>
  </w:p>
  <w:p w:rsidR="000D2DE2" w:rsidRDefault="00AD73BB">
    <w:pPr>
      <w:autoSpaceDE w:val="0"/>
      <w:jc w:val="center"/>
      <w:rPr>
        <w:rFonts w:ascii="Futura Bk BT" w:hAnsi="Futura Bk BT" w:cs="Times New Roman"/>
        <w:i/>
        <w:sz w:val="20"/>
      </w:rPr>
    </w:pPr>
    <w:r>
      <w:rPr>
        <w:rFonts w:ascii="Futura Bk BT" w:hAnsi="Futura Bk BT" w:cs="Times New Roman"/>
        <w:i/>
        <w:sz w:val="20"/>
      </w:rPr>
      <w:t>“Por la cual se suspenden los efectos de las resoluciones 0001919 de 2015,</w:t>
    </w:r>
  </w:p>
  <w:p w:rsidR="000D2DE2" w:rsidRDefault="00AD73BB">
    <w:pPr>
      <w:autoSpaceDE w:val="0"/>
      <w:jc w:val="center"/>
      <w:rPr>
        <w:rFonts w:ascii="Futura Bk BT" w:hAnsi="Futura Bk BT" w:cs="Times New Roman"/>
        <w:i/>
        <w:sz w:val="20"/>
      </w:rPr>
    </w:pPr>
    <w:r>
      <w:rPr>
        <w:rFonts w:ascii="Futura Bk BT" w:hAnsi="Futura Bk BT" w:cs="Times New Roman"/>
        <w:i/>
        <w:sz w:val="20"/>
      </w:rPr>
      <w:t xml:space="preserve">0002036 de 2016 y todas aquellas que la hayan modificado o adicionado en lo que atañe </w:t>
    </w:r>
  </w:p>
  <w:p w:rsidR="000D2DE2" w:rsidRDefault="00AD73BB">
    <w:pPr>
      <w:autoSpaceDE w:val="0"/>
      <w:jc w:val="center"/>
      <w:rPr>
        <w:rFonts w:ascii="Futura Bk BT" w:hAnsi="Futura Bk BT" w:cs="Times New Roman"/>
        <w:i/>
        <w:sz w:val="20"/>
      </w:rPr>
    </w:pPr>
    <w:r>
      <w:rPr>
        <w:rFonts w:ascii="Futura Bk BT" w:hAnsi="Futura Bk BT" w:cs="Times New Roman"/>
        <w:i/>
        <w:sz w:val="20"/>
      </w:rPr>
      <w:t>a las estaciones de peaje de Rio Seco y Salguero, pertenecientes al proyecto de asociación publico privada de iniciativa privada para la conexión de los Departamentos del Cesar y la Guajira”</w:t>
    </w:r>
  </w:p>
  <w:p w:rsidR="000D2DE2" w:rsidRDefault="00AD73BB">
    <w:pPr>
      <w:pStyle w:val="Standard"/>
      <w:pBdr>
        <w:bottom w:val="single" w:sz="4" w:space="1" w:color="000000"/>
      </w:pBdr>
      <w:tabs>
        <w:tab w:val="left" w:pos="1605"/>
      </w:tabs>
      <w:rPr>
        <w:rFonts w:ascii="Garamond" w:hAnsi="Garamond" w:cs="Garamond"/>
        <w:sz w:val="22"/>
        <w:szCs w:val="22"/>
      </w:rPr>
    </w:pPr>
    <w:r>
      <w:rPr>
        <w:rFonts w:ascii="Garamond" w:hAnsi="Garamond" w:cs="Garamond"/>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E2" w:rsidRDefault="00AD73BB">
    <w:pPr>
      <w:pStyle w:val="Encabezado"/>
    </w:pPr>
    <w:r>
      <w:rPr>
        <w:noProof/>
        <w:lang w:val="es-CO" w:eastAsia="es-CO" w:bidi="ar-SA"/>
      </w:rPr>
      <w:drawing>
        <wp:anchor distT="0" distB="0" distL="114300" distR="114300" simplePos="0" relativeHeight="251660288" behindDoc="0" locked="0" layoutInCell="1" allowOverlap="1" wp14:anchorId="18389295" wp14:editId="4D5C18F2">
          <wp:simplePos x="0" y="0"/>
          <wp:positionH relativeFrom="margin">
            <wp:align>left</wp:align>
          </wp:positionH>
          <wp:positionV relativeFrom="margin">
            <wp:posOffset>-1110611</wp:posOffset>
          </wp:positionV>
          <wp:extent cx="3590921" cy="976634"/>
          <wp:effectExtent l="0" t="0" r="0" b="0"/>
          <wp:wrapThrough wrapText="bothSides">
            <wp:wrapPolygon edited="0">
              <wp:start x="13865" y="1685"/>
              <wp:lineTo x="802" y="6741"/>
              <wp:lineTo x="344" y="7584"/>
              <wp:lineTo x="1375" y="9269"/>
              <wp:lineTo x="344" y="15589"/>
              <wp:lineTo x="917" y="16010"/>
              <wp:lineTo x="12834" y="18117"/>
              <wp:lineTo x="13751" y="18960"/>
              <wp:lineTo x="14438" y="18960"/>
              <wp:lineTo x="21199" y="17696"/>
              <wp:lineTo x="21314" y="8005"/>
              <wp:lineTo x="20168" y="6741"/>
              <wp:lineTo x="14438" y="1685"/>
              <wp:lineTo x="13865" y="1685"/>
            </wp:wrapPolygon>
          </wp:wrapThrough>
          <wp:docPr id="1" name="Imagen 4"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590921" cy="976634"/>
                  </a:xfrm>
                  <a:prstGeom prst="rect">
                    <a:avLst/>
                  </a:prstGeom>
                  <a:noFill/>
                  <a:ln>
                    <a:noFill/>
                    <a:prstDash/>
                  </a:ln>
                </pic:spPr>
              </pic:pic>
            </a:graphicData>
          </a:graphic>
        </wp:anchor>
      </w:drawing>
    </w:r>
  </w:p>
  <w:p w:rsidR="000D2DE2" w:rsidRDefault="00E15D27">
    <w:pPr>
      <w:pStyle w:val="Encabezado"/>
    </w:pPr>
  </w:p>
  <w:p w:rsidR="000D2DE2" w:rsidRDefault="00AD73BB">
    <w:pPr>
      <w:pStyle w:val="Encabezado"/>
      <w:tabs>
        <w:tab w:val="clear" w:pos="4419"/>
        <w:tab w:val="clear" w:pos="8838"/>
        <w:tab w:val="left" w:pos="3695"/>
      </w:tabs>
    </w:pPr>
    <w:r>
      <w:rPr>
        <w:rFonts w:ascii="Futura Bk BT" w:hAnsi="Futura Bk BT" w:cs="Arial"/>
        <w:noProof/>
        <w:sz w:val="18"/>
        <w:szCs w:val="18"/>
        <w:lang w:val="es-CO" w:eastAsia="es-CO" w:bidi="ar-SA"/>
      </w:rPr>
      <w:drawing>
        <wp:anchor distT="0" distB="0" distL="114300" distR="114300" simplePos="0" relativeHeight="251659264" behindDoc="1" locked="0" layoutInCell="1" allowOverlap="1" wp14:anchorId="6135EC4E" wp14:editId="6CB757DB">
          <wp:simplePos x="0" y="0"/>
          <wp:positionH relativeFrom="column">
            <wp:posOffset>4302764</wp:posOffset>
          </wp:positionH>
          <wp:positionV relativeFrom="paragraph">
            <wp:posOffset>13331</wp:posOffset>
          </wp:positionV>
          <wp:extent cx="911876" cy="437037"/>
          <wp:effectExtent l="0" t="0" r="2524" b="1113"/>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911876" cy="437037"/>
                  </a:xfrm>
                  <a:prstGeom prst="rect">
                    <a:avLst/>
                  </a:prstGeom>
                  <a:noFill/>
                  <a:ln>
                    <a:noFill/>
                    <a:prstDash/>
                  </a:ln>
                </pic:spPr>
              </pic:pic>
            </a:graphicData>
          </a:graphic>
        </wp:anchor>
      </w:drawing>
    </w:r>
    <w:r>
      <w:rPr>
        <w:lang w:val="es-MX"/>
      </w:rPr>
      <w:tab/>
    </w:r>
  </w:p>
  <w:p w:rsidR="000D2DE2" w:rsidRDefault="00AD73BB">
    <w:pPr>
      <w:pStyle w:val="Encabezado"/>
      <w:tabs>
        <w:tab w:val="clear" w:pos="4419"/>
        <w:tab w:val="clear" w:pos="8838"/>
        <w:tab w:val="left" w:pos="7336"/>
      </w:tabs>
      <w:rPr>
        <w:lang w:val="es-MX"/>
      </w:rPr>
    </w:pPr>
    <w:r>
      <w:rPr>
        <w:lang w:val="es-MX"/>
      </w:rPr>
      <w:tab/>
    </w:r>
  </w:p>
  <w:p w:rsidR="000D2DE2" w:rsidRDefault="00E15D27">
    <w:pPr>
      <w:pStyle w:val="Encabezado"/>
      <w:rPr>
        <w:rFonts w:ascii="Futura Bk BT" w:hAnsi="Futura Bk BT" w:cs="Arial"/>
        <w:sz w:val="16"/>
        <w:szCs w:val="16"/>
      </w:rPr>
    </w:pPr>
  </w:p>
  <w:p w:rsidR="000D2DE2" w:rsidRDefault="00AD73BB">
    <w:pPr>
      <w:pStyle w:val="Encabezado"/>
      <w:rPr>
        <w:rFonts w:ascii="Futura Bk BT" w:hAnsi="Futura Bk BT" w:cs="Arial"/>
        <w:sz w:val="16"/>
        <w:szCs w:val="16"/>
      </w:rPr>
    </w:pPr>
    <w:r>
      <w:rPr>
        <w:rFonts w:ascii="Futura Bk BT" w:hAnsi="Futura Bk BT" w:cs="Arial"/>
        <w:sz w:val="16"/>
        <w:szCs w:val="16"/>
      </w:rPr>
      <w:t xml:space="preserve">     NIT.899.999.055-4</w:t>
    </w:r>
  </w:p>
  <w:p w:rsidR="000D2DE2" w:rsidRDefault="00E15D27">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46B"/>
    <w:multiLevelType w:val="multilevel"/>
    <w:tmpl w:val="E2183B28"/>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405538B"/>
    <w:multiLevelType w:val="multilevel"/>
    <w:tmpl w:val="7890C42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73C2B90"/>
    <w:multiLevelType w:val="multilevel"/>
    <w:tmpl w:val="F78E96F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4441638"/>
    <w:multiLevelType w:val="multilevel"/>
    <w:tmpl w:val="2A6AA8CC"/>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0CE35FB"/>
    <w:multiLevelType w:val="multilevel"/>
    <w:tmpl w:val="405EB2C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98C7E12"/>
    <w:multiLevelType w:val="multilevel"/>
    <w:tmpl w:val="B678950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B45934"/>
    <w:multiLevelType w:val="multilevel"/>
    <w:tmpl w:val="DEC604A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BFE03B3"/>
    <w:multiLevelType w:val="multilevel"/>
    <w:tmpl w:val="0D689614"/>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F2619F8"/>
    <w:multiLevelType w:val="multilevel"/>
    <w:tmpl w:val="0BB20E7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503C4CE9"/>
    <w:multiLevelType w:val="multilevel"/>
    <w:tmpl w:val="8302736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51F158D7"/>
    <w:multiLevelType w:val="multilevel"/>
    <w:tmpl w:val="0B2CFB60"/>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56B63A48"/>
    <w:multiLevelType w:val="multilevel"/>
    <w:tmpl w:val="56267DC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81D2B7A"/>
    <w:multiLevelType w:val="multilevel"/>
    <w:tmpl w:val="3102886A"/>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AFE006D"/>
    <w:multiLevelType w:val="multilevel"/>
    <w:tmpl w:val="0A0816B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5F0D4DBF"/>
    <w:multiLevelType w:val="multilevel"/>
    <w:tmpl w:val="D66C88E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FF33BD5"/>
    <w:multiLevelType w:val="multilevel"/>
    <w:tmpl w:val="5478018E"/>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65B87D67"/>
    <w:multiLevelType w:val="multilevel"/>
    <w:tmpl w:val="5C78E63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703276A3"/>
    <w:multiLevelType w:val="multilevel"/>
    <w:tmpl w:val="5554F39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1A751DC"/>
    <w:multiLevelType w:val="multilevel"/>
    <w:tmpl w:val="3358159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2"/>
  </w:num>
  <w:num w:numId="3">
    <w:abstractNumId w:val="16"/>
  </w:num>
  <w:num w:numId="4">
    <w:abstractNumId w:val="11"/>
  </w:num>
  <w:num w:numId="5">
    <w:abstractNumId w:val="10"/>
  </w:num>
  <w:num w:numId="6">
    <w:abstractNumId w:val="3"/>
  </w:num>
  <w:num w:numId="7">
    <w:abstractNumId w:val="2"/>
  </w:num>
  <w:num w:numId="8">
    <w:abstractNumId w:val="9"/>
  </w:num>
  <w:num w:numId="9">
    <w:abstractNumId w:val="6"/>
  </w:num>
  <w:num w:numId="10">
    <w:abstractNumId w:val="8"/>
  </w:num>
  <w:num w:numId="11">
    <w:abstractNumId w:val="7"/>
  </w:num>
  <w:num w:numId="12">
    <w:abstractNumId w:val="17"/>
  </w:num>
  <w:num w:numId="13">
    <w:abstractNumId w:val="15"/>
  </w:num>
  <w:num w:numId="14">
    <w:abstractNumId w:val="0"/>
  </w:num>
  <w:num w:numId="15">
    <w:abstractNumId w:val="18"/>
  </w:num>
  <w:num w:numId="16">
    <w:abstractNumId w:val="1"/>
  </w:num>
  <w:num w:numId="17">
    <w:abstractNumId w:val="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B3"/>
    <w:rsid w:val="00040881"/>
    <w:rsid w:val="000703B3"/>
    <w:rsid w:val="00403DBA"/>
    <w:rsid w:val="00AD73BB"/>
    <w:rsid w:val="00CC1B2C"/>
    <w:rsid w:val="00E15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47EF8-AFCB-4982-96DE-2730EC2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TextocomentarioCar">
    <w:name w:val="Texto comentario Car"/>
    <w:basedOn w:val="Fuentedeprrafopredeter"/>
    <w:rPr>
      <w:rFonts w:ascii="Arial" w:eastAsia="Times New Roman" w:hAnsi="Arial" w:cs="Arial"/>
      <w:sz w:val="20"/>
      <w:szCs w:val="20"/>
      <w:lang w:bidi="ar-SA"/>
    </w:rPr>
  </w:style>
  <w:style w:type="paragraph" w:customStyle="1" w:styleId="WW-Textoindependiente2">
    <w:name w:val="WW-Texto independiente 2"/>
    <w:basedOn w:val="Normal"/>
    <w:pPr>
      <w:widowControl/>
      <w:overflowPunct w:val="0"/>
      <w:autoSpaceDE w:val="0"/>
      <w:jc w:val="center"/>
      <w:textAlignment w:val="auto"/>
    </w:pPr>
    <w:rPr>
      <w:rFonts w:ascii="Courier New" w:eastAsia="Times New Roman" w:hAnsi="Courier New" w:cs="Times New Roman"/>
      <w:kern w:val="0"/>
      <w:szCs w:val="20"/>
      <w:lang w:val="es-CO" w:eastAsia="es-ES" w:bidi="ar-SA"/>
    </w:rPr>
  </w:style>
  <w:style w:type="paragraph" w:styleId="Sangradetextonormal">
    <w:name w:val="Body Text Indent"/>
    <w:basedOn w:val="Normal"/>
    <w:pPr>
      <w:widowControl/>
      <w:spacing w:after="120"/>
      <w:ind w:left="283"/>
      <w:textAlignment w:val="auto"/>
    </w:pPr>
    <w:rPr>
      <w:rFonts w:ascii="Times New Roman" w:eastAsia="Times New Roman" w:hAnsi="Times New Roman" w:cs="Times New Roman"/>
      <w:kern w:val="0"/>
      <w:sz w:val="20"/>
      <w:szCs w:val="20"/>
      <w:lang w:eastAsia="es-ES" w:bidi="ar-SA"/>
    </w:rPr>
  </w:style>
  <w:style w:type="character" w:customStyle="1" w:styleId="SangradetextonormalCar">
    <w:name w:val="Sangría de texto normal Car"/>
    <w:basedOn w:val="Fuentedeprrafopredeter"/>
    <w:rPr>
      <w:rFonts w:ascii="Times New Roman" w:eastAsia="Times New Roman" w:hAnsi="Times New Roman" w:cs="Times New Roman"/>
      <w:kern w:val="0"/>
      <w:sz w:val="20"/>
      <w:szCs w:val="20"/>
      <w:lang w:eastAsia="es-ES" w:bidi="ar-SA"/>
    </w:rPr>
  </w:style>
  <w:style w:type="paragraph" w:customStyle="1" w:styleId="Estilo1">
    <w:name w:val="Estilo1"/>
    <w:basedOn w:val="Normal"/>
    <w:pPr>
      <w:widowControl/>
      <w:textAlignment w:val="auto"/>
    </w:pPr>
    <w:rPr>
      <w:rFonts w:ascii="Arial" w:eastAsia="Times New Roman" w:hAnsi="Arial" w:cs="Times New Roman"/>
      <w:kern w:val="0"/>
      <w:sz w:val="20"/>
      <w:szCs w:val="20"/>
      <w:lang w:eastAsia="es-ES" w:bidi="ar-SA"/>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customStyle="1" w:styleId="pa11">
    <w:name w:val="pa11"/>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12">
    <w:name w:val="pa12"/>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 w:type="character" w:customStyle="1" w:styleId="spelle">
    <w:name w:val="spelle"/>
    <w:basedOn w:val="Fuentedeprrafopredeter"/>
  </w:style>
  <w:style w:type="paragraph" w:customStyle="1" w:styleId="default">
    <w:name w:val="default"/>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1">
    <w:name w:val="pa1"/>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a11">
    <w:name w:val="a11"/>
    <w:basedOn w:val="Fuentedeprrafopredeter"/>
  </w:style>
  <w:style w:type="paragraph" w:customStyle="1" w:styleId="pa29">
    <w:name w:val="pa29"/>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27">
    <w:name w:val="pa27"/>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28">
    <w:name w:val="pa28"/>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8">
    <w:name w:val="pa8"/>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Estilo">
    <w:name w:val="Estilo"/>
    <w:pPr>
      <w:suppressAutoHyphens/>
      <w:autoSpaceDE w:val="0"/>
      <w:textAlignment w:val="auto"/>
    </w:pPr>
    <w:rPr>
      <w:rFonts w:ascii="Arial" w:eastAsia="Times New Roman" w:hAnsi="Arial" w:cs="Arial"/>
      <w:kern w:val="0"/>
      <w:lang w:eastAsia="es-ES" w:bidi="ar-SA"/>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Normal1">
    <w:name w:val="Normal 1"/>
    <w:basedOn w:val="Sangranormal"/>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1">
    <w:name w:val="Texto comentario Car1"/>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1"/>
    <w:rPr>
      <w:rFonts w:ascii="Arial" w:eastAsia="Times New Roman" w:hAnsi="Arial" w:cs="Mangal"/>
      <w:b/>
      <w:bCs/>
      <w:sz w:val="20"/>
      <w:szCs w:val="18"/>
      <w:lang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Cargue_PO</cp:lastModifiedBy>
  <cp:revision>2</cp:revision>
  <cp:lastPrinted>2017-03-03T15:37:00Z</cp:lastPrinted>
  <dcterms:created xsi:type="dcterms:W3CDTF">2017-03-03T21:01:00Z</dcterms:created>
  <dcterms:modified xsi:type="dcterms:W3CDTF">2017-03-03T21:01:00Z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