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7DB7" w14:textId="77777777" w:rsidR="00EB5DB9" w:rsidRDefault="00EB5DB9">
      <w:pPr>
        <w:pStyle w:val="Standard"/>
        <w:autoSpaceDE w:val="0"/>
        <w:jc w:val="both"/>
        <w:rPr>
          <w:rFonts w:ascii="Work Sans" w:eastAsia="Arial Narrow" w:hAnsi="Work Sans" w:cs="Arial Narrow"/>
          <w:sz w:val="20"/>
        </w:rPr>
      </w:pPr>
    </w:p>
    <w:p w14:paraId="59517F37" w14:textId="77777777" w:rsidR="00EB5DB9" w:rsidRDefault="00141725">
      <w:pPr>
        <w:pStyle w:val="Standard"/>
        <w:autoSpaceDE w:val="0"/>
        <w:jc w:val="center"/>
        <w:rPr>
          <w:rFonts w:ascii="Work Sans" w:eastAsia="Arial Narrow" w:hAnsi="Work Sans" w:cs="Arial Narrow"/>
          <w:b/>
          <w:sz w:val="20"/>
          <w:lang w:bidi="hi-IN"/>
        </w:rPr>
      </w:pPr>
      <w:r>
        <w:rPr>
          <w:rFonts w:ascii="Work Sans" w:eastAsia="Arial Narrow" w:hAnsi="Work Sans" w:cs="Arial Narrow"/>
          <w:b/>
          <w:sz w:val="20"/>
          <w:lang w:bidi="hi-IN"/>
        </w:rPr>
        <w:t>LA MINISTRA DE TRANSPORTE</w:t>
      </w:r>
    </w:p>
    <w:p w14:paraId="268A417D" w14:textId="77777777" w:rsidR="00EB5DB9" w:rsidRDefault="00141725">
      <w:pPr>
        <w:pStyle w:val="Standard"/>
        <w:jc w:val="both"/>
        <w:rPr>
          <w:rFonts w:ascii="Work Sans" w:eastAsia="Arial Narrow" w:hAnsi="Work Sans" w:cs="Arial Narrow"/>
          <w:sz w:val="20"/>
          <w:lang w:bidi="hi-IN"/>
        </w:rPr>
      </w:pPr>
      <w:r>
        <w:rPr>
          <w:rFonts w:ascii="Work Sans" w:eastAsia="Arial Narrow" w:hAnsi="Work Sans" w:cs="Arial Narrow"/>
          <w:sz w:val="20"/>
          <w:lang w:bidi="hi-IN"/>
        </w:rPr>
        <w:t xml:space="preserve"> </w:t>
      </w:r>
    </w:p>
    <w:p w14:paraId="20FF3074" w14:textId="77777777" w:rsidR="00EB5DB9" w:rsidRDefault="00EB5DB9">
      <w:pPr>
        <w:pStyle w:val="Standard"/>
        <w:autoSpaceDE w:val="0"/>
        <w:jc w:val="both"/>
        <w:rPr>
          <w:rFonts w:ascii="Work Sans" w:eastAsia="Arial Narrow" w:hAnsi="Work Sans" w:cs="Arial Narrow"/>
          <w:sz w:val="20"/>
          <w:lang w:bidi="hi-IN"/>
        </w:rPr>
      </w:pPr>
    </w:p>
    <w:p w14:paraId="78F29606" w14:textId="77777777" w:rsidR="00EB5DB9" w:rsidRDefault="00141725">
      <w:pPr>
        <w:pStyle w:val="Standard"/>
        <w:autoSpaceDE w:val="0"/>
        <w:jc w:val="both"/>
        <w:rPr>
          <w:rFonts w:ascii="Work Sans" w:eastAsia="Arial Narrow" w:hAnsi="Work Sans" w:cs="Arial Narrow"/>
          <w:sz w:val="20"/>
          <w:lang w:bidi="hi-IN"/>
        </w:rPr>
      </w:pPr>
      <w:r>
        <w:rPr>
          <w:rFonts w:ascii="Work Sans" w:eastAsia="Arial Narrow" w:hAnsi="Work Sans" w:cs="Arial Narrow"/>
          <w:sz w:val="20"/>
          <w:lang w:bidi="hi-IN"/>
        </w:rPr>
        <w:t xml:space="preserve">En ejercicio de las facultades legales y en especial las conferidas por el artículo 21 de la Ley número 105 de 1993 modificado parcialmente por el artículo 1 de la Ley 787 de 2002 y el numeral 6.15 del </w:t>
      </w:r>
      <w:r>
        <w:rPr>
          <w:rFonts w:ascii="Work Sans" w:eastAsia="Arial Narrow" w:hAnsi="Work Sans" w:cs="Arial Narrow"/>
          <w:sz w:val="20"/>
          <w:lang w:bidi="hi-IN"/>
        </w:rPr>
        <w:t>artículo 6° del Decreto 087 de 2011, y</w:t>
      </w:r>
    </w:p>
    <w:p w14:paraId="0D7253C0" w14:textId="77777777" w:rsidR="00EB5DB9" w:rsidRDefault="00EB5DB9">
      <w:pPr>
        <w:pStyle w:val="Standard"/>
        <w:autoSpaceDE w:val="0"/>
        <w:jc w:val="both"/>
        <w:rPr>
          <w:rFonts w:ascii="Work Sans" w:eastAsia="Arial Narrow" w:hAnsi="Work Sans" w:cs="Arial Narrow"/>
          <w:sz w:val="20"/>
          <w:lang w:bidi="hi-IN"/>
        </w:rPr>
      </w:pPr>
    </w:p>
    <w:p w14:paraId="7603B20E" w14:textId="77777777" w:rsidR="00EB5DB9" w:rsidRDefault="00141725">
      <w:pPr>
        <w:pStyle w:val="Standard"/>
        <w:autoSpaceDE w:val="0"/>
        <w:jc w:val="center"/>
        <w:rPr>
          <w:rFonts w:ascii="Work Sans" w:eastAsia="Arial Narrow" w:hAnsi="Work Sans" w:cs="Arial Narrow"/>
          <w:b/>
          <w:sz w:val="20"/>
          <w:lang w:bidi="hi-IN"/>
        </w:rPr>
      </w:pPr>
      <w:r>
        <w:rPr>
          <w:rFonts w:ascii="Work Sans" w:eastAsia="Arial Narrow" w:hAnsi="Work Sans" w:cs="Arial Narrow"/>
          <w:b/>
          <w:sz w:val="20"/>
          <w:lang w:bidi="hi-IN"/>
        </w:rPr>
        <w:t>CONSIDERANDO</w:t>
      </w:r>
    </w:p>
    <w:p w14:paraId="06D2C3F7" w14:textId="77777777" w:rsidR="00EB5DB9" w:rsidRDefault="00EB5DB9">
      <w:pPr>
        <w:pStyle w:val="Standard"/>
        <w:autoSpaceDE w:val="0"/>
        <w:jc w:val="both"/>
        <w:rPr>
          <w:rFonts w:ascii="Work Sans" w:eastAsia="Arial Narrow" w:hAnsi="Work Sans" w:cs="Arial Narrow"/>
          <w:sz w:val="20"/>
          <w:lang w:bidi="hi-IN"/>
        </w:rPr>
      </w:pPr>
    </w:p>
    <w:p w14:paraId="5EB49E64" w14:textId="77777777" w:rsidR="00EB5DB9" w:rsidRDefault="00141725">
      <w:pPr>
        <w:widowControl/>
        <w:jc w:val="both"/>
        <w:textAlignment w:val="auto"/>
      </w:pPr>
      <w:r>
        <w:rPr>
          <w:rStyle w:val="Fuentedeprrafopredeter0"/>
          <w:rFonts w:ascii="Work Sans" w:hAnsi="Work Sans" w:cs="Arial"/>
          <w:kern w:val="0"/>
          <w:sz w:val="20"/>
          <w:szCs w:val="20"/>
          <w:lang w:val="es-CO" w:eastAsia="en-US" w:bidi="ar-SA"/>
        </w:rPr>
        <w:t>Que la Ley 105 de 1993, “</w:t>
      </w:r>
      <w:r>
        <w:rPr>
          <w:rStyle w:val="Fuentedeprrafopredeter0"/>
          <w:rFonts w:ascii="Work Sans" w:hAnsi="Work Sans" w:cs="Arial"/>
          <w:i/>
          <w:kern w:val="0"/>
          <w:sz w:val="20"/>
          <w:szCs w:val="20"/>
          <w:lang w:val="es-CO" w:eastAsia="en-US" w:bidi="ar-SA"/>
        </w:rPr>
        <w:t>Por la cual se dictan disposiciones básicas sobre el transporte, se redistribuyen competencias y recursos entre la Nación y las Entidades Territoriales, se reglamenta la planeac</w:t>
      </w:r>
      <w:r>
        <w:rPr>
          <w:rStyle w:val="Fuentedeprrafopredeter0"/>
          <w:rFonts w:ascii="Work Sans" w:hAnsi="Work Sans" w:cs="Arial"/>
          <w:i/>
          <w:kern w:val="0"/>
          <w:sz w:val="20"/>
          <w:szCs w:val="20"/>
          <w:lang w:val="es-CO" w:eastAsia="en-US" w:bidi="ar-SA"/>
        </w:rPr>
        <w:t>ión en el sector transporte y se dictan otras disposiciones</w:t>
      </w:r>
      <w:r>
        <w:rPr>
          <w:rStyle w:val="Fuentedeprrafopredeter0"/>
          <w:rFonts w:ascii="Work Sans" w:hAnsi="Work Sans" w:cs="Arial"/>
          <w:kern w:val="0"/>
          <w:sz w:val="20"/>
          <w:szCs w:val="20"/>
          <w:lang w:val="es-CO" w:eastAsia="en-US" w:bidi="ar-SA"/>
        </w:rPr>
        <w:t xml:space="preserve">” en su artículo 21  </w:t>
      </w:r>
      <w:r>
        <w:rPr>
          <w:rFonts w:ascii="Work Sans" w:hAnsi="Work Sans" w:cs="Arial"/>
          <w:kern w:val="0"/>
          <w:sz w:val="20"/>
          <w:szCs w:val="20"/>
          <w:lang w:val="es-CO" w:eastAsia="es-CO" w:bidi="ar-SA"/>
        </w:rPr>
        <w:t>modificado por el artículo 1° de la </w:t>
      </w:r>
      <w:hyperlink r:id="rId7" w:tooltip="Haga clic para abrir TODA la Ley 787 de 2002" w:history="1">
        <w:r>
          <w:rPr>
            <w:rFonts w:ascii="Work Sans" w:hAnsi="Work Sans" w:cs="Arial"/>
            <w:kern w:val="0"/>
            <w:sz w:val="20"/>
            <w:szCs w:val="20"/>
            <w:lang w:val="es-CO" w:eastAsia="es-CO" w:bidi="ar-SA"/>
          </w:rPr>
          <w:t xml:space="preserve">Ley 787 </w:t>
        </w:r>
        <w:r>
          <w:rPr>
            <w:rFonts w:ascii="Work Sans" w:hAnsi="Work Sans" w:cs="Arial"/>
            <w:kern w:val="0"/>
            <w:sz w:val="20"/>
            <w:szCs w:val="20"/>
            <w:lang w:val="es-CO" w:eastAsia="es-CO" w:bidi="ar-SA"/>
          </w:rPr>
          <w:t>de 2002</w:t>
        </w:r>
      </w:hyperlink>
      <w:r>
        <w:rPr>
          <w:rFonts w:ascii="Work Sans" w:hAnsi="Work Sans" w:cs="Arial"/>
          <w:kern w:val="0"/>
          <w:sz w:val="20"/>
          <w:szCs w:val="20"/>
          <w:lang w:val="es-CO" w:eastAsia="es-CO" w:bidi="ar-SA"/>
        </w:rPr>
        <w:t>, establece lo siguiente:</w:t>
      </w:r>
    </w:p>
    <w:p w14:paraId="522D3CFE" w14:textId="77777777" w:rsidR="00EB5DB9" w:rsidRDefault="00EB5DB9">
      <w:pPr>
        <w:widowControl/>
        <w:jc w:val="both"/>
        <w:textAlignment w:val="auto"/>
        <w:rPr>
          <w:rFonts w:ascii="Work Sans" w:hAnsi="Work Sans" w:cs="Arial"/>
          <w:kern w:val="0"/>
          <w:sz w:val="20"/>
          <w:szCs w:val="20"/>
          <w:lang w:val="es-CO" w:eastAsia="en-US" w:bidi="ar-SA"/>
        </w:rPr>
      </w:pPr>
    </w:p>
    <w:p w14:paraId="2C89ADDF" w14:textId="77777777" w:rsidR="00EB5DB9" w:rsidRDefault="00141725">
      <w:pPr>
        <w:ind w:left="567" w:right="623"/>
        <w:jc w:val="both"/>
      </w:pPr>
      <w:r>
        <w:rPr>
          <w:rStyle w:val="Fuentedeprrafopredeter0"/>
          <w:rFonts w:ascii="Work Sans" w:hAnsi="Work Sans" w:cs="Arial"/>
          <w:i/>
          <w:kern w:val="0"/>
          <w:sz w:val="18"/>
          <w:szCs w:val="18"/>
          <w:lang w:val="es-CO" w:eastAsia="en-US" w:bidi="ar-SA"/>
        </w:rPr>
        <w:t>“</w:t>
      </w:r>
      <w:r>
        <w:rPr>
          <w:rFonts w:ascii="Work Sans" w:hAnsi="Work Sans" w:cs="Times New Roman"/>
          <w:i/>
          <w:kern w:val="0"/>
          <w:sz w:val="18"/>
          <w:szCs w:val="18"/>
          <w:lang w:val="es-CO" w:eastAsia="es-CO" w:bidi="ar-SA"/>
        </w:rPr>
        <w:t>ARTICULO 21. </w:t>
      </w:r>
      <w:r>
        <w:rPr>
          <w:rFonts w:ascii="Work Sans" w:hAnsi="Work Sans" w:cs="Times New Roman"/>
          <w:i/>
          <w:iCs/>
          <w:kern w:val="0"/>
          <w:sz w:val="18"/>
          <w:szCs w:val="18"/>
          <w:lang w:val="es-CO" w:eastAsia="es-CO" w:bidi="ar-SA"/>
        </w:rPr>
        <w:t>Tasas, tarifas y peajes en la infraestructura de transporte a cargo de la Nación.</w:t>
      </w:r>
      <w:r>
        <w:rPr>
          <w:rFonts w:ascii="Work Sans" w:hAnsi="Work Sans" w:cs="Times New Roman"/>
          <w:i/>
          <w:kern w:val="0"/>
          <w:sz w:val="18"/>
          <w:szCs w:val="18"/>
          <w:lang w:val="es-CO" w:eastAsia="es-CO" w:bidi="ar-SA"/>
        </w:rPr>
        <w:t xml:space="preserve"> Para la construcción y conservación de la infraestructura de transporte a cargo de la Nación, esta contará con los </w:t>
      </w:r>
      <w:r>
        <w:rPr>
          <w:rFonts w:ascii="Work Sans" w:hAnsi="Work Sans" w:cs="Times New Roman"/>
          <w:i/>
          <w:kern w:val="0"/>
          <w:sz w:val="18"/>
          <w:szCs w:val="18"/>
          <w:lang w:val="es-CO" w:eastAsia="es-CO" w:bidi="ar-SA"/>
        </w:rPr>
        <w:t>recursos que se apropien en el Presupuesto Nacional y además cobrará el uso de las obras de infraestructura de transporte a los usuarios, buscando garantizar su adecuado mantenimiento, operación y desarrollo.</w:t>
      </w:r>
    </w:p>
    <w:p w14:paraId="38E0166F"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07C972AD"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 xml:space="preserve">Para estos efectos, la Nación </w:t>
      </w:r>
      <w:r>
        <w:rPr>
          <w:rFonts w:ascii="Work Sans" w:hAnsi="Work Sans" w:cs="Times New Roman"/>
          <w:i/>
          <w:kern w:val="0"/>
          <w:sz w:val="18"/>
          <w:szCs w:val="18"/>
          <w:lang w:val="es-CO" w:eastAsia="es-CO" w:bidi="ar-SA"/>
        </w:rPr>
        <w:t>establecerá peajes, tarifas y tasas sobre el uso de la infraestructura nacional de transporte y los recursos provenientes de su cobro se usarán exclusivamente para ese modo de transporte.</w:t>
      </w:r>
    </w:p>
    <w:p w14:paraId="5640FBDC"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160B1CC9"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Todos los servicios que la Nación o sus entidades descentralizadas</w:t>
      </w:r>
      <w:r>
        <w:rPr>
          <w:rFonts w:ascii="Work Sans" w:hAnsi="Work Sans" w:cs="Times New Roman"/>
          <w:i/>
          <w:kern w:val="0"/>
          <w:sz w:val="18"/>
          <w:szCs w:val="18"/>
          <w:lang w:val="es-CO" w:eastAsia="es-CO" w:bidi="ar-SA"/>
        </w:rPr>
        <w:t xml:space="preserve"> presten a los usuarios accesoriamente a la utilización de la infraestructura Nacional de Transporte, estarán sujetos al cobro de tasas o tarifas.</w:t>
      </w:r>
    </w:p>
    <w:p w14:paraId="435C1A25"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3F63D016"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Para la fijación y cobro de tasas, tarifas y peajes, se observarán los siguientes principios:</w:t>
      </w:r>
    </w:p>
    <w:p w14:paraId="7332C33E"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7D7906E6"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a) Los ingr</w:t>
      </w:r>
      <w:r>
        <w:rPr>
          <w:rFonts w:ascii="Work Sans" w:hAnsi="Work Sans" w:cs="Times New Roman"/>
          <w:i/>
          <w:kern w:val="0"/>
          <w:sz w:val="18"/>
          <w:szCs w:val="18"/>
          <w:lang w:val="es-CO" w:eastAsia="es-CO" w:bidi="ar-SA"/>
        </w:rPr>
        <w:t>esos provenientes de la utilización de la infraestructura de transporte, deberán garantizar su adecuado mantenimiento, operación y desarrollo;</w:t>
      </w:r>
    </w:p>
    <w:p w14:paraId="270A9C9E"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5D272500"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b) Deberá cobrarse a todos los usuarios, con excepción de las motocicletas y bicicletas, máquinas extintoras de</w:t>
      </w:r>
      <w:r>
        <w:rPr>
          <w:rFonts w:ascii="Work Sans" w:hAnsi="Work Sans" w:cs="Times New Roman"/>
          <w:i/>
          <w:kern w:val="0"/>
          <w:sz w:val="18"/>
          <w:szCs w:val="18"/>
          <w:lang w:val="es-CO" w:eastAsia="es-CO" w:bidi="ar-SA"/>
        </w:rPr>
        <w:t xml:space="preserve"> incendios de los Cuerpos de Bomberos Voluntarios, Cuerpo de Bomberos Oficiales, ambulancias pertenecientes a la Cruz Roja, Defensa Civil, Hospitales Oficiales, Vehículos de las Fuerzas Militares y de la Policía Nacional, vehículos oficiales del Instituto </w:t>
      </w:r>
      <w:r>
        <w:rPr>
          <w:rFonts w:ascii="Work Sans" w:hAnsi="Work Sans" w:cs="Times New Roman"/>
          <w:i/>
          <w:kern w:val="0"/>
          <w:sz w:val="18"/>
          <w:szCs w:val="18"/>
          <w:lang w:val="es-CO" w:eastAsia="es-CO" w:bidi="ar-SA"/>
        </w:rPr>
        <w:t>Nacional Penitenciario y Carcelario, Inpec, vehículos oficiales del (DAS) Departamento Administrativo de Seguridad y de las demás instituciones que prestan funciones de Policía Judicial; </w:t>
      </w:r>
    </w:p>
    <w:p w14:paraId="41C35567"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7DB0398A"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lastRenderedPageBreak/>
        <w:t>c) El valor de las tasas o tarifas será determinado por la autorid</w:t>
      </w:r>
      <w:r>
        <w:rPr>
          <w:rFonts w:ascii="Work Sans" w:hAnsi="Work Sans" w:cs="Times New Roman"/>
          <w:i/>
          <w:kern w:val="0"/>
          <w:sz w:val="18"/>
          <w:szCs w:val="18"/>
          <w:lang w:val="es-CO" w:eastAsia="es-CO" w:bidi="ar-SA"/>
        </w:rPr>
        <w:t>ad competente; su recaudo estará a cargo de las entidades públicas o privadas, responsables de la prestación del servicio;</w:t>
      </w:r>
    </w:p>
    <w:p w14:paraId="6C9C5D43"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45B2D68A"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d) Las tasas de peaje serán diferenciales, es decir, se fijarán en proporción a las distancias recorridas, las características vehi</w:t>
      </w:r>
      <w:r>
        <w:rPr>
          <w:rFonts w:ascii="Work Sans" w:hAnsi="Work Sans" w:cs="Times New Roman"/>
          <w:i/>
          <w:kern w:val="0"/>
          <w:sz w:val="18"/>
          <w:szCs w:val="18"/>
          <w:lang w:val="es-CO" w:eastAsia="es-CO" w:bidi="ar-SA"/>
        </w:rPr>
        <w:t>culares y sus respectivos costos de operación;</w:t>
      </w:r>
    </w:p>
    <w:p w14:paraId="78DD4811"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5C22AF82"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e) Para la determinación del valor del peaje y de las tasas de valoración en las vías nacionales, se tendrá en cuenta un criterio de equidad fiscal.</w:t>
      </w:r>
    </w:p>
    <w:p w14:paraId="39B3E778"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45C3A6E2"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Parágrafo 1°. La Nación podrá en caso de necesidad y pre</w:t>
      </w:r>
      <w:r>
        <w:rPr>
          <w:rFonts w:ascii="Work Sans" w:hAnsi="Work Sans" w:cs="Times New Roman"/>
          <w:i/>
          <w:kern w:val="0"/>
          <w:sz w:val="18"/>
          <w:szCs w:val="18"/>
          <w:lang w:val="es-CO" w:eastAsia="es-CO" w:bidi="ar-SA"/>
        </w:rPr>
        <w:t>vio concepto del Ministerio de Transporte, apropiar recursos del Presupuesto Nacional para el mantenimiento, operación y desarrollo de la infraestructura de transporte.</w:t>
      </w:r>
    </w:p>
    <w:p w14:paraId="7DE60018"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7B9E8A4F" w14:textId="77777777" w:rsidR="00EB5DB9" w:rsidRDefault="00141725">
      <w:pPr>
        <w:widowControl/>
        <w:ind w:left="567" w:right="623"/>
        <w:jc w:val="both"/>
        <w:textAlignment w:val="auto"/>
      </w:pPr>
      <w:r>
        <w:rPr>
          <w:rFonts w:ascii="Work Sans" w:hAnsi="Work Sans" w:cs="Times New Roman"/>
          <w:i/>
          <w:kern w:val="0"/>
          <w:sz w:val="18"/>
          <w:szCs w:val="18"/>
          <w:lang w:val="es-CO" w:eastAsia="es-CO" w:bidi="ar-SA"/>
        </w:rPr>
        <w:t>Parágrafo 2°. Para tener derecho a la exención contemplada en el literal b), es de ca</w:t>
      </w:r>
      <w:r>
        <w:rPr>
          <w:rFonts w:ascii="Work Sans" w:hAnsi="Work Sans" w:cs="Times New Roman"/>
          <w:i/>
          <w:kern w:val="0"/>
          <w:sz w:val="18"/>
          <w:szCs w:val="18"/>
          <w:lang w:val="es-CO" w:eastAsia="es-CO" w:bidi="ar-SA"/>
        </w:rPr>
        <w:t>rácter obligatorio que los vehículos allí relacionados, con excepción de las bicicletas y motocicletas, estén plenamente identificados con los emblemas, colores y distintivos institucionales de cada una de las entidades y organismos a los cuales pertenecen</w:t>
      </w:r>
      <w:r>
        <w:rPr>
          <w:rFonts w:ascii="Work Sans" w:hAnsi="Work Sans" w:cs="Times New Roman"/>
          <w:i/>
          <w:kern w:val="0"/>
          <w:sz w:val="18"/>
          <w:szCs w:val="18"/>
          <w:lang w:val="es-CO" w:eastAsia="es-CO" w:bidi="ar-SA"/>
        </w:rPr>
        <w:t>. Para efectos de control, el Ministerio de Transporte reglamentará lo pertinente.</w:t>
      </w:r>
      <w:r>
        <w:rPr>
          <w:rFonts w:ascii="Work Sans" w:hAnsi="Work Sans" w:cs="Times New Roman"/>
          <w:b/>
          <w:bCs/>
          <w:i/>
          <w:kern w:val="0"/>
          <w:sz w:val="18"/>
          <w:szCs w:val="18"/>
          <w:lang w:val="es-CO" w:eastAsia="es-CO" w:bidi="ar-SA"/>
        </w:rPr>
        <w:t> </w:t>
      </w:r>
    </w:p>
    <w:p w14:paraId="0C2CE0A1"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30B23191" w14:textId="77777777" w:rsidR="00EB5DB9" w:rsidRDefault="00141725">
      <w:pPr>
        <w:widowControl/>
        <w:ind w:left="567" w:right="623"/>
        <w:jc w:val="both"/>
        <w:textAlignment w:val="auto"/>
        <w:rPr>
          <w:rFonts w:ascii="Work Sans" w:hAnsi="Work Sans" w:cs="Times New Roman"/>
          <w:i/>
          <w:kern w:val="0"/>
          <w:sz w:val="18"/>
          <w:szCs w:val="18"/>
          <w:lang w:val="es-CO" w:eastAsia="es-CO" w:bidi="ar-SA"/>
        </w:rPr>
      </w:pPr>
      <w:r>
        <w:rPr>
          <w:rFonts w:ascii="Work Sans" w:hAnsi="Work Sans" w:cs="Times New Roman"/>
          <w:i/>
          <w:kern w:val="0"/>
          <w:sz w:val="18"/>
          <w:szCs w:val="18"/>
          <w:lang w:val="es-CO" w:eastAsia="es-CO" w:bidi="ar-SA"/>
        </w:rPr>
        <w:t>Parágrafo 3°. Facúltese a las Entidades Territoriales para decretar las exenciones contempladas en el literal b), del artículo 1°.</w:t>
      </w:r>
    </w:p>
    <w:p w14:paraId="3F24608B" w14:textId="77777777" w:rsidR="00EB5DB9" w:rsidRDefault="00141725">
      <w:pPr>
        <w:widowControl/>
        <w:ind w:left="567" w:right="623"/>
        <w:jc w:val="both"/>
        <w:textAlignment w:val="auto"/>
      </w:pPr>
      <w:r>
        <w:rPr>
          <w:rFonts w:ascii="Work Sans" w:hAnsi="Work Sans" w:cs="Times New Roman"/>
          <w:i/>
          <w:kern w:val="0"/>
          <w:sz w:val="18"/>
          <w:szCs w:val="18"/>
          <w:lang w:val="es-MX" w:eastAsia="es-CO" w:bidi="ar-SA"/>
        </w:rPr>
        <w:t> </w:t>
      </w:r>
    </w:p>
    <w:p w14:paraId="7198784E" w14:textId="77777777" w:rsidR="00EB5DB9" w:rsidRDefault="00141725">
      <w:pPr>
        <w:widowControl/>
        <w:ind w:left="567" w:right="623"/>
        <w:jc w:val="both"/>
        <w:textAlignment w:val="auto"/>
      </w:pPr>
      <w:r>
        <w:rPr>
          <w:rFonts w:ascii="Work Sans" w:hAnsi="Work Sans" w:cs="Times New Roman"/>
          <w:i/>
          <w:kern w:val="0"/>
          <w:sz w:val="18"/>
          <w:szCs w:val="18"/>
          <w:lang w:val="es-CO" w:eastAsia="es-CO" w:bidi="ar-SA"/>
        </w:rPr>
        <w:t xml:space="preserve">Parágrafo 4°. Se entiende </w:t>
      </w:r>
      <w:r>
        <w:rPr>
          <w:rFonts w:ascii="Work Sans" w:hAnsi="Work Sans" w:cs="Times New Roman"/>
          <w:i/>
          <w:kern w:val="0"/>
          <w:sz w:val="18"/>
          <w:szCs w:val="18"/>
          <w:lang w:val="es-CO" w:eastAsia="es-CO" w:bidi="ar-SA"/>
        </w:rPr>
        <w:t>también las vías “Concesionadas”</w:t>
      </w:r>
    </w:p>
    <w:p w14:paraId="014C30F1" w14:textId="77777777" w:rsidR="00EB5DB9" w:rsidRDefault="00EB5DB9">
      <w:pPr>
        <w:widowControl/>
        <w:tabs>
          <w:tab w:val="left" w:pos="0"/>
        </w:tabs>
        <w:ind w:left="567" w:right="900"/>
        <w:jc w:val="both"/>
        <w:textAlignment w:val="auto"/>
        <w:rPr>
          <w:rFonts w:ascii="Work Sans" w:hAnsi="Work Sans" w:cs="Times New Roman"/>
          <w:i/>
          <w:kern w:val="0"/>
          <w:sz w:val="20"/>
          <w:szCs w:val="20"/>
          <w:lang w:val="es-CO" w:eastAsia="es-CO" w:bidi="ar-SA"/>
        </w:rPr>
      </w:pPr>
    </w:p>
    <w:p w14:paraId="62FE308A" w14:textId="77777777" w:rsidR="00EB5DB9" w:rsidRDefault="00141725">
      <w:pPr>
        <w:widowControl/>
        <w:suppressLineNumbers/>
        <w:tabs>
          <w:tab w:val="left" w:pos="0"/>
        </w:tabs>
        <w:ind w:right="49"/>
        <w:jc w:val="both"/>
        <w:textAlignment w:val="auto"/>
      </w:pPr>
      <w:r>
        <w:rPr>
          <w:rFonts w:ascii="Work Sans" w:hAnsi="Work Sans" w:cs="Arial"/>
          <w:kern w:val="0"/>
          <w:sz w:val="20"/>
          <w:szCs w:val="20"/>
          <w:lang w:eastAsia="es-ES" w:bidi="ar-SA"/>
        </w:rPr>
        <w:t>Que el Decreto 087 de 2011 “</w:t>
      </w:r>
      <w:r>
        <w:rPr>
          <w:rFonts w:ascii="Work Sans" w:hAnsi="Work Sans" w:cs="Arial"/>
          <w:i/>
          <w:kern w:val="0"/>
          <w:sz w:val="20"/>
          <w:szCs w:val="20"/>
          <w:lang w:eastAsia="es-ES" w:bidi="ar-SA"/>
        </w:rPr>
        <w:t>Por el cual se modifica la estructura del Ministerio de Transporte, y se determinan las funciones de sus dependencias</w:t>
      </w:r>
      <w:r>
        <w:rPr>
          <w:rFonts w:ascii="Work Sans" w:hAnsi="Work Sans" w:cs="Arial"/>
          <w:kern w:val="0"/>
          <w:sz w:val="20"/>
          <w:szCs w:val="20"/>
          <w:lang w:eastAsia="es-ES" w:bidi="ar-SA"/>
        </w:rPr>
        <w:t>.” establece:</w:t>
      </w:r>
    </w:p>
    <w:p w14:paraId="4C9917AB" w14:textId="77777777" w:rsidR="00EB5DB9" w:rsidRDefault="00EB5DB9">
      <w:pPr>
        <w:widowControl/>
        <w:suppressLineNumbers/>
        <w:tabs>
          <w:tab w:val="left" w:pos="0"/>
        </w:tabs>
        <w:ind w:left="709" w:right="709"/>
        <w:jc w:val="both"/>
        <w:textAlignment w:val="auto"/>
        <w:rPr>
          <w:rFonts w:ascii="Work Sans" w:hAnsi="Work Sans" w:cs="Arial"/>
          <w:i/>
          <w:kern w:val="0"/>
          <w:sz w:val="20"/>
          <w:szCs w:val="20"/>
          <w:lang w:eastAsia="es-ES" w:bidi="ar-SA"/>
        </w:rPr>
      </w:pPr>
    </w:p>
    <w:p w14:paraId="282DD1E4" w14:textId="77777777" w:rsidR="00EB5DB9" w:rsidRDefault="00141725">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“Artículo 6°. Funciones del Despacho del Ministro de </w:t>
      </w:r>
      <w:r>
        <w:rPr>
          <w:rFonts w:ascii="Work Sans" w:hAnsi="Work Sans" w:cs="Arial"/>
          <w:i/>
          <w:sz w:val="18"/>
          <w:szCs w:val="18"/>
        </w:rPr>
        <w:t>Transporte. Son funciones del Despacho del Ministro de Transporte, además de las señaladas por la Constitución Política y la ley, las siguientes:</w:t>
      </w:r>
    </w:p>
    <w:p w14:paraId="00D9D858" w14:textId="77777777" w:rsidR="00EB5DB9" w:rsidRDefault="00141725">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 </w:t>
      </w:r>
    </w:p>
    <w:p w14:paraId="404D6A81" w14:textId="77777777" w:rsidR="00EB5DB9" w:rsidRDefault="00141725">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 6.15. Establecer los peajes, tarifas, tasas y derechos a cobrar por el uso de la   infraestructura de los m</w:t>
      </w:r>
      <w:r>
        <w:rPr>
          <w:rFonts w:ascii="Work Sans" w:hAnsi="Work Sans" w:cs="Arial"/>
          <w:i/>
          <w:sz w:val="18"/>
          <w:szCs w:val="18"/>
        </w:rPr>
        <w:t>odos de transporte, excepto el aéreo. (…)”</w:t>
      </w:r>
    </w:p>
    <w:p w14:paraId="74FBBC17" w14:textId="77777777" w:rsidR="00EB5DB9" w:rsidRDefault="00EB5DB9">
      <w:pPr>
        <w:autoSpaceDE w:val="0"/>
        <w:jc w:val="both"/>
        <w:rPr>
          <w:rFonts w:ascii="Work Sans" w:eastAsia="Arial Narrow" w:hAnsi="Work Sans" w:cs="Arial Narrow"/>
          <w:sz w:val="20"/>
          <w:szCs w:val="20"/>
        </w:rPr>
      </w:pPr>
    </w:p>
    <w:p w14:paraId="786BB2DE" w14:textId="77777777" w:rsidR="00EB5DB9" w:rsidRDefault="00141725">
      <w:pPr>
        <w:widowControl/>
        <w:jc w:val="both"/>
        <w:textAlignment w:val="auto"/>
      </w:pPr>
      <w:r>
        <w:rPr>
          <w:rFonts w:ascii="Work Sans" w:hAnsi="Work Sans" w:cs="Times New Roman"/>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w:t>
      </w:r>
      <w:r>
        <w:rPr>
          <w:rFonts w:ascii="Work Sans" w:hAnsi="Work Sans" w:cs="Times New Roman"/>
          <w:kern w:val="0"/>
          <w:sz w:val="20"/>
          <w:szCs w:val="20"/>
          <w:lang w:val="es" w:eastAsia="es-ES" w:bidi="ar-SA"/>
        </w:rPr>
        <w:t>tras formas de Asociación Público Privada para el desarrollo de la infraestructura de transporte y de los servicios conexos y relacionados, así como elaborar los estudios para definir los peajes, tasas, tarifas, contribución de valorización y otras modalid</w:t>
      </w:r>
      <w:r>
        <w:rPr>
          <w:rFonts w:ascii="Work Sans" w:hAnsi="Work Sans" w:cs="Times New Roman"/>
          <w:kern w:val="0"/>
          <w:sz w:val="20"/>
          <w:szCs w:val="20"/>
          <w:lang w:val="es" w:eastAsia="es-ES" w:bidi="ar-SA"/>
        </w:rPr>
        <w:t>ades de retribución por el diseño, construcción, operación, explotación, mantenimiento o rehabilitación de la infraestructura relacionada con los proyectos de concesión u otras formas de Asociación Público Privada a su cargo.</w:t>
      </w:r>
    </w:p>
    <w:p w14:paraId="56B9D9DF" w14:textId="77777777" w:rsidR="00EB5DB9" w:rsidRDefault="00EB5DB9">
      <w:pPr>
        <w:jc w:val="both"/>
        <w:rPr>
          <w:rFonts w:ascii="Work Sans" w:hAnsi="Work Sans" w:cs="Times New Roman"/>
          <w:b/>
          <w:sz w:val="20"/>
          <w:szCs w:val="20"/>
          <w:lang w:eastAsia="es-ES"/>
        </w:rPr>
      </w:pPr>
    </w:p>
    <w:p w14:paraId="32E81728" w14:textId="77777777" w:rsidR="00EB5DB9" w:rsidRDefault="00141725">
      <w:pPr>
        <w:autoSpaceDE w:val="0"/>
        <w:jc w:val="both"/>
      </w:pPr>
      <w:r>
        <w:rPr>
          <w:rFonts w:ascii="Work Sans" w:hAnsi="Work Sans" w:cs="Times New Roman"/>
          <w:sz w:val="20"/>
          <w:szCs w:val="20"/>
          <w:lang w:val="es" w:eastAsia="es-ES"/>
        </w:rPr>
        <w:lastRenderedPageBreak/>
        <w:t>Que de conformidad con los ar</w:t>
      </w:r>
      <w:r>
        <w:rPr>
          <w:rFonts w:ascii="Work Sans" w:hAnsi="Work Sans" w:cs="Times New Roman"/>
          <w:sz w:val="20"/>
          <w:szCs w:val="20"/>
          <w:lang w:val="es" w:eastAsia="es-ES"/>
        </w:rPr>
        <w:t xml:space="preserve">tículos 1 y 5 de la Ley 1508 de 2012, las Asociaciones Público Privadas son un instrumento de vinculación de capital privado, que se materializa en un contrato entre una entidad estatal y una persona natural o jurídica, en el cual se involucran mecanismos </w:t>
      </w:r>
      <w:r>
        <w:rPr>
          <w:rFonts w:ascii="Work Sans" w:hAnsi="Work Sans" w:cs="Times New Roman"/>
          <w:sz w:val="20"/>
          <w:szCs w:val="20"/>
          <w:lang w:val="es" w:eastAsia="es-ES"/>
        </w:rPr>
        <w:t>de pago relacionados con la disponibilidad, el nivel de servicio de la infraestructura y/o servicio</w:t>
      </w:r>
      <w:r>
        <w:rPr>
          <w:rFonts w:ascii="Work Sans" w:hAnsi="Work Sans" w:cs="Times New Roman"/>
          <w:color w:val="000000"/>
          <w:sz w:val="20"/>
          <w:szCs w:val="20"/>
        </w:rPr>
        <w:t>; igualmente se contempla el derecho al recaudo de recursos de explotación económica del proyecto.</w:t>
      </w:r>
    </w:p>
    <w:p w14:paraId="0CCD1687" w14:textId="77777777" w:rsidR="00EB5DB9" w:rsidRDefault="00EB5DB9">
      <w:pPr>
        <w:autoSpaceDE w:val="0"/>
        <w:jc w:val="both"/>
        <w:rPr>
          <w:rFonts w:ascii="Arial Narrow" w:eastAsia="Arial Narrow" w:hAnsi="Arial Narrow" w:cs="Arial Narrow"/>
          <w:sz w:val="22"/>
          <w:szCs w:val="22"/>
        </w:rPr>
      </w:pPr>
    </w:p>
    <w:p w14:paraId="32E5E6FA" w14:textId="77777777" w:rsidR="00EB5DB9" w:rsidRDefault="00141725">
      <w:pPr>
        <w:autoSpaceDE w:val="0"/>
        <w:jc w:val="both"/>
      </w:pPr>
      <w:r>
        <w:rPr>
          <w:rFonts w:ascii="Work Sans" w:hAnsi="Work Sans" w:cs="Times New Roman"/>
          <w:sz w:val="20"/>
          <w:szCs w:val="20"/>
          <w:lang w:val="es" w:eastAsia="es-ES"/>
        </w:rPr>
        <w:t>Que el día 5 de mayo de 2015, la Agencia Nacional de Infr</w:t>
      </w:r>
      <w:r>
        <w:rPr>
          <w:rFonts w:ascii="Work Sans" w:hAnsi="Work Sans" w:cs="Times New Roman"/>
          <w:sz w:val="20"/>
          <w:szCs w:val="20"/>
          <w:lang w:val="es" w:eastAsia="es-ES"/>
        </w:rPr>
        <w:t xml:space="preserve">aestructura y el Concesionario “Concesión Vial de los Llanos S.A.S.”, suscribieron el Contrato de Concesión No. 004 de 2015 bajo el esquema de Asociación Público-Privada de Iniciativa Privada, cuyo objeto es </w:t>
      </w:r>
      <w:r>
        <w:rPr>
          <w:rFonts w:ascii="Work Sans" w:hAnsi="Work Sans" w:cs="Times New Roman"/>
          <w:i/>
          <w:sz w:val="20"/>
          <w:szCs w:val="20"/>
          <w:lang w:val="es" w:eastAsia="es-ES"/>
        </w:rPr>
        <w:t>“Realizar los Estudios, diseños, financiación, c</w:t>
      </w:r>
      <w:r>
        <w:rPr>
          <w:rFonts w:ascii="Work Sans" w:hAnsi="Work Sans" w:cs="Times New Roman"/>
          <w:i/>
          <w:sz w:val="20"/>
          <w:szCs w:val="20"/>
          <w:lang w:val="es" w:eastAsia="es-ES"/>
        </w:rPr>
        <w:t>onstrucción, operación, mantenimiento, gestión social, predial y ambiental respecto de los siguientes ítems a saber: i). Corredor Granada – Villavicencio – Puerto López -Puerto Gaitán - Puente Arimena ii). Anillo Vial de Villavicencio y Accesos a la Ciudad</w:t>
      </w:r>
      <w:r>
        <w:rPr>
          <w:rFonts w:ascii="Work Sans" w:hAnsi="Work Sans" w:cs="Times New Roman"/>
          <w:i/>
          <w:sz w:val="20"/>
          <w:szCs w:val="20"/>
          <w:lang w:val="es" w:eastAsia="es-ES"/>
        </w:rPr>
        <w:t xml:space="preserve">- Malla Vial del Meta” </w:t>
      </w:r>
    </w:p>
    <w:p w14:paraId="38DAC58F" w14:textId="77777777" w:rsidR="00EB5DB9" w:rsidRDefault="00EB5DB9">
      <w:pPr>
        <w:autoSpaceDE w:val="0"/>
        <w:jc w:val="both"/>
        <w:rPr>
          <w:rFonts w:ascii="Work Sans" w:hAnsi="Work Sans" w:cs="Times New Roman"/>
          <w:color w:val="000000"/>
          <w:sz w:val="20"/>
          <w:szCs w:val="20"/>
        </w:rPr>
      </w:pPr>
    </w:p>
    <w:p w14:paraId="3BD9D664" w14:textId="77777777" w:rsidR="00EB5DB9" w:rsidRDefault="00141725">
      <w:pPr>
        <w:autoSpaceDE w:val="0"/>
        <w:jc w:val="both"/>
      </w:pPr>
      <w:r>
        <w:rPr>
          <w:rFonts w:ascii="Work Sans" w:eastAsia="Arial Narrow" w:hAnsi="Work Sans" w:cs="Arial Narrow"/>
          <w:sz w:val="20"/>
          <w:szCs w:val="20"/>
        </w:rPr>
        <w:t>Que mediante Resolución 0003126 del 17 de octubre de 2014 del Ministerio se establecieron tarifas especiales para transporte particular y público a los residentes del municipio de Acacias que sean usuarios frecuentes del Peaje Ocoa</w:t>
      </w:r>
      <w:r>
        <w:rPr>
          <w:rFonts w:ascii="Work Sans" w:eastAsia="Arial Narrow" w:hAnsi="Work Sans" w:cs="Arial Narrow"/>
          <w:sz w:val="20"/>
          <w:szCs w:val="20"/>
        </w:rPr>
        <w:t>.</w:t>
      </w:r>
    </w:p>
    <w:p w14:paraId="2F029332" w14:textId="77777777" w:rsidR="00EB5DB9" w:rsidRDefault="00EB5DB9">
      <w:pPr>
        <w:autoSpaceDE w:val="0"/>
        <w:jc w:val="both"/>
        <w:rPr>
          <w:rFonts w:ascii="Work Sans" w:eastAsia="Arial Narrow" w:hAnsi="Work Sans" w:cs="Arial Narrow"/>
          <w:sz w:val="20"/>
          <w:szCs w:val="20"/>
        </w:rPr>
      </w:pPr>
    </w:p>
    <w:p w14:paraId="10D5A8FA" w14:textId="77777777" w:rsidR="00EB5DB9" w:rsidRDefault="00141725">
      <w:pPr>
        <w:autoSpaceDE w:val="0"/>
        <w:jc w:val="both"/>
      </w:pPr>
      <w:bookmarkStart w:id="0" w:name="_Hlk76565807"/>
      <w:r>
        <w:rPr>
          <w:rFonts w:ascii="Work Sans" w:eastAsia="Arial Narrow" w:hAnsi="Work Sans" w:cs="Arial Narrow"/>
          <w:sz w:val="20"/>
          <w:szCs w:val="20"/>
        </w:rPr>
        <w:t>Que el Ministerio de Transporte mediante la Resolución 0001130 del 28 de abril de 2015 emitió concepto vinculante previo al establecimiento de la estación de peaje denominada El Cairo, estableció las tarifas a cobrar en las estaciones denominadas El Cai</w:t>
      </w:r>
      <w:r>
        <w:rPr>
          <w:rFonts w:ascii="Work Sans" w:eastAsia="Arial Narrow" w:hAnsi="Work Sans" w:cs="Arial Narrow"/>
          <w:sz w:val="20"/>
          <w:szCs w:val="20"/>
        </w:rPr>
        <w:t>ro, Iracá, Ocoa, La Libertad, Casetabla y Yucao y estableció</w:t>
      </w:r>
      <w:bookmarkEnd w:id="0"/>
      <w:r>
        <w:rPr>
          <w:rFonts w:ascii="Work Sans" w:eastAsia="Arial Narrow" w:hAnsi="Work Sans" w:cs="Arial Narrow"/>
          <w:sz w:val="20"/>
          <w:szCs w:val="20"/>
        </w:rPr>
        <w:t xml:space="preserve"> tarifas especiales diferenciales para las estaciones de peaje Casetablanca Yucao y la Libertad, que formarán parte del Proyecto vial de Iniciativa Privada Malla Vial del Meta - I.P. Malla Vial de</w:t>
      </w:r>
      <w:r>
        <w:rPr>
          <w:rFonts w:ascii="Work Sans" w:eastAsia="Arial Narrow" w:hAnsi="Work Sans" w:cs="Arial Narrow"/>
          <w:sz w:val="20"/>
          <w:szCs w:val="20"/>
        </w:rPr>
        <w:t xml:space="preserve">l Meta. </w:t>
      </w:r>
    </w:p>
    <w:p w14:paraId="6FC0410E" w14:textId="77777777" w:rsidR="00EB5DB9" w:rsidRDefault="00EB5DB9">
      <w:pPr>
        <w:autoSpaceDE w:val="0"/>
        <w:jc w:val="both"/>
        <w:rPr>
          <w:rFonts w:ascii="Work Sans" w:eastAsia="Arial Narrow" w:hAnsi="Work Sans" w:cs="Arial Narrow"/>
          <w:sz w:val="20"/>
          <w:szCs w:val="20"/>
        </w:rPr>
      </w:pPr>
    </w:p>
    <w:p w14:paraId="3D8CA5CE" w14:textId="77777777" w:rsidR="00EB5DB9" w:rsidRDefault="00141725">
      <w:pPr>
        <w:autoSpaceDE w:val="0"/>
        <w:jc w:val="both"/>
        <w:rPr>
          <w:rFonts w:ascii="Work Sans" w:hAnsi="Work Sans"/>
          <w:sz w:val="20"/>
          <w:szCs w:val="20"/>
        </w:rPr>
      </w:pPr>
      <w:r>
        <w:rPr>
          <w:rFonts w:ascii="Work Sans" w:hAnsi="Work Sans"/>
          <w:sz w:val="20"/>
          <w:szCs w:val="20"/>
        </w:rPr>
        <w:t xml:space="preserve">Que  de conformidad con lo establecido en el artículo segundo de la citada Resolución No. 1130 del 2015, establece la ubicación de las siguientes estaciones de peaje, asi: 1. Iracá, ubicada en el PK 68+500 del tramo Villavicencio - </w:t>
      </w:r>
      <w:r>
        <w:rPr>
          <w:rFonts w:ascii="Work Sans" w:hAnsi="Work Sans"/>
          <w:sz w:val="20"/>
          <w:szCs w:val="20"/>
        </w:rPr>
        <w:t xml:space="preserve">Granada, 2. Ocoa, ubicada en el PK 20+680 del tramo Villavicencio – Granada, 3. La Libertad ubicada en el PK 19+045 del tramo Villavicencio – Puerto López, 4. Casetabla, ubicada en el PK 16+0250 del tramo Puerto López – Puerto Gaitán, 5. Yucao, ubicada en </w:t>
      </w:r>
      <w:r>
        <w:rPr>
          <w:rFonts w:ascii="Work Sans" w:hAnsi="Work Sans"/>
          <w:sz w:val="20"/>
          <w:szCs w:val="20"/>
        </w:rPr>
        <w:t>el PK 101+000 del tramo Puerto López – Puerto Gaitán y 6. El Cairo, ubicada en el PK 6+100 del tramo completamente nuevo Catama – Puente Amarillo.</w:t>
      </w:r>
    </w:p>
    <w:p w14:paraId="57C1A315" w14:textId="77777777" w:rsidR="00EB5DB9" w:rsidRDefault="00EB5DB9">
      <w:pPr>
        <w:autoSpaceDE w:val="0"/>
        <w:jc w:val="both"/>
        <w:rPr>
          <w:rFonts w:ascii="Arial Narrow" w:hAnsi="Arial Narrow"/>
          <w:sz w:val="22"/>
          <w:szCs w:val="22"/>
        </w:rPr>
      </w:pPr>
    </w:p>
    <w:p w14:paraId="3A9A2EE7" w14:textId="77777777" w:rsidR="00EB5DB9" w:rsidRDefault="00141725">
      <w:pPr>
        <w:autoSpaceDE w:val="0"/>
        <w:jc w:val="both"/>
        <w:rPr>
          <w:rFonts w:ascii="Work Sans" w:hAnsi="Work Sans"/>
          <w:sz w:val="20"/>
          <w:szCs w:val="20"/>
        </w:rPr>
      </w:pPr>
      <w:r>
        <w:rPr>
          <w:rFonts w:ascii="Work Sans" w:hAnsi="Work Sans"/>
          <w:sz w:val="20"/>
          <w:szCs w:val="20"/>
        </w:rPr>
        <w:t>Que mediante Resolución 00000331 de 2017 del Ministerio de Transporte se ajustó el esquema tarifario para la</w:t>
      </w:r>
      <w:r>
        <w:rPr>
          <w:rFonts w:ascii="Work Sans" w:hAnsi="Work Sans"/>
          <w:sz w:val="20"/>
          <w:szCs w:val="20"/>
        </w:rPr>
        <w:t>s estaciones de peaje Casetabla y Yucao.</w:t>
      </w:r>
    </w:p>
    <w:p w14:paraId="48061854" w14:textId="77777777" w:rsidR="00EB5DB9" w:rsidRDefault="00EB5DB9">
      <w:pPr>
        <w:autoSpaceDE w:val="0"/>
        <w:jc w:val="both"/>
        <w:rPr>
          <w:rFonts w:ascii="Work Sans" w:hAnsi="Work Sans"/>
          <w:sz w:val="20"/>
          <w:szCs w:val="20"/>
        </w:rPr>
      </w:pPr>
    </w:p>
    <w:p w14:paraId="2CE02223" w14:textId="77777777" w:rsidR="00EB5DB9" w:rsidRDefault="00141725">
      <w:pPr>
        <w:pStyle w:val="Default"/>
        <w:tabs>
          <w:tab w:val="left" w:pos="567"/>
        </w:tabs>
        <w:ind w:right="-2"/>
        <w:jc w:val="both"/>
      </w:pPr>
      <w:r>
        <w:rPr>
          <w:rFonts w:ascii="Work Sans" w:hAnsi="Work Sans" w:cs="Arial"/>
          <w:iCs/>
          <w:sz w:val="20"/>
          <w:szCs w:val="20"/>
        </w:rPr>
        <w:t>Que la Agencia Nacional de Infraestructura mediante oficio</w:t>
      </w:r>
      <w:r>
        <w:rPr>
          <w:rFonts w:ascii="Work Sans" w:hAnsi="Work Sans" w:cs="Arial"/>
          <w:sz w:val="20"/>
          <w:szCs w:val="20"/>
        </w:rPr>
        <w:t xml:space="preserve"> ANI </w:t>
      </w:r>
      <w:r>
        <w:rPr>
          <w:rFonts w:ascii="Work Sans" w:eastAsia="Times New Roman" w:hAnsi="Work Sans" w:cs="Lohit Devanagari"/>
          <w:color w:val="auto"/>
          <w:kern w:val="3"/>
          <w:sz w:val="20"/>
          <w:szCs w:val="20"/>
          <w:lang w:eastAsia="zh-CN" w:bidi="hi-IN"/>
        </w:rPr>
        <w:t xml:space="preserve">20215000213331 del 14 de julio de 2021  y alcance 20215000239261 del 6 de agosto de 2021, de conformidad con lo acordado mediante el Otrosí No. 10 al </w:t>
      </w:r>
      <w:r>
        <w:rPr>
          <w:rFonts w:ascii="Work Sans" w:eastAsia="Times New Roman" w:hAnsi="Work Sans" w:cs="Lohit Devanagari"/>
          <w:color w:val="auto"/>
          <w:kern w:val="3"/>
          <w:sz w:val="20"/>
          <w:szCs w:val="20"/>
          <w:lang w:eastAsia="zh-CN" w:bidi="hi-IN"/>
        </w:rPr>
        <w:t xml:space="preserve">Contrato de Concesión No. 004 de 2015, </w:t>
      </w:r>
      <w:r>
        <w:rPr>
          <w:rFonts w:ascii="Work Sans" w:hAnsi="Work Sans" w:cs="Arial"/>
          <w:iCs/>
          <w:sz w:val="20"/>
          <w:szCs w:val="20"/>
        </w:rPr>
        <w:t>propone a esta Cartera Ministerial,</w:t>
      </w:r>
      <w:r>
        <w:rPr>
          <w:rFonts w:ascii="Work Sans" w:hAnsi="Work Sans"/>
          <w:spacing w:val="-3"/>
          <w:sz w:val="20"/>
          <w:szCs w:val="20"/>
        </w:rPr>
        <w:t xml:space="preserve"> establecer tarifas para las estaciones de peaje Iraca, Ocoa, La Libertad, El Cairo, Casetablanca y Yucao y establecer tarifas diferenciales para </w:t>
      </w:r>
      <w:r>
        <w:rPr>
          <w:rFonts w:ascii="Work Sans" w:hAnsi="Work Sans"/>
          <w:spacing w:val="-3"/>
          <w:sz w:val="20"/>
          <w:szCs w:val="20"/>
        </w:rPr>
        <w:lastRenderedPageBreak/>
        <w:t>las estaciones de peajes Iracá, Ocoa</w:t>
      </w:r>
      <w:r>
        <w:rPr>
          <w:rFonts w:ascii="Work Sans" w:hAnsi="Work Sans"/>
          <w:spacing w:val="-3"/>
          <w:sz w:val="20"/>
          <w:szCs w:val="20"/>
        </w:rPr>
        <w:t xml:space="preserve"> y la Libertad, que forman parte del Proyecto vial de Iniciativa Privada Malla Vial del Meta – Contrato de Concesión No. 004 de 2015 y derogar las Resoluciones </w:t>
      </w:r>
      <w:r>
        <w:rPr>
          <w:rFonts w:ascii="Work Sans" w:eastAsia="Arial Narrow" w:hAnsi="Work Sans" w:cs="Arial Narrow"/>
          <w:sz w:val="20"/>
          <w:lang w:bidi="hi-IN"/>
        </w:rPr>
        <w:t xml:space="preserve">0003126 de 2014, 0001130 de 2015 y 0000331 de 2017 del Ministerio de Transporte, con el fin de </w:t>
      </w:r>
      <w:r>
        <w:rPr>
          <w:rFonts w:ascii="Work Sans" w:hAnsi="Work Sans" w:cs="Arial"/>
          <w:iCs/>
          <w:sz w:val="20"/>
          <w:szCs w:val="20"/>
        </w:rPr>
        <w:t>r</w:t>
      </w:r>
      <w:r>
        <w:rPr>
          <w:rFonts w:ascii="Work Sans" w:hAnsi="Work Sans" w:cs="Arial"/>
          <w:iCs/>
          <w:sz w:val="20"/>
          <w:szCs w:val="20"/>
        </w:rPr>
        <w:t xml:space="preserve">egular de manera integral las tarifas en las citadas estaciones de peaje, </w:t>
      </w:r>
      <w:r>
        <w:rPr>
          <w:rFonts w:ascii="Work Sans" w:hAnsi="Work Sans"/>
          <w:spacing w:val="-3"/>
          <w:sz w:val="20"/>
          <w:szCs w:val="20"/>
        </w:rPr>
        <w:t>con fundamento en lo siguiente:</w:t>
      </w:r>
    </w:p>
    <w:p w14:paraId="2D8A6777" w14:textId="77777777" w:rsidR="00EB5DB9" w:rsidRDefault="00EB5DB9">
      <w:pPr>
        <w:jc w:val="both"/>
        <w:rPr>
          <w:rFonts w:ascii="Work Sans" w:hAnsi="Work Sans"/>
          <w:sz w:val="18"/>
          <w:szCs w:val="18"/>
        </w:rPr>
      </w:pPr>
    </w:p>
    <w:p w14:paraId="31B01666" w14:textId="77777777" w:rsidR="00EB5DB9" w:rsidRDefault="00141725">
      <w:pPr>
        <w:ind w:left="567" w:right="623"/>
        <w:jc w:val="both"/>
      </w:pPr>
      <w:r>
        <w:rPr>
          <w:rFonts w:ascii="Work Sans" w:eastAsia="Arial Narrow" w:hAnsi="Work Sans" w:cs="Arial Narrow"/>
          <w:b/>
          <w:i/>
          <w:iCs/>
          <w:sz w:val="18"/>
          <w:szCs w:val="18"/>
        </w:rPr>
        <w:t>“1.</w:t>
      </w:r>
      <w:r>
        <w:rPr>
          <w:rFonts w:ascii="Work Sans" w:eastAsia="Arial Narrow" w:hAnsi="Work Sans" w:cs="Arial Narrow"/>
          <w:i/>
          <w:iCs/>
          <w:sz w:val="18"/>
          <w:szCs w:val="18"/>
        </w:rPr>
        <w:t xml:space="preserve"> </w:t>
      </w:r>
      <w:r>
        <w:rPr>
          <w:rFonts w:ascii="Work Sans" w:hAnsi="Work Sans" w:cs="Arial"/>
          <w:b/>
          <w:i/>
          <w:iCs/>
          <w:sz w:val="18"/>
          <w:szCs w:val="18"/>
        </w:rPr>
        <w:t>ANTECEDENTES DE LA SOLICITUD DE MODIFICACIÓN.</w:t>
      </w:r>
    </w:p>
    <w:p w14:paraId="4B581C8C" w14:textId="77777777" w:rsidR="00EB5DB9" w:rsidRDefault="00EB5DB9">
      <w:pPr>
        <w:spacing w:line="276" w:lineRule="auto"/>
        <w:ind w:left="567" w:right="623"/>
        <w:jc w:val="both"/>
        <w:rPr>
          <w:rFonts w:ascii="Work Sans" w:hAnsi="Work Sans" w:cs="Arial"/>
          <w:b/>
          <w:i/>
          <w:iCs/>
          <w:sz w:val="18"/>
          <w:szCs w:val="18"/>
        </w:rPr>
      </w:pPr>
    </w:p>
    <w:p w14:paraId="0E4C0A5E" w14:textId="77777777" w:rsidR="00EB5DB9" w:rsidRDefault="00141725">
      <w:pPr>
        <w:pStyle w:val="Piedepgina"/>
        <w:ind w:left="567" w:right="623"/>
        <w:jc w:val="both"/>
        <w:rPr>
          <w:rFonts w:ascii="Work Sans" w:hAnsi="Work Sans" w:cs="Arial"/>
          <w:i/>
          <w:iCs/>
          <w:sz w:val="18"/>
          <w:szCs w:val="18"/>
        </w:rPr>
      </w:pPr>
      <w:r>
        <w:rPr>
          <w:rFonts w:ascii="Work Sans" w:hAnsi="Work Sans" w:cs="Arial"/>
          <w:i/>
          <w:iCs/>
          <w:sz w:val="18"/>
          <w:szCs w:val="18"/>
        </w:rPr>
        <w:t>(…)</w:t>
      </w:r>
    </w:p>
    <w:p w14:paraId="16367405" w14:textId="77777777" w:rsidR="00EB5DB9" w:rsidRDefault="00141725">
      <w:pPr>
        <w:pStyle w:val="Piedepgina"/>
        <w:ind w:left="567" w:right="623"/>
        <w:jc w:val="both"/>
        <w:rPr>
          <w:rFonts w:ascii="Work Sans" w:hAnsi="Work Sans" w:cs="Arial"/>
          <w:i/>
          <w:iCs/>
          <w:sz w:val="18"/>
          <w:szCs w:val="18"/>
        </w:rPr>
      </w:pPr>
      <w:r>
        <w:rPr>
          <w:rFonts w:ascii="Work Sans" w:hAnsi="Work Sans" w:cs="Arial"/>
          <w:i/>
          <w:iCs/>
          <w:sz w:val="18"/>
          <w:szCs w:val="18"/>
        </w:rPr>
        <w:t> </w:t>
      </w:r>
    </w:p>
    <w:p w14:paraId="420D9C50" w14:textId="77777777" w:rsidR="00EB5DB9" w:rsidRDefault="00141725">
      <w:pPr>
        <w:pStyle w:val="Piedepgina"/>
        <w:ind w:left="567" w:right="623"/>
        <w:jc w:val="both"/>
        <w:rPr>
          <w:rFonts w:ascii="Work Sans" w:hAnsi="Work Sans" w:cs="Arial"/>
          <w:i/>
          <w:iCs/>
          <w:sz w:val="18"/>
          <w:szCs w:val="18"/>
        </w:rPr>
      </w:pPr>
      <w:r>
        <w:rPr>
          <w:rFonts w:ascii="Work Sans" w:hAnsi="Work Sans" w:cs="Arial"/>
          <w:i/>
          <w:iCs/>
          <w:sz w:val="18"/>
          <w:szCs w:val="18"/>
        </w:rPr>
        <w:t xml:space="preserve">Una vez iniciada la ejecución del Contrato de Concesión No. 004 de 2015, el </w:t>
      </w:r>
      <w:r>
        <w:rPr>
          <w:rFonts w:ascii="Work Sans" w:hAnsi="Work Sans" w:cs="Arial"/>
          <w:i/>
          <w:iCs/>
          <w:sz w:val="18"/>
          <w:szCs w:val="18"/>
        </w:rPr>
        <w:t>Concesionario implementó la estructura tarifaria definida en la Resolución No. 0001130 de 2015. </w:t>
      </w:r>
    </w:p>
    <w:p w14:paraId="1F328141" w14:textId="77777777" w:rsidR="00EB5DB9" w:rsidRDefault="00141725">
      <w:pPr>
        <w:pStyle w:val="Piedepgina"/>
        <w:ind w:left="567" w:right="623"/>
        <w:jc w:val="both"/>
        <w:rPr>
          <w:rFonts w:ascii="Work Sans" w:hAnsi="Work Sans" w:cs="Arial"/>
          <w:i/>
          <w:iCs/>
          <w:sz w:val="18"/>
          <w:szCs w:val="18"/>
        </w:rPr>
      </w:pPr>
      <w:r>
        <w:rPr>
          <w:rFonts w:ascii="Work Sans" w:hAnsi="Work Sans" w:cs="Arial"/>
          <w:i/>
          <w:iCs/>
          <w:sz w:val="18"/>
          <w:szCs w:val="18"/>
        </w:rPr>
        <w:t> </w:t>
      </w:r>
    </w:p>
    <w:p w14:paraId="6F956C6F" w14:textId="77777777" w:rsidR="00EB5DB9" w:rsidRDefault="00141725">
      <w:pPr>
        <w:pStyle w:val="Piedepgina"/>
        <w:ind w:left="567" w:right="623"/>
        <w:jc w:val="both"/>
        <w:rPr>
          <w:rFonts w:ascii="Work Sans" w:hAnsi="Work Sans" w:cs="Arial"/>
          <w:i/>
          <w:iCs/>
          <w:sz w:val="18"/>
          <w:szCs w:val="18"/>
        </w:rPr>
      </w:pPr>
      <w:r>
        <w:rPr>
          <w:rFonts w:ascii="Work Sans" w:hAnsi="Work Sans" w:cs="Arial"/>
          <w:i/>
          <w:iCs/>
          <w:sz w:val="18"/>
          <w:szCs w:val="18"/>
        </w:rPr>
        <w:t>Mediante la Resolución No. 0000331 de 2017, el Ministerio de Transporte modificó las tarifas de las estaciones de peaje Yucao y Casetabla. </w:t>
      </w:r>
    </w:p>
    <w:p w14:paraId="526DC5A6" w14:textId="77777777" w:rsidR="00EB5DB9" w:rsidRDefault="00EB5DB9">
      <w:pPr>
        <w:pStyle w:val="Piedepgina"/>
        <w:ind w:left="567" w:right="623"/>
        <w:jc w:val="both"/>
        <w:rPr>
          <w:rFonts w:ascii="Work Sans" w:hAnsi="Work Sans" w:cs="Arial"/>
          <w:i/>
          <w:iCs/>
          <w:sz w:val="18"/>
          <w:szCs w:val="18"/>
        </w:rPr>
      </w:pPr>
    </w:p>
    <w:p w14:paraId="58445DBA" w14:textId="77777777" w:rsidR="00EB5DB9" w:rsidRDefault="00141725">
      <w:pPr>
        <w:pStyle w:val="Piedepgina"/>
        <w:ind w:left="567" w:right="623"/>
        <w:jc w:val="both"/>
        <w:rPr>
          <w:rFonts w:ascii="Work Sans" w:hAnsi="Work Sans" w:cs="Arial"/>
          <w:i/>
          <w:iCs/>
          <w:sz w:val="18"/>
          <w:szCs w:val="18"/>
        </w:rPr>
      </w:pPr>
      <w:r>
        <w:rPr>
          <w:rFonts w:ascii="Work Sans" w:hAnsi="Work Sans" w:cs="Arial"/>
          <w:i/>
          <w:iCs/>
          <w:sz w:val="18"/>
          <w:szCs w:val="18"/>
        </w:rPr>
        <w:t>El 1 de diciembr</w:t>
      </w:r>
      <w:r>
        <w:rPr>
          <w:rFonts w:ascii="Work Sans" w:hAnsi="Work Sans" w:cs="Arial"/>
          <w:i/>
          <w:iCs/>
          <w:sz w:val="18"/>
          <w:szCs w:val="18"/>
        </w:rPr>
        <w:t>e de 2016, el Concesionario del Contrato de Concesión No. 004 de 2015 interpuso demanda arbitral ante el Centro de Arbitraje y Conciliación de la Cámara de Comercio de Bogotá, con el fin de que se determinara la viabilidad del proyecto con el alcance pacta</w:t>
      </w:r>
      <w:r>
        <w:rPr>
          <w:rFonts w:ascii="Work Sans" w:hAnsi="Work Sans" w:cs="Arial"/>
          <w:i/>
          <w:iCs/>
          <w:sz w:val="18"/>
          <w:szCs w:val="18"/>
        </w:rPr>
        <w:t>do y procediera, o bien a revisar el Contrato de Concesión con el fin de asegurar su continuidad, o bien declarar su terminación. </w:t>
      </w:r>
    </w:p>
    <w:p w14:paraId="51CC7C0A" w14:textId="77777777" w:rsidR="00EB5DB9" w:rsidRDefault="00141725">
      <w:pPr>
        <w:pStyle w:val="Piedepgina"/>
        <w:ind w:left="567" w:right="623"/>
        <w:jc w:val="both"/>
        <w:rPr>
          <w:rFonts w:ascii="Work Sans" w:hAnsi="Work Sans" w:cs="Arial"/>
          <w:i/>
          <w:iCs/>
          <w:sz w:val="18"/>
          <w:szCs w:val="18"/>
        </w:rPr>
      </w:pPr>
      <w:r>
        <w:rPr>
          <w:rFonts w:ascii="Work Sans" w:hAnsi="Work Sans" w:cs="Arial"/>
          <w:i/>
          <w:iCs/>
          <w:sz w:val="18"/>
          <w:szCs w:val="18"/>
        </w:rPr>
        <w:t> </w:t>
      </w:r>
    </w:p>
    <w:p w14:paraId="2CBF72D0" w14:textId="77777777" w:rsidR="00EB5DB9" w:rsidRDefault="00141725">
      <w:pPr>
        <w:pStyle w:val="Piedepgina"/>
        <w:ind w:left="567" w:right="623"/>
        <w:jc w:val="both"/>
      </w:pPr>
      <w:r>
        <w:rPr>
          <w:rFonts w:ascii="Work Sans" w:hAnsi="Work Sans" w:cs="Arial"/>
          <w:i/>
          <w:iCs/>
          <w:sz w:val="18"/>
          <w:szCs w:val="18"/>
          <w:lang w:val="es-CO"/>
        </w:rPr>
        <w:t>Así las cosas, el 28 de febrero de 2019 el Tribunal de Arbitramento profirió Laudo Arbitral en el cual señaló, respecto a l</w:t>
      </w:r>
      <w:r>
        <w:rPr>
          <w:rFonts w:ascii="Work Sans" w:hAnsi="Work Sans" w:cs="Arial"/>
          <w:i/>
          <w:iCs/>
          <w:sz w:val="18"/>
          <w:szCs w:val="18"/>
          <w:lang w:val="es-CO"/>
        </w:rPr>
        <w:t xml:space="preserve">a conservación del Contrato de Concesión, lo siguiente: </w:t>
      </w:r>
    </w:p>
    <w:p w14:paraId="47A44D9C" w14:textId="77777777" w:rsidR="00EB5DB9" w:rsidRDefault="00EB5DB9">
      <w:pPr>
        <w:pStyle w:val="Piedepgina"/>
        <w:ind w:left="567" w:right="623"/>
        <w:jc w:val="both"/>
        <w:rPr>
          <w:rFonts w:ascii="Work Sans" w:hAnsi="Work Sans" w:cs="Arial"/>
          <w:i/>
          <w:iCs/>
          <w:sz w:val="18"/>
          <w:szCs w:val="18"/>
        </w:rPr>
      </w:pPr>
    </w:p>
    <w:p w14:paraId="05422E6B" w14:textId="77777777" w:rsidR="00EB5DB9" w:rsidRDefault="00141725">
      <w:pPr>
        <w:pStyle w:val="Piedepgina"/>
        <w:ind w:left="851" w:right="623"/>
        <w:jc w:val="both"/>
        <w:rPr>
          <w:rFonts w:ascii="Work Sans" w:hAnsi="Work Sans" w:cs="Arial"/>
          <w:i/>
          <w:iCs/>
          <w:sz w:val="18"/>
          <w:szCs w:val="18"/>
          <w:lang w:val="es-CO"/>
        </w:rPr>
      </w:pPr>
      <w:r>
        <w:rPr>
          <w:rFonts w:ascii="Work Sans" w:hAnsi="Work Sans" w:cs="Arial"/>
          <w:i/>
          <w:iCs/>
          <w:sz w:val="18"/>
          <w:szCs w:val="18"/>
          <w:lang w:val="es-CO"/>
        </w:rPr>
        <w:t>“(…) Lo anterior permite resaltar la importancia que adquiere actualmente el principio de conservación del contrato, puesto que se orienta a la satisfacción del interés general involucrado en los ne</w:t>
      </w:r>
      <w:r>
        <w:rPr>
          <w:rFonts w:ascii="Work Sans" w:hAnsi="Work Sans" w:cs="Arial"/>
          <w:i/>
          <w:iCs/>
          <w:sz w:val="18"/>
          <w:szCs w:val="18"/>
          <w:lang w:val="es-CO"/>
        </w:rPr>
        <w:t>gocios jurídicos que celebra el Estado, como quiera que su paralización o terminación conducen al incumplimiento de los fines estatales, por lo que ambas Partes de la relación deben propender por su mantenimiento y cumplimiento, de manera que, ante circuns</w:t>
      </w:r>
      <w:r>
        <w:rPr>
          <w:rFonts w:ascii="Work Sans" w:hAnsi="Work Sans" w:cs="Arial"/>
          <w:i/>
          <w:iCs/>
          <w:sz w:val="18"/>
          <w:szCs w:val="18"/>
          <w:lang w:val="es-CO"/>
        </w:rPr>
        <w:t>tancias que alteran o dificultan su ejecución, deberán colaborar mutuamente para que el contrato sea eficaz y llegue a término.</w:t>
      </w:r>
    </w:p>
    <w:p w14:paraId="56FB830E" w14:textId="77777777" w:rsidR="00EB5DB9" w:rsidRDefault="00EB5DB9">
      <w:pPr>
        <w:pStyle w:val="Piedepgina"/>
        <w:ind w:left="851" w:right="623"/>
        <w:jc w:val="both"/>
        <w:rPr>
          <w:rFonts w:ascii="Work Sans" w:hAnsi="Work Sans" w:cs="Arial"/>
          <w:i/>
          <w:iCs/>
          <w:sz w:val="18"/>
          <w:szCs w:val="18"/>
          <w:lang w:val="es-CO"/>
        </w:rPr>
      </w:pPr>
    </w:p>
    <w:p w14:paraId="09DF952B" w14:textId="77777777" w:rsidR="00EB5DB9" w:rsidRDefault="00141725">
      <w:pPr>
        <w:pStyle w:val="Piedepgina"/>
        <w:ind w:left="851" w:right="623"/>
        <w:jc w:val="both"/>
      </w:pPr>
      <w:r>
        <w:rPr>
          <w:rFonts w:ascii="Work Sans" w:hAnsi="Work Sans" w:cs="Arial"/>
          <w:i/>
          <w:iCs/>
          <w:sz w:val="18"/>
          <w:szCs w:val="18"/>
          <w:lang w:val="es-CO"/>
        </w:rPr>
        <w:t>A este respecto encuentra el Tribunal que, a lo largo de la etapa de ejecución del Contrato de Concesión No. 004, las Partes ha</w:t>
      </w:r>
      <w:r>
        <w:rPr>
          <w:rFonts w:ascii="Work Sans" w:hAnsi="Work Sans" w:cs="Arial"/>
          <w:i/>
          <w:iCs/>
          <w:sz w:val="18"/>
          <w:szCs w:val="18"/>
          <w:lang w:val="es-CO"/>
        </w:rPr>
        <w:t>n manifestado su interés de continuar con la ejecución del contrato y de solventar en conjunto las dificultades que actualmente imposibilitan su cumplimiento. En efecto, en los Otrosíes 3, 5 y 6, y en el documento denominado Acta de Entendimiento, se evide</w:t>
      </w:r>
      <w:r>
        <w:rPr>
          <w:rFonts w:ascii="Work Sans" w:hAnsi="Work Sans" w:cs="Arial"/>
          <w:i/>
          <w:iCs/>
          <w:sz w:val="18"/>
          <w:szCs w:val="18"/>
          <w:lang w:val="es-CO"/>
        </w:rPr>
        <w:t xml:space="preserve">ncia el esfuerzo de los contratantes por reajustar las condiciones financieras del contrato o por suspender temporalmente el cumplimiento de algunas de las obligaciones de financiación. </w:t>
      </w:r>
      <w:r>
        <w:rPr>
          <w:rFonts w:ascii="Work Sans" w:hAnsi="Work Sans" w:cs="Arial"/>
          <w:b/>
          <w:i/>
          <w:iCs/>
          <w:sz w:val="18"/>
          <w:szCs w:val="18"/>
          <w:u w:val="single"/>
          <w:lang w:val="es-CO"/>
        </w:rPr>
        <w:t xml:space="preserve">Es por ello que el Tribunal considera que las Partes, en cumplimiento </w:t>
      </w:r>
      <w:r>
        <w:rPr>
          <w:rFonts w:ascii="Work Sans" w:hAnsi="Work Sans" w:cs="Arial"/>
          <w:b/>
          <w:i/>
          <w:iCs/>
          <w:sz w:val="18"/>
          <w:szCs w:val="18"/>
          <w:u w:val="single"/>
          <w:lang w:val="es-CO"/>
        </w:rPr>
        <w:t>de los postulados de la buena fe y de conservación del contrato, y de los deberes que la ley impone en atención a los fines perseguidos con la contratación estatal, podrían renegociar las bases del contrato y buscar fórmulas de arreglo que permitan el cump</w:t>
      </w:r>
      <w:r>
        <w:rPr>
          <w:rFonts w:ascii="Work Sans" w:hAnsi="Work Sans" w:cs="Arial"/>
          <w:b/>
          <w:i/>
          <w:iCs/>
          <w:sz w:val="18"/>
          <w:szCs w:val="18"/>
          <w:u w:val="single"/>
          <w:lang w:val="es-CO"/>
        </w:rPr>
        <w:t xml:space="preserve">limiento de su </w:t>
      </w:r>
      <w:r>
        <w:rPr>
          <w:rFonts w:ascii="Work Sans" w:hAnsi="Work Sans" w:cs="Arial"/>
          <w:b/>
          <w:i/>
          <w:iCs/>
          <w:sz w:val="18"/>
          <w:szCs w:val="18"/>
          <w:u w:val="single"/>
          <w:lang w:val="es-CO"/>
        </w:rPr>
        <w:lastRenderedPageBreak/>
        <w:t>objeto</w:t>
      </w:r>
      <w:r>
        <w:rPr>
          <w:rFonts w:ascii="Work Sans" w:hAnsi="Work Sans" w:cs="Arial"/>
          <w:i/>
          <w:iCs/>
          <w:sz w:val="18"/>
          <w:szCs w:val="18"/>
          <w:lang w:val="es-CO"/>
        </w:rPr>
        <w:t>.</w:t>
      </w:r>
    </w:p>
    <w:p w14:paraId="616A475E" w14:textId="77777777" w:rsidR="00EB5DB9" w:rsidRDefault="00EB5DB9">
      <w:pPr>
        <w:pStyle w:val="Piedepgina"/>
        <w:ind w:left="851" w:right="623"/>
        <w:jc w:val="both"/>
        <w:rPr>
          <w:rFonts w:ascii="Work Sans" w:hAnsi="Work Sans" w:cs="Arial"/>
          <w:i/>
          <w:iCs/>
          <w:sz w:val="18"/>
          <w:szCs w:val="18"/>
          <w:lang w:val="es-CO"/>
        </w:rPr>
      </w:pPr>
    </w:p>
    <w:p w14:paraId="4540DC8E" w14:textId="77777777" w:rsidR="00EB5DB9" w:rsidRDefault="00141725">
      <w:pPr>
        <w:pStyle w:val="Piedepgina"/>
        <w:ind w:left="851" w:right="623"/>
        <w:jc w:val="both"/>
      </w:pPr>
      <w:r>
        <w:rPr>
          <w:rFonts w:ascii="Work Sans" w:hAnsi="Work Sans" w:cs="Arial"/>
          <w:i/>
          <w:iCs/>
          <w:sz w:val="18"/>
          <w:szCs w:val="18"/>
          <w:lang w:val="es-CO"/>
        </w:rPr>
        <w:t>Sobre el particular, resulta ilustrativa la cláusula de modificación unilateral contenida en la Parte General del Contrato, conforme a la cual “si fuere necesario introducir variaciones en el Contrato para evitar la paralización o a</w:t>
      </w:r>
      <w:r>
        <w:rPr>
          <w:rFonts w:ascii="Work Sans" w:hAnsi="Work Sans" w:cs="Arial"/>
          <w:i/>
          <w:iCs/>
          <w:sz w:val="18"/>
          <w:szCs w:val="18"/>
          <w:lang w:val="es-CO"/>
        </w:rPr>
        <w:t xml:space="preserve">fectación grave del servicio y previamente las Partes no llegaran al acuerdo respectivo, la ANI mediante acto administrativo debidamente motivado (…) lo podrá modificar mediante la supresión o adición de obras, trabajos, suministros o servicios”. </w:t>
      </w:r>
      <w:r>
        <w:rPr>
          <w:rFonts w:ascii="Work Sans" w:hAnsi="Work Sans" w:cs="Arial"/>
          <w:b/>
          <w:bCs/>
          <w:i/>
          <w:iCs/>
          <w:sz w:val="18"/>
          <w:szCs w:val="18"/>
          <w:u w:val="single"/>
          <w:lang w:val="es-CO"/>
        </w:rPr>
        <w:t>De esta e</w:t>
      </w:r>
      <w:r>
        <w:rPr>
          <w:rFonts w:ascii="Work Sans" w:hAnsi="Work Sans" w:cs="Arial"/>
          <w:b/>
          <w:bCs/>
          <w:i/>
          <w:iCs/>
          <w:sz w:val="18"/>
          <w:szCs w:val="18"/>
          <w:u w:val="single"/>
          <w:lang w:val="es-CO"/>
        </w:rPr>
        <w:t>stipulación contractual se destaca que las partes deben valorar en conjunto posibles alternativas de solución cuando las condiciones del contrato amenacen su paralización, y algunos de los criterios son, por ejemplo, la supresión o adición de obras, es dec</w:t>
      </w:r>
      <w:r>
        <w:rPr>
          <w:rFonts w:ascii="Work Sans" w:hAnsi="Work Sans" w:cs="Arial"/>
          <w:b/>
          <w:bCs/>
          <w:i/>
          <w:iCs/>
          <w:sz w:val="18"/>
          <w:szCs w:val="18"/>
          <w:u w:val="single"/>
          <w:lang w:val="es-CO"/>
        </w:rPr>
        <w:t>ir, la modificación del alcance del objeto contractual</w:t>
      </w:r>
      <w:r>
        <w:rPr>
          <w:rFonts w:ascii="Work Sans" w:hAnsi="Work Sans" w:cs="Arial"/>
          <w:i/>
          <w:iCs/>
          <w:sz w:val="18"/>
          <w:szCs w:val="18"/>
          <w:lang w:val="es-CO"/>
        </w:rPr>
        <w:t>”. (Negrita y subrayado fuera del texto).</w:t>
      </w:r>
    </w:p>
    <w:p w14:paraId="645A13A4" w14:textId="77777777" w:rsidR="00EB5DB9" w:rsidRDefault="00EB5DB9">
      <w:pPr>
        <w:pStyle w:val="Piedepgina"/>
        <w:ind w:left="851" w:right="623"/>
        <w:rPr>
          <w:rFonts w:ascii="Work Sans" w:hAnsi="Work Sans" w:cs="Arial"/>
          <w:i/>
          <w:iCs/>
          <w:sz w:val="18"/>
          <w:szCs w:val="18"/>
        </w:rPr>
      </w:pPr>
    </w:p>
    <w:p w14:paraId="6EB07588" w14:textId="77777777" w:rsidR="00EB5DB9" w:rsidRDefault="00141725">
      <w:pPr>
        <w:pStyle w:val="Piedepgina"/>
        <w:spacing w:line="276" w:lineRule="auto"/>
        <w:ind w:left="567" w:right="623"/>
        <w:jc w:val="both"/>
        <w:rPr>
          <w:rFonts w:ascii="Work Sans" w:hAnsi="Work Sans" w:cs="Arial"/>
          <w:i/>
          <w:iCs/>
          <w:sz w:val="18"/>
          <w:szCs w:val="18"/>
        </w:rPr>
      </w:pPr>
      <w:r>
        <w:rPr>
          <w:rFonts w:ascii="Work Sans" w:hAnsi="Work Sans" w:cs="Arial"/>
          <w:i/>
          <w:iCs/>
          <w:sz w:val="18"/>
          <w:szCs w:val="18"/>
        </w:rPr>
        <w:t xml:space="preserve">De conformidad con lo anterior, el Concesionario, la Interventoría y la ANI desarrollaron mesas de trabajo con el fin de evaluar alternativas </w:t>
      </w:r>
      <w:r>
        <w:rPr>
          <w:rFonts w:ascii="Work Sans" w:hAnsi="Work Sans" w:cs="Arial"/>
          <w:i/>
          <w:iCs/>
          <w:sz w:val="18"/>
          <w:szCs w:val="18"/>
        </w:rPr>
        <w:t xml:space="preserve">integrales (técnicas, jurídicas, financieras, sociales, prediales, ambientales y de riesgos) que permitieran conservar el negocio jurídico a través de la viabilidad financiera del mismo y con ello la mayor parte del alcance de las obras a ejecutar, siendo </w:t>
      </w:r>
      <w:r>
        <w:rPr>
          <w:rFonts w:ascii="Work Sans" w:hAnsi="Work Sans" w:cs="Arial"/>
          <w:i/>
          <w:iCs/>
          <w:sz w:val="18"/>
          <w:szCs w:val="18"/>
        </w:rPr>
        <w:t xml:space="preserve">consecuentes con los niveles de tráfico actuales propios de las vías comprendidas en el proyecto, en busca de los beneficios de los usuarios de la vía y dando prioridad a las necesidades actuales de infraestructura vial para el departamento del Meta. </w:t>
      </w:r>
    </w:p>
    <w:p w14:paraId="0299E563" w14:textId="77777777" w:rsidR="00EB5DB9" w:rsidRDefault="00EB5DB9">
      <w:pPr>
        <w:ind w:left="567" w:right="623"/>
        <w:jc w:val="both"/>
        <w:rPr>
          <w:rFonts w:ascii="Work Sans" w:eastAsia="Arial Narrow" w:hAnsi="Work Sans" w:cs="Arial Narrow"/>
          <w:i/>
          <w:iCs/>
          <w:sz w:val="18"/>
          <w:szCs w:val="18"/>
        </w:rPr>
      </w:pPr>
    </w:p>
    <w:p w14:paraId="6501A78F" w14:textId="77777777" w:rsidR="00EB5DB9" w:rsidRDefault="00141725">
      <w:pPr>
        <w:spacing w:line="276" w:lineRule="auto"/>
        <w:ind w:left="567" w:right="623"/>
        <w:jc w:val="both"/>
        <w:rPr>
          <w:rFonts w:ascii="Work Sans" w:hAnsi="Work Sans" w:cs="Arial"/>
          <w:i/>
          <w:iCs/>
          <w:sz w:val="18"/>
          <w:szCs w:val="18"/>
          <w:lang w:val="es-CO" w:eastAsia="es-CO"/>
        </w:rPr>
      </w:pPr>
      <w:r>
        <w:rPr>
          <w:rFonts w:ascii="Work Sans" w:hAnsi="Work Sans" w:cs="Arial"/>
          <w:i/>
          <w:iCs/>
          <w:sz w:val="18"/>
          <w:szCs w:val="18"/>
          <w:lang w:val="es-CO" w:eastAsia="es-CO"/>
        </w:rPr>
        <w:t>En</w:t>
      </w:r>
      <w:r>
        <w:rPr>
          <w:rFonts w:ascii="Work Sans" w:hAnsi="Work Sans" w:cs="Arial"/>
          <w:i/>
          <w:iCs/>
          <w:sz w:val="18"/>
          <w:szCs w:val="18"/>
          <w:lang w:val="es-CO" w:eastAsia="es-CO"/>
        </w:rPr>
        <w:t xml:space="preserve"> observancia de lo acordado en mesas de trabajo, la ANI y la Concesión Vial de los Llanos S.A.S. suscribieron, el 8 de enero de 2021, el Otrosí No. 10 al Contrato de Concesión No. 004 de 2015 con fundamento en la ley y lo ordenado en el Laudo Arbitral, con</w:t>
      </w:r>
      <w:r>
        <w:rPr>
          <w:rFonts w:ascii="Work Sans" w:hAnsi="Work Sans" w:cs="Arial"/>
          <w:i/>
          <w:iCs/>
          <w:sz w:val="18"/>
          <w:szCs w:val="18"/>
          <w:lang w:val="es-CO" w:eastAsia="es-CO"/>
        </w:rPr>
        <w:t xml:space="preserve"> el fin de preservar el contrato y garantizar el cumplimiento de los cometidos estatales y el interés general que constituyen su finalidad esencial. En ese sentido, la CLÁUSULA VIGÉSIMA PRIMERA de dicho Otrosí estableció que: “La AGENCIA deberá tramitar an</w:t>
      </w:r>
      <w:r>
        <w:rPr>
          <w:rFonts w:ascii="Work Sans" w:hAnsi="Work Sans" w:cs="Arial"/>
          <w:i/>
          <w:iCs/>
          <w:sz w:val="18"/>
          <w:szCs w:val="18"/>
          <w:lang w:val="es-CO" w:eastAsia="es-CO"/>
        </w:rPr>
        <w:t>te el Ministerio de Transporte la expedición de la resolución que modifique las Resoluciones No. 1130 del 28 de abril de 2015 y No. 331 del 15 de febrero de 2017, por medio de la cual se adopte el nuevo esquema tarifario de las estaciones de peaje del proy</w:t>
      </w:r>
      <w:r>
        <w:rPr>
          <w:rFonts w:ascii="Work Sans" w:hAnsi="Work Sans" w:cs="Arial"/>
          <w:i/>
          <w:iCs/>
          <w:sz w:val="18"/>
          <w:szCs w:val="18"/>
          <w:lang w:val="es-CO" w:eastAsia="es-CO"/>
        </w:rPr>
        <w:t>ecto según lo previsto en la Parte Especial del CONTRATO”.</w:t>
      </w:r>
    </w:p>
    <w:p w14:paraId="0B85F352" w14:textId="77777777" w:rsidR="00EB5DB9" w:rsidRDefault="00EB5DB9">
      <w:pPr>
        <w:spacing w:line="276" w:lineRule="auto"/>
        <w:ind w:left="567" w:right="623"/>
        <w:jc w:val="both"/>
        <w:rPr>
          <w:rFonts w:ascii="Work Sans" w:hAnsi="Work Sans" w:cs="Arial"/>
          <w:i/>
          <w:iCs/>
          <w:sz w:val="18"/>
          <w:szCs w:val="18"/>
          <w:lang w:val="es-CO" w:eastAsia="es-CO"/>
        </w:rPr>
      </w:pPr>
    </w:p>
    <w:p w14:paraId="2CD43727" w14:textId="77777777" w:rsidR="00EB5DB9" w:rsidRDefault="00141725">
      <w:pPr>
        <w:spacing w:line="276" w:lineRule="auto"/>
        <w:ind w:left="567" w:right="623"/>
        <w:jc w:val="both"/>
        <w:rPr>
          <w:rFonts w:ascii="Work Sans" w:hAnsi="Work Sans" w:cs="Arial"/>
          <w:i/>
          <w:iCs/>
          <w:sz w:val="18"/>
          <w:szCs w:val="18"/>
          <w:lang w:val="es-CO" w:eastAsia="es-CO"/>
        </w:rPr>
      </w:pPr>
      <w:r>
        <w:rPr>
          <w:rFonts w:ascii="Work Sans" w:hAnsi="Work Sans" w:cs="Arial"/>
          <w:i/>
          <w:iCs/>
          <w:sz w:val="18"/>
          <w:szCs w:val="18"/>
          <w:lang w:val="es-CO" w:eastAsia="es-CO"/>
        </w:rPr>
        <w:t>La Parte Especial del Contrato de Concesión modificada con el Otrosí No. 10, en su numeral 4.2 dispuso, con relación al establecimiento de tarifas de peaje del proyecto y otorgamiento de beneficio</w:t>
      </w:r>
      <w:r>
        <w:rPr>
          <w:rFonts w:ascii="Work Sans" w:hAnsi="Work Sans" w:cs="Arial"/>
          <w:i/>
          <w:iCs/>
          <w:sz w:val="18"/>
          <w:szCs w:val="18"/>
          <w:lang w:val="es-CO" w:eastAsia="es-CO"/>
        </w:rPr>
        <w:t xml:space="preserve"> de tarifas diferenciales, lo siguiente: </w:t>
      </w:r>
    </w:p>
    <w:p w14:paraId="6454AD01" w14:textId="77777777" w:rsidR="00EB5DB9" w:rsidRDefault="00EB5DB9">
      <w:pPr>
        <w:spacing w:line="276" w:lineRule="auto"/>
        <w:ind w:left="567" w:right="623"/>
        <w:jc w:val="both"/>
        <w:rPr>
          <w:rFonts w:ascii="Work Sans" w:hAnsi="Work Sans" w:cs="Arial"/>
          <w:i/>
          <w:iCs/>
          <w:sz w:val="18"/>
          <w:szCs w:val="18"/>
          <w:lang w:val="es-CO" w:eastAsia="es-CO"/>
        </w:rPr>
      </w:pPr>
    </w:p>
    <w:p w14:paraId="1F7DF767" w14:textId="77777777" w:rsidR="00EB5DB9" w:rsidRDefault="00141725">
      <w:pPr>
        <w:spacing w:line="276" w:lineRule="auto"/>
        <w:ind w:left="567" w:right="623"/>
        <w:jc w:val="both"/>
      </w:pPr>
      <w:r>
        <w:rPr>
          <w:rFonts w:ascii="Work Sans" w:hAnsi="Work Sans" w:cs="Arial"/>
          <w:i/>
          <w:iCs/>
          <w:sz w:val="18"/>
          <w:szCs w:val="18"/>
          <w:lang w:eastAsia="es-CO"/>
        </w:rPr>
        <w:t xml:space="preserve"> “4.2 </w:t>
      </w:r>
      <w:r>
        <w:rPr>
          <w:rFonts w:ascii="Work Sans" w:hAnsi="Work Sans"/>
          <w:i/>
          <w:iCs/>
          <w:sz w:val="18"/>
          <w:szCs w:val="18"/>
        </w:rPr>
        <w:t xml:space="preserve">Estructura Tarifaria </w:t>
      </w:r>
    </w:p>
    <w:p w14:paraId="3E88DD72" w14:textId="77777777" w:rsidR="00EB5DB9" w:rsidRDefault="00141725">
      <w:pPr>
        <w:spacing w:line="276" w:lineRule="auto"/>
        <w:ind w:left="567" w:right="623"/>
        <w:jc w:val="both"/>
        <w:rPr>
          <w:rFonts w:ascii="Work Sans" w:hAnsi="Work Sans" w:cs="Arial"/>
          <w:i/>
          <w:iCs/>
          <w:sz w:val="18"/>
          <w:szCs w:val="18"/>
          <w:lang w:eastAsia="es-CO"/>
        </w:rPr>
      </w:pPr>
      <w:r>
        <w:rPr>
          <w:rFonts w:ascii="Work Sans" w:hAnsi="Work Sans" w:cs="Arial"/>
          <w:i/>
          <w:iCs/>
          <w:sz w:val="18"/>
          <w:szCs w:val="18"/>
          <w:lang w:eastAsia="es-CO"/>
        </w:rPr>
        <w:t> </w:t>
      </w:r>
    </w:p>
    <w:p w14:paraId="23A42CA4" w14:textId="77777777" w:rsidR="00EB5DB9" w:rsidRDefault="00141725">
      <w:pPr>
        <w:spacing w:line="276" w:lineRule="auto"/>
        <w:ind w:left="567" w:right="623" w:hanging="284"/>
        <w:jc w:val="both"/>
      </w:pPr>
      <w:r>
        <w:rPr>
          <w:rFonts w:ascii="Work Sans" w:hAnsi="Work Sans" w:cs="Arial"/>
          <w:i/>
          <w:iCs/>
          <w:sz w:val="18"/>
          <w:szCs w:val="18"/>
          <w:lang w:eastAsia="es-CO"/>
        </w:rPr>
        <w:t xml:space="preserve">    (a) Esta concesión contará con seis (6) estaciones de peaje de las cuales cinco (5) actualmente están en operación y que corresponden a </w:t>
      </w:r>
      <w:r>
        <w:rPr>
          <w:rFonts w:ascii="Work Sans" w:hAnsi="Work Sans"/>
          <w:i/>
          <w:iCs/>
          <w:sz w:val="18"/>
          <w:szCs w:val="18"/>
        </w:rPr>
        <w:t>los peajes</w:t>
      </w:r>
      <w:r>
        <w:rPr>
          <w:rFonts w:ascii="Work Sans" w:hAnsi="Work Sans" w:cs="Arial"/>
          <w:i/>
          <w:iCs/>
          <w:sz w:val="18"/>
          <w:szCs w:val="18"/>
          <w:lang w:eastAsia="es-CO"/>
        </w:rPr>
        <w:t> </w:t>
      </w:r>
      <w:r>
        <w:rPr>
          <w:rFonts w:ascii="Work Sans" w:hAnsi="Work Sans"/>
          <w:i/>
          <w:iCs/>
          <w:sz w:val="18"/>
          <w:szCs w:val="18"/>
        </w:rPr>
        <w:t>Ocoa,</w:t>
      </w:r>
      <w:r>
        <w:rPr>
          <w:rFonts w:ascii="Work Sans" w:hAnsi="Work Sans" w:cs="Arial"/>
          <w:i/>
          <w:iCs/>
          <w:sz w:val="18"/>
          <w:szCs w:val="18"/>
          <w:lang w:eastAsia="es-CO"/>
        </w:rPr>
        <w:t> </w:t>
      </w:r>
      <w:r>
        <w:rPr>
          <w:rFonts w:ascii="Work Sans" w:hAnsi="Work Sans"/>
          <w:i/>
          <w:iCs/>
          <w:sz w:val="18"/>
          <w:szCs w:val="18"/>
        </w:rPr>
        <w:t>Iracá</w:t>
      </w:r>
      <w:r>
        <w:rPr>
          <w:rFonts w:ascii="Work Sans" w:hAnsi="Work Sans" w:cs="Arial"/>
          <w:i/>
          <w:iCs/>
          <w:sz w:val="18"/>
          <w:szCs w:val="18"/>
          <w:lang w:eastAsia="es-CO"/>
        </w:rPr>
        <w:t>, La</w:t>
      </w:r>
      <w:r>
        <w:rPr>
          <w:rFonts w:ascii="Work Sans" w:hAnsi="Work Sans"/>
          <w:i/>
          <w:iCs/>
          <w:sz w:val="18"/>
          <w:szCs w:val="18"/>
        </w:rPr>
        <w:t xml:space="preserve"> Libertad,</w:t>
      </w:r>
      <w:r>
        <w:rPr>
          <w:rFonts w:ascii="Work Sans" w:hAnsi="Work Sans" w:cs="Arial"/>
          <w:i/>
          <w:iCs/>
          <w:sz w:val="18"/>
          <w:szCs w:val="18"/>
          <w:lang w:eastAsia="es-CO"/>
        </w:rPr>
        <w:t> Yucao </w:t>
      </w:r>
      <w:r>
        <w:rPr>
          <w:rFonts w:ascii="Work Sans" w:hAnsi="Work Sans" w:cs="Arial"/>
          <w:i/>
          <w:iCs/>
          <w:sz w:val="18"/>
          <w:szCs w:val="18"/>
          <w:lang w:eastAsia="es-CO"/>
        </w:rPr>
        <w:t xml:space="preserve">y CaseTabla. </w:t>
      </w:r>
    </w:p>
    <w:p w14:paraId="6C515B54" w14:textId="77777777" w:rsidR="00EB5DB9" w:rsidRDefault="00141725">
      <w:pPr>
        <w:spacing w:line="276" w:lineRule="auto"/>
        <w:ind w:left="567" w:right="623"/>
        <w:jc w:val="both"/>
        <w:rPr>
          <w:rFonts w:ascii="Work Sans" w:hAnsi="Work Sans" w:cs="Arial"/>
          <w:i/>
          <w:iCs/>
          <w:sz w:val="18"/>
          <w:szCs w:val="18"/>
          <w:lang w:eastAsia="es-CO"/>
        </w:rPr>
      </w:pPr>
      <w:r>
        <w:rPr>
          <w:rFonts w:ascii="Work Sans" w:hAnsi="Work Sans" w:cs="Arial"/>
          <w:i/>
          <w:iCs/>
          <w:sz w:val="18"/>
          <w:szCs w:val="18"/>
          <w:lang w:eastAsia="es-CO"/>
        </w:rPr>
        <w:lastRenderedPageBreak/>
        <w:t> </w:t>
      </w:r>
    </w:p>
    <w:p w14:paraId="082997DC" w14:textId="77777777" w:rsidR="00EB5DB9" w:rsidRDefault="00141725">
      <w:pPr>
        <w:spacing w:line="276" w:lineRule="auto"/>
        <w:ind w:left="567" w:right="623" w:hanging="142"/>
        <w:jc w:val="both"/>
        <w:rPr>
          <w:rFonts w:ascii="Work Sans" w:hAnsi="Work Sans" w:cs="Arial"/>
          <w:i/>
          <w:iCs/>
          <w:sz w:val="18"/>
          <w:szCs w:val="18"/>
          <w:lang w:eastAsia="es-CO"/>
        </w:rPr>
      </w:pPr>
      <w:r>
        <w:rPr>
          <w:rFonts w:ascii="Work Sans" w:hAnsi="Work Sans" w:cs="Arial"/>
          <w:i/>
          <w:iCs/>
          <w:sz w:val="18"/>
          <w:szCs w:val="18"/>
          <w:lang w:eastAsia="es-CO"/>
        </w:rPr>
        <w:t xml:space="preserve">  La estación nueva denominada El Cairo estará localizada en la unidad funcional 5. </w:t>
      </w:r>
    </w:p>
    <w:p w14:paraId="3EB38D97" w14:textId="77777777" w:rsidR="00EB5DB9" w:rsidRDefault="00EB5DB9">
      <w:pPr>
        <w:spacing w:line="276" w:lineRule="auto"/>
        <w:ind w:left="567" w:right="623"/>
        <w:jc w:val="both"/>
        <w:rPr>
          <w:rFonts w:ascii="Work Sans" w:hAnsi="Work Sans" w:cs="Arial"/>
          <w:i/>
          <w:iCs/>
          <w:sz w:val="18"/>
          <w:szCs w:val="18"/>
          <w:lang w:eastAsia="es-CO"/>
        </w:rPr>
      </w:pPr>
    </w:p>
    <w:p w14:paraId="094BBC51" w14:textId="77777777" w:rsidR="00EB5DB9" w:rsidRDefault="00141725">
      <w:pPr>
        <w:spacing w:line="276" w:lineRule="auto"/>
        <w:ind w:left="567" w:right="623"/>
        <w:jc w:val="both"/>
        <w:rPr>
          <w:rFonts w:ascii="Work Sans" w:hAnsi="Work Sans" w:cs="Arial"/>
          <w:i/>
          <w:iCs/>
          <w:sz w:val="18"/>
          <w:szCs w:val="18"/>
          <w:lang w:eastAsia="es-CO"/>
        </w:rPr>
      </w:pPr>
      <w:r>
        <w:rPr>
          <w:rFonts w:ascii="Work Sans" w:hAnsi="Work Sans" w:cs="Arial"/>
          <w:i/>
          <w:iCs/>
          <w:sz w:val="18"/>
          <w:szCs w:val="18"/>
          <w:lang w:eastAsia="es-CO"/>
        </w:rPr>
        <w:t>En el año 2021 solo se hará incremento de tarifas de peaje una vez que sea expedido por el Ministerio de Transporte el acto administrativo que fija la est</w:t>
      </w:r>
      <w:r>
        <w:rPr>
          <w:rFonts w:ascii="Work Sans" w:hAnsi="Work Sans" w:cs="Arial"/>
          <w:i/>
          <w:iCs/>
          <w:sz w:val="18"/>
          <w:szCs w:val="18"/>
          <w:lang w:eastAsia="es-CO"/>
        </w:rPr>
        <w:t xml:space="preserve">ructura tarifaria del Peaje del Proyecto, de que trata el Otrosí 10 al contrato de concesión, según los valores que allí se establezcan. </w:t>
      </w:r>
    </w:p>
    <w:p w14:paraId="39841677" w14:textId="77777777" w:rsidR="00EB5DB9" w:rsidRDefault="00141725">
      <w:pPr>
        <w:spacing w:line="276" w:lineRule="auto"/>
        <w:ind w:left="567" w:right="623"/>
        <w:jc w:val="both"/>
        <w:rPr>
          <w:rFonts w:ascii="Work Sans" w:hAnsi="Work Sans" w:cs="Arial"/>
          <w:i/>
          <w:iCs/>
          <w:sz w:val="18"/>
          <w:szCs w:val="18"/>
          <w:lang w:eastAsia="es-CO"/>
        </w:rPr>
      </w:pPr>
      <w:r>
        <w:rPr>
          <w:rFonts w:ascii="Work Sans" w:hAnsi="Work Sans" w:cs="Arial"/>
          <w:i/>
          <w:iCs/>
          <w:sz w:val="18"/>
          <w:szCs w:val="18"/>
          <w:lang w:eastAsia="es-CO"/>
        </w:rPr>
        <w:t> </w:t>
      </w:r>
    </w:p>
    <w:p w14:paraId="1B5E9F0F" w14:textId="77777777" w:rsidR="00EB5DB9" w:rsidRDefault="00141725">
      <w:pPr>
        <w:spacing w:line="276" w:lineRule="auto"/>
        <w:ind w:left="567" w:right="623" w:hanging="284"/>
        <w:jc w:val="both"/>
      </w:pPr>
      <w:r>
        <w:rPr>
          <w:rFonts w:ascii="Work Sans" w:hAnsi="Work Sans" w:cs="Arial"/>
          <w:i/>
          <w:iCs/>
          <w:sz w:val="18"/>
          <w:szCs w:val="18"/>
          <w:lang w:eastAsia="es-CO"/>
        </w:rPr>
        <w:t xml:space="preserve">  (b) Para efectos de lo dispuesto en la Sección 1.142 de la Parte General, y de acuerdo con lo establecido por la R</w:t>
      </w:r>
      <w:r>
        <w:rPr>
          <w:rFonts w:ascii="Work Sans" w:hAnsi="Work Sans" w:cs="Arial"/>
          <w:i/>
          <w:iCs/>
          <w:sz w:val="18"/>
          <w:szCs w:val="18"/>
          <w:lang w:eastAsia="es-CO"/>
        </w:rPr>
        <w:t>esolución No. 1130 de 2015 modificada por la resolución 331 de 2017 y aquella resolución que sea expedida por el Ministerio de Transporte con ocasión a la suscripción del Otrosí 10 al contrato de concesión, las tarifas, incluyendo el mecanismo de Compensac</w:t>
      </w:r>
      <w:r>
        <w:rPr>
          <w:rFonts w:ascii="Work Sans" w:hAnsi="Work Sans" w:cs="Arial"/>
          <w:i/>
          <w:iCs/>
          <w:sz w:val="18"/>
          <w:szCs w:val="18"/>
          <w:lang w:eastAsia="es-CO"/>
        </w:rPr>
        <w:t>ión por Riesgo a que se refiere la Sección 3.5(i) de la Parte General si a ello hubiere lugar, serán la</w:t>
      </w:r>
      <w:r>
        <w:rPr>
          <w:rFonts w:ascii="Work Sans" w:hAnsi="Work Sans" w:cs="Arial"/>
          <w:i/>
          <w:iCs/>
          <w:sz w:val="18"/>
          <w:szCs w:val="18"/>
          <w:u w:val="single"/>
          <w:lang w:eastAsia="es-CO"/>
        </w:rPr>
        <w:t>s</w:t>
      </w:r>
      <w:r>
        <w:rPr>
          <w:rFonts w:ascii="Work Sans" w:hAnsi="Work Sans" w:cs="Arial"/>
          <w:i/>
          <w:iCs/>
          <w:sz w:val="18"/>
          <w:szCs w:val="18"/>
          <w:lang w:eastAsia="es-CO"/>
        </w:rPr>
        <w:t> que se presentan a continuación, sin incluir la tasa del Fondo de Seguridad Vial – FOSEVI, y expresadas en pesos del mes de referencia: </w:t>
      </w:r>
    </w:p>
    <w:p w14:paraId="1808D566" w14:textId="77777777" w:rsidR="00EB5DB9" w:rsidRDefault="00141725">
      <w:pPr>
        <w:spacing w:line="276" w:lineRule="auto"/>
        <w:ind w:left="567" w:right="623"/>
        <w:jc w:val="both"/>
        <w:rPr>
          <w:rFonts w:ascii="Work Sans" w:hAnsi="Work Sans" w:cs="Arial"/>
          <w:i/>
          <w:iCs/>
          <w:sz w:val="18"/>
          <w:szCs w:val="18"/>
          <w:lang w:eastAsia="es-CO"/>
        </w:rPr>
      </w:pPr>
      <w:r>
        <w:rPr>
          <w:rFonts w:ascii="Work Sans" w:hAnsi="Work Sans" w:cs="Arial"/>
          <w:i/>
          <w:iCs/>
          <w:sz w:val="18"/>
          <w:szCs w:val="18"/>
          <w:lang w:eastAsia="es-CO"/>
        </w:rPr>
        <w:t> </w:t>
      </w:r>
    </w:p>
    <w:p w14:paraId="25EF6074" w14:textId="77777777" w:rsidR="00EB5DB9" w:rsidRDefault="00141725">
      <w:pPr>
        <w:spacing w:line="276" w:lineRule="auto"/>
        <w:ind w:left="360"/>
        <w:jc w:val="both"/>
        <w:rPr>
          <w:rFonts w:ascii="Work Sans" w:hAnsi="Work Sans" w:cs="Arial"/>
          <w:i/>
          <w:iCs/>
          <w:sz w:val="18"/>
          <w:szCs w:val="18"/>
          <w:lang w:eastAsia="es-CO"/>
        </w:rPr>
      </w:pPr>
      <w:r>
        <w:rPr>
          <w:rFonts w:ascii="Work Sans" w:hAnsi="Work Sans" w:cs="Arial"/>
          <w:i/>
          <w:iCs/>
          <w:sz w:val="18"/>
          <w:szCs w:val="18"/>
          <w:lang w:eastAsia="es-CO"/>
        </w:rPr>
        <w:t xml:space="preserve">(…) </w:t>
      </w:r>
    </w:p>
    <w:p w14:paraId="6B541708" w14:textId="77777777" w:rsidR="00EB5DB9" w:rsidRDefault="00EB5DB9">
      <w:pPr>
        <w:spacing w:line="276" w:lineRule="auto"/>
        <w:ind w:left="360"/>
        <w:jc w:val="both"/>
        <w:rPr>
          <w:rFonts w:ascii="Work Sans" w:hAnsi="Work Sans" w:cs="Arial"/>
          <w:i/>
          <w:iCs/>
          <w:sz w:val="18"/>
          <w:szCs w:val="18"/>
          <w:lang w:eastAsia="es-CO"/>
        </w:rPr>
      </w:pPr>
    </w:p>
    <w:p w14:paraId="14048665" w14:textId="77777777" w:rsidR="00EB5DB9" w:rsidRDefault="00141725">
      <w:pPr>
        <w:tabs>
          <w:tab w:val="left" w:pos="7938"/>
        </w:tabs>
        <w:spacing w:line="276" w:lineRule="auto"/>
        <w:ind w:left="360" w:right="623"/>
        <w:jc w:val="both"/>
        <w:rPr>
          <w:rFonts w:ascii="Work Sans" w:hAnsi="Work Sans" w:cs="Arial"/>
          <w:i/>
          <w:iCs/>
          <w:sz w:val="18"/>
          <w:szCs w:val="18"/>
          <w:lang w:eastAsia="es-CO"/>
        </w:rPr>
      </w:pPr>
      <w:bookmarkStart w:id="1" w:name="_Hlk76054310"/>
      <w:r>
        <w:rPr>
          <w:rFonts w:ascii="Work Sans" w:hAnsi="Work Sans" w:cs="Arial"/>
          <w:i/>
          <w:iCs/>
          <w:sz w:val="18"/>
          <w:szCs w:val="18"/>
          <w:lang w:eastAsia="es-CO"/>
        </w:rPr>
        <w:t xml:space="preserve">(c) </w:t>
      </w:r>
      <w:r>
        <w:rPr>
          <w:rFonts w:ascii="Work Sans" w:hAnsi="Work Sans" w:cs="Arial"/>
          <w:i/>
          <w:iCs/>
          <w:sz w:val="18"/>
          <w:szCs w:val="18"/>
          <w:lang w:eastAsia="es-CO"/>
        </w:rPr>
        <w:t>Tarifas Diferenciales: El proyecto de Iniciativa Privada incluye dentro de su estructura tarifaria el otorgamiento del beneficio de tarifa diferencial para usuarios Categoría I frecuentes de la vía, cuyos valores y número de beneficiarios se presenta a con</w:t>
      </w:r>
      <w:r>
        <w:rPr>
          <w:rFonts w:ascii="Work Sans" w:hAnsi="Work Sans" w:cs="Arial"/>
          <w:i/>
          <w:iCs/>
          <w:sz w:val="18"/>
          <w:szCs w:val="18"/>
          <w:lang w:eastAsia="es-CO"/>
        </w:rPr>
        <w:t xml:space="preserve">tinuación: </w:t>
      </w:r>
    </w:p>
    <w:bookmarkEnd w:id="1"/>
    <w:p w14:paraId="0CA4872B" w14:textId="77777777" w:rsidR="00EB5DB9" w:rsidRDefault="00EB5DB9">
      <w:pPr>
        <w:spacing w:line="276" w:lineRule="auto"/>
        <w:ind w:right="623" w:firstLine="360"/>
        <w:jc w:val="both"/>
        <w:rPr>
          <w:rFonts w:ascii="Work Sans" w:hAnsi="Work Sans" w:cs="Arial"/>
          <w:i/>
          <w:iCs/>
          <w:sz w:val="18"/>
          <w:szCs w:val="18"/>
          <w:lang w:eastAsia="es-CO"/>
        </w:rPr>
      </w:pPr>
    </w:p>
    <w:p w14:paraId="1EE2321F" w14:textId="77777777" w:rsidR="00EB5DB9" w:rsidRDefault="00141725">
      <w:pPr>
        <w:spacing w:line="276" w:lineRule="auto"/>
        <w:ind w:right="623" w:firstLine="360"/>
        <w:jc w:val="both"/>
        <w:rPr>
          <w:rFonts w:ascii="Work Sans" w:hAnsi="Work Sans" w:cs="Arial"/>
          <w:i/>
          <w:iCs/>
          <w:sz w:val="18"/>
          <w:szCs w:val="18"/>
          <w:lang w:eastAsia="es-CO"/>
        </w:rPr>
      </w:pPr>
      <w:r>
        <w:rPr>
          <w:rFonts w:ascii="Work Sans" w:hAnsi="Work Sans" w:cs="Arial"/>
          <w:i/>
          <w:iCs/>
          <w:sz w:val="18"/>
          <w:szCs w:val="18"/>
          <w:lang w:eastAsia="es-CO"/>
        </w:rPr>
        <w:t>(…)</w:t>
      </w:r>
    </w:p>
    <w:p w14:paraId="66A99D43" w14:textId="77777777" w:rsidR="00EB5DB9" w:rsidRDefault="00EB5DB9">
      <w:pPr>
        <w:spacing w:line="276" w:lineRule="auto"/>
        <w:ind w:left="567" w:right="623"/>
        <w:jc w:val="both"/>
        <w:rPr>
          <w:rFonts w:ascii="Work Sans" w:hAnsi="Work Sans" w:cs="Arial"/>
          <w:i/>
          <w:iCs/>
          <w:sz w:val="18"/>
          <w:szCs w:val="18"/>
          <w:lang w:eastAsia="es-CO"/>
        </w:rPr>
      </w:pPr>
    </w:p>
    <w:p w14:paraId="1402F08E" w14:textId="77777777" w:rsidR="00EB5DB9" w:rsidRDefault="00141725">
      <w:pPr>
        <w:pStyle w:val="Prrafodelista"/>
        <w:numPr>
          <w:ilvl w:val="1"/>
          <w:numId w:val="20"/>
        </w:numPr>
        <w:spacing w:line="276" w:lineRule="auto"/>
        <w:ind w:left="567" w:right="623"/>
        <w:jc w:val="both"/>
        <w:rPr>
          <w:rFonts w:ascii="Work Sans" w:hAnsi="Work Sans" w:cs="Arial"/>
          <w:b/>
          <w:bCs/>
          <w:i/>
          <w:iCs/>
          <w:sz w:val="18"/>
          <w:szCs w:val="18"/>
          <w:lang w:eastAsia="es-CO"/>
        </w:rPr>
      </w:pPr>
      <w:r>
        <w:rPr>
          <w:rFonts w:ascii="Work Sans" w:hAnsi="Work Sans" w:cs="Arial"/>
          <w:b/>
          <w:bCs/>
          <w:i/>
          <w:iCs/>
          <w:sz w:val="18"/>
          <w:szCs w:val="18"/>
          <w:lang w:eastAsia="es-CO"/>
        </w:rPr>
        <w:t>Respecto de la aplicación de tarifas diferenciales y su justificación</w:t>
      </w:r>
    </w:p>
    <w:p w14:paraId="4FD32990" w14:textId="77777777" w:rsidR="00EB5DB9" w:rsidRDefault="00EB5DB9">
      <w:pPr>
        <w:pStyle w:val="Prrafodelista"/>
        <w:spacing w:line="276" w:lineRule="auto"/>
        <w:ind w:left="567" w:right="623"/>
        <w:jc w:val="both"/>
        <w:rPr>
          <w:rFonts w:ascii="Work Sans" w:hAnsi="Work Sans" w:cs="Arial"/>
          <w:b/>
          <w:bCs/>
          <w:i/>
          <w:iCs/>
          <w:sz w:val="18"/>
          <w:szCs w:val="18"/>
          <w:lang w:eastAsia="es-CO"/>
        </w:rPr>
      </w:pPr>
    </w:p>
    <w:p w14:paraId="72EE5911" w14:textId="77777777" w:rsidR="00EB5DB9" w:rsidRDefault="00141725">
      <w:pPr>
        <w:pStyle w:val="Prrafodelista"/>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t xml:space="preserve">Dado lo dispuesto en el numeral 4.2 de la Parte Especial del Contrato de Concesión, modificado mediante Otrosí No. 10 suscrito entre la ANI y la Concesión Vial de </w:t>
      </w:r>
      <w:r>
        <w:rPr>
          <w:rFonts w:ascii="Work Sans" w:hAnsi="Work Sans" w:cs="Arial"/>
          <w:i/>
          <w:iCs/>
          <w:sz w:val="18"/>
          <w:szCs w:val="18"/>
          <w:lang w:eastAsia="es-CO"/>
        </w:rPr>
        <w:t>los Llanos S.A.S., con relación al establecimiento de tarifas de peaje del proyecto – Esquema Tarifario y otorgamiento de beneficio de tarifas diferenciales, se procedió, en lo corrido del mes de marzo del año en curso, a diseñar e implementar una estrateg</w:t>
      </w:r>
      <w:r>
        <w:rPr>
          <w:rFonts w:ascii="Work Sans" w:hAnsi="Work Sans" w:cs="Arial"/>
          <w:i/>
          <w:iCs/>
          <w:sz w:val="18"/>
          <w:szCs w:val="18"/>
          <w:lang w:eastAsia="es-CO"/>
        </w:rPr>
        <w:t>ia de socialización que incluyera:</w:t>
      </w:r>
    </w:p>
    <w:p w14:paraId="3CDBE6A0" w14:textId="77777777" w:rsidR="00EB5DB9" w:rsidRDefault="00141725">
      <w:pPr>
        <w:pStyle w:val="Prrafodelista"/>
        <w:numPr>
          <w:ilvl w:val="0"/>
          <w:numId w:val="21"/>
        </w:numPr>
        <w:spacing w:line="276" w:lineRule="auto"/>
        <w:ind w:left="567" w:right="623" w:hanging="283"/>
        <w:jc w:val="both"/>
        <w:rPr>
          <w:rFonts w:ascii="Work Sans" w:hAnsi="Work Sans" w:cs="Arial"/>
          <w:i/>
          <w:iCs/>
          <w:sz w:val="18"/>
          <w:szCs w:val="18"/>
          <w:lang w:eastAsia="es-CO"/>
        </w:rPr>
      </w:pPr>
      <w:r>
        <w:rPr>
          <w:rFonts w:ascii="Work Sans" w:hAnsi="Work Sans" w:cs="Arial"/>
          <w:i/>
          <w:iCs/>
          <w:sz w:val="18"/>
          <w:szCs w:val="18"/>
          <w:lang w:eastAsia="es-CO"/>
        </w:rPr>
        <w:t>Las principales obras de infraestructura, alcance y beneficios del inicio de la fase de construcción del proyecto.</w:t>
      </w:r>
    </w:p>
    <w:p w14:paraId="5B2B4EEE" w14:textId="77777777" w:rsidR="00EB5DB9" w:rsidRDefault="00141725">
      <w:pPr>
        <w:pStyle w:val="Prrafodelista"/>
        <w:numPr>
          <w:ilvl w:val="0"/>
          <w:numId w:val="21"/>
        </w:numPr>
        <w:spacing w:line="276" w:lineRule="auto"/>
        <w:ind w:left="567" w:right="623" w:hanging="283"/>
        <w:jc w:val="both"/>
        <w:rPr>
          <w:rFonts w:ascii="Work Sans" w:hAnsi="Work Sans" w:cs="Arial"/>
          <w:i/>
          <w:iCs/>
          <w:sz w:val="18"/>
          <w:szCs w:val="18"/>
          <w:lang w:eastAsia="es-CO"/>
        </w:rPr>
      </w:pPr>
      <w:r>
        <w:rPr>
          <w:rFonts w:ascii="Work Sans" w:hAnsi="Work Sans" w:cs="Arial"/>
          <w:i/>
          <w:iCs/>
          <w:sz w:val="18"/>
          <w:szCs w:val="18"/>
          <w:lang w:eastAsia="es-CO"/>
        </w:rPr>
        <w:t>El nuevo esquema tarifario de los peajes de: Ocoa, Iracá, La Libertad, Yucao, Casetabla y El Cairo.</w:t>
      </w:r>
    </w:p>
    <w:p w14:paraId="277FF341" w14:textId="77777777" w:rsidR="00EB5DB9" w:rsidRDefault="00141725">
      <w:pPr>
        <w:pStyle w:val="Prrafodelista"/>
        <w:numPr>
          <w:ilvl w:val="0"/>
          <w:numId w:val="21"/>
        </w:numPr>
        <w:spacing w:line="276" w:lineRule="auto"/>
        <w:ind w:left="567" w:right="623" w:hanging="283"/>
        <w:jc w:val="both"/>
      </w:pPr>
      <w:r>
        <w:rPr>
          <w:rFonts w:ascii="Work Sans" w:hAnsi="Work Sans" w:cs="Arial"/>
          <w:i/>
          <w:iCs/>
          <w:sz w:val="18"/>
          <w:szCs w:val="18"/>
          <w:lang w:eastAsia="es-CO"/>
        </w:rPr>
        <w:t>La mod</w:t>
      </w:r>
      <w:r>
        <w:rPr>
          <w:rFonts w:ascii="Work Sans" w:hAnsi="Work Sans" w:cs="Arial"/>
          <w:i/>
          <w:iCs/>
          <w:sz w:val="18"/>
          <w:szCs w:val="18"/>
          <w:lang w:eastAsia="es-CO"/>
        </w:rPr>
        <w:t xml:space="preserve">ificación de la Resolución 1130 de 2015.  </w:t>
      </w:r>
    </w:p>
    <w:p w14:paraId="72A3C294" w14:textId="77777777" w:rsidR="00EB5DB9" w:rsidRDefault="00EB5DB9">
      <w:pPr>
        <w:spacing w:line="276" w:lineRule="auto"/>
        <w:ind w:left="207" w:right="623"/>
        <w:jc w:val="both"/>
        <w:rPr>
          <w:rFonts w:ascii="Work Sans" w:hAnsi="Work Sans" w:cs="Arial"/>
          <w:i/>
          <w:iCs/>
          <w:sz w:val="18"/>
          <w:szCs w:val="18"/>
          <w:lang w:eastAsia="es-CO"/>
        </w:rPr>
      </w:pPr>
    </w:p>
    <w:p w14:paraId="0F6C89ED" w14:textId="77777777" w:rsidR="00EB5DB9" w:rsidRDefault="00141725">
      <w:pPr>
        <w:spacing w:line="276" w:lineRule="auto"/>
        <w:ind w:left="207" w:right="623"/>
        <w:jc w:val="both"/>
      </w:pPr>
      <w:r>
        <w:rPr>
          <w:rFonts w:ascii="Work Sans" w:hAnsi="Work Sans" w:cs="Arial"/>
          <w:i/>
          <w:iCs/>
          <w:sz w:val="18"/>
          <w:szCs w:val="18"/>
          <w:lang w:eastAsia="es-CO"/>
        </w:rPr>
        <w:t xml:space="preserve"> (…)</w:t>
      </w:r>
    </w:p>
    <w:p w14:paraId="51F3FAC6" w14:textId="77777777" w:rsidR="00EB5DB9" w:rsidRDefault="00EB5DB9">
      <w:pPr>
        <w:spacing w:line="276" w:lineRule="auto"/>
        <w:ind w:left="567" w:right="623"/>
        <w:jc w:val="both"/>
        <w:rPr>
          <w:rFonts w:ascii="Work Sans" w:hAnsi="Work Sans" w:cs="Arial"/>
          <w:i/>
          <w:iCs/>
          <w:sz w:val="18"/>
          <w:szCs w:val="18"/>
          <w:lang w:eastAsia="es-CO"/>
        </w:rPr>
      </w:pPr>
    </w:p>
    <w:p w14:paraId="17E8682E" w14:textId="77777777" w:rsidR="00EB5DB9" w:rsidRDefault="00141725">
      <w:pPr>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lastRenderedPageBreak/>
        <w:t xml:space="preserve">Del proceso de socialización, participación y divulgación de la propuesta de esquema tarifario general para los peajes: Iracá, Ocoa, La Libertad Casetabla, Yucao y El Cairo y de tarifas </w:t>
      </w:r>
      <w:r>
        <w:rPr>
          <w:rFonts w:ascii="Work Sans" w:hAnsi="Work Sans" w:cs="Arial"/>
          <w:i/>
          <w:iCs/>
          <w:sz w:val="18"/>
          <w:szCs w:val="18"/>
          <w:lang w:eastAsia="es-CO"/>
        </w:rPr>
        <w:t>diferenciales para usuarios frecuentes de transporte particular y público en categoría I para los peajes Iracá, Ocoa y La Libertad, que forman parte del proyecto vial de iniciativa privada Malla Vial del Meta – Contrato de Concesión No. 004 de 2015, se con</w:t>
      </w:r>
      <w:r>
        <w:rPr>
          <w:rFonts w:ascii="Work Sans" w:hAnsi="Work Sans" w:cs="Arial"/>
          <w:i/>
          <w:iCs/>
          <w:sz w:val="18"/>
          <w:szCs w:val="18"/>
          <w:lang w:eastAsia="es-CO"/>
        </w:rPr>
        <w:t>cluye lo siguiente:</w:t>
      </w:r>
    </w:p>
    <w:p w14:paraId="49F175EA" w14:textId="77777777" w:rsidR="00EB5DB9" w:rsidRDefault="00EB5DB9">
      <w:pPr>
        <w:spacing w:line="276" w:lineRule="auto"/>
        <w:ind w:left="284" w:right="623"/>
        <w:jc w:val="both"/>
        <w:rPr>
          <w:rFonts w:ascii="Work Sans" w:hAnsi="Work Sans" w:cs="Arial"/>
          <w:i/>
          <w:iCs/>
          <w:sz w:val="18"/>
          <w:szCs w:val="18"/>
          <w:lang w:eastAsia="es-CO"/>
        </w:rPr>
      </w:pPr>
    </w:p>
    <w:p w14:paraId="4F457D9B" w14:textId="77777777" w:rsidR="00EB5DB9" w:rsidRDefault="00141725">
      <w:pPr>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t>- Para el caso del corredor Villavicencio - Guamal - Acacias - San Martín – Granada, los actores representativos de la zona manifestaron en general buen recibo y aceptación con respecto a las obras y alcance del proyecto y el esquema t</w:t>
      </w:r>
      <w:r>
        <w:rPr>
          <w:rFonts w:ascii="Work Sans" w:hAnsi="Work Sans" w:cs="Arial"/>
          <w:i/>
          <w:iCs/>
          <w:sz w:val="18"/>
          <w:szCs w:val="18"/>
          <w:lang w:eastAsia="es-CO"/>
        </w:rPr>
        <w:t>arifario previsto para los peajes de Ocoa e Iracá. No obstante lo anterior, es importante poner de presente las solicitudes reiteradas de estas comunidades, salvo el municipio de Acacias, de incrementar el número de cupos de tarifa diferencial para vehícul</w:t>
      </w:r>
      <w:r>
        <w:rPr>
          <w:rFonts w:ascii="Work Sans" w:hAnsi="Work Sans" w:cs="Arial"/>
          <w:i/>
          <w:iCs/>
          <w:sz w:val="18"/>
          <w:szCs w:val="18"/>
          <w:lang w:eastAsia="es-CO"/>
        </w:rPr>
        <w:t>os particulares y de servicio público de pasajeros.</w:t>
      </w:r>
    </w:p>
    <w:p w14:paraId="37F076DB" w14:textId="77777777" w:rsidR="00EB5DB9" w:rsidRDefault="00141725">
      <w:pPr>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t>- Para el caso del corredor: Villavicencio – Puerto López – Puerto Gaitán, es relevante mencionar que, por temas de alteración de orden público, no fue posible adelantar la socialización con los represent</w:t>
      </w:r>
      <w:r>
        <w:rPr>
          <w:rFonts w:ascii="Work Sans" w:hAnsi="Work Sans" w:cs="Arial"/>
          <w:i/>
          <w:iCs/>
          <w:sz w:val="18"/>
          <w:szCs w:val="18"/>
          <w:lang w:eastAsia="es-CO"/>
        </w:rPr>
        <w:t>antes de las comunidades de los municipios de Puerto Gaitán y Puerto López. Sin embargo, se conocieron y recibieron manifestaciones expresas de la comunidad y autoridades de Puerto Gaitán de rechazo al incremento de tarifas propuesto para los peajes de Yuc</w:t>
      </w:r>
      <w:r>
        <w:rPr>
          <w:rFonts w:ascii="Work Sans" w:hAnsi="Work Sans" w:cs="Arial"/>
          <w:i/>
          <w:iCs/>
          <w:sz w:val="18"/>
          <w:szCs w:val="18"/>
          <w:lang w:eastAsia="es-CO"/>
        </w:rPr>
        <w:t>ao y Casetabla, lo que llevó a buscar la alternativa que se propone de incremento progresivo.</w:t>
      </w:r>
    </w:p>
    <w:p w14:paraId="1F0C7758" w14:textId="77777777" w:rsidR="00EB5DB9" w:rsidRDefault="00141725">
      <w:pPr>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t>- En relación con la población de Villavicencio sector Pompeya, se recibe con beneplácito el alcance e inicio del proyecto y se reitera la solicitud de incremento</w:t>
      </w:r>
      <w:r>
        <w:rPr>
          <w:rFonts w:ascii="Work Sans" w:hAnsi="Work Sans" w:cs="Arial"/>
          <w:i/>
          <w:iCs/>
          <w:sz w:val="18"/>
          <w:szCs w:val="18"/>
          <w:lang w:eastAsia="es-CO"/>
        </w:rPr>
        <w:t xml:space="preserve"> de cupos de tarifa diferencial para vehículos de categoría I, servicio particular y de transporte público de pasajeros de este sector.</w:t>
      </w:r>
    </w:p>
    <w:p w14:paraId="3C4B1EE5" w14:textId="77777777" w:rsidR="00EB5DB9" w:rsidRDefault="00141725">
      <w:pPr>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t>- Las comunidades del sector el Cairo manifestaron su interés en el proyecto, especialmente en el hecho de que las obras</w:t>
      </w:r>
      <w:r>
        <w:rPr>
          <w:rFonts w:ascii="Work Sans" w:hAnsi="Work Sans" w:cs="Arial"/>
          <w:i/>
          <w:iCs/>
          <w:sz w:val="18"/>
          <w:szCs w:val="18"/>
          <w:lang w:eastAsia="es-CO"/>
        </w:rPr>
        <w:t xml:space="preserve"> asociadas a la conectante Puente Amarillo no generen impactos negativos a nivel de seguridad y movilidad a los residentes y propietarios de esta zona residencial. </w:t>
      </w:r>
    </w:p>
    <w:p w14:paraId="28ED0C50" w14:textId="77777777" w:rsidR="00EB5DB9" w:rsidRDefault="00141725">
      <w:pPr>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t> </w:t>
      </w:r>
    </w:p>
    <w:p w14:paraId="28FE19BA" w14:textId="77777777" w:rsidR="00EB5DB9" w:rsidRDefault="00141725">
      <w:pPr>
        <w:spacing w:line="276" w:lineRule="auto"/>
        <w:ind w:left="284" w:right="623"/>
        <w:jc w:val="both"/>
        <w:rPr>
          <w:rFonts w:ascii="Work Sans" w:hAnsi="Work Sans" w:cs="Arial"/>
          <w:i/>
          <w:iCs/>
          <w:sz w:val="18"/>
          <w:szCs w:val="18"/>
          <w:lang w:eastAsia="es-CO"/>
        </w:rPr>
      </w:pPr>
      <w:r>
        <w:rPr>
          <w:rFonts w:ascii="Work Sans" w:hAnsi="Work Sans" w:cs="Arial"/>
          <w:i/>
          <w:iCs/>
          <w:sz w:val="18"/>
          <w:szCs w:val="18"/>
          <w:lang w:eastAsia="es-CO"/>
        </w:rPr>
        <w:t>(…)</w:t>
      </w:r>
    </w:p>
    <w:p w14:paraId="372DC50B" w14:textId="77777777" w:rsidR="00EB5DB9" w:rsidRDefault="00EB5DB9">
      <w:pPr>
        <w:spacing w:line="276" w:lineRule="auto"/>
        <w:ind w:left="284" w:right="623"/>
        <w:jc w:val="both"/>
        <w:rPr>
          <w:rFonts w:ascii="Work Sans" w:hAnsi="Work Sans" w:cs="Arial"/>
          <w:i/>
          <w:iCs/>
          <w:sz w:val="18"/>
          <w:szCs w:val="18"/>
          <w:lang w:eastAsia="es-CO"/>
        </w:rPr>
      </w:pPr>
    </w:p>
    <w:p w14:paraId="71ED13FB" w14:textId="77777777" w:rsidR="00EB5DB9" w:rsidRDefault="00141725">
      <w:pPr>
        <w:pStyle w:val="Prrafodelista"/>
        <w:numPr>
          <w:ilvl w:val="0"/>
          <w:numId w:val="20"/>
        </w:numPr>
        <w:spacing w:line="276" w:lineRule="auto"/>
        <w:ind w:left="567" w:right="623"/>
        <w:jc w:val="both"/>
        <w:rPr>
          <w:rFonts w:ascii="Work Sans" w:eastAsia="Arial Narrow" w:hAnsi="Work Sans" w:cs="Arial"/>
          <w:b/>
          <w:bCs/>
          <w:i/>
          <w:iCs/>
          <w:sz w:val="18"/>
          <w:szCs w:val="18"/>
          <w:lang w:bidi="hi-IN"/>
        </w:rPr>
      </w:pPr>
      <w:r>
        <w:rPr>
          <w:rFonts w:ascii="Work Sans" w:eastAsia="Arial Narrow" w:hAnsi="Work Sans" w:cs="Arial"/>
          <w:b/>
          <w:bCs/>
          <w:i/>
          <w:iCs/>
          <w:sz w:val="18"/>
          <w:szCs w:val="18"/>
          <w:lang w:bidi="hi-IN"/>
        </w:rPr>
        <w:t>ASPECTOS FINANCIEROS:</w:t>
      </w:r>
    </w:p>
    <w:p w14:paraId="2F246DFC" w14:textId="77777777" w:rsidR="00EB5DB9" w:rsidRDefault="00EB5DB9">
      <w:pPr>
        <w:spacing w:line="276" w:lineRule="auto"/>
        <w:ind w:left="567" w:right="623"/>
        <w:jc w:val="both"/>
        <w:rPr>
          <w:rFonts w:ascii="Work Sans" w:eastAsia="Arial Narrow" w:hAnsi="Work Sans" w:cs="Arial"/>
          <w:i/>
          <w:iCs/>
          <w:sz w:val="18"/>
          <w:szCs w:val="18"/>
        </w:rPr>
      </w:pPr>
    </w:p>
    <w:p w14:paraId="239C224F"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De los análisis de sensibilidad realizados, se obtienen las s</w:t>
      </w:r>
      <w:r>
        <w:rPr>
          <w:rFonts w:ascii="Work Sans" w:eastAsia="Arial Narrow" w:hAnsi="Work Sans" w:cs="Arial"/>
          <w:i/>
          <w:iCs/>
          <w:sz w:val="18"/>
          <w:szCs w:val="18"/>
        </w:rPr>
        <w:t>iguientes conclusiones: </w:t>
      </w:r>
    </w:p>
    <w:p w14:paraId="37DCE84C"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 </w:t>
      </w:r>
    </w:p>
    <w:p w14:paraId="30C87CE8" w14:textId="77777777" w:rsidR="00EB5DB9" w:rsidRDefault="00141725">
      <w:pPr>
        <w:widowControl/>
        <w:numPr>
          <w:ilvl w:val="0"/>
          <w:numId w:val="22"/>
        </w:num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 xml:space="preserve">Se implementa la estructura tarifaria contractual definida en la estructuración del Contrato para las estaciones de Iracá, Ocoa y la Libertad. </w:t>
      </w:r>
    </w:p>
    <w:p w14:paraId="166CAD32" w14:textId="77777777" w:rsidR="00EB5DB9" w:rsidRDefault="00EB5DB9">
      <w:pPr>
        <w:spacing w:line="276" w:lineRule="auto"/>
        <w:ind w:left="567" w:right="623"/>
        <w:jc w:val="both"/>
        <w:rPr>
          <w:rFonts w:ascii="Work Sans" w:eastAsia="Arial Narrow" w:hAnsi="Work Sans" w:cs="Arial"/>
          <w:i/>
          <w:iCs/>
          <w:sz w:val="18"/>
          <w:szCs w:val="18"/>
        </w:rPr>
      </w:pPr>
    </w:p>
    <w:p w14:paraId="623D13A1" w14:textId="77777777" w:rsidR="00EB5DB9" w:rsidRDefault="00141725">
      <w:pPr>
        <w:widowControl/>
        <w:numPr>
          <w:ilvl w:val="0"/>
          <w:numId w:val="22"/>
        </w:num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 xml:space="preserve">Para la estación de peaje El Cairo, en atención al principio de equidad, se ha </w:t>
      </w:r>
      <w:r>
        <w:rPr>
          <w:rFonts w:ascii="Work Sans" w:eastAsia="Arial Narrow" w:hAnsi="Work Sans" w:cs="Arial"/>
          <w:i/>
          <w:iCs/>
          <w:sz w:val="18"/>
          <w:szCs w:val="18"/>
        </w:rPr>
        <w:t xml:space="preserve">definido igualar la estructura tarifaria a la que tendrá la estación de peaje de Puente Amarillo (Covioriente) según lo previsto en el Contrato de Concesión No. 004 de 2015. Con lo anterior se garantiza que el usuario pueda optar por cualquiera de las dos </w:t>
      </w:r>
      <w:r>
        <w:rPr>
          <w:rFonts w:ascii="Work Sans" w:eastAsia="Arial Narrow" w:hAnsi="Work Sans" w:cs="Arial"/>
          <w:i/>
          <w:iCs/>
          <w:sz w:val="18"/>
          <w:szCs w:val="18"/>
        </w:rPr>
        <w:t>rutas (i) Puente Amarillo – Monumento al Coleo – Centro de Villavicencio o (ii) el Cairo – Anillo Vial de Villavicencio – salida a Bogotá por conexión con Coviandina. (Lo anterior, sin que el valor del peaje incida en la elección).</w:t>
      </w:r>
    </w:p>
    <w:p w14:paraId="5C26F7BB" w14:textId="77777777" w:rsidR="00EB5DB9" w:rsidRDefault="00EB5DB9">
      <w:pPr>
        <w:spacing w:line="276" w:lineRule="auto"/>
        <w:ind w:left="567" w:right="623"/>
        <w:jc w:val="both"/>
        <w:rPr>
          <w:rFonts w:ascii="Work Sans" w:eastAsia="Arial Narrow" w:hAnsi="Work Sans" w:cs="Arial"/>
          <w:i/>
          <w:iCs/>
          <w:sz w:val="18"/>
          <w:szCs w:val="18"/>
        </w:rPr>
      </w:pPr>
    </w:p>
    <w:p w14:paraId="5DFA9E84"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Además, se debe tener e</w:t>
      </w:r>
      <w:r>
        <w:rPr>
          <w:rFonts w:ascii="Work Sans" w:eastAsia="Arial Narrow" w:hAnsi="Work Sans" w:cs="Arial"/>
          <w:i/>
          <w:iCs/>
          <w:sz w:val="18"/>
          <w:szCs w:val="18"/>
        </w:rPr>
        <w:t>n cuenta que las categorías 5, 6 y 7 deberán utilizar la conectante Catama – Puente Amarillo con el fin de liberar el tráfico pesado a la red vía del Villavicencio. </w:t>
      </w:r>
    </w:p>
    <w:p w14:paraId="72A02922" w14:textId="77777777" w:rsidR="00EB5DB9" w:rsidRDefault="00EB5DB9">
      <w:pPr>
        <w:spacing w:line="276" w:lineRule="auto"/>
        <w:ind w:left="567" w:right="623"/>
        <w:jc w:val="both"/>
        <w:rPr>
          <w:rFonts w:ascii="Work Sans" w:eastAsia="Arial Narrow" w:hAnsi="Work Sans" w:cs="Arial"/>
          <w:i/>
          <w:iCs/>
          <w:sz w:val="18"/>
          <w:szCs w:val="18"/>
        </w:rPr>
      </w:pPr>
    </w:p>
    <w:p w14:paraId="0556EEDF" w14:textId="77777777" w:rsidR="00EB5DB9" w:rsidRDefault="00141725">
      <w:pPr>
        <w:widowControl/>
        <w:numPr>
          <w:ilvl w:val="0"/>
          <w:numId w:val="22"/>
        </w:num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Para las estaciones de Casetabla y Yucao ubicadas en el corredor Puerto López – Puerto Ga</w:t>
      </w:r>
      <w:r>
        <w:rPr>
          <w:rFonts w:ascii="Work Sans" w:eastAsia="Arial Narrow" w:hAnsi="Work Sans" w:cs="Arial"/>
          <w:i/>
          <w:iCs/>
          <w:sz w:val="18"/>
          <w:szCs w:val="18"/>
        </w:rPr>
        <w:t>itán, se definió la implementación de una estructura tarifaria intermedia y con incrementos parciales entre la contractual definida en la Resolución No. 0001130 de 2015 y la que se está cobrando en la actualidad (Resolución No. 0000331 de 2017).</w:t>
      </w:r>
    </w:p>
    <w:p w14:paraId="73169BAE" w14:textId="77777777" w:rsidR="00EB5DB9" w:rsidRDefault="00EB5DB9">
      <w:pPr>
        <w:spacing w:line="276" w:lineRule="auto"/>
        <w:ind w:left="567" w:right="623"/>
        <w:jc w:val="both"/>
        <w:rPr>
          <w:rFonts w:ascii="Work Sans" w:eastAsia="Arial Narrow" w:hAnsi="Work Sans" w:cs="Arial"/>
          <w:i/>
          <w:iCs/>
          <w:sz w:val="18"/>
          <w:szCs w:val="18"/>
        </w:rPr>
      </w:pPr>
    </w:p>
    <w:p w14:paraId="455F44AB" w14:textId="77777777" w:rsidR="00EB5DB9" w:rsidRDefault="00141725">
      <w:pPr>
        <w:widowControl/>
        <w:numPr>
          <w:ilvl w:val="0"/>
          <w:numId w:val="22"/>
        </w:num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Finalmente, y con el fin de lograr mantener en el alcance del proyecto la segunda calzada Ocoa (K2+034) – Apiay (K8+200) en el corredor Villavicencio – Puerto López, se aplicará un incremento adicional de $500 por una única vez en el año 2021 (los cuales y</w:t>
      </w:r>
      <w:r>
        <w:rPr>
          <w:rFonts w:ascii="Work Sans" w:eastAsia="Arial Narrow" w:hAnsi="Work Sans" w:cs="Arial"/>
          <w:i/>
          <w:iCs/>
          <w:sz w:val="18"/>
          <w:szCs w:val="18"/>
        </w:rPr>
        <w:t>a se encuentran incorporados en el esquema tarifario de esta propuesta de resolución) para todas las categorías y en todas las estaciones (esta condición no aplicará para la nueva estación de peaje del Cairo).</w:t>
      </w:r>
    </w:p>
    <w:p w14:paraId="72DA21AB"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 </w:t>
      </w:r>
    </w:p>
    <w:p w14:paraId="354A9D40"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La estructuración tarifaria resultante es la</w:t>
      </w:r>
      <w:r>
        <w:rPr>
          <w:rFonts w:ascii="Work Sans" w:eastAsia="Arial Narrow" w:hAnsi="Work Sans" w:cs="Arial"/>
          <w:i/>
          <w:iCs/>
          <w:sz w:val="18"/>
          <w:szCs w:val="18"/>
        </w:rPr>
        <w:t xml:space="preserve"> necesaria para que el proyecto de Iniciativa Privada sin recursos públicos soporte la construcción de la nueva infraestructura y de cumplimiento a los indicadores y niveles de servicio pactados. </w:t>
      </w:r>
    </w:p>
    <w:p w14:paraId="0A7F6B1B" w14:textId="77777777" w:rsidR="00EB5DB9" w:rsidRDefault="00EB5DB9">
      <w:pPr>
        <w:spacing w:line="276" w:lineRule="auto"/>
        <w:ind w:left="567" w:right="623"/>
        <w:jc w:val="both"/>
        <w:rPr>
          <w:rFonts w:ascii="Work Sans" w:eastAsia="Arial Narrow" w:hAnsi="Work Sans" w:cs="Arial"/>
          <w:i/>
          <w:iCs/>
          <w:sz w:val="18"/>
          <w:szCs w:val="18"/>
        </w:rPr>
      </w:pPr>
    </w:p>
    <w:p w14:paraId="553CAFE4" w14:textId="77777777" w:rsidR="00EB5DB9" w:rsidRDefault="00141725">
      <w:pPr>
        <w:pStyle w:val="Prrafodelista"/>
        <w:numPr>
          <w:ilvl w:val="0"/>
          <w:numId w:val="20"/>
        </w:numPr>
        <w:spacing w:line="276" w:lineRule="auto"/>
        <w:ind w:left="567" w:right="623"/>
        <w:jc w:val="both"/>
        <w:rPr>
          <w:rFonts w:ascii="Work Sans" w:eastAsia="Arial Narrow" w:hAnsi="Work Sans" w:cs="Arial"/>
          <w:b/>
          <w:bCs/>
          <w:i/>
          <w:iCs/>
          <w:sz w:val="18"/>
          <w:szCs w:val="18"/>
          <w:lang w:bidi="hi-IN"/>
        </w:rPr>
      </w:pPr>
      <w:r>
        <w:rPr>
          <w:rFonts w:ascii="Work Sans" w:eastAsia="Arial Narrow" w:hAnsi="Work Sans" w:cs="Arial"/>
          <w:b/>
          <w:bCs/>
          <w:i/>
          <w:iCs/>
          <w:sz w:val="18"/>
          <w:szCs w:val="18"/>
          <w:lang w:bidi="hi-IN"/>
        </w:rPr>
        <w:t>ASPECTOS DE RIESGOS:</w:t>
      </w:r>
    </w:p>
    <w:p w14:paraId="1434A9CE" w14:textId="77777777" w:rsidR="00EB5DB9" w:rsidRDefault="00EB5DB9">
      <w:pPr>
        <w:spacing w:line="276" w:lineRule="auto"/>
        <w:ind w:left="567" w:right="623"/>
        <w:jc w:val="both"/>
        <w:rPr>
          <w:rFonts w:ascii="Work Sans" w:eastAsia="Arial Narrow" w:hAnsi="Work Sans" w:cs="Arial"/>
          <w:i/>
          <w:iCs/>
          <w:sz w:val="18"/>
          <w:szCs w:val="18"/>
        </w:rPr>
      </w:pPr>
    </w:p>
    <w:p w14:paraId="4362ED7F"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w:t>
      </w:r>
    </w:p>
    <w:p w14:paraId="453DFAAD" w14:textId="77777777" w:rsidR="00EB5DB9" w:rsidRDefault="00EB5DB9">
      <w:pPr>
        <w:spacing w:line="276" w:lineRule="auto"/>
        <w:ind w:left="567" w:right="623"/>
        <w:jc w:val="both"/>
        <w:rPr>
          <w:rFonts w:ascii="Work Sans" w:eastAsia="Arial Narrow" w:hAnsi="Work Sans" w:cs="Arial"/>
          <w:i/>
          <w:iCs/>
          <w:sz w:val="18"/>
          <w:szCs w:val="18"/>
        </w:rPr>
      </w:pPr>
    </w:p>
    <w:p w14:paraId="75C69B02" w14:textId="77777777" w:rsidR="00EB5DB9" w:rsidRDefault="00141725">
      <w:pPr>
        <w:spacing w:line="276" w:lineRule="auto"/>
        <w:ind w:left="567" w:right="623"/>
        <w:jc w:val="both"/>
      </w:pPr>
      <w:r>
        <w:rPr>
          <w:rFonts w:ascii="Work Sans" w:eastAsia="Arial Narrow" w:hAnsi="Work Sans" w:cs="Arial"/>
          <w:b/>
          <w:bCs/>
          <w:i/>
          <w:iCs/>
          <w:sz w:val="18"/>
          <w:szCs w:val="18"/>
        </w:rPr>
        <w:t>Conclusión</w:t>
      </w:r>
      <w:r>
        <w:rPr>
          <w:rFonts w:ascii="Work Sans" w:eastAsia="Arial Narrow" w:hAnsi="Work Sans" w:cs="Arial"/>
          <w:i/>
          <w:iCs/>
          <w:sz w:val="18"/>
          <w:szCs w:val="18"/>
        </w:rPr>
        <w:t> </w:t>
      </w:r>
    </w:p>
    <w:p w14:paraId="5F358599"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 </w:t>
      </w:r>
    </w:p>
    <w:p w14:paraId="235331C0"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La adopción de la</w:t>
      </w:r>
      <w:r>
        <w:rPr>
          <w:rFonts w:ascii="Work Sans" w:eastAsia="Arial Narrow" w:hAnsi="Work Sans" w:cs="Arial"/>
          <w:i/>
          <w:iCs/>
          <w:sz w:val="18"/>
          <w:szCs w:val="18"/>
        </w:rPr>
        <w:t xml:space="preserve"> resolución de tarifas no activa el riesgo de tarifa diferencial a cargo de la ANI contenido en la sección 13.3 (e) de la Parte General del Contrato de Concesión No. 004 de 2015 ya que las tarifas diferenciales eventualmente otorgadas con la adopción del p</w:t>
      </w:r>
      <w:r>
        <w:rPr>
          <w:rFonts w:ascii="Work Sans" w:eastAsia="Arial Narrow" w:hAnsi="Work Sans" w:cs="Arial"/>
          <w:i/>
          <w:iCs/>
          <w:sz w:val="18"/>
          <w:szCs w:val="18"/>
        </w:rPr>
        <w:t>royecto de resolución se encuentran a cargo del concesionario, de conformidad con lo establecido en la sección 4.2 (c) de la Parte Especial modificado con el Otrosí No. 10.</w:t>
      </w:r>
    </w:p>
    <w:p w14:paraId="49A84D32" w14:textId="77777777" w:rsidR="00EB5DB9" w:rsidRDefault="00EB5DB9">
      <w:pPr>
        <w:spacing w:line="276" w:lineRule="auto"/>
        <w:ind w:left="567" w:right="623"/>
        <w:jc w:val="both"/>
        <w:rPr>
          <w:rFonts w:ascii="Work Sans" w:eastAsia="Arial Narrow" w:hAnsi="Work Sans" w:cs="Arial"/>
          <w:i/>
          <w:iCs/>
          <w:sz w:val="18"/>
          <w:szCs w:val="18"/>
        </w:rPr>
      </w:pPr>
    </w:p>
    <w:p w14:paraId="58A644B7" w14:textId="77777777" w:rsidR="00EB5DB9" w:rsidRDefault="00141725">
      <w:pPr>
        <w:pStyle w:val="Prrafodelista"/>
        <w:numPr>
          <w:ilvl w:val="0"/>
          <w:numId w:val="20"/>
        </w:numPr>
        <w:spacing w:line="276" w:lineRule="auto"/>
        <w:ind w:left="567" w:right="623"/>
        <w:jc w:val="both"/>
        <w:rPr>
          <w:rFonts w:ascii="Work Sans" w:eastAsia="Arial Narrow" w:hAnsi="Work Sans" w:cs="Arial"/>
          <w:b/>
          <w:bCs/>
          <w:i/>
          <w:iCs/>
          <w:sz w:val="18"/>
          <w:szCs w:val="18"/>
          <w:lang w:bidi="hi-IN"/>
        </w:rPr>
      </w:pPr>
      <w:r>
        <w:rPr>
          <w:rFonts w:ascii="Work Sans" w:eastAsia="Arial Narrow" w:hAnsi="Work Sans" w:cs="Arial"/>
          <w:b/>
          <w:bCs/>
          <w:i/>
          <w:iCs/>
          <w:sz w:val="18"/>
          <w:szCs w:val="18"/>
          <w:lang w:bidi="hi-IN"/>
        </w:rPr>
        <w:t>CONCEPTO DE INTERVENTORÍA:</w:t>
      </w:r>
    </w:p>
    <w:p w14:paraId="7DA6FA3E" w14:textId="77777777" w:rsidR="00EB5DB9" w:rsidRDefault="00EB5DB9">
      <w:pPr>
        <w:spacing w:line="276" w:lineRule="auto"/>
        <w:ind w:left="567" w:right="623"/>
        <w:jc w:val="both"/>
        <w:rPr>
          <w:rFonts w:ascii="Work Sans" w:eastAsia="Arial Narrow" w:hAnsi="Work Sans" w:cs="Arial"/>
          <w:i/>
          <w:iCs/>
          <w:sz w:val="18"/>
          <w:szCs w:val="18"/>
        </w:rPr>
      </w:pPr>
    </w:p>
    <w:p w14:paraId="09DB0D98" w14:textId="77777777" w:rsidR="00EB5DB9" w:rsidRDefault="00141725">
      <w:pPr>
        <w:spacing w:line="276" w:lineRule="auto"/>
        <w:ind w:left="567" w:right="623"/>
        <w:jc w:val="both"/>
        <w:rPr>
          <w:rFonts w:ascii="Work Sans" w:eastAsia="Arial Narrow" w:hAnsi="Work Sans" w:cs="Arial"/>
          <w:i/>
          <w:iCs/>
          <w:sz w:val="18"/>
          <w:szCs w:val="18"/>
        </w:rPr>
      </w:pPr>
      <w:r>
        <w:rPr>
          <w:rFonts w:ascii="Work Sans" w:eastAsia="Arial Narrow" w:hAnsi="Work Sans" w:cs="Arial"/>
          <w:i/>
          <w:iCs/>
          <w:sz w:val="18"/>
          <w:szCs w:val="18"/>
        </w:rPr>
        <w:t>Mediante comunicación con radicado ANI No. 20214090752</w:t>
      </w:r>
      <w:r>
        <w:rPr>
          <w:rFonts w:ascii="Work Sans" w:eastAsia="Arial Narrow" w:hAnsi="Work Sans" w:cs="Arial"/>
          <w:i/>
          <w:iCs/>
          <w:sz w:val="18"/>
          <w:szCs w:val="18"/>
        </w:rPr>
        <w:t xml:space="preserve">332 del 07 de julio de 2021, la Interventoría emitió concepto favorable frente a la propuesta de Resolución para establecer el esquema tarifario general para las estaciones de peaje de Iracá, Ocoa, La Libertad, Casetabla, Yucao y para la nueva estación de </w:t>
      </w:r>
      <w:r>
        <w:rPr>
          <w:rFonts w:ascii="Work Sans" w:eastAsia="Arial Narrow" w:hAnsi="Work Sans" w:cs="Arial"/>
          <w:i/>
          <w:iCs/>
          <w:sz w:val="18"/>
          <w:szCs w:val="18"/>
        </w:rPr>
        <w:t>El Cairo, que forman parte del Proyecto vial de Iniciativa Privada Malla Vial del Meta – Contrato de Concesión No. 004 de 2015.”</w:t>
      </w:r>
    </w:p>
    <w:p w14:paraId="33A53771" w14:textId="77777777" w:rsidR="00EB5DB9" w:rsidRDefault="00EB5DB9">
      <w:pPr>
        <w:spacing w:line="276" w:lineRule="auto"/>
        <w:ind w:left="567" w:right="623"/>
        <w:jc w:val="both"/>
        <w:rPr>
          <w:rFonts w:ascii="Work Sans" w:eastAsia="Arial Narrow" w:hAnsi="Work Sans" w:cs="Arial"/>
          <w:i/>
          <w:iCs/>
          <w:sz w:val="18"/>
          <w:szCs w:val="18"/>
        </w:rPr>
      </w:pPr>
    </w:p>
    <w:p w14:paraId="644CBEDE" w14:textId="77777777" w:rsidR="00EB5DB9" w:rsidRDefault="00141725">
      <w:pPr>
        <w:spacing w:line="276" w:lineRule="auto"/>
        <w:ind w:left="567" w:right="623"/>
        <w:jc w:val="both"/>
      </w:pPr>
      <w:r>
        <w:rPr>
          <w:rFonts w:ascii="Work Sans" w:eastAsia="Arial Narrow" w:hAnsi="Work Sans" w:cs="Arial"/>
          <w:i/>
          <w:iCs/>
          <w:sz w:val="18"/>
          <w:szCs w:val="18"/>
        </w:rPr>
        <w:t>“</w:t>
      </w:r>
      <w:r>
        <w:rPr>
          <w:rFonts w:ascii="Work Sans" w:hAnsi="Work Sans"/>
          <w:bCs/>
          <w:i/>
          <w:iCs/>
          <w:sz w:val="18"/>
          <w:szCs w:val="18"/>
        </w:rPr>
        <w:t xml:space="preserve">De conformidad con lo acordado por las partes en el Otrosí No. 10 al Contrato de Concesión </w:t>
      </w:r>
      <w:r>
        <w:rPr>
          <w:rFonts w:ascii="Work Sans" w:hAnsi="Work Sans"/>
          <w:i/>
          <w:iCs/>
          <w:sz w:val="18"/>
          <w:szCs w:val="18"/>
        </w:rPr>
        <w:t xml:space="preserve">No. </w:t>
      </w:r>
      <w:r>
        <w:rPr>
          <w:rFonts w:ascii="Work Sans" w:hAnsi="Work Sans"/>
          <w:bCs/>
          <w:i/>
          <w:iCs/>
          <w:sz w:val="18"/>
          <w:szCs w:val="18"/>
        </w:rPr>
        <w:t>004 de 2015, especialmente res</w:t>
      </w:r>
      <w:r>
        <w:rPr>
          <w:rFonts w:ascii="Work Sans" w:hAnsi="Work Sans"/>
          <w:bCs/>
          <w:i/>
          <w:iCs/>
          <w:sz w:val="18"/>
          <w:szCs w:val="18"/>
        </w:rPr>
        <w:t xml:space="preserve">pecto del compromiso de la ANI de tramitar la modificación de las Resoluciones </w:t>
      </w:r>
      <w:r>
        <w:rPr>
          <w:rFonts w:ascii="Work Sans" w:hAnsi="Work Sans"/>
          <w:i/>
          <w:iCs/>
          <w:sz w:val="18"/>
          <w:szCs w:val="18"/>
        </w:rPr>
        <w:t xml:space="preserve">Nos. </w:t>
      </w:r>
      <w:r>
        <w:rPr>
          <w:rFonts w:ascii="Work Sans" w:hAnsi="Work Sans"/>
          <w:bCs/>
          <w:i/>
          <w:iCs/>
          <w:sz w:val="18"/>
          <w:szCs w:val="18"/>
        </w:rPr>
        <w:t xml:space="preserve">1130 de 2015 y 331 de 2017, se solicita la expedición de un acto administrativo mediante el cual se regule de manera integral las tarifas a aplicar en las </w:t>
      </w:r>
      <w:r>
        <w:rPr>
          <w:rFonts w:ascii="Work Sans" w:hAnsi="Work Sans"/>
          <w:bCs/>
          <w:i/>
          <w:iCs/>
          <w:sz w:val="18"/>
          <w:szCs w:val="18"/>
        </w:rPr>
        <w:t xml:space="preserve">estaciones de peaje adscritas al </w:t>
      </w:r>
      <w:r>
        <w:rPr>
          <w:rFonts w:ascii="Work Sans" w:hAnsi="Work Sans"/>
          <w:i/>
          <w:iCs/>
          <w:sz w:val="18"/>
          <w:szCs w:val="18"/>
        </w:rPr>
        <w:t>Contrato de Concesión</w:t>
      </w:r>
      <w:r>
        <w:rPr>
          <w:rFonts w:ascii="Work Sans" w:hAnsi="Work Sans"/>
          <w:bCs/>
          <w:i/>
          <w:iCs/>
          <w:sz w:val="18"/>
          <w:szCs w:val="18"/>
        </w:rPr>
        <w:t xml:space="preserve"> indicado, en los siguientes términos:</w:t>
      </w:r>
    </w:p>
    <w:p w14:paraId="6F433C2A" w14:textId="77777777" w:rsidR="00EB5DB9" w:rsidRDefault="00EB5DB9">
      <w:pPr>
        <w:pStyle w:val="Standard"/>
        <w:ind w:left="567" w:right="623"/>
        <w:jc w:val="both"/>
        <w:rPr>
          <w:rFonts w:ascii="Work Sans" w:hAnsi="Work Sans"/>
          <w:i/>
          <w:iCs/>
          <w:sz w:val="18"/>
          <w:szCs w:val="18"/>
        </w:rPr>
      </w:pPr>
    </w:p>
    <w:p w14:paraId="0167F838" w14:textId="77777777" w:rsidR="00EB5DB9" w:rsidRDefault="00141725">
      <w:pPr>
        <w:pStyle w:val="Standard"/>
        <w:numPr>
          <w:ilvl w:val="0"/>
          <w:numId w:val="23"/>
        </w:numPr>
        <w:ind w:left="567" w:right="623"/>
        <w:jc w:val="both"/>
      </w:pPr>
      <w:r>
        <w:rPr>
          <w:rFonts w:ascii="Work Sans" w:eastAsia="Arial Narrow" w:hAnsi="Work Sans" w:cs="Arial Narrow"/>
          <w:b/>
          <w:bCs/>
          <w:i/>
          <w:iCs/>
          <w:sz w:val="18"/>
          <w:szCs w:val="18"/>
          <w:lang w:bidi="hi-IN"/>
        </w:rPr>
        <w:t>Establecer las siguientes tarifas a cobrar en las estaciones de peaje Ocoa, Iracá, La Libertad, Casetabla, Yucao y El Cairo, así</w:t>
      </w:r>
      <w:r>
        <w:rPr>
          <w:rFonts w:ascii="Work Sans" w:eastAsia="Arial Narrow" w:hAnsi="Work Sans" w:cs="Arial Narrow"/>
          <w:i/>
          <w:iCs/>
          <w:sz w:val="18"/>
          <w:szCs w:val="18"/>
          <w:lang w:bidi="hi-IN"/>
        </w:rPr>
        <w:t xml:space="preserve">: </w:t>
      </w:r>
    </w:p>
    <w:p w14:paraId="0CAA319F" w14:textId="77777777" w:rsidR="00EB5DB9" w:rsidRDefault="00EB5DB9">
      <w:pPr>
        <w:pStyle w:val="Standard"/>
        <w:ind w:left="720"/>
        <w:jc w:val="both"/>
        <w:rPr>
          <w:rFonts w:ascii="Work Sans" w:eastAsia="Arial Narrow" w:hAnsi="Work Sans" w:cs="Arial Narrow"/>
          <w:i/>
          <w:iCs/>
          <w:sz w:val="18"/>
          <w:szCs w:val="18"/>
          <w:lang w:bidi="hi-IN"/>
        </w:rPr>
      </w:pPr>
    </w:p>
    <w:tbl>
      <w:tblPr>
        <w:tblW w:w="7677" w:type="dxa"/>
        <w:jc w:val="center"/>
        <w:tblLayout w:type="fixed"/>
        <w:tblCellMar>
          <w:left w:w="10" w:type="dxa"/>
          <w:right w:w="10" w:type="dxa"/>
        </w:tblCellMar>
        <w:tblLook w:val="04A0" w:firstRow="1" w:lastRow="0" w:firstColumn="1" w:lastColumn="0" w:noHBand="0" w:noVBand="1"/>
      </w:tblPr>
      <w:tblGrid>
        <w:gridCol w:w="1397"/>
        <w:gridCol w:w="1532"/>
        <w:gridCol w:w="3050"/>
        <w:gridCol w:w="1698"/>
      </w:tblGrid>
      <w:tr w:rsidR="00EB5DB9" w14:paraId="27BBF2E8" w14:textId="77777777">
        <w:tblPrEx>
          <w:tblCellMar>
            <w:top w:w="0" w:type="dxa"/>
            <w:bottom w:w="0" w:type="dxa"/>
          </w:tblCellMar>
        </w:tblPrEx>
        <w:trPr>
          <w:trHeight w:val="180"/>
          <w:tblHeader/>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E59DB"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Nombre</w:t>
            </w:r>
          </w:p>
          <w:p w14:paraId="0B0A1BA3"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Peaje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2FBD5"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Categorías</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3D606"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Descripción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66E23"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Tarifa*</w:t>
            </w:r>
          </w:p>
        </w:tc>
      </w:tr>
      <w:tr w:rsidR="00EB5DB9" w14:paraId="27E69ADC" w14:textId="77777777">
        <w:tblPrEx>
          <w:tblCellMar>
            <w:top w:w="0" w:type="dxa"/>
            <w:bottom w:w="0" w:type="dxa"/>
          </w:tblCellMar>
        </w:tblPrEx>
        <w:trPr>
          <w:trHeight w:val="65"/>
          <w:jc w:val="center"/>
        </w:trPr>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7EFA"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Ocoa</w:t>
            </w:r>
          </w:p>
          <w:p w14:paraId="0DAE2EB7"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2D98D"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0E379"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Automóviles, camperos y camionetas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34623" w14:textId="77777777" w:rsidR="00EB5DB9" w:rsidRDefault="00141725">
            <w:pPr>
              <w:pStyle w:val="Standard"/>
              <w:jc w:val="center"/>
            </w:pPr>
            <w:r>
              <w:rPr>
                <w:rFonts w:ascii="Work Sans" w:hAnsi="Work Sans"/>
                <w:i/>
                <w:iCs/>
                <w:sz w:val="18"/>
                <w:szCs w:val="18"/>
              </w:rPr>
              <w:t>10.500</w:t>
            </w:r>
          </w:p>
        </w:tc>
      </w:tr>
      <w:tr w:rsidR="00EB5DB9" w14:paraId="3F5BA21D" w14:textId="77777777">
        <w:tblPrEx>
          <w:tblCellMar>
            <w:top w:w="0" w:type="dxa"/>
            <w:bottom w:w="0" w:type="dxa"/>
          </w:tblCellMar>
        </w:tblPrEx>
        <w:trPr>
          <w:trHeight w:val="180"/>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FC436" w14:textId="77777777" w:rsidR="00EB5DB9" w:rsidRDefault="00EB5DB9">
            <w:pPr>
              <w:pStyle w:val="Standard"/>
              <w:jc w:val="both"/>
              <w:rPr>
                <w:rFonts w:ascii="Work Sans" w:eastAsia="Arial Narrow" w:hAnsi="Work Sans" w:cs="Arial Narrow"/>
                <w:i/>
                <w:iCs/>
                <w:sz w:val="18"/>
                <w:szCs w:val="18"/>
                <w:lang w:bidi="hi-I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720BC"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II</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FB353"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Buses, busetas, microbuses con eje trasero de doble llanta</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F47A0"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20.700</w:t>
            </w:r>
          </w:p>
        </w:tc>
      </w:tr>
      <w:tr w:rsidR="00EB5DB9" w14:paraId="71947DBE" w14:textId="77777777">
        <w:tblPrEx>
          <w:tblCellMar>
            <w:top w:w="0" w:type="dxa"/>
            <w:bottom w:w="0" w:type="dxa"/>
          </w:tblCellMar>
        </w:tblPrEx>
        <w:trPr>
          <w:trHeight w:val="97"/>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6F5F9" w14:textId="77777777" w:rsidR="00EB5DB9" w:rsidRDefault="00EB5DB9">
            <w:pPr>
              <w:pStyle w:val="Standard"/>
              <w:jc w:val="both"/>
              <w:rPr>
                <w:rFonts w:ascii="Work Sans" w:eastAsia="Arial Narrow" w:hAnsi="Work Sans" w:cs="Arial Narrow"/>
                <w:i/>
                <w:iCs/>
                <w:sz w:val="18"/>
                <w:szCs w:val="18"/>
                <w:lang w:bidi="hi-I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71737"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III</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276F1"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pequeños de dos ejes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CCD9" w14:textId="77777777" w:rsidR="00EB5DB9" w:rsidRDefault="00141725">
            <w:pPr>
              <w:pStyle w:val="Standard"/>
              <w:jc w:val="center"/>
            </w:pPr>
            <w:r>
              <w:rPr>
                <w:rFonts w:ascii="Work Sans" w:hAnsi="Work Sans"/>
                <w:i/>
                <w:iCs/>
                <w:sz w:val="18"/>
                <w:szCs w:val="18"/>
              </w:rPr>
              <w:t>15.600</w:t>
            </w:r>
          </w:p>
        </w:tc>
      </w:tr>
      <w:tr w:rsidR="00EB5DB9" w14:paraId="367CDD9B" w14:textId="77777777">
        <w:tblPrEx>
          <w:tblCellMar>
            <w:top w:w="0" w:type="dxa"/>
            <w:bottom w:w="0" w:type="dxa"/>
          </w:tblCellMar>
        </w:tblPrEx>
        <w:trPr>
          <w:trHeight w:val="97"/>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8C4DA" w14:textId="77777777" w:rsidR="00EB5DB9" w:rsidRDefault="00EB5DB9">
            <w:pPr>
              <w:pStyle w:val="Standard"/>
              <w:jc w:val="both"/>
              <w:rPr>
                <w:rFonts w:ascii="Work Sans" w:eastAsia="Arial Narrow" w:hAnsi="Work Sans" w:cs="Arial Narrow"/>
                <w:i/>
                <w:iCs/>
                <w:sz w:val="18"/>
                <w:szCs w:val="18"/>
                <w:lang w:bidi="hi-I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CF84"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IV</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9B925"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grandes de dos ejes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09123"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27.300</w:t>
            </w:r>
          </w:p>
        </w:tc>
      </w:tr>
      <w:tr w:rsidR="00EB5DB9" w14:paraId="693DDA5D" w14:textId="77777777">
        <w:tblPrEx>
          <w:tblCellMar>
            <w:top w:w="0" w:type="dxa"/>
            <w:bottom w:w="0" w:type="dxa"/>
          </w:tblCellMar>
        </w:tblPrEx>
        <w:trPr>
          <w:trHeight w:val="97"/>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E60BE" w14:textId="77777777" w:rsidR="00EB5DB9" w:rsidRDefault="00EB5DB9">
            <w:pPr>
              <w:pStyle w:val="Standard"/>
              <w:jc w:val="both"/>
              <w:rPr>
                <w:rFonts w:ascii="Work Sans" w:eastAsia="Arial Narrow" w:hAnsi="Work Sans" w:cs="Arial Narrow"/>
                <w:i/>
                <w:iCs/>
                <w:sz w:val="18"/>
                <w:szCs w:val="18"/>
                <w:lang w:bidi="hi-I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24645"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V</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E989C"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de tres y cuatro ejes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86D0"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40.400</w:t>
            </w:r>
          </w:p>
        </w:tc>
      </w:tr>
      <w:tr w:rsidR="00EB5DB9" w14:paraId="41F496C9" w14:textId="77777777">
        <w:tblPrEx>
          <w:tblCellMar>
            <w:top w:w="0" w:type="dxa"/>
            <w:bottom w:w="0" w:type="dxa"/>
          </w:tblCellMar>
        </w:tblPrEx>
        <w:trPr>
          <w:trHeight w:val="97"/>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F04D8" w14:textId="77777777" w:rsidR="00EB5DB9" w:rsidRDefault="00EB5DB9">
            <w:pPr>
              <w:pStyle w:val="Standard"/>
              <w:jc w:val="both"/>
              <w:rPr>
                <w:rFonts w:ascii="Work Sans" w:eastAsia="Arial Narrow" w:hAnsi="Work Sans" w:cs="Arial Narrow"/>
                <w:i/>
                <w:iCs/>
                <w:sz w:val="18"/>
                <w:szCs w:val="18"/>
                <w:lang w:bidi="hi-I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98AE3"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VI</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21E0C"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de cinco ejes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AEAB"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53.600</w:t>
            </w:r>
          </w:p>
        </w:tc>
      </w:tr>
      <w:tr w:rsidR="00EB5DB9" w14:paraId="2717B32F" w14:textId="77777777">
        <w:tblPrEx>
          <w:tblCellMar>
            <w:top w:w="0" w:type="dxa"/>
            <w:bottom w:w="0" w:type="dxa"/>
          </w:tblCellMar>
        </w:tblPrEx>
        <w:trPr>
          <w:trHeight w:val="97"/>
          <w:jc w:val="center"/>
        </w:trPr>
        <w:tc>
          <w:tcPr>
            <w:tcW w:w="1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96D7E" w14:textId="77777777" w:rsidR="00EB5DB9" w:rsidRDefault="00EB5DB9">
            <w:pPr>
              <w:pStyle w:val="Standard"/>
              <w:jc w:val="both"/>
              <w:rPr>
                <w:rFonts w:ascii="Work Sans" w:eastAsia="Arial Narrow" w:hAnsi="Work Sans" w:cs="Arial Narrow"/>
                <w:i/>
                <w:iCs/>
                <w:sz w:val="18"/>
                <w:szCs w:val="18"/>
                <w:lang w:bidi="hi-I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A57C3"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VII</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59747"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de seis ejes o más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448D" w14:textId="77777777" w:rsidR="00EB5DB9" w:rsidRDefault="00141725">
            <w:pPr>
              <w:pStyle w:val="Standard"/>
              <w:jc w:val="center"/>
            </w:pPr>
            <w:r>
              <w:rPr>
                <w:rFonts w:ascii="Work Sans" w:hAnsi="Work Sans"/>
                <w:i/>
                <w:iCs/>
                <w:sz w:val="18"/>
                <w:szCs w:val="18"/>
              </w:rPr>
              <w:t>58.200</w:t>
            </w:r>
          </w:p>
        </w:tc>
      </w:tr>
    </w:tbl>
    <w:p w14:paraId="5341E35F"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 xml:space="preserve">      *No incluye Fosevi – Tarifas expresadas en pesos de </w:t>
      </w:r>
      <w:r>
        <w:rPr>
          <w:rFonts w:ascii="Work Sans" w:eastAsia="Arial Narrow" w:hAnsi="Work Sans" w:cs="Arial Narrow"/>
          <w:i/>
          <w:iCs/>
          <w:sz w:val="18"/>
          <w:szCs w:val="18"/>
          <w:lang w:bidi="hi-IN"/>
        </w:rPr>
        <w:t>diciembre de 2020</w:t>
      </w:r>
    </w:p>
    <w:p w14:paraId="21BC906D" w14:textId="77777777" w:rsidR="00EB5DB9" w:rsidRDefault="00EB5DB9">
      <w:pPr>
        <w:ind w:left="720"/>
        <w:jc w:val="both"/>
        <w:rPr>
          <w:rFonts w:ascii="Work Sans" w:eastAsia="Arial Narrow" w:hAnsi="Work Sans" w:cs="Arial Narrow"/>
          <w:i/>
          <w:iCs/>
          <w:sz w:val="18"/>
          <w:szCs w:val="18"/>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082ABC5F" w14:textId="77777777">
        <w:tblPrEx>
          <w:tblCellMar>
            <w:top w:w="0" w:type="dxa"/>
            <w:bottom w:w="0" w:type="dxa"/>
          </w:tblCellMar>
        </w:tblPrEx>
        <w:trPr>
          <w:trHeight w:val="195"/>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D6210"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Nombre</w:t>
            </w:r>
          </w:p>
          <w:p w14:paraId="68A7F00E"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126AD"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5694D"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5A07E"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Tarifa*</w:t>
            </w:r>
          </w:p>
        </w:tc>
      </w:tr>
      <w:tr w:rsidR="00EB5DB9" w14:paraId="023BC9EA" w14:textId="77777777">
        <w:tblPrEx>
          <w:tblCellMar>
            <w:top w:w="0" w:type="dxa"/>
            <w:bottom w:w="0" w:type="dxa"/>
          </w:tblCellMar>
        </w:tblPrEx>
        <w:trPr>
          <w:trHeight w:val="71"/>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93DA2"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Iracá</w:t>
            </w:r>
          </w:p>
          <w:p w14:paraId="2E0E67BD"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E891C"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EF401"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39585" w14:textId="77777777" w:rsidR="00EB5DB9" w:rsidRDefault="00141725">
            <w:pPr>
              <w:pStyle w:val="Standard"/>
              <w:jc w:val="center"/>
            </w:pPr>
            <w:r>
              <w:rPr>
                <w:rFonts w:ascii="Work Sans" w:hAnsi="Work Sans"/>
                <w:i/>
                <w:iCs/>
                <w:sz w:val="18"/>
                <w:szCs w:val="18"/>
              </w:rPr>
              <w:t>10.500</w:t>
            </w:r>
          </w:p>
        </w:tc>
      </w:tr>
      <w:tr w:rsidR="00EB5DB9" w14:paraId="5F1FEF39"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DCB22" w14:textId="77777777" w:rsidR="00EB5DB9" w:rsidRDefault="00EB5DB9">
            <w:pPr>
              <w:pStyle w:val="Standard"/>
              <w:jc w:val="both"/>
              <w:rPr>
                <w:rFonts w:ascii="Work Sans" w:eastAsia="Arial Narrow" w:hAnsi="Work Sans" w:cs="Arial Narrow"/>
                <w:i/>
                <w:iCs/>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A8E0"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97BD4"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Buses, busetas, microbuses con eje 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067EE"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20.700</w:t>
            </w:r>
          </w:p>
        </w:tc>
      </w:tr>
      <w:tr w:rsidR="00EB5DB9" w14:paraId="4C98C888"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4EC6" w14:textId="77777777" w:rsidR="00EB5DB9" w:rsidRDefault="00EB5DB9">
            <w:pPr>
              <w:pStyle w:val="Standard"/>
              <w:jc w:val="both"/>
              <w:rPr>
                <w:rFonts w:ascii="Work Sans" w:eastAsia="Arial Narrow" w:hAnsi="Work Sans" w:cs="Arial Narrow"/>
                <w:i/>
                <w:iCs/>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FDF71"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BBFE6"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DD031" w14:textId="77777777" w:rsidR="00EB5DB9" w:rsidRDefault="00141725">
            <w:pPr>
              <w:pStyle w:val="Standard"/>
              <w:jc w:val="center"/>
            </w:pPr>
            <w:r>
              <w:rPr>
                <w:rFonts w:ascii="Work Sans" w:hAnsi="Work Sans"/>
                <w:i/>
                <w:iCs/>
                <w:sz w:val="18"/>
                <w:szCs w:val="18"/>
              </w:rPr>
              <w:t>15.600</w:t>
            </w:r>
          </w:p>
        </w:tc>
      </w:tr>
      <w:tr w:rsidR="00EB5DB9" w14:paraId="3B33B53A"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1F65B" w14:textId="77777777" w:rsidR="00EB5DB9" w:rsidRDefault="00EB5DB9">
            <w:pPr>
              <w:pStyle w:val="Standard"/>
              <w:jc w:val="both"/>
              <w:rPr>
                <w:rFonts w:ascii="Work Sans" w:eastAsia="Arial Narrow" w:hAnsi="Work Sans" w:cs="Arial Narrow"/>
                <w:i/>
                <w:iCs/>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4B895"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9F676"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0C789"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27.300</w:t>
            </w:r>
          </w:p>
        </w:tc>
      </w:tr>
      <w:tr w:rsidR="00EB5DB9" w14:paraId="12ED5FD2"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C3F79" w14:textId="77777777" w:rsidR="00EB5DB9" w:rsidRDefault="00EB5DB9">
            <w:pPr>
              <w:pStyle w:val="Standard"/>
              <w:jc w:val="both"/>
              <w:rPr>
                <w:rFonts w:ascii="Work Sans" w:eastAsia="Arial Narrow" w:hAnsi="Work Sans" w:cs="Arial Narrow"/>
                <w:i/>
                <w:iCs/>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BD0C9"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581F6"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7BD7E"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40.400</w:t>
            </w:r>
          </w:p>
        </w:tc>
      </w:tr>
      <w:tr w:rsidR="00EB5DB9" w14:paraId="5F2AAC57"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1B4FC" w14:textId="77777777" w:rsidR="00EB5DB9" w:rsidRDefault="00EB5DB9">
            <w:pPr>
              <w:pStyle w:val="Standard"/>
              <w:jc w:val="both"/>
              <w:rPr>
                <w:rFonts w:ascii="Work Sans" w:eastAsia="Arial Narrow" w:hAnsi="Work Sans" w:cs="Arial Narrow"/>
                <w:i/>
                <w:iCs/>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8FC25"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CDB1"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8C643" w14:textId="77777777" w:rsidR="00EB5DB9" w:rsidRDefault="00141725">
            <w:pPr>
              <w:pStyle w:val="Standard"/>
              <w:jc w:val="center"/>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53.600</w:t>
            </w:r>
          </w:p>
        </w:tc>
      </w:tr>
      <w:tr w:rsidR="00EB5DB9" w14:paraId="2556CE23"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261B2" w14:textId="77777777" w:rsidR="00EB5DB9" w:rsidRDefault="00EB5DB9">
            <w:pPr>
              <w:pStyle w:val="Standard"/>
              <w:jc w:val="both"/>
              <w:rPr>
                <w:rFonts w:ascii="Work Sans" w:eastAsia="Arial Narrow" w:hAnsi="Work Sans" w:cs="Arial Narrow"/>
                <w:i/>
                <w:iCs/>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AA634"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7101C"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1A5EA" w14:textId="77777777" w:rsidR="00EB5DB9" w:rsidRDefault="00141725">
            <w:pPr>
              <w:pStyle w:val="Standard"/>
              <w:jc w:val="center"/>
            </w:pPr>
            <w:r>
              <w:rPr>
                <w:rFonts w:ascii="Work Sans" w:hAnsi="Work Sans"/>
                <w:i/>
                <w:iCs/>
                <w:sz w:val="18"/>
                <w:szCs w:val="18"/>
              </w:rPr>
              <w:t>58.200</w:t>
            </w:r>
          </w:p>
        </w:tc>
      </w:tr>
    </w:tbl>
    <w:p w14:paraId="0E2EDD2D" w14:textId="77777777" w:rsidR="00EB5DB9" w:rsidRDefault="00141725">
      <w:pPr>
        <w:pStyle w:val="Standard"/>
        <w:jc w:val="both"/>
        <w:rPr>
          <w:rFonts w:ascii="Work Sans" w:eastAsia="Arial Narrow" w:hAnsi="Work Sans" w:cs="Arial Narrow"/>
          <w:i/>
          <w:iCs/>
          <w:sz w:val="18"/>
          <w:szCs w:val="18"/>
          <w:lang w:bidi="hi-IN"/>
        </w:rPr>
      </w:pPr>
      <w:r>
        <w:rPr>
          <w:rFonts w:ascii="Work Sans" w:eastAsia="Arial Narrow" w:hAnsi="Work Sans" w:cs="Arial Narrow"/>
          <w:i/>
          <w:iCs/>
          <w:sz w:val="18"/>
          <w:szCs w:val="18"/>
          <w:lang w:bidi="hi-IN"/>
        </w:rPr>
        <w:t xml:space="preserve">      *No incluye Fosevi – Tarifas </w:t>
      </w:r>
      <w:r>
        <w:rPr>
          <w:rFonts w:ascii="Work Sans" w:eastAsia="Arial Narrow" w:hAnsi="Work Sans" w:cs="Arial Narrow"/>
          <w:i/>
          <w:iCs/>
          <w:sz w:val="18"/>
          <w:szCs w:val="18"/>
          <w:lang w:bidi="hi-IN"/>
        </w:rPr>
        <w:t>expresadas en pesos de diciembre de 2020</w:t>
      </w:r>
    </w:p>
    <w:p w14:paraId="36E7AD43" w14:textId="77777777" w:rsidR="00EB5DB9" w:rsidRDefault="00EB5DB9">
      <w:pPr>
        <w:spacing w:line="254" w:lineRule="auto"/>
        <w:ind w:left="720"/>
        <w:jc w:val="both"/>
        <w:rPr>
          <w:rFonts w:ascii="Work Sans" w:eastAsia="Arial Narrow" w:hAnsi="Work Sans" w:cs="Arial Narrow"/>
          <w:i/>
          <w:iCs/>
          <w:sz w:val="18"/>
          <w:szCs w:val="18"/>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7E389AA2" w14:textId="77777777">
        <w:tblPrEx>
          <w:tblCellMar>
            <w:top w:w="0" w:type="dxa"/>
            <w:bottom w:w="0" w:type="dxa"/>
          </w:tblCellMar>
        </w:tblPrEx>
        <w:trPr>
          <w:trHeight w:val="346"/>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EB9BB"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Nombre</w:t>
            </w:r>
          </w:p>
          <w:p w14:paraId="11582556"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D0504"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6742D"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3906E"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Tarifa*</w:t>
            </w:r>
          </w:p>
        </w:tc>
      </w:tr>
      <w:tr w:rsidR="00EB5DB9" w14:paraId="691FC99E" w14:textId="77777777">
        <w:tblPrEx>
          <w:tblCellMar>
            <w:top w:w="0" w:type="dxa"/>
            <w:bottom w:w="0" w:type="dxa"/>
          </w:tblCellMar>
        </w:tblPrEx>
        <w:trPr>
          <w:trHeight w:val="117"/>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12E6A"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La Libertad</w:t>
            </w:r>
          </w:p>
          <w:p w14:paraId="48AE7232"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D243"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235F8"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D5EEE"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13.700</w:t>
            </w:r>
          </w:p>
        </w:tc>
      </w:tr>
      <w:tr w:rsidR="00EB5DB9" w14:paraId="7BAD40B3" w14:textId="77777777">
        <w:tblPrEx>
          <w:tblCellMar>
            <w:top w:w="0" w:type="dxa"/>
            <w:bottom w:w="0" w:type="dxa"/>
          </w:tblCellMar>
        </w:tblPrEx>
        <w:trPr>
          <w:trHeight w:val="71"/>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6A7AA"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AE27F"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015C0"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Buses, busetas, microbuses con eje 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F4B01"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27.000</w:t>
            </w:r>
          </w:p>
        </w:tc>
      </w:tr>
      <w:tr w:rsidR="00EB5DB9" w14:paraId="6F1782AD"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7FCFA"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D6AB"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81B69"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07B51"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21.500</w:t>
            </w:r>
          </w:p>
        </w:tc>
      </w:tr>
      <w:tr w:rsidR="00EB5DB9" w14:paraId="6EE00CF9"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D2626"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D7105"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5B858"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DAE2E"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35.700</w:t>
            </w:r>
          </w:p>
        </w:tc>
      </w:tr>
      <w:tr w:rsidR="00EB5DB9" w14:paraId="3B45429D"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EACD0"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860E2"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99638"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4AD33"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52.900</w:t>
            </w:r>
          </w:p>
        </w:tc>
      </w:tr>
      <w:tr w:rsidR="00EB5DB9" w14:paraId="11F479F2"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946A4"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7F7F7"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09846"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E6B3B" w14:textId="77777777" w:rsidR="00EB5DB9" w:rsidRDefault="00141725">
            <w:pPr>
              <w:jc w:val="center"/>
            </w:pPr>
            <w:r>
              <w:rPr>
                <w:rFonts w:ascii="Work Sans" w:hAnsi="Work Sans"/>
                <w:i/>
                <w:iCs/>
                <w:sz w:val="18"/>
                <w:szCs w:val="18"/>
              </w:rPr>
              <w:t>69.600</w:t>
            </w:r>
          </w:p>
        </w:tc>
      </w:tr>
      <w:tr w:rsidR="00EB5DB9" w14:paraId="13897595"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705A3"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03E6B"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7609F"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26DC2"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79.800</w:t>
            </w:r>
          </w:p>
        </w:tc>
      </w:tr>
    </w:tbl>
    <w:p w14:paraId="1B70A142" w14:textId="77777777" w:rsidR="00EB5DB9" w:rsidRDefault="00141725">
      <w:pPr>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       *No </w:t>
      </w:r>
      <w:r>
        <w:rPr>
          <w:rFonts w:ascii="Work Sans" w:eastAsia="Arial Narrow" w:hAnsi="Work Sans" w:cs="Arial Narrow"/>
          <w:i/>
          <w:iCs/>
          <w:sz w:val="18"/>
          <w:szCs w:val="18"/>
        </w:rPr>
        <w:t>incluye Fosevi – Tarifas expresadas en pesos de diciembre de 2020</w:t>
      </w:r>
    </w:p>
    <w:p w14:paraId="4AE7296F" w14:textId="77777777" w:rsidR="00EB5DB9" w:rsidRDefault="00EB5DB9">
      <w:pPr>
        <w:ind w:left="720" w:firstLine="720"/>
        <w:jc w:val="both"/>
        <w:rPr>
          <w:rFonts w:ascii="Work Sans" w:eastAsia="Arial Narrow" w:hAnsi="Work Sans" w:cs="Arial Narrow"/>
          <w:i/>
          <w:iCs/>
          <w:sz w:val="18"/>
          <w:szCs w:val="18"/>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6BF872D2" w14:textId="77777777">
        <w:tblPrEx>
          <w:tblCellMar>
            <w:top w:w="0" w:type="dxa"/>
            <w:bottom w:w="0" w:type="dxa"/>
          </w:tblCellMar>
        </w:tblPrEx>
        <w:trPr>
          <w:trHeight w:val="346"/>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D539A"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Nombre</w:t>
            </w:r>
          </w:p>
          <w:p w14:paraId="62ED1156"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FAA4"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23CB9"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04232" w14:textId="77777777" w:rsidR="00EB5DB9" w:rsidRDefault="00141725">
            <w:pPr>
              <w:pStyle w:val="Standard"/>
              <w:jc w:val="center"/>
              <w:rPr>
                <w:rFonts w:ascii="Work Sans" w:eastAsia="Arial Narrow" w:hAnsi="Work Sans" w:cs="Arial Narrow"/>
                <w:b/>
                <w:i/>
                <w:iCs/>
                <w:sz w:val="18"/>
                <w:szCs w:val="18"/>
                <w:lang w:bidi="hi-IN"/>
              </w:rPr>
            </w:pPr>
            <w:r>
              <w:rPr>
                <w:rFonts w:ascii="Work Sans" w:eastAsia="Arial Narrow" w:hAnsi="Work Sans" w:cs="Arial Narrow"/>
                <w:b/>
                <w:i/>
                <w:iCs/>
                <w:sz w:val="18"/>
                <w:szCs w:val="18"/>
                <w:lang w:bidi="hi-IN"/>
              </w:rPr>
              <w:t>Tarifa*</w:t>
            </w:r>
          </w:p>
        </w:tc>
      </w:tr>
      <w:tr w:rsidR="00EB5DB9" w14:paraId="150A3C87" w14:textId="77777777">
        <w:tblPrEx>
          <w:tblCellMar>
            <w:top w:w="0" w:type="dxa"/>
            <w:bottom w:w="0" w:type="dxa"/>
          </w:tblCellMar>
        </w:tblPrEx>
        <w:trPr>
          <w:trHeight w:val="71"/>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9C977" w14:textId="77777777" w:rsidR="00EB5DB9" w:rsidRDefault="00141725">
            <w:pPr>
              <w:jc w:val="center"/>
            </w:pPr>
            <w:r>
              <w:rPr>
                <w:rFonts w:ascii="Work Sans" w:eastAsia="Arial Narrow" w:hAnsi="Work Sans" w:cs="Arial Narrow"/>
                <w:b/>
                <w:i/>
                <w:iCs/>
                <w:sz w:val="18"/>
                <w:szCs w:val="18"/>
              </w:rPr>
              <w:t>Yucao y Casetabla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2B8B7"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52032"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0DE3A"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5.400</w:t>
            </w:r>
          </w:p>
        </w:tc>
      </w:tr>
      <w:tr w:rsidR="00EB5DB9" w14:paraId="10FEDB5D" w14:textId="77777777">
        <w:tblPrEx>
          <w:tblCellMar>
            <w:top w:w="0" w:type="dxa"/>
            <w:bottom w:w="0" w:type="dxa"/>
          </w:tblCellMar>
        </w:tblPrEx>
        <w:trPr>
          <w:trHeight w:val="71"/>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0B845"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A15DF"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5C794"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 xml:space="preserve">Buses, busetas, microbuses con eje trasero de doble </w:t>
            </w:r>
            <w:r>
              <w:rPr>
                <w:rFonts w:ascii="Work Sans" w:eastAsia="Arial Narrow" w:hAnsi="Work Sans" w:cs="Arial Narrow"/>
                <w:i/>
                <w:iCs/>
                <w:sz w:val="18"/>
                <w:szCs w:val="18"/>
              </w:rPr>
              <w:t>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6621D"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5.800</w:t>
            </w:r>
          </w:p>
        </w:tc>
      </w:tr>
      <w:tr w:rsidR="00EB5DB9" w14:paraId="1079EF2C"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236AF"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9E62"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E207"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C0ADF"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6.400</w:t>
            </w:r>
          </w:p>
        </w:tc>
      </w:tr>
      <w:tr w:rsidR="00EB5DB9" w14:paraId="5783762D"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91CAA"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D69A5"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AA826"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17F0A"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6.400</w:t>
            </w:r>
          </w:p>
        </w:tc>
      </w:tr>
      <w:tr w:rsidR="00EB5DB9" w14:paraId="032F18F6"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98A7D"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DE10"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DE0EE"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F17C"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25.000</w:t>
            </w:r>
          </w:p>
        </w:tc>
      </w:tr>
      <w:tr w:rsidR="00EB5DB9" w14:paraId="282F15A9"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D5309"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7468F"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A8E9A"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D7BB1"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31.100</w:t>
            </w:r>
          </w:p>
        </w:tc>
      </w:tr>
      <w:tr w:rsidR="00EB5DB9" w14:paraId="29442632"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BE80"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F00A1"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7E8F2" w14:textId="77777777" w:rsidR="00EB5DB9" w:rsidRDefault="00141725">
            <w:pPr>
              <w:rPr>
                <w:rFonts w:ascii="Work Sans" w:eastAsia="Arial Narrow" w:hAnsi="Work Sans" w:cs="Arial Narrow"/>
                <w:i/>
                <w:iCs/>
                <w:sz w:val="18"/>
                <w:szCs w:val="18"/>
              </w:rPr>
            </w:pPr>
            <w:r>
              <w:rPr>
                <w:rFonts w:ascii="Work Sans" w:eastAsia="Arial Narrow" w:hAnsi="Work Sans" w:cs="Arial Narrow"/>
                <w:i/>
                <w:iCs/>
                <w:sz w:val="18"/>
                <w:szCs w:val="18"/>
              </w:rPr>
              <w:t xml:space="preserve">Camiones de seis ejes o </w:t>
            </w:r>
            <w:r>
              <w:rPr>
                <w:rFonts w:ascii="Work Sans" w:eastAsia="Arial Narrow" w:hAnsi="Work Sans" w:cs="Arial Narrow"/>
                <w:i/>
                <w:iCs/>
                <w:sz w:val="18"/>
                <w:szCs w:val="18"/>
              </w:rPr>
              <w:t>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05830"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35.000</w:t>
            </w:r>
          </w:p>
        </w:tc>
      </w:tr>
    </w:tbl>
    <w:p w14:paraId="367A1046" w14:textId="77777777" w:rsidR="00EB5DB9" w:rsidRDefault="00141725">
      <w:pPr>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      *No incluye Fosevi – Tarifas expresadas en pesos de diciembre de 2020</w:t>
      </w:r>
    </w:p>
    <w:p w14:paraId="03CF2B8B" w14:textId="77777777" w:rsidR="00EB5DB9" w:rsidRDefault="00EB5DB9">
      <w:pPr>
        <w:ind w:left="720" w:firstLine="720"/>
        <w:jc w:val="both"/>
        <w:rPr>
          <w:rFonts w:ascii="Work Sans" w:eastAsia="Arial Narrow" w:hAnsi="Work Sans" w:cs="Arial Narrow"/>
          <w:i/>
          <w:iCs/>
          <w:sz w:val="18"/>
          <w:szCs w:val="18"/>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13B420AE" w14:textId="77777777">
        <w:tblPrEx>
          <w:tblCellMar>
            <w:top w:w="0" w:type="dxa"/>
            <w:bottom w:w="0" w:type="dxa"/>
          </w:tblCellMar>
        </w:tblPrEx>
        <w:trPr>
          <w:trHeight w:val="195"/>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62C5E"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Nombre</w:t>
            </w:r>
          </w:p>
          <w:p w14:paraId="76A0E6D0"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3C382"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1524"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7C16C" w14:textId="77777777" w:rsidR="00EB5DB9" w:rsidRDefault="00141725">
            <w:pPr>
              <w:jc w:val="center"/>
              <w:rPr>
                <w:rFonts w:ascii="Work Sans" w:eastAsia="Arial Narrow" w:hAnsi="Work Sans" w:cs="Arial Narrow"/>
                <w:b/>
                <w:bCs/>
                <w:i/>
                <w:iCs/>
                <w:sz w:val="18"/>
                <w:szCs w:val="18"/>
              </w:rPr>
            </w:pPr>
            <w:r>
              <w:rPr>
                <w:rFonts w:ascii="Work Sans" w:eastAsia="Arial Narrow" w:hAnsi="Work Sans" w:cs="Arial Narrow"/>
                <w:b/>
                <w:bCs/>
                <w:i/>
                <w:iCs/>
                <w:sz w:val="18"/>
                <w:szCs w:val="18"/>
              </w:rPr>
              <w:t>Tarifa*</w:t>
            </w:r>
          </w:p>
        </w:tc>
      </w:tr>
      <w:tr w:rsidR="00EB5DB9" w14:paraId="4067868D" w14:textId="77777777">
        <w:tblPrEx>
          <w:tblCellMar>
            <w:top w:w="0" w:type="dxa"/>
            <w:bottom w:w="0" w:type="dxa"/>
          </w:tblCellMar>
        </w:tblPrEx>
        <w:trPr>
          <w:trHeight w:val="435"/>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681E4" w14:textId="77777777" w:rsidR="00EB5DB9" w:rsidRDefault="00141725">
            <w:pPr>
              <w:jc w:val="center"/>
              <w:rPr>
                <w:rFonts w:ascii="Work Sans" w:eastAsia="Arial Narrow" w:hAnsi="Work Sans" w:cs="Arial Narrow"/>
                <w:b/>
                <w:i/>
                <w:iCs/>
                <w:sz w:val="18"/>
                <w:szCs w:val="18"/>
              </w:rPr>
            </w:pPr>
            <w:r>
              <w:rPr>
                <w:rFonts w:ascii="Work Sans" w:eastAsia="Arial Narrow" w:hAnsi="Work Sans" w:cs="Arial Narrow"/>
                <w:b/>
                <w:i/>
                <w:iCs/>
                <w:sz w:val="18"/>
                <w:szCs w:val="18"/>
              </w:rPr>
              <w:t xml:space="preserve">El Cairo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1B0AB"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3435F"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C8502"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4.200</w:t>
            </w:r>
          </w:p>
        </w:tc>
      </w:tr>
      <w:tr w:rsidR="00EB5DB9" w14:paraId="1E666789"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1AD7B"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934DA"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D81FC"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 xml:space="preserve">Buses, busetas, microbuses con eje </w:t>
            </w:r>
            <w:r>
              <w:rPr>
                <w:rFonts w:ascii="Work Sans" w:eastAsia="Arial Narrow" w:hAnsi="Work Sans" w:cs="Arial Narrow"/>
                <w:i/>
                <w:iCs/>
                <w:sz w:val="18"/>
                <w:szCs w:val="18"/>
              </w:rPr>
              <w:t>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084E0"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12.800</w:t>
            </w:r>
          </w:p>
        </w:tc>
      </w:tr>
      <w:tr w:rsidR="00EB5DB9" w14:paraId="42C7818A"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EA44C"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1D3EC"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BD62E"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48D8F"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13.800</w:t>
            </w:r>
          </w:p>
        </w:tc>
      </w:tr>
      <w:tr w:rsidR="00EB5DB9" w14:paraId="48338EF8"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155C2"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3F061"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9B1A6"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1032D"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25.400</w:t>
            </w:r>
          </w:p>
        </w:tc>
      </w:tr>
      <w:tr w:rsidR="00EB5DB9" w14:paraId="3EFE6C90"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08DB7"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9AC94"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E706C"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BC417"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46.700</w:t>
            </w:r>
          </w:p>
        </w:tc>
      </w:tr>
      <w:tr w:rsidR="00EB5DB9" w14:paraId="5076A18C"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7B1B8"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9BEC6"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8B775"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2AAFD"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53.200</w:t>
            </w:r>
          </w:p>
        </w:tc>
      </w:tr>
      <w:tr w:rsidR="00EB5DB9" w14:paraId="63D04090"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05897" w14:textId="77777777" w:rsidR="00EB5DB9" w:rsidRDefault="00EB5DB9">
            <w:pPr>
              <w:rPr>
                <w:rFonts w:ascii="Work Sans" w:eastAsia="Arial Narrow" w:hAnsi="Work Sans" w:cs="Arial Narrow"/>
                <w:i/>
                <w:i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385CD"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0E782"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E3E7E" w14:textId="77777777" w:rsidR="00EB5DB9" w:rsidRDefault="00141725">
            <w:pPr>
              <w:jc w:val="center"/>
              <w:rPr>
                <w:rFonts w:ascii="Work Sans" w:eastAsia="Arial Narrow" w:hAnsi="Work Sans" w:cs="Arial Narrow"/>
                <w:i/>
                <w:iCs/>
                <w:sz w:val="18"/>
                <w:szCs w:val="18"/>
              </w:rPr>
            </w:pPr>
            <w:r>
              <w:rPr>
                <w:rFonts w:ascii="Work Sans" w:eastAsia="Arial Narrow" w:hAnsi="Work Sans" w:cs="Arial Narrow"/>
                <w:i/>
                <w:iCs/>
                <w:sz w:val="18"/>
                <w:szCs w:val="18"/>
              </w:rPr>
              <w:t>59.900</w:t>
            </w:r>
          </w:p>
        </w:tc>
      </w:tr>
    </w:tbl>
    <w:p w14:paraId="4749B784" w14:textId="77777777" w:rsidR="00EB5DB9" w:rsidRDefault="00141725">
      <w:pPr>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       *No incluye Fosevi – Tarifas expresadas en pesos de diciembre de 2013</w:t>
      </w:r>
    </w:p>
    <w:p w14:paraId="72122FAC" w14:textId="77777777" w:rsidR="00EB5DB9" w:rsidRDefault="00EB5DB9">
      <w:pPr>
        <w:ind w:left="720"/>
        <w:jc w:val="both"/>
        <w:rPr>
          <w:rFonts w:ascii="Work Sans" w:eastAsia="Arial Narrow" w:hAnsi="Work Sans" w:cs="Arial Narrow"/>
          <w:b/>
          <w:bCs/>
          <w:i/>
          <w:iCs/>
          <w:sz w:val="18"/>
          <w:szCs w:val="18"/>
        </w:rPr>
      </w:pPr>
    </w:p>
    <w:p w14:paraId="3EBBC8D4"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A las tarifas de peaje de que trata el presente artículo, se les adicionará el valor del Fondo de Seguridad Vial del periodo de </w:t>
      </w:r>
      <w:r>
        <w:rPr>
          <w:rFonts w:ascii="Work Sans" w:eastAsia="Arial Narrow" w:hAnsi="Work Sans" w:cs="Arial Narrow"/>
          <w:i/>
          <w:iCs/>
          <w:sz w:val="18"/>
          <w:szCs w:val="18"/>
        </w:rPr>
        <w:t xml:space="preserve">actualización, acorde con la Resolución vigente que el Ministerio de Transporte expida para tal efecto. </w:t>
      </w:r>
    </w:p>
    <w:p w14:paraId="451443DC" w14:textId="77777777" w:rsidR="00EB5DB9" w:rsidRDefault="00EB5DB9">
      <w:pPr>
        <w:ind w:left="426" w:right="197"/>
        <w:jc w:val="both"/>
        <w:rPr>
          <w:rFonts w:ascii="Work Sans" w:eastAsia="Arial Narrow" w:hAnsi="Work Sans" w:cs="Arial Narrow"/>
          <w:i/>
          <w:iCs/>
          <w:sz w:val="18"/>
          <w:szCs w:val="18"/>
        </w:rPr>
      </w:pPr>
    </w:p>
    <w:p w14:paraId="357C1668" w14:textId="77777777" w:rsidR="00EB5DB9" w:rsidRDefault="00141725">
      <w:pPr>
        <w:ind w:left="426" w:right="197"/>
        <w:jc w:val="both"/>
      </w:pPr>
      <w:r>
        <w:rPr>
          <w:rFonts w:ascii="Work Sans" w:eastAsia="Arial Narrow" w:hAnsi="Work Sans" w:cs="Arial Narrow"/>
          <w:i/>
          <w:iCs/>
          <w:sz w:val="18"/>
          <w:szCs w:val="18"/>
        </w:rPr>
        <w:t>Las tarifas previstas en las tablas anteriores</w:t>
      </w:r>
      <w:r>
        <w:rPr>
          <w:rFonts w:ascii="Work Sans" w:hAnsi="Work Sans"/>
          <w:i/>
          <w:iCs/>
          <w:sz w:val="18"/>
          <w:szCs w:val="18"/>
        </w:rPr>
        <w:t xml:space="preserve"> </w:t>
      </w:r>
      <w:r>
        <w:rPr>
          <w:rFonts w:ascii="Work Sans" w:eastAsia="Arial Narrow" w:hAnsi="Work Sans" w:cs="Arial Narrow"/>
          <w:i/>
          <w:iCs/>
          <w:sz w:val="18"/>
          <w:szCs w:val="18"/>
        </w:rPr>
        <w:t>para el año 2021 comenzarán a regir a partir de la fecha de expedición de la presente Resolución, excep</w:t>
      </w:r>
      <w:r>
        <w:rPr>
          <w:rFonts w:ascii="Work Sans" w:eastAsia="Arial Narrow" w:hAnsi="Work Sans" w:cs="Arial Narrow"/>
          <w:i/>
          <w:iCs/>
          <w:sz w:val="18"/>
          <w:szCs w:val="18"/>
        </w:rPr>
        <w:t>tuando la nueva estación de peaje El Cairo.</w:t>
      </w:r>
    </w:p>
    <w:p w14:paraId="74745232" w14:textId="77777777" w:rsidR="00EB5DB9" w:rsidRDefault="00EB5DB9">
      <w:pPr>
        <w:ind w:left="426" w:right="197"/>
        <w:jc w:val="both"/>
        <w:rPr>
          <w:rFonts w:ascii="Work Sans" w:eastAsia="Arial Narrow" w:hAnsi="Work Sans" w:cs="Arial Narrow"/>
          <w:i/>
          <w:iCs/>
          <w:sz w:val="18"/>
          <w:szCs w:val="18"/>
        </w:rPr>
      </w:pPr>
    </w:p>
    <w:p w14:paraId="2D822DC5" w14:textId="77777777" w:rsidR="00EB5DB9" w:rsidRDefault="00141725">
      <w:pPr>
        <w:ind w:left="426" w:right="197"/>
        <w:jc w:val="both"/>
      </w:pPr>
      <w:r>
        <w:rPr>
          <w:rFonts w:ascii="Work Sans" w:eastAsia="Arial Narrow" w:hAnsi="Work Sans" w:cs="Arial Narrow"/>
          <w:i/>
          <w:iCs/>
          <w:sz w:val="18"/>
          <w:szCs w:val="18"/>
        </w:rPr>
        <w:t xml:space="preserve">En las estaciones de Ocoa, Iracá y la Libertad, para los años 2022 en adelante, </w:t>
      </w:r>
      <w:r>
        <w:rPr>
          <w:rFonts w:ascii="Work Sans" w:hAnsi="Work Sans"/>
          <w:i/>
          <w:iCs/>
          <w:sz w:val="18"/>
          <w:szCs w:val="18"/>
        </w:rPr>
        <w:t>se actualizará anualmente con el IPC</w:t>
      </w:r>
      <w:r>
        <w:rPr>
          <w:rFonts w:ascii="Work Sans" w:eastAsia="Arial Narrow" w:hAnsi="Work Sans" w:cs="Arial Narrow"/>
          <w:i/>
          <w:iCs/>
          <w:sz w:val="18"/>
          <w:szCs w:val="18"/>
        </w:rPr>
        <w:t>, tal como lo establece la Sección 4.2 de la Parte Especial del Contrato de Concesión modificad</w:t>
      </w:r>
      <w:r>
        <w:rPr>
          <w:rFonts w:ascii="Work Sans" w:eastAsia="Arial Narrow" w:hAnsi="Work Sans" w:cs="Arial Narrow"/>
          <w:i/>
          <w:iCs/>
          <w:sz w:val="18"/>
          <w:szCs w:val="18"/>
        </w:rPr>
        <w:t>a con ocasión del Otrosí No. 10, valor a cobrar a partir del 16 de enero de cada año.</w:t>
      </w:r>
      <w:r>
        <w:rPr>
          <w:rFonts w:ascii="Work Sans" w:hAnsi="Work Sans"/>
          <w:i/>
          <w:iCs/>
          <w:sz w:val="18"/>
          <w:szCs w:val="18"/>
        </w:rPr>
        <w:t xml:space="preserve"> </w:t>
      </w:r>
      <w:r>
        <w:rPr>
          <w:rFonts w:ascii="Work Sans" w:eastAsia="Arial Narrow" w:hAnsi="Work Sans" w:cs="Arial Narrow"/>
          <w:i/>
          <w:iCs/>
          <w:sz w:val="18"/>
          <w:szCs w:val="18"/>
        </w:rPr>
        <w:t>Una vez aplicada la actualización anual, las tarifas deberán ser ajustadas a la centena más cercana con el fin de facilitar el recaudo.</w:t>
      </w:r>
    </w:p>
    <w:p w14:paraId="76229DBA" w14:textId="77777777" w:rsidR="00EB5DB9" w:rsidRDefault="00EB5DB9">
      <w:pPr>
        <w:ind w:left="426" w:right="197"/>
        <w:jc w:val="both"/>
        <w:rPr>
          <w:rFonts w:ascii="Work Sans" w:eastAsia="Arial Narrow" w:hAnsi="Work Sans" w:cs="Arial Narrow"/>
          <w:i/>
          <w:iCs/>
          <w:sz w:val="18"/>
          <w:szCs w:val="18"/>
        </w:rPr>
      </w:pPr>
    </w:p>
    <w:p w14:paraId="2909ED7F" w14:textId="77777777" w:rsidR="00EB5DB9" w:rsidRDefault="00141725">
      <w:pPr>
        <w:ind w:left="426" w:right="197"/>
        <w:jc w:val="both"/>
      </w:pPr>
      <w:r>
        <w:rPr>
          <w:rFonts w:ascii="Work Sans" w:eastAsia="Arial Narrow" w:hAnsi="Work Sans" w:cs="Arial Narrow"/>
          <w:i/>
          <w:iCs/>
          <w:sz w:val="18"/>
          <w:szCs w:val="18"/>
        </w:rPr>
        <w:t>La estructura tarifaria de la est</w:t>
      </w:r>
      <w:r>
        <w:rPr>
          <w:rFonts w:ascii="Work Sans" w:eastAsia="Arial Narrow" w:hAnsi="Work Sans" w:cs="Arial Narrow"/>
          <w:i/>
          <w:iCs/>
          <w:sz w:val="18"/>
          <w:szCs w:val="18"/>
        </w:rPr>
        <w:t xml:space="preserve">ación de peaje El Cairo se encuentra expresada en pesos de diciembre de 2013. La tarifa que será cobrada en los años siguientes al inicio del recaudo del peaje </w:t>
      </w:r>
      <w:r>
        <w:rPr>
          <w:rFonts w:ascii="Work Sans" w:hAnsi="Work Sans"/>
          <w:i/>
          <w:iCs/>
          <w:sz w:val="18"/>
          <w:szCs w:val="18"/>
        </w:rPr>
        <w:t>se actualizará anualmente con el IPC</w:t>
      </w:r>
      <w:r>
        <w:rPr>
          <w:rFonts w:ascii="Work Sans" w:eastAsia="Arial Narrow" w:hAnsi="Work Sans" w:cs="Arial Narrow"/>
          <w:i/>
          <w:iCs/>
          <w:sz w:val="18"/>
          <w:szCs w:val="18"/>
        </w:rPr>
        <w:t xml:space="preserve">, tal como lo establece la sección 4.2 de la Parte </w:t>
      </w:r>
      <w:r>
        <w:rPr>
          <w:rFonts w:ascii="Work Sans" w:eastAsia="Arial Narrow" w:hAnsi="Work Sans" w:cs="Arial Narrow"/>
          <w:i/>
          <w:iCs/>
          <w:sz w:val="18"/>
          <w:szCs w:val="18"/>
        </w:rPr>
        <w:t>Especial del Contrato de Concesión, valor a cobrar a partir del 16 de enero de cada año. Una vez aplicada la actualización anual, las tarifas en la estación de peaje El Cairo deberán ser ajustadas a la centena más cercana con el fin de facilitar el recaudo</w:t>
      </w:r>
      <w:r>
        <w:rPr>
          <w:rFonts w:ascii="Work Sans" w:eastAsia="Arial Narrow" w:hAnsi="Work Sans" w:cs="Arial Narrow"/>
          <w:i/>
          <w:iCs/>
          <w:sz w:val="18"/>
          <w:szCs w:val="18"/>
        </w:rPr>
        <w:t xml:space="preserve">. </w:t>
      </w:r>
    </w:p>
    <w:p w14:paraId="7CE8DD9A" w14:textId="77777777" w:rsidR="00EB5DB9" w:rsidRDefault="00EB5DB9">
      <w:pPr>
        <w:ind w:left="426" w:right="197"/>
        <w:jc w:val="both"/>
      </w:pPr>
    </w:p>
    <w:p w14:paraId="0C8A4D31" w14:textId="77777777" w:rsidR="00EB5DB9" w:rsidRDefault="00141725">
      <w:pPr>
        <w:pStyle w:val="Standard"/>
        <w:numPr>
          <w:ilvl w:val="0"/>
          <w:numId w:val="23"/>
        </w:numPr>
        <w:ind w:left="709" w:right="197" w:hanging="283"/>
        <w:jc w:val="both"/>
        <w:rPr>
          <w:rFonts w:ascii="Work Sans" w:eastAsia="Arial Narrow" w:hAnsi="Work Sans" w:cs="Arial Narrow"/>
          <w:b/>
          <w:bCs/>
          <w:i/>
          <w:iCs/>
          <w:sz w:val="18"/>
          <w:szCs w:val="18"/>
          <w:lang w:bidi="hi-IN"/>
        </w:rPr>
      </w:pPr>
      <w:r>
        <w:rPr>
          <w:rFonts w:ascii="Work Sans" w:eastAsia="Arial Narrow" w:hAnsi="Work Sans" w:cs="Arial Narrow"/>
          <w:b/>
          <w:bCs/>
          <w:i/>
          <w:iCs/>
          <w:sz w:val="18"/>
          <w:szCs w:val="18"/>
          <w:lang w:bidi="hi-IN"/>
        </w:rPr>
        <w:t>Establecer un incremento progresivo a las tarifas de las estaciones de peaje Yucao y Casetabla para el período 2022 - 2024, las cuales quedarán así</w:t>
      </w:r>
    </w:p>
    <w:p w14:paraId="30C0082D" w14:textId="77777777" w:rsidR="00EB5DB9" w:rsidRDefault="00EB5DB9">
      <w:pPr>
        <w:pStyle w:val="Standard"/>
        <w:ind w:right="197"/>
        <w:jc w:val="both"/>
        <w:rPr>
          <w:rFonts w:ascii="Work Sans" w:eastAsia="Arial Narrow" w:hAnsi="Work Sans" w:cs="Arial Narrow"/>
          <w:b/>
          <w:bCs/>
          <w:i/>
          <w:iCs/>
          <w:sz w:val="18"/>
          <w:szCs w:val="18"/>
          <w:lang w:bidi="hi-IN"/>
        </w:rPr>
      </w:pPr>
    </w:p>
    <w:p w14:paraId="520662BD" w14:textId="77777777" w:rsidR="00EB5DB9" w:rsidRDefault="00141725">
      <w:pPr>
        <w:pStyle w:val="Standard"/>
        <w:ind w:right="197"/>
        <w:jc w:val="center"/>
      </w:pPr>
      <w:r>
        <w:rPr>
          <w:noProof/>
          <w:lang w:val="es-CO" w:eastAsia="es-CO"/>
        </w:rPr>
        <w:drawing>
          <wp:inline distT="0" distB="0" distL="0" distR="0" wp14:anchorId="2792923C" wp14:editId="3D00D6EC">
            <wp:extent cx="4729596" cy="2146297"/>
            <wp:effectExtent l="0" t="0" r="0" b="3"/>
            <wp:docPr id="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29596" cy="2146297"/>
                    </a:xfrm>
                    <a:prstGeom prst="rect">
                      <a:avLst/>
                    </a:prstGeom>
                    <a:noFill/>
                    <a:ln>
                      <a:noFill/>
                      <a:prstDash/>
                    </a:ln>
                  </pic:spPr>
                </pic:pic>
              </a:graphicData>
            </a:graphic>
          </wp:inline>
        </w:drawing>
      </w:r>
    </w:p>
    <w:p w14:paraId="5A06D5EF" w14:textId="77777777" w:rsidR="00EB5DB9" w:rsidRDefault="00EB5DB9">
      <w:pPr>
        <w:spacing w:line="254" w:lineRule="auto"/>
        <w:ind w:left="720"/>
        <w:jc w:val="both"/>
        <w:rPr>
          <w:rFonts w:ascii="Work Sans" w:eastAsia="Arial Narrow" w:hAnsi="Work Sans" w:cs="Arial Narrow"/>
          <w:b/>
          <w:bCs/>
          <w:i/>
          <w:iCs/>
          <w:sz w:val="18"/>
          <w:szCs w:val="18"/>
        </w:rPr>
      </w:pPr>
    </w:p>
    <w:p w14:paraId="534A1388"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El incremento de las tarifas para los años 2022 en adelante, se realizará el 16 de enero de cada año</w:t>
      </w:r>
      <w:r>
        <w:rPr>
          <w:rFonts w:ascii="Work Sans" w:eastAsia="Arial Narrow" w:hAnsi="Work Sans" w:cs="Arial Narrow"/>
          <w:i/>
          <w:iCs/>
          <w:sz w:val="18"/>
          <w:szCs w:val="18"/>
        </w:rPr>
        <w:t>.</w:t>
      </w:r>
    </w:p>
    <w:p w14:paraId="5BDC1CD9" w14:textId="77777777" w:rsidR="00EB5DB9" w:rsidRDefault="00EB5DB9">
      <w:pPr>
        <w:ind w:left="426" w:right="197"/>
        <w:jc w:val="both"/>
        <w:rPr>
          <w:rFonts w:ascii="Work Sans" w:eastAsia="Arial Narrow" w:hAnsi="Work Sans" w:cs="Arial Narrow"/>
          <w:i/>
          <w:iCs/>
          <w:sz w:val="18"/>
          <w:szCs w:val="18"/>
        </w:rPr>
      </w:pPr>
    </w:p>
    <w:p w14:paraId="264BA5DF"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Las estaciones de peaje de Casetabla y Yucao se expresan en pesos de diciembre de 2020. Para determinar el valor a cobrar antes de Fosevi para los años 2022 a 2024 se tomará el valor descrito en la tabla anterior para cada año, actualizando la tarifa co</w:t>
      </w:r>
      <w:r>
        <w:rPr>
          <w:rFonts w:ascii="Work Sans" w:eastAsia="Arial Narrow" w:hAnsi="Work Sans" w:cs="Arial Narrow"/>
          <w:i/>
          <w:iCs/>
          <w:sz w:val="18"/>
          <w:szCs w:val="18"/>
        </w:rPr>
        <w:t>n el IPC correspondiente al año en que se realice el incremento. Para los años 2025 en adelante, el incremento para estas dos estaciones de peaje se realizará de acuerdo con el IPC de cierre de cada año, siguiendo el procedimiento definido en la sección 4.</w:t>
      </w:r>
      <w:r>
        <w:rPr>
          <w:rFonts w:ascii="Work Sans" w:eastAsia="Arial Narrow" w:hAnsi="Work Sans" w:cs="Arial Narrow"/>
          <w:i/>
          <w:iCs/>
          <w:sz w:val="18"/>
          <w:szCs w:val="18"/>
        </w:rPr>
        <w:t>2 de la Parte Especial del Contrato de Concesión.  Una vez aplicada la actualización anual, las tarifas deberán ser ajustadas a la centena más cercana con el fin de facilitar el recaudo.</w:t>
      </w:r>
    </w:p>
    <w:p w14:paraId="3F272B36" w14:textId="77777777" w:rsidR="00EB5DB9" w:rsidRDefault="00EB5DB9">
      <w:pPr>
        <w:pStyle w:val="Standard"/>
        <w:autoSpaceDE w:val="0"/>
        <w:ind w:left="720" w:right="623"/>
        <w:jc w:val="both"/>
        <w:rPr>
          <w:rFonts w:ascii="Work Sans" w:hAnsi="Work Sans"/>
          <w:b/>
          <w:i/>
          <w:iCs/>
          <w:sz w:val="18"/>
          <w:szCs w:val="18"/>
        </w:rPr>
      </w:pPr>
    </w:p>
    <w:p w14:paraId="5CB1903B" w14:textId="77777777" w:rsidR="00EB5DB9" w:rsidRDefault="00141725">
      <w:pPr>
        <w:pStyle w:val="Standard"/>
        <w:numPr>
          <w:ilvl w:val="0"/>
          <w:numId w:val="23"/>
        </w:numPr>
        <w:autoSpaceDE w:val="0"/>
        <w:ind w:left="709" w:right="197" w:hanging="283"/>
        <w:jc w:val="both"/>
      </w:pPr>
      <w:r>
        <w:rPr>
          <w:rFonts w:ascii="Work Sans" w:eastAsia="Arial Narrow" w:hAnsi="Work Sans" w:cs="Arial Narrow"/>
          <w:b/>
          <w:bCs/>
          <w:i/>
          <w:iCs/>
          <w:sz w:val="18"/>
          <w:szCs w:val="18"/>
          <w:lang w:bidi="hi-IN"/>
        </w:rPr>
        <w:t xml:space="preserve">Establecer las siguientes tarifas diferenciales para las estaciones </w:t>
      </w:r>
      <w:r>
        <w:rPr>
          <w:rFonts w:ascii="Work Sans" w:eastAsia="Arial Narrow" w:hAnsi="Work Sans" w:cs="Arial Narrow"/>
          <w:b/>
          <w:bCs/>
          <w:i/>
          <w:iCs/>
          <w:sz w:val="18"/>
          <w:szCs w:val="18"/>
          <w:lang w:bidi="hi-IN"/>
        </w:rPr>
        <w:t>de peaje Iracá, Ocoa y La Libertad correspondientes al Contrato de Concesión No. 004 de 2015 así</w:t>
      </w:r>
      <w:r>
        <w:rPr>
          <w:rFonts w:ascii="Work Sans" w:hAnsi="Work Sans"/>
          <w:b/>
          <w:bCs/>
          <w:i/>
          <w:iCs/>
          <w:sz w:val="18"/>
          <w:szCs w:val="18"/>
        </w:rPr>
        <w:t>:</w:t>
      </w:r>
      <w:r>
        <w:rPr>
          <w:rFonts w:ascii="Work Sans" w:eastAsia="Arial Narrow" w:hAnsi="Work Sans" w:cs="Arial Narrow"/>
          <w:b/>
          <w:bCs/>
          <w:i/>
          <w:iCs/>
          <w:sz w:val="18"/>
          <w:szCs w:val="18"/>
          <w:lang w:bidi="hi-IN"/>
        </w:rPr>
        <w:t> </w:t>
      </w:r>
    </w:p>
    <w:p w14:paraId="22F70A91" w14:textId="77777777" w:rsidR="00EB5DB9" w:rsidRDefault="00EB5DB9">
      <w:pPr>
        <w:pStyle w:val="Standard"/>
        <w:numPr>
          <w:ilvl w:val="0"/>
          <w:numId w:val="23"/>
        </w:numPr>
        <w:autoSpaceDE w:val="0"/>
        <w:ind w:left="709" w:right="197" w:hanging="283"/>
        <w:jc w:val="both"/>
      </w:pPr>
    </w:p>
    <w:p w14:paraId="7A5D1C10" w14:textId="77777777" w:rsidR="00EB5DB9" w:rsidRDefault="00141725">
      <w:pPr>
        <w:pStyle w:val="Standard"/>
        <w:autoSpaceDE w:val="0"/>
        <w:ind w:right="197"/>
        <w:jc w:val="center"/>
      </w:pPr>
      <w:r>
        <w:rPr>
          <w:noProof/>
          <w:lang w:val="es-CO" w:eastAsia="es-CO"/>
        </w:rPr>
        <w:drawing>
          <wp:inline distT="0" distB="0" distL="0" distR="0" wp14:anchorId="6441EE61" wp14:editId="5062E67D">
            <wp:extent cx="4438762" cy="2178676"/>
            <wp:effectExtent l="0" t="0" r="6238" b="5724"/>
            <wp:docPr id="3"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38762" cy="2178676"/>
                    </a:xfrm>
                    <a:prstGeom prst="rect">
                      <a:avLst/>
                    </a:prstGeom>
                    <a:noFill/>
                    <a:ln>
                      <a:noFill/>
                      <a:prstDash/>
                    </a:ln>
                  </pic:spPr>
                </pic:pic>
              </a:graphicData>
            </a:graphic>
          </wp:inline>
        </w:drawing>
      </w:r>
    </w:p>
    <w:p w14:paraId="610A8546" w14:textId="77777777" w:rsidR="00EB5DB9" w:rsidRDefault="00EB5DB9">
      <w:pPr>
        <w:ind w:left="426" w:right="197"/>
        <w:jc w:val="both"/>
        <w:rPr>
          <w:rFonts w:ascii="Work Sans" w:eastAsia="Arial Narrow" w:hAnsi="Work Sans" w:cs="Arial Narrow"/>
          <w:i/>
          <w:iCs/>
          <w:sz w:val="18"/>
          <w:szCs w:val="18"/>
        </w:rPr>
      </w:pPr>
    </w:p>
    <w:p w14:paraId="6BA7CB2F"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Las tarifas diferenciales mencionadas en la tabla anterior, para el año 2021 comenzarán a regir a partir de la fecha de expedición de la presente </w:t>
      </w:r>
      <w:r>
        <w:rPr>
          <w:rFonts w:ascii="Work Sans" w:eastAsia="Arial Narrow" w:hAnsi="Work Sans" w:cs="Arial Narrow"/>
          <w:i/>
          <w:iCs/>
          <w:sz w:val="18"/>
          <w:szCs w:val="18"/>
        </w:rPr>
        <w:t>Resolución. Para los años 2022 en adelante, la tarifa se actualizará a partir del 16 de enero de cada año en el mismo valor que aumente la tarifa plena con la actualización del IPC (excluyendo el valor del FOSEVI). La tarifa IE regirá desde el dieciséis (1</w:t>
      </w:r>
      <w:r>
        <w:rPr>
          <w:rFonts w:ascii="Work Sans" w:eastAsia="Arial Narrow" w:hAnsi="Work Sans" w:cs="Arial Narrow"/>
          <w:i/>
          <w:iCs/>
          <w:sz w:val="18"/>
          <w:szCs w:val="18"/>
        </w:rPr>
        <w:t xml:space="preserve">6) de enero de cada año hasta el quince (15) de enero del año siguiente.  </w:t>
      </w:r>
    </w:p>
    <w:p w14:paraId="1F2AB47A" w14:textId="77777777" w:rsidR="00EB5DB9" w:rsidRDefault="00EB5DB9">
      <w:pPr>
        <w:ind w:left="426" w:right="197"/>
        <w:jc w:val="both"/>
        <w:rPr>
          <w:rFonts w:ascii="Work Sans" w:eastAsia="Arial Narrow" w:hAnsi="Work Sans" w:cs="Arial Narrow"/>
          <w:i/>
          <w:iCs/>
          <w:sz w:val="18"/>
          <w:szCs w:val="18"/>
        </w:rPr>
      </w:pPr>
    </w:p>
    <w:p w14:paraId="445A5D19" w14:textId="77777777" w:rsidR="00EB5DB9" w:rsidRDefault="00141725">
      <w:pPr>
        <w:ind w:left="426" w:right="197"/>
        <w:jc w:val="both"/>
      </w:pPr>
      <w:r>
        <w:rPr>
          <w:rFonts w:ascii="Work Sans" w:eastAsia="Arial Narrow" w:hAnsi="Work Sans" w:cs="Arial Narrow"/>
          <w:i/>
          <w:iCs/>
          <w:sz w:val="18"/>
          <w:szCs w:val="18"/>
        </w:rPr>
        <w:t xml:space="preserve">La tarifa diferencial para la estación de peaje Iracá se asignará a vehículos de categoría I de servicio público de transporte intermunicipal </w:t>
      </w:r>
      <w:r>
        <w:rPr>
          <w:rFonts w:ascii="Work Sans" w:hAnsi="Work Sans"/>
          <w:i/>
          <w:iCs/>
          <w:sz w:val="18"/>
          <w:szCs w:val="18"/>
        </w:rPr>
        <w:t>que realizan el recorrido entre los mu</w:t>
      </w:r>
      <w:r>
        <w:rPr>
          <w:rFonts w:ascii="Work Sans" w:hAnsi="Work Sans"/>
          <w:i/>
          <w:iCs/>
          <w:sz w:val="18"/>
          <w:szCs w:val="18"/>
        </w:rPr>
        <w:t>nicipios de San Martín y Granada.</w:t>
      </w:r>
    </w:p>
    <w:p w14:paraId="59B26B70" w14:textId="77777777" w:rsidR="00EB5DB9" w:rsidRDefault="00EB5DB9">
      <w:pPr>
        <w:ind w:left="426" w:right="197"/>
        <w:jc w:val="both"/>
        <w:rPr>
          <w:rFonts w:ascii="Work Sans" w:hAnsi="Work Sans"/>
          <w:i/>
          <w:iCs/>
          <w:sz w:val="18"/>
          <w:szCs w:val="18"/>
        </w:rPr>
      </w:pPr>
    </w:p>
    <w:p w14:paraId="2CD07BFC" w14:textId="77777777" w:rsidR="00EB5DB9" w:rsidRDefault="00141725">
      <w:pPr>
        <w:ind w:left="426" w:right="197"/>
        <w:jc w:val="both"/>
      </w:pPr>
      <w:r>
        <w:rPr>
          <w:rFonts w:ascii="Work Sans" w:eastAsia="Arial Narrow" w:hAnsi="Work Sans" w:cs="Arial Narrow"/>
          <w:i/>
          <w:iCs/>
          <w:sz w:val="18"/>
          <w:szCs w:val="18"/>
        </w:rPr>
        <w:t xml:space="preserve">La tarifa diferencial para la estación de peaje Ocoa se asignará a vehículos de categoría I de servicio particular; y a vehículos de servicio público de transporte individual de pasajeros y servicio público de transporte </w:t>
      </w:r>
      <w:r>
        <w:rPr>
          <w:rFonts w:ascii="Work Sans" w:eastAsia="Arial Narrow" w:hAnsi="Work Sans" w:cs="Arial Narrow"/>
          <w:i/>
          <w:iCs/>
          <w:sz w:val="18"/>
          <w:szCs w:val="18"/>
        </w:rPr>
        <w:t xml:space="preserve">intermunicipal </w:t>
      </w:r>
      <w:r>
        <w:rPr>
          <w:rFonts w:ascii="Work Sans" w:hAnsi="Work Sans"/>
          <w:i/>
          <w:iCs/>
          <w:sz w:val="18"/>
          <w:szCs w:val="18"/>
        </w:rPr>
        <w:t>que realizan el recorrido entre los municipios de Acacías y Villavicencio.</w:t>
      </w:r>
    </w:p>
    <w:p w14:paraId="55313349" w14:textId="77777777" w:rsidR="00EB5DB9" w:rsidRDefault="00EB5DB9">
      <w:pPr>
        <w:ind w:left="426" w:right="197"/>
        <w:jc w:val="both"/>
        <w:rPr>
          <w:rFonts w:ascii="Work Sans" w:hAnsi="Work Sans"/>
          <w:i/>
          <w:iCs/>
          <w:sz w:val="18"/>
          <w:szCs w:val="18"/>
        </w:rPr>
      </w:pPr>
    </w:p>
    <w:p w14:paraId="5B894EF6" w14:textId="77777777" w:rsidR="00EB5DB9" w:rsidRDefault="00141725">
      <w:pPr>
        <w:ind w:left="426" w:right="197"/>
        <w:jc w:val="both"/>
      </w:pPr>
      <w:r>
        <w:rPr>
          <w:rFonts w:ascii="Work Sans" w:eastAsia="Arial Narrow" w:hAnsi="Work Sans" w:cs="Arial Narrow"/>
          <w:i/>
          <w:iCs/>
          <w:sz w:val="18"/>
          <w:szCs w:val="18"/>
        </w:rPr>
        <w:t>La tarifa diferencial para la estación de peaje La Libertad se asignará a vehículos de categoría I de servicio particular.</w:t>
      </w:r>
    </w:p>
    <w:p w14:paraId="3DA70C3C" w14:textId="77777777" w:rsidR="00EB5DB9" w:rsidRDefault="00EB5DB9">
      <w:pPr>
        <w:ind w:left="426" w:right="197"/>
        <w:jc w:val="both"/>
        <w:rPr>
          <w:rFonts w:ascii="Work Sans" w:eastAsia="Arial Narrow" w:hAnsi="Work Sans" w:cs="Arial Narrow"/>
          <w:b/>
          <w:i/>
          <w:iCs/>
          <w:sz w:val="18"/>
          <w:szCs w:val="18"/>
        </w:rPr>
      </w:pPr>
    </w:p>
    <w:p w14:paraId="4C8D1D9B"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A las tarifas de peaje se les adicionará </w:t>
      </w:r>
      <w:r>
        <w:rPr>
          <w:rFonts w:ascii="Work Sans" w:eastAsia="Arial Narrow" w:hAnsi="Work Sans" w:cs="Arial Narrow"/>
          <w:i/>
          <w:iCs/>
          <w:sz w:val="18"/>
          <w:szCs w:val="18"/>
        </w:rPr>
        <w:t>el valor del Fondo de Seguridad Vial del periodo de actualización, acorde con la Resolución vigente que el Ministerio de Transporte expida para tal efecto, y se redondeará a la centena más cercana para calcular la tarifa para cada categoría de vehículos.</w:t>
      </w:r>
    </w:p>
    <w:p w14:paraId="5CB5ABE8" w14:textId="77777777" w:rsidR="00EB5DB9" w:rsidRDefault="00EB5DB9">
      <w:pPr>
        <w:pStyle w:val="Standard"/>
        <w:autoSpaceDE w:val="0"/>
        <w:ind w:left="426" w:right="197"/>
        <w:jc w:val="both"/>
        <w:rPr>
          <w:rFonts w:ascii="Work Sans" w:eastAsia="Arial Narrow" w:hAnsi="Work Sans" w:cs="Arial Narrow"/>
          <w:b/>
          <w:bCs/>
          <w:i/>
          <w:iCs/>
          <w:sz w:val="18"/>
          <w:szCs w:val="18"/>
          <w:lang w:bidi="hi-IN"/>
        </w:rPr>
      </w:pPr>
    </w:p>
    <w:p w14:paraId="4090D300"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La Agencia Nacional de Infraestructura, el Concesionario y la Interventoría del proyecto podrán ajustar, de común acuerdo, el número de beneficiarios para cada una de las estaciones de peaje del proyecto Malla Vial del Meta, siempre y cuando no se altere l</w:t>
      </w:r>
      <w:r>
        <w:rPr>
          <w:rFonts w:ascii="Work Sans" w:eastAsia="Arial Narrow" w:hAnsi="Work Sans" w:cs="Arial Narrow"/>
          <w:i/>
          <w:iCs/>
          <w:sz w:val="18"/>
          <w:szCs w:val="18"/>
        </w:rPr>
        <w:t>a suma máxima total de beneficiarios del proyecto, previsto en el Artículo Tercero de la presente Resolución.</w:t>
      </w:r>
    </w:p>
    <w:p w14:paraId="0EFB7A2C" w14:textId="77777777" w:rsidR="00EB5DB9" w:rsidRDefault="00EB5DB9">
      <w:pPr>
        <w:ind w:left="426" w:right="197"/>
        <w:jc w:val="both"/>
        <w:rPr>
          <w:rFonts w:ascii="Work Sans" w:eastAsia="Arial Narrow" w:hAnsi="Work Sans" w:cs="Arial Narrow"/>
          <w:i/>
          <w:iCs/>
          <w:sz w:val="18"/>
          <w:szCs w:val="18"/>
        </w:rPr>
      </w:pPr>
    </w:p>
    <w:p w14:paraId="608AB549"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La Agencia Nacional de Infraestructura, el Concesionario y la Interventoría del proyecto mantendrán los beneficiarios que ya cuentan con el benef</w:t>
      </w:r>
      <w:r>
        <w:rPr>
          <w:rFonts w:ascii="Work Sans" w:eastAsia="Arial Narrow" w:hAnsi="Work Sans" w:cs="Arial Narrow"/>
          <w:i/>
          <w:iCs/>
          <w:sz w:val="18"/>
          <w:szCs w:val="18"/>
        </w:rPr>
        <w:t>icio de tarifa diferencial en las estaciones de peaje Ocoa y La Libertad, otorgadas con resoluciones Nos. 3126 de 2014, 1130 de 2015 y 331 de 2017 derogadas con la presente resolución continuarán con el beneficio de las tarifas diferenciales previstas en l</w:t>
      </w:r>
      <w:r>
        <w:rPr>
          <w:rFonts w:ascii="Work Sans" w:eastAsia="Arial Narrow" w:hAnsi="Work Sans" w:cs="Arial Narrow"/>
          <w:i/>
          <w:iCs/>
          <w:sz w:val="18"/>
          <w:szCs w:val="18"/>
        </w:rPr>
        <w:t xml:space="preserve">a presente Resolución de manera automática, siempre y cuando se dé cumplimiento a los requisitos contemplados para tales efectos. </w:t>
      </w:r>
    </w:p>
    <w:p w14:paraId="4459A06A" w14:textId="77777777" w:rsidR="00EB5DB9" w:rsidRDefault="00EB5DB9">
      <w:pPr>
        <w:ind w:left="426" w:right="197"/>
        <w:jc w:val="both"/>
        <w:rPr>
          <w:rFonts w:ascii="Work Sans" w:eastAsia="Arial Narrow" w:hAnsi="Work Sans" w:cs="Arial Narrow"/>
          <w:i/>
          <w:iCs/>
          <w:sz w:val="18"/>
          <w:szCs w:val="18"/>
        </w:rPr>
      </w:pPr>
    </w:p>
    <w:p w14:paraId="3D6BD5C1" w14:textId="77777777" w:rsidR="00EB5DB9" w:rsidRDefault="00141725">
      <w:pPr>
        <w:ind w:left="426" w:right="197"/>
        <w:jc w:val="both"/>
        <w:rPr>
          <w:rFonts w:ascii="Work Sans" w:eastAsia="Arial Narrow" w:hAnsi="Work Sans" w:cs="Arial Narrow"/>
          <w:i/>
          <w:iCs/>
          <w:sz w:val="18"/>
          <w:szCs w:val="18"/>
        </w:rPr>
      </w:pPr>
      <w:r>
        <w:rPr>
          <w:rFonts w:ascii="Work Sans" w:eastAsia="Arial Narrow" w:hAnsi="Work Sans" w:cs="Arial Narrow"/>
          <w:i/>
          <w:iCs/>
          <w:sz w:val="18"/>
          <w:szCs w:val="18"/>
        </w:rPr>
        <w:t>La fijación de los requisitos para acreditar la calidad de beneficiario, el procedimiento para acceder al beneficio, los mec</w:t>
      </w:r>
      <w:r>
        <w:rPr>
          <w:rFonts w:ascii="Work Sans" w:eastAsia="Arial Narrow" w:hAnsi="Work Sans" w:cs="Arial Narrow"/>
          <w:i/>
          <w:iCs/>
          <w:sz w:val="18"/>
          <w:szCs w:val="18"/>
        </w:rPr>
        <w:t>anismos de otorgamiento, reemplazo y control, y las causales de pérdida del beneficio de las tarifas diferenciales previstas en esta Resolución corresponderá a la Agencia Nacional de Infraestructura. (…)”</w:t>
      </w:r>
    </w:p>
    <w:p w14:paraId="6CF41F62" w14:textId="77777777" w:rsidR="00EB5DB9" w:rsidRDefault="00EB5DB9">
      <w:pPr>
        <w:ind w:right="623"/>
        <w:jc w:val="both"/>
        <w:rPr>
          <w:rFonts w:ascii="Work Sans" w:eastAsia="Arial Narrow" w:hAnsi="Work Sans" w:cs="Arial Narrow"/>
          <w:sz w:val="18"/>
          <w:szCs w:val="18"/>
        </w:rPr>
      </w:pPr>
    </w:p>
    <w:p w14:paraId="6C64DD5F" w14:textId="77777777" w:rsidR="00EB5DB9" w:rsidRDefault="00141725">
      <w:pPr>
        <w:tabs>
          <w:tab w:val="left" w:pos="4320"/>
        </w:tabs>
        <w:ind w:right="215"/>
        <w:jc w:val="both"/>
      </w:pPr>
      <w:r>
        <w:rPr>
          <w:rFonts w:ascii="Work Sans" w:eastAsia="DengXian Light" w:hAnsi="Work Sans" w:cs="Arial"/>
          <w:sz w:val="20"/>
          <w:szCs w:val="20"/>
        </w:rPr>
        <w:t xml:space="preserve">Que mediante memorando número </w:t>
      </w:r>
      <w:r>
        <w:rPr>
          <w:rFonts w:ascii="Work Sans" w:hAnsi="Work Sans" w:cs="Arial"/>
          <w:sz w:val="20"/>
          <w:szCs w:val="20"/>
          <w:lang w:val="es-CO"/>
        </w:rPr>
        <w:t xml:space="preserve">20211410089623 29 </w:t>
      </w:r>
      <w:r>
        <w:rPr>
          <w:rFonts w:ascii="Work Sans" w:hAnsi="Work Sans" w:cs="Arial"/>
          <w:sz w:val="20"/>
          <w:szCs w:val="20"/>
          <w:lang w:val="es-CO"/>
        </w:rPr>
        <w:t>de julio de</w:t>
      </w:r>
      <w:r>
        <w:rPr>
          <w:rFonts w:ascii="Work Sans" w:eastAsia="DengXian Light" w:hAnsi="Work Sans" w:cs="Arial"/>
          <w:sz w:val="20"/>
          <w:szCs w:val="20"/>
        </w:rPr>
        <w:t xml:space="preserve"> 2021 la Oficina de Regulación Económica del Ministerio de Transporte en cumplimiento del numeral 9.8. del artículo 9 del Decreto 087 de 2011, analizó y viabilizó </w:t>
      </w:r>
      <w:r>
        <w:rPr>
          <w:rFonts w:ascii="Work Sans" w:hAnsi="Work Sans" w:cs="Arial"/>
          <w:sz w:val="20"/>
          <w:szCs w:val="20"/>
        </w:rPr>
        <w:t xml:space="preserve"> el</w:t>
      </w:r>
      <w:r>
        <w:rPr>
          <w:rFonts w:ascii="Work Sans" w:hAnsi="Work Sans" w:cs="Arial"/>
          <w:sz w:val="20"/>
          <w:szCs w:val="20"/>
          <w:lang w:val="es"/>
        </w:rPr>
        <w:t xml:space="preserve"> establecimiento de tarifas </w:t>
      </w:r>
      <w:r>
        <w:rPr>
          <w:rFonts w:ascii="Work Sans" w:hAnsi="Work Sans"/>
          <w:spacing w:val="-3"/>
          <w:sz w:val="20"/>
          <w:szCs w:val="20"/>
        </w:rPr>
        <w:t>para las estaciones de peaje Iraca, Ocoa, La Libert</w:t>
      </w:r>
      <w:r>
        <w:rPr>
          <w:rFonts w:ascii="Work Sans" w:hAnsi="Work Sans"/>
          <w:spacing w:val="-3"/>
          <w:sz w:val="20"/>
          <w:szCs w:val="20"/>
        </w:rPr>
        <w:t>ad y para la estación de peaje El Cairo y tarifas diferenciales para las estaciones de peajes Iracá, Ocoa y la Libertad,  un incremento progresivo y temporal para las estaciones de peaje Casetablanca y Yucao que forman parte del Proyecto vial de Iniciativa</w:t>
      </w:r>
      <w:r>
        <w:rPr>
          <w:rFonts w:ascii="Work Sans" w:hAnsi="Work Sans"/>
          <w:spacing w:val="-3"/>
          <w:sz w:val="20"/>
          <w:szCs w:val="20"/>
        </w:rPr>
        <w:t xml:space="preserve"> Privada Malla Vial del Meta – Contrato de Concesión No. 004 de 2015.</w:t>
      </w:r>
    </w:p>
    <w:p w14:paraId="748D7F91" w14:textId="77777777" w:rsidR="00EB5DB9" w:rsidRDefault="00EB5DB9">
      <w:pPr>
        <w:pStyle w:val="Default"/>
        <w:ind w:right="-2"/>
        <w:jc w:val="both"/>
        <w:rPr>
          <w:rFonts w:ascii="Work Sans" w:hAnsi="Work Sans" w:cs="Arial"/>
          <w:color w:val="auto"/>
          <w:sz w:val="20"/>
          <w:szCs w:val="20"/>
        </w:rPr>
      </w:pPr>
    </w:p>
    <w:p w14:paraId="7363D9D4" w14:textId="77777777" w:rsidR="00EB5DB9" w:rsidRDefault="00141725">
      <w:pPr>
        <w:pStyle w:val="Default"/>
        <w:ind w:right="-2"/>
        <w:jc w:val="both"/>
      </w:pPr>
      <w:r>
        <w:rPr>
          <w:rFonts w:ascii="Work Sans" w:hAnsi="Work Sans" w:cs="Arial"/>
          <w:iCs/>
          <w:sz w:val="20"/>
          <w:szCs w:val="20"/>
        </w:rPr>
        <w:t>Que conforme a las funciones y competencias de la Agencia Nacional de Infraestructura de conformidad con el Decreto 4165 de 2011, como entidad del sector descentralizado de la Rama Ejec</w:t>
      </w:r>
      <w:r>
        <w:rPr>
          <w:rFonts w:ascii="Work Sans" w:hAnsi="Work Sans" w:cs="Arial"/>
          <w:iCs/>
          <w:sz w:val="20"/>
          <w:szCs w:val="20"/>
        </w:rPr>
        <w:t xml:space="preserve">utiva </w:t>
      </w:r>
      <w:r>
        <w:rPr>
          <w:rFonts w:ascii="Work Sans" w:hAnsi="Work Sans" w:cs="Arial"/>
          <w:sz w:val="20"/>
          <w:szCs w:val="20"/>
        </w:rPr>
        <w:t>del</w:t>
      </w:r>
      <w:r>
        <w:rPr>
          <w:rFonts w:ascii="Work Sans" w:hAnsi="Work Sans" w:cs="Arial"/>
          <w:iCs/>
          <w:sz w:val="20"/>
          <w:szCs w:val="20"/>
        </w:rPr>
        <w:t xml:space="preserve"> Orden Nacional, con personería jurídica y autonomía administrativa, financiera y técnica, que tiene por objeto planear, coordinar, estructurar, contratar, ejecutar, administrar y evaluar proyectos de concesiones y otras formas de Asociación Públi</w:t>
      </w:r>
      <w:r>
        <w:rPr>
          <w:rFonts w:ascii="Work Sans" w:hAnsi="Work Sans" w:cs="Arial"/>
          <w:iCs/>
          <w:sz w:val="20"/>
          <w:szCs w:val="20"/>
        </w:rPr>
        <w:t>co Privada (APP), para el diseño, construcción, mantenimiento, operación, administración y/o explotación de la infraestructura pública de transporte en todos sus modos y de los servicios conexos o relacionados, y en atención a su conocimiento y análisis té</w:t>
      </w:r>
      <w:r>
        <w:rPr>
          <w:rFonts w:ascii="Work Sans" w:hAnsi="Work Sans" w:cs="Arial"/>
          <w:iCs/>
          <w:sz w:val="20"/>
          <w:szCs w:val="20"/>
        </w:rPr>
        <w:t>cnico, reuniones de socialización, concertación y acuerdos con usuarios y comunidades, llevados a cabo en virtud de sus competencias funcionales, le corresponde a la Agencia fijar los requisitos para acreditar la calidad de beneficiario, el procedimiento p</w:t>
      </w:r>
      <w:r>
        <w:rPr>
          <w:rFonts w:ascii="Work Sans" w:hAnsi="Work Sans" w:cs="Arial"/>
          <w:iCs/>
          <w:sz w:val="20"/>
          <w:szCs w:val="20"/>
        </w:rPr>
        <w:t xml:space="preserve">ara acceder al beneficio, los mecanismos de otorgamiento, reemplazo y control y las causales de pérdida del beneficio, de las tarifas especiales diferenciales de peajes. </w:t>
      </w:r>
    </w:p>
    <w:p w14:paraId="58A89978" w14:textId="77777777" w:rsidR="00EB5DB9" w:rsidRDefault="00EB5DB9">
      <w:pPr>
        <w:pStyle w:val="Default"/>
        <w:ind w:right="-2"/>
        <w:jc w:val="both"/>
        <w:rPr>
          <w:rFonts w:ascii="Work Sans" w:hAnsi="Work Sans" w:cs="Arial"/>
          <w:iCs/>
          <w:sz w:val="20"/>
          <w:szCs w:val="20"/>
        </w:rPr>
      </w:pPr>
    </w:p>
    <w:p w14:paraId="57146962" w14:textId="77777777" w:rsidR="00EB5DB9" w:rsidRDefault="00141725">
      <w:pPr>
        <w:pStyle w:val="NormalWeb"/>
        <w:spacing w:before="0" w:after="0"/>
        <w:jc w:val="both"/>
      </w:pPr>
      <w:r>
        <w:rPr>
          <w:rFonts w:ascii="Work Sans" w:hAnsi="Work Sans" w:cs="Arial"/>
          <w:sz w:val="20"/>
          <w:szCs w:val="20"/>
        </w:rPr>
        <w:t xml:space="preserve">Que el contenido de la presente resolución fue publicado en la página web del </w:t>
      </w:r>
      <w:r>
        <w:rPr>
          <w:rFonts w:ascii="Work Sans" w:hAnsi="Work Sans" w:cs="Arial"/>
          <w:sz w:val="20"/>
          <w:szCs w:val="20"/>
        </w:rPr>
        <w:t>Ministerio de Transporte y de la Agencia Nacional de Infraestructura del 6 al 21 de agosto de 2021, en cumplimiento de lo determinado en el numeral 8 del artículo 8° de la Ley 1437 de 2011, artículo 2.1.2.1.14 del Decreto 1081 de 2015 modificado y adiciona</w:t>
      </w:r>
      <w:r>
        <w:rPr>
          <w:rFonts w:ascii="Work Sans" w:hAnsi="Work Sans" w:cs="Arial"/>
          <w:sz w:val="20"/>
          <w:szCs w:val="20"/>
        </w:rPr>
        <w:t>do por el Decreto 1273 de 2020 y la Resolución 994 de 2017 del Ministerio de Transporte, con el objeto de recibir opiniones, sugerencias o propuestas alternativas.</w:t>
      </w:r>
    </w:p>
    <w:p w14:paraId="451BB7CE" w14:textId="77777777" w:rsidR="00EB5DB9" w:rsidRDefault="00EB5DB9">
      <w:pPr>
        <w:ind w:right="-285"/>
        <w:jc w:val="both"/>
        <w:rPr>
          <w:rFonts w:ascii="Work Sans" w:hAnsi="Work Sans" w:cs="Arial"/>
          <w:sz w:val="20"/>
          <w:szCs w:val="20"/>
        </w:rPr>
      </w:pPr>
    </w:p>
    <w:p w14:paraId="5367468E" w14:textId="77777777" w:rsidR="00EB5DB9" w:rsidRDefault="00141725">
      <w:pPr>
        <w:pStyle w:val="Default"/>
        <w:ind w:right="-2"/>
        <w:jc w:val="both"/>
      </w:pPr>
      <w:r>
        <w:rPr>
          <w:rFonts w:ascii="Work Sans" w:hAnsi="Work Sans" w:cs="Arial"/>
          <w:iCs/>
          <w:sz w:val="20"/>
          <w:szCs w:val="20"/>
        </w:rPr>
        <w:t>Que la Oficina Asesora Jurídica conservará los documentos asociados a la publicación del pr</w:t>
      </w:r>
      <w:r>
        <w:rPr>
          <w:rFonts w:ascii="Work Sans" w:hAnsi="Work Sans" w:cs="Arial"/>
          <w:iCs/>
          <w:sz w:val="20"/>
          <w:szCs w:val="20"/>
        </w:rPr>
        <w:t>esente</w:t>
      </w:r>
      <w:r>
        <w:rPr>
          <w:rFonts w:ascii="Work Sans" w:hAnsi="Work Sans" w:cs="Arial"/>
          <w:sz w:val="20"/>
          <w:szCs w:val="20"/>
        </w:rPr>
        <w:t xml:space="preserve"> acto administrativo.</w:t>
      </w:r>
      <w:r>
        <w:rPr>
          <w:rFonts w:ascii="Work Sans" w:hAnsi="Work Sans" w:cs="Arial"/>
          <w:iCs/>
          <w:sz w:val="20"/>
          <w:szCs w:val="20"/>
        </w:rPr>
        <w:t xml:space="preserve"> Todo ello en concordancia con las políticas de gestión documental y de archivo de la entidad.</w:t>
      </w:r>
    </w:p>
    <w:p w14:paraId="3C0AA4EE" w14:textId="77777777" w:rsidR="00EB5DB9" w:rsidRDefault="00EB5DB9">
      <w:pPr>
        <w:ind w:right="-285"/>
        <w:jc w:val="both"/>
        <w:rPr>
          <w:rFonts w:ascii="Work Sans" w:hAnsi="Work Sans" w:cs="Arial"/>
          <w:sz w:val="20"/>
          <w:szCs w:val="20"/>
        </w:rPr>
      </w:pPr>
    </w:p>
    <w:p w14:paraId="7F661526" w14:textId="77777777" w:rsidR="00EB5DB9" w:rsidRDefault="00141725">
      <w:pPr>
        <w:pStyle w:val="Default"/>
        <w:ind w:right="-2"/>
        <w:jc w:val="both"/>
      </w:pPr>
      <w:r>
        <w:rPr>
          <w:rFonts w:ascii="Work Sans" w:hAnsi="Work Sans" w:cs="Arial"/>
          <w:sz w:val="20"/>
          <w:szCs w:val="20"/>
        </w:rPr>
        <w:t xml:space="preserve">En mérito de lo expuesto, </w:t>
      </w:r>
    </w:p>
    <w:p w14:paraId="0A465914" w14:textId="77777777" w:rsidR="00EB5DB9" w:rsidRDefault="00EB5DB9">
      <w:pPr>
        <w:pStyle w:val="Standard"/>
        <w:jc w:val="both"/>
        <w:rPr>
          <w:rFonts w:ascii="Arial Narrow" w:eastAsia="Arial Narrow" w:hAnsi="Arial Narrow" w:cs="Arial Narrow"/>
          <w:sz w:val="22"/>
          <w:szCs w:val="22"/>
          <w:lang w:bidi="hi-IN"/>
        </w:rPr>
      </w:pPr>
    </w:p>
    <w:p w14:paraId="47D41AEC" w14:textId="77777777" w:rsidR="00EB5DB9" w:rsidRDefault="00141725">
      <w:pPr>
        <w:pStyle w:val="Standard"/>
        <w:jc w:val="center"/>
        <w:rPr>
          <w:rFonts w:ascii="Work Sans" w:eastAsia="Arial Narrow" w:hAnsi="Work Sans" w:cs="Arial Narrow"/>
          <w:b/>
          <w:sz w:val="20"/>
          <w:lang w:bidi="hi-IN"/>
        </w:rPr>
      </w:pPr>
      <w:r>
        <w:rPr>
          <w:rFonts w:ascii="Work Sans" w:eastAsia="Arial Narrow" w:hAnsi="Work Sans" w:cs="Arial Narrow"/>
          <w:b/>
          <w:sz w:val="20"/>
          <w:lang w:bidi="hi-IN"/>
        </w:rPr>
        <w:t>RESUELVE:</w:t>
      </w:r>
    </w:p>
    <w:p w14:paraId="2F19B497" w14:textId="77777777" w:rsidR="00EB5DB9" w:rsidRDefault="00EB5DB9">
      <w:pPr>
        <w:pStyle w:val="Standard"/>
        <w:jc w:val="center"/>
        <w:rPr>
          <w:rFonts w:ascii="Work Sans" w:eastAsia="Arial Narrow" w:hAnsi="Work Sans" w:cs="Arial Narrow"/>
          <w:sz w:val="20"/>
          <w:lang w:bidi="hi-IN"/>
        </w:rPr>
      </w:pPr>
    </w:p>
    <w:p w14:paraId="0831CB11" w14:textId="77777777" w:rsidR="00EB5DB9" w:rsidRDefault="00141725">
      <w:pPr>
        <w:pStyle w:val="Standard"/>
        <w:jc w:val="both"/>
      </w:pPr>
      <w:r>
        <w:rPr>
          <w:rFonts w:ascii="Work Sans" w:eastAsia="Arial Narrow" w:hAnsi="Work Sans" w:cs="Arial Narrow"/>
          <w:b/>
          <w:sz w:val="20"/>
          <w:lang w:bidi="hi-IN"/>
        </w:rPr>
        <w:t>ARTÍCULO 1.-</w:t>
      </w:r>
      <w:r>
        <w:rPr>
          <w:rFonts w:ascii="Work Sans" w:eastAsia="Arial Narrow" w:hAnsi="Work Sans" w:cs="Arial Narrow"/>
          <w:sz w:val="20"/>
          <w:lang w:bidi="hi-IN"/>
        </w:rPr>
        <w:t xml:space="preserve"> </w:t>
      </w:r>
      <w:bookmarkStart w:id="2" w:name="_Hlk76745898"/>
      <w:bookmarkStart w:id="3" w:name="_Hlk79133203"/>
      <w:r>
        <w:rPr>
          <w:rFonts w:ascii="Work Sans" w:eastAsia="Arial Narrow" w:hAnsi="Work Sans" w:cs="Arial Narrow"/>
          <w:sz w:val="20"/>
          <w:lang w:bidi="hi-IN"/>
        </w:rPr>
        <w:t xml:space="preserve">Establecer las siguientes tarifas a cobrar en las estaciones de peaje Ocoa, </w:t>
      </w:r>
      <w:r>
        <w:rPr>
          <w:rFonts w:ascii="Work Sans" w:eastAsia="Arial Narrow" w:hAnsi="Work Sans" w:cs="Arial Narrow"/>
          <w:sz w:val="20"/>
          <w:lang w:bidi="hi-IN"/>
        </w:rPr>
        <w:t xml:space="preserve">Iracá, La Libertad, Casetabla, Yucao y El Cairo, así: </w:t>
      </w:r>
    </w:p>
    <w:bookmarkEnd w:id="2"/>
    <w:p w14:paraId="79480637" w14:textId="77777777" w:rsidR="00EB5DB9" w:rsidRDefault="00EB5DB9">
      <w:pPr>
        <w:pStyle w:val="Standard"/>
        <w:jc w:val="both"/>
        <w:rPr>
          <w:rFonts w:ascii="Work Sans" w:eastAsia="Arial Narrow" w:hAnsi="Work Sans" w:cs="Arial Narrow"/>
          <w:sz w:val="20"/>
          <w:lang w:bidi="hi-IN"/>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55E5F140" w14:textId="77777777">
        <w:tblPrEx>
          <w:tblCellMar>
            <w:top w:w="0" w:type="dxa"/>
            <w:bottom w:w="0" w:type="dxa"/>
          </w:tblCellMar>
        </w:tblPrEx>
        <w:trPr>
          <w:trHeight w:val="195"/>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7147"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Nombre</w:t>
            </w:r>
          </w:p>
          <w:p w14:paraId="79BD9006"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B3135"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BC858"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1CF2F"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Tarifa*</w:t>
            </w:r>
          </w:p>
        </w:tc>
      </w:tr>
      <w:tr w:rsidR="00EB5DB9" w14:paraId="54C47E99" w14:textId="77777777">
        <w:tblPrEx>
          <w:tblCellMar>
            <w:top w:w="0" w:type="dxa"/>
            <w:bottom w:w="0" w:type="dxa"/>
          </w:tblCellMar>
        </w:tblPrEx>
        <w:trPr>
          <w:trHeight w:val="71"/>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50069"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Ocoa</w:t>
            </w:r>
          </w:p>
          <w:p w14:paraId="4ACDA605"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DA9E"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DC034"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37ECF" w14:textId="77777777" w:rsidR="00EB5DB9" w:rsidRDefault="00141725">
            <w:pPr>
              <w:pStyle w:val="Standard"/>
              <w:jc w:val="center"/>
            </w:pPr>
            <w:r>
              <w:rPr>
                <w:rFonts w:ascii="Work Sans" w:hAnsi="Work Sans"/>
                <w:sz w:val="18"/>
                <w:szCs w:val="18"/>
              </w:rPr>
              <w:t>10.500</w:t>
            </w:r>
          </w:p>
        </w:tc>
      </w:tr>
      <w:tr w:rsidR="00EB5DB9" w14:paraId="627EE421"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9A4A7"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E51D0"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58CC8"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Buses, busetas, microbuses con eje 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7DA4"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20.700</w:t>
            </w:r>
          </w:p>
        </w:tc>
      </w:tr>
      <w:tr w:rsidR="00EB5DB9" w14:paraId="4DF52439"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2B7E1"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5102D"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A553B"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48BD4" w14:textId="77777777" w:rsidR="00EB5DB9" w:rsidRDefault="00141725">
            <w:pPr>
              <w:pStyle w:val="Standard"/>
              <w:jc w:val="center"/>
            </w:pPr>
            <w:r>
              <w:rPr>
                <w:rFonts w:ascii="Work Sans" w:hAnsi="Work Sans"/>
                <w:sz w:val="18"/>
                <w:szCs w:val="18"/>
              </w:rPr>
              <w:t>15.600</w:t>
            </w:r>
          </w:p>
        </w:tc>
      </w:tr>
      <w:tr w:rsidR="00EB5DB9" w14:paraId="7B03A3CB"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B813D"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9D588"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18A1D"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C4DDB"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27.300</w:t>
            </w:r>
          </w:p>
        </w:tc>
      </w:tr>
      <w:tr w:rsidR="00EB5DB9" w14:paraId="53309896"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FAFC3"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69FFC"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45FB6"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8A8CC"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40.400</w:t>
            </w:r>
          </w:p>
        </w:tc>
      </w:tr>
      <w:tr w:rsidR="00EB5DB9" w14:paraId="43DD8E38"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AA3B6"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74233"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38A81"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52085"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53.600</w:t>
            </w:r>
          </w:p>
        </w:tc>
      </w:tr>
      <w:tr w:rsidR="00EB5DB9" w14:paraId="6E905DE0"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5D695"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5DC9B"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D1547"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61F02" w14:textId="77777777" w:rsidR="00EB5DB9" w:rsidRDefault="00141725">
            <w:pPr>
              <w:pStyle w:val="Standard"/>
              <w:jc w:val="center"/>
            </w:pPr>
            <w:r>
              <w:rPr>
                <w:rFonts w:ascii="Work Sans" w:hAnsi="Work Sans"/>
                <w:sz w:val="18"/>
                <w:szCs w:val="18"/>
              </w:rPr>
              <w:t>58.200</w:t>
            </w:r>
          </w:p>
        </w:tc>
      </w:tr>
    </w:tbl>
    <w:p w14:paraId="336E4586" w14:textId="77777777" w:rsidR="00EB5DB9" w:rsidRDefault="00141725">
      <w:pPr>
        <w:pStyle w:val="Standard"/>
        <w:jc w:val="both"/>
      </w:pPr>
      <w:r>
        <w:rPr>
          <w:rFonts w:ascii="Work Sans" w:eastAsia="Arial Narrow" w:hAnsi="Work Sans" w:cs="Arial Narrow"/>
          <w:sz w:val="20"/>
          <w:lang w:bidi="hi-IN"/>
        </w:rPr>
        <w:t xml:space="preserve">       </w:t>
      </w:r>
      <w:r>
        <w:rPr>
          <w:rFonts w:ascii="Work Sans" w:eastAsia="Arial Narrow" w:hAnsi="Work Sans" w:cs="Arial Narrow"/>
          <w:sz w:val="18"/>
          <w:szCs w:val="18"/>
          <w:lang w:bidi="hi-IN"/>
        </w:rPr>
        <w:t>*No incluye Fosevi – Tarifas expresadas en pesos de diciembre de 2020</w:t>
      </w:r>
    </w:p>
    <w:p w14:paraId="286DF5EE" w14:textId="77777777" w:rsidR="00EB5DB9" w:rsidRDefault="00EB5DB9">
      <w:pPr>
        <w:jc w:val="both"/>
        <w:rPr>
          <w:rFonts w:ascii="Work Sans" w:eastAsia="Arial Narrow" w:hAnsi="Work Sans" w:cs="Arial Narrow"/>
          <w:sz w:val="20"/>
          <w:szCs w:val="20"/>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2FE5F877" w14:textId="77777777">
        <w:tblPrEx>
          <w:tblCellMar>
            <w:top w:w="0" w:type="dxa"/>
            <w:bottom w:w="0" w:type="dxa"/>
          </w:tblCellMar>
        </w:tblPrEx>
        <w:trPr>
          <w:trHeight w:val="195"/>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0738B"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Nombre</w:t>
            </w:r>
          </w:p>
          <w:p w14:paraId="63DD6B4B"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073E"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4BE0C"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BB1C"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Tarifa*</w:t>
            </w:r>
          </w:p>
        </w:tc>
      </w:tr>
      <w:tr w:rsidR="00EB5DB9" w14:paraId="05954A12" w14:textId="77777777">
        <w:tblPrEx>
          <w:tblCellMar>
            <w:top w:w="0" w:type="dxa"/>
            <w:bottom w:w="0" w:type="dxa"/>
          </w:tblCellMar>
        </w:tblPrEx>
        <w:trPr>
          <w:trHeight w:val="71"/>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9B829"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Iracá</w:t>
            </w:r>
          </w:p>
          <w:p w14:paraId="6C9AC8F2"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BD3C5"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7D6C1"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667B4" w14:textId="77777777" w:rsidR="00EB5DB9" w:rsidRDefault="00141725">
            <w:pPr>
              <w:pStyle w:val="Standard"/>
              <w:jc w:val="center"/>
            </w:pPr>
            <w:r>
              <w:rPr>
                <w:rFonts w:ascii="Work Sans" w:hAnsi="Work Sans"/>
                <w:sz w:val="18"/>
                <w:szCs w:val="18"/>
              </w:rPr>
              <w:t>10.500</w:t>
            </w:r>
          </w:p>
        </w:tc>
      </w:tr>
      <w:tr w:rsidR="00EB5DB9" w14:paraId="187130D9"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75AAC"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E52ED"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00ACB"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 xml:space="preserve">Buses, busetas, microbuses con eje trasero de doble </w:t>
            </w:r>
            <w:r>
              <w:rPr>
                <w:rFonts w:ascii="Work Sans" w:eastAsia="Arial Narrow" w:hAnsi="Work Sans" w:cs="Arial Narrow"/>
                <w:sz w:val="18"/>
                <w:szCs w:val="18"/>
                <w:lang w:bidi="hi-IN"/>
              </w:rPr>
              <w:t>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AC62B"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20.700</w:t>
            </w:r>
          </w:p>
        </w:tc>
      </w:tr>
      <w:tr w:rsidR="00EB5DB9" w14:paraId="22A4C102"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BA469"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F3719"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18397"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1F29A" w14:textId="77777777" w:rsidR="00EB5DB9" w:rsidRDefault="00141725">
            <w:pPr>
              <w:pStyle w:val="Standard"/>
              <w:jc w:val="center"/>
            </w:pPr>
            <w:r>
              <w:rPr>
                <w:rFonts w:ascii="Work Sans" w:hAnsi="Work Sans"/>
                <w:sz w:val="18"/>
                <w:szCs w:val="18"/>
              </w:rPr>
              <w:t>15.600</w:t>
            </w:r>
          </w:p>
        </w:tc>
      </w:tr>
      <w:tr w:rsidR="00EB5DB9" w14:paraId="389DE288"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3302"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A9FEE"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63CE3"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A98A0"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27.300</w:t>
            </w:r>
          </w:p>
        </w:tc>
      </w:tr>
      <w:tr w:rsidR="00EB5DB9" w14:paraId="4C71FC6A"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83BEC"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F8F46"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82F4C"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B394C"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40.400</w:t>
            </w:r>
          </w:p>
        </w:tc>
      </w:tr>
      <w:tr w:rsidR="00EB5DB9" w14:paraId="6B30A006"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D4640"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CD39F"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F7AD0"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767AA" w14:textId="77777777" w:rsidR="00EB5DB9" w:rsidRDefault="00141725">
            <w:pPr>
              <w:pStyle w:val="Standard"/>
              <w:jc w:val="center"/>
              <w:rPr>
                <w:rFonts w:ascii="Work Sans" w:eastAsia="Arial Narrow" w:hAnsi="Work Sans" w:cs="Arial Narrow"/>
                <w:sz w:val="18"/>
                <w:szCs w:val="18"/>
                <w:lang w:bidi="hi-IN"/>
              </w:rPr>
            </w:pPr>
            <w:r>
              <w:rPr>
                <w:rFonts w:ascii="Work Sans" w:eastAsia="Arial Narrow" w:hAnsi="Work Sans" w:cs="Arial Narrow"/>
                <w:sz w:val="18"/>
                <w:szCs w:val="18"/>
                <w:lang w:bidi="hi-IN"/>
              </w:rPr>
              <w:t>53.600</w:t>
            </w:r>
          </w:p>
        </w:tc>
      </w:tr>
      <w:tr w:rsidR="00EB5DB9" w14:paraId="6E1682F7"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7FA05" w14:textId="77777777" w:rsidR="00EB5DB9" w:rsidRDefault="00EB5DB9">
            <w:pPr>
              <w:pStyle w:val="Standard"/>
              <w:jc w:val="both"/>
              <w:rPr>
                <w:rFonts w:ascii="Work Sans" w:eastAsia="Arial Narrow" w:hAnsi="Work Sans" w:cs="Arial Narrow"/>
                <w:sz w:val="18"/>
                <w:szCs w:val="18"/>
                <w:lang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64C2"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9699B" w14:textId="77777777" w:rsidR="00EB5DB9" w:rsidRDefault="00141725">
            <w:pPr>
              <w:pStyle w:val="Standard"/>
              <w:jc w:val="both"/>
              <w:rPr>
                <w:rFonts w:ascii="Work Sans" w:eastAsia="Arial Narrow" w:hAnsi="Work Sans" w:cs="Arial Narrow"/>
                <w:sz w:val="18"/>
                <w:szCs w:val="18"/>
                <w:lang w:bidi="hi-IN"/>
              </w:rPr>
            </w:pPr>
            <w:r>
              <w:rPr>
                <w:rFonts w:ascii="Work Sans" w:eastAsia="Arial Narrow" w:hAnsi="Work Sans" w:cs="Arial Narrow"/>
                <w:sz w:val="18"/>
                <w:szCs w:val="18"/>
                <w:lang w:bidi="hi-IN"/>
              </w:rPr>
              <w:t xml:space="preserve">Camiones de seis ejes o </w:t>
            </w:r>
            <w:r>
              <w:rPr>
                <w:rFonts w:ascii="Work Sans" w:eastAsia="Arial Narrow" w:hAnsi="Work Sans" w:cs="Arial Narrow"/>
                <w:sz w:val="18"/>
                <w:szCs w:val="18"/>
                <w:lang w:bidi="hi-IN"/>
              </w:rPr>
              <w:t>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50DFE" w14:textId="77777777" w:rsidR="00EB5DB9" w:rsidRDefault="00141725">
            <w:pPr>
              <w:pStyle w:val="Standard"/>
              <w:jc w:val="center"/>
            </w:pPr>
            <w:r>
              <w:rPr>
                <w:rFonts w:ascii="Work Sans" w:hAnsi="Work Sans"/>
                <w:sz w:val="18"/>
                <w:szCs w:val="18"/>
              </w:rPr>
              <w:t>58.200</w:t>
            </w:r>
          </w:p>
        </w:tc>
      </w:tr>
    </w:tbl>
    <w:p w14:paraId="70AB38AF" w14:textId="77777777" w:rsidR="00EB5DB9" w:rsidRDefault="00141725">
      <w:pPr>
        <w:pStyle w:val="Standard"/>
        <w:jc w:val="both"/>
      </w:pPr>
      <w:r>
        <w:rPr>
          <w:rFonts w:ascii="Work Sans" w:eastAsia="Arial Narrow" w:hAnsi="Work Sans" w:cs="Arial Narrow"/>
          <w:sz w:val="20"/>
          <w:lang w:bidi="hi-IN"/>
        </w:rPr>
        <w:t xml:space="preserve">      </w:t>
      </w:r>
      <w:r>
        <w:rPr>
          <w:rFonts w:ascii="Work Sans" w:eastAsia="Arial Narrow" w:hAnsi="Work Sans" w:cs="Arial Narrow"/>
          <w:sz w:val="18"/>
          <w:szCs w:val="18"/>
          <w:lang w:bidi="hi-IN"/>
        </w:rPr>
        <w:t>*No incluye Fosevi – Tarifas expresadas en pesos de diciembre de 2020</w:t>
      </w:r>
    </w:p>
    <w:p w14:paraId="73AA949F" w14:textId="77777777" w:rsidR="00EB5DB9" w:rsidRDefault="00EB5DB9">
      <w:pPr>
        <w:spacing w:line="254" w:lineRule="auto"/>
        <w:jc w:val="both"/>
        <w:rPr>
          <w:rFonts w:ascii="Work Sans" w:eastAsia="Arial Narrow" w:hAnsi="Work Sans" w:cs="Arial Narrow"/>
          <w:sz w:val="20"/>
          <w:szCs w:val="20"/>
        </w:rPr>
      </w:pPr>
    </w:p>
    <w:p w14:paraId="72148C1F" w14:textId="77777777" w:rsidR="00EB5DB9" w:rsidRDefault="00EB5DB9">
      <w:pPr>
        <w:spacing w:line="254" w:lineRule="auto"/>
        <w:jc w:val="both"/>
        <w:rPr>
          <w:rFonts w:ascii="Work Sans" w:eastAsia="Arial Narrow" w:hAnsi="Work Sans" w:cs="Arial Narrow"/>
          <w:sz w:val="20"/>
          <w:szCs w:val="20"/>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2ADA113D" w14:textId="77777777">
        <w:tblPrEx>
          <w:tblCellMar>
            <w:top w:w="0" w:type="dxa"/>
            <w:bottom w:w="0" w:type="dxa"/>
          </w:tblCellMar>
        </w:tblPrEx>
        <w:trPr>
          <w:trHeight w:val="346"/>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84EA"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Nombre</w:t>
            </w:r>
          </w:p>
          <w:p w14:paraId="4107BE07"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1F526"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68E25"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7E506"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Tarifa*</w:t>
            </w:r>
          </w:p>
        </w:tc>
      </w:tr>
      <w:tr w:rsidR="00EB5DB9" w14:paraId="27C9A70F" w14:textId="77777777">
        <w:tblPrEx>
          <w:tblCellMar>
            <w:top w:w="0" w:type="dxa"/>
            <w:bottom w:w="0" w:type="dxa"/>
          </w:tblCellMar>
        </w:tblPrEx>
        <w:trPr>
          <w:trHeight w:val="117"/>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426F5"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La Libertad</w:t>
            </w:r>
          </w:p>
          <w:p w14:paraId="07E737A9"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EF9C7"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127A7"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AFBC5"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13.700</w:t>
            </w:r>
          </w:p>
        </w:tc>
      </w:tr>
      <w:tr w:rsidR="00EB5DB9" w14:paraId="5231FB49" w14:textId="77777777">
        <w:tblPrEx>
          <w:tblCellMar>
            <w:top w:w="0" w:type="dxa"/>
            <w:bottom w:w="0" w:type="dxa"/>
          </w:tblCellMar>
        </w:tblPrEx>
        <w:trPr>
          <w:trHeight w:val="71"/>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AB2E7"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E3A8E"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9567F"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 xml:space="preserve">Buses, busetas, microbuses con eje </w:t>
            </w:r>
            <w:r>
              <w:rPr>
                <w:rFonts w:ascii="Work Sans" w:eastAsia="Arial Narrow" w:hAnsi="Work Sans" w:cs="Arial Narrow"/>
                <w:sz w:val="18"/>
                <w:szCs w:val="18"/>
              </w:rPr>
              <w:t>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7F1BE"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27.000</w:t>
            </w:r>
          </w:p>
        </w:tc>
      </w:tr>
      <w:tr w:rsidR="00EB5DB9" w14:paraId="63F8FFE0"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203B2"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4BE3F"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35704"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E3660"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21.500</w:t>
            </w:r>
          </w:p>
        </w:tc>
      </w:tr>
      <w:tr w:rsidR="00EB5DB9" w14:paraId="17842D42"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D3014"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6B32"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F47A3"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C1667"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35.700</w:t>
            </w:r>
          </w:p>
        </w:tc>
      </w:tr>
      <w:tr w:rsidR="00EB5DB9" w14:paraId="55689484"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90D86"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8B1A2"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37987"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A1C9D"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52.900</w:t>
            </w:r>
          </w:p>
        </w:tc>
      </w:tr>
      <w:tr w:rsidR="00EB5DB9" w14:paraId="2F999739"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671DB"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B99A"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EF0A9"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34137" w14:textId="77777777" w:rsidR="00EB5DB9" w:rsidRDefault="00141725">
            <w:pPr>
              <w:jc w:val="center"/>
            </w:pPr>
            <w:r>
              <w:rPr>
                <w:rFonts w:ascii="Work Sans" w:hAnsi="Work Sans"/>
                <w:sz w:val="18"/>
                <w:szCs w:val="18"/>
              </w:rPr>
              <w:t>69.600</w:t>
            </w:r>
          </w:p>
        </w:tc>
      </w:tr>
      <w:tr w:rsidR="00EB5DB9" w14:paraId="52655760"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B410C"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B2CF3"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8139C"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51D64"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79.800</w:t>
            </w:r>
          </w:p>
        </w:tc>
      </w:tr>
    </w:tbl>
    <w:p w14:paraId="14D5D3BF" w14:textId="77777777" w:rsidR="00EB5DB9" w:rsidRDefault="00141725">
      <w:pPr>
        <w:jc w:val="both"/>
        <w:rPr>
          <w:rFonts w:ascii="Work Sans" w:eastAsia="Arial Narrow" w:hAnsi="Work Sans" w:cs="Arial Narrow"/>
          <w:sz w:val="18"/>
          <w:szCs w:val="18"/>
        </w:rPr>
      </w:pPr>
      <w:r>
        <w:rPr>
          <w:rFonts w:ascii="Work Sans" w:eastAsia="Arial Narrow" w:hAnsi="Work Sans" w:cs="Arial Narrow"/>
          <w:sz w:val="18"/>
          <w:szCs w:val="18"/>
        </w:rPr>
        <w:t xml:space="preserve">       *No incluye Fosevi – Tarifas expresadas en pesos de diciembre de 2020</w:t>
      </w:r>
    </w:p>
    <w:p w14:paraId="6A290001" w14:textId="77777777" w:rsidR="00EB5DB9" w:rsidRDefault="00EB5DB9">
      <w:pPr>
        <w:ind w:firstLine="720"/>
        <w:jc w:val="both"/>
        <w:rPr>
          <w:rFonts w:ascii="Work Sans" w:eastAsia="Arial Narrow" w:hAnsi="Work Sans" w:cs="Arial Narrow"/>
          <w:sz w:val="20"/>
          <w:szCs w:val="20"/>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09DA5F47" w14:textId="77777777">
        <w:tblPrEx>
          <w:tblCellMar>
            <w:top w:w="0" w:type="dxa"/>
            <w:bottom w:w="0" w:type="dxa"/>
          </w:tblCellMar>
        </w:tblPrEx>
        <w:trPr>
          <w:trHeight w:val="346"/>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21A5A" w14:textId="77777777" w:rsidR="00EB5DB9" w:rsidRDefault="00141725">
            <w:pPr>
              <w:pStyle w:val="Standard"/>
              <w:jc w:val="center"/>
              <w:rPr>
                <w:rFonts w:ascii="Work Sans" w:eastAsia="Arial Narrow" w:hAnsi="Work Sans" w:cs="Arial Narrow"/>
                <w:b/>
                <w:sz w:val="18"/>
                <w:szCs w:val="18"/>
                <w:lang w:bidi="hi-IN"/>
              </w:rPr>
            </w:pPr>
            <w:bookmarkStart w:id="4" w:name="_Hlk76656514"/>
            <w:r>
              <w:rPr>
                <w:rFonts w:ascii="Work Sans" w:eastAsia="Arial Narrow" w:hAnsi="Work Sans" w:cs="Arial Narrow"/>
                <w:b/>
                <w:sz w:val="18"/>
                <w:szCs w:val="18"/>
                <w:lang w:bidi="hi-IN"/>
              </w:rPr>
              <w:t>Nombre</w:t>
            </w:r>
          </w:p>
          <w:p w14:paraId="7FE9CF6D"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7758B"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53388"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6C0AC"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Tarifa*</w:t>
            </w:r>
          </w:p>
        </w:tc>
      </w:tr>
      <w:tr w:rsidR="00EB5DB9" w14:paraId="71166D27" w14:textId="77777777">
        <w:tblPrEx>
          <w:tblCellMar>
            <w:top w:w="0" w:type="dxa"/>
            <w:bottom w:w="0" w:type="dxa"/>
          </w:tblCellMar>
        </w:tblPrEx>
        <w:trPr>
          <w:trHeight w:val="71"/>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5E3A3" w14:textId="77777777" w:rsidR="00EB5DB9" w:rsidRDefault="00141725">
            <w:pPr>
              <w:jc w:val="center"/>
            </w:pPr>
            <w:r>
              <w:rPr>
                <w:rFonts w:ascii="Work Sans" w:eastAsia="Arial Narrow" w:hAnsi="Work Sans" w:cs="Arial Narrow"/>
                <w:b/>
                <w:sz w:val="18"/>
                <w:szCs w:val="18"/>
              </w:rPr>
              <w:t xml:space="preserve">Casetabla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AAA93"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9262"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2904C"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5.400</w:t>
            </w:r>
          </w:p>
        </w:tc>
      </w:tr>
      <w:tr w:rsidR="00EB5DB9" w14:paraId="15690800" w14:textId="77777777">
        <w:tblPrEx>
          <w:tblCellMar>
            <w:top w:w="0" w:type="dxa"/>
            <w:bottom w:w="0" w:type="dxa"/>
          </w:tblCellMar>
        </w:tblPrEx>
        <w:trPr>
          <w:trHeight w:val="71"/>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5E31"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3C5D"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0AF54"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 xml:space="preserve">Buses, </w:t>
            </w:r>
            <w:r>
              <w:rPr>
                <w:rFonts w:ascii="Work Sans" w:eastAsia="Arial Narrow" w:hAnsi="Work Sans" w:cs="Arial Narrow"/>
                <w:sz w:val="18"/>
                <w:szCs w:val="18"/>
              </w:rPr>
              <w:t>busetas, microbuses con eje 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2E06F"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5.800</w:t>
            </w:r>
          </w:p>
        </w:tc>
      </w:tr>
      <w:tr w:rsidR="00EB5DB9" w14:paraId="4DE657F0"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49D45"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265E4"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B9F31"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6D996"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6.400</w:t>
            </w:r>
          </w:p>
        </w:tc>
      </w:tr>
      <w:tr w:rsidR="00EB5DB9" w14:paraId="1DA80BE0"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86330"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1E979"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6BA46"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4D7D0"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6.400</w:t>
            </w:r>
          </w:p>
        </w:tc>
      </w:tr>
      <w:tr w:rsidR="00EB5DB9" w14:paraId="795BFBFE"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C4486"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DB2B3"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D7E0E"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9B0AF"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25.000</w:t>
            </w:r>
          </w:p>
        </w:tc>
      </w:tr>
      <w:tr w:rsidR="00EB5DB9" w14:paraId="09D9669B"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F37FB"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38A01"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1F878"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5DE99"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31.100</w:t>
            </w:r>
          </w:p>
        </w:tc>
      </w:tr>
      <w:tr w:rsidR="00EB5DB9" w14:paraId="139C9D70"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05AC"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08E9F"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3C68"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64908"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35.000</w:t>
            </w:r>
          </w:p>
        </w:tc>
      </w:tr>
    </w:tbl>
    <w:p w14:paraId="7A5089E1" w14:textId="77777777" w:rsidR="00EB5DB9" w:rsidRDefault="00141725">
      <w:pPr>
        <w:jc w:val="both"/>
        <w:rPr>
          <w:rFonts w:ascii="Work Sans" w:eastAsia="Arial Narrow" w:hAnsi="Work Sans" w:cs="Arial Narrow"/>
          <w:sz w:val="18"/>
          <w:szCs w:val="18"/>
        </w:rPr>
      </w:pPr>
      <w:r>
        <w:rPr>
          <w:rFonts w:ascii="Work Sans" w:eastAsia="Arial Narrow" w:hAnsi="Work Sans" w:cs="Arial Narrow"/>
          <w:sz w:val="18"/>
          <w:szCs w:val="18"/>
        </w:rPr>
        <w:t xml:space="preserve">       *No incluye Fosevi – Tarifas expresadas en pesos de diciembre de 2020</w:t>
      </w:r>
    </w:p>
    <w:bookmarkEnd w:id="4"/>
    <w:p w14:paraId="7EC685C7" w14:textId="77777777" w:rsidR="00EB5DB9" w:rsidRDefault="00EB5DB9">
      <w:pPr>
        <w:ind w:firstLine="720"/>
        <w:jc w:val="both"/>
        <w:rPr>
          <w:rFonts w:ascii="Work Sans" w:eastAsia="Arial Narrow" w:hAnsi="Work Sans" w:cs="Arial Narrow"/>
          <w:sz w:val="20"/>
          <w:szCs w:val="20"/>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5285B848" w14:textId="77777777">
        <w:tblPrEx>
          <w:tblCellMar>
            <w:top w:w="0" w:type="dxa"/>
            <w:bottom w:w="0" w:type="dxa"/>
          </w:tblCellMar>
        </w:tblPrEx>
        <w:trPr>
          <w:trHeight w:val="346"/>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72C0A"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Nombre</w:t>
            </w:r>
          </w:p>
          <w:p w14:paraId="2B314224"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335FF"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B4617"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C9AA7" w14:textId="77777777" w:rsidR="00EB5DB9" w:rsidRDefault="00141725">
            <w:pPr>
              <w:pStyle w:val="Standard"/>
              <w:jc w:val="center"/>
              <w:rPr>
                <w:rFonts w:ascii="Work Sans" w:eastAsia="Arial Narrow" w:hAnsi="Work Sans" w:cs="Arial Narrow"/>
                <w:b/>
                <w:sz w:val="18"/>
                <w:szCs w:val="18"/>
                <w:lang w:bidi="hi-IN"/>
              </w:rPr>
            </w:pPr>
            <w:r>
              <w:rPr>
                <w:rFonts w:ascii="Work Sans" w:eastAsia="Arial Narrow" w:hAnsi="Work Sans" w:cs="Arial Narrow"/>
                <w:b/>
                <w:sz w:val="18"/>
                <w:szCs w:val="18"/>
                <w:lang w:bidi="hi-IN"/>
              </w:rPr>
              <w:t>Tarifa*</w:t>
            </w:r>
          </w:p>
        </w:tc>
      </w:tr>
      <w:tr w:rsidR="00EB5DB9" w14:paraId="12AA3FFF" w14:textId="77777777">
        <w:tblPrEx>
          <w:tblCellMar>
            <w:top w:w="0" w:type="dxa"/>
            <w:bottom w:w="0" w:type="dxa"/>
          </w:tblCellMar>
        </w:tblPrEx>
        <w:trPr>
          <w:trHeight w:val="71"/>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B8429" w14:textId="77777777" w:rsidR="00EB5DB9" w:rsidRDefault="00141725">
            <w:pPr>
              <w:jc w:val="center"/>
            </w:pPr>
            <w:r>
              <w:rPr>
                <w:rFonts w:ascii="Work Sans" w:eastAsia="Arial Narrow" w:hAnsi="Work Sans" w:cs="Arial Narrow"/>
                <w:b/>
                <w:sz w:val="18"/>
                <w:szCs w:val="18"/>
              </w:rPr>
              <w:t xml:space="preserve">Yucao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A0936"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4140"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Automóviles, camperos y 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3E58E"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5.400</w:t>
            </w:r>
          </w:p>
        </w:tc>
      </w:tr>
      <w:tr w:rsidR="00EB5DB9" w14:paraId="5A6404EE" w14:textId="77777777">
        <w:tblPrEx>
          <w:tblCellMar>
            <w:top w:w="0" w:type="dxa"/>
            <w:bottom w:w="0" w:type="dxa"/>
          </w:tblCellMar>
        </w:tblPrEx>
        <w:trPr>
          <w:trHeight w:val="71"/>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D116"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2FC5A"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7EDDA"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Buses, busetas, microbuses con eje 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C7FEA"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5.800</w:t>
            </w:r>
          </w:p>
        </w:tc>
      </w:tr>
      <w:tr w:rsidR="00EB5DB9" w14:paraId="611FE8E7"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DFEE5"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86843"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4C0B5"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1CF06"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6.400</w:t>
            </w:r>
          </w:p>
        </w:tc>
      </w:tr>
      <w:tr w:rsidR="00EB5DB9" w14:paraId="02E33437"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6C9F3"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E358F"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99752"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F260B"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6.400</w:t>
            </w:r>
          </w:p>
        </w:tc>
      </w:tr>
      <w:tr w:rsidR="00EB5DB9" w14:paraId="3A3BC68E"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6C8A4"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C314B"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BE270"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AB482"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25.000</w:t>
            </w:r>
          </w:p>
        </w:tc>
      </w:tr>
      <w:tr w:rsidR="00EB5DB9" w14:paraId="2503D0E7"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CFB92"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BDC8B"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856E"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3AB00"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31.100</w:t>
            </w:r>
          </w:p>
        </w:tc>
      </w:tr>
      <w:tr w:rsidR="00EB5DB9" w14:paraId="08FFEB11"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06B6"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830F6"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B13B9" w14:textId="77777777" w:rsidR="00EB5DB9" w:rsidRDefault="00141725">
            <w:pPr>
              <w:rPr>
                <w:rFonts w:ascii="Work Sans" w:eastAsia="Arial Narrow" w:hAnsi="Work Sans" w:cs="Arial Narrow"/>
                <w:sz w:val="18"/>
                <w:szCs w:val="18"/>
              </w:rPr>
            </w:pPr>
            <w:r>
              <w:rPr>
                <w:rFonts w:ascii="Work Sans" w:eastAsia="Arial Narrow" w:hAnsi="Work Sans" w:cs="Arial Narrow"/>
                <w:sz w:val="18"/>
                <w:szCs w:val="18"/>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08F8D"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35.000</w:t>
            </w:r>
          </w:p>
        </w:tc>
      </w:tr>
    </w:tbl>
    <w:p w14:paraId="5CE9B2A8" w14:textId="77777777" w:rsidR="00EB5DB9" w:rsidRDefault="00141725">
      <w:pPr>
        <w:jc w:val="both"/>
        <w:rPr>
          <w:rFonts w:ascii="Work Sans" w:eastAsia="Arial Narrow" w:hAnsi="Work Sans" w:cs="Arial Narrow"/>
          <w:sz w:val="18"/>
          <w:szCs w:val="18"/>
        </w:rPr>
      </w:pPr>
      <w:r>
        <w:rPr>
          <w:rFonts w:ascii="Work Sans" w:eastAsia="Arial Narrow" w:hAnsi="Work Sans" w:cs="Arial Narrow"/>
          <w:sz w:val="18"/>
          <w:szCs w:val="18"/>
        </w:rPr>
        <w:t xml:space="preserve">       *No incluye Fosevi – Tarifas expresadas en pesos de diciembre de 2020</w:t>
      </w:r>
    </w:p>
    <w:p w14:paraId="0C77BBD0" w14:textId="77777777" w:rsidR="00EB5DB9" w:rsidRDefault="00EB5DB9">
      <w:pPr>
        <w:ind w:firstLine="720"/>
        <w:jc w:val="both"/>
        <w:rPr>
          <w:rFonts w:ascii="Work Sans" w:eastAsia="Arial Narrow" w:hAnsi="Work Sans" w:cs="Arial Narrow"/>
          <w:sz w:val="20"/>
          <w:szCs w:val="20"/>
        </w:rPr>
      </w:pPr>
    </w:p>
    <w:tbl>
      <w:tblPr>
        <w:tblW w:w="7665" w:type="dxa"/>
        <w:jc w:val="center"/>
        <w:tblLayout w:type="fixed"/>
        <w:tblCellMar>
          <w:left w:w="10" w:type="dxa"/>
          <w:right w:w="10" w:type="dxa"/>
        </w:tblCellMar>
        <w:tblLook w:val="04A0" w:firstRow="1" w:lastRow="0" w:firstColumn="1" w:lastColumn="0" w:noHBand="0" w:noVBand="1"/>
      </w:tblPr>
      <w:tblGrid>
        <w:gridCol w:w="1395"/>
        <w:gridCol w:w="1530"/>
        <w:gridCol w:w="3045"/>
        <w:gridCol w:w="1695"/>
      </w:tblGrid>
      <w:tr w:rsidR="00EB5DB9" w14:paraId="6CE91492" w14:textId="77777777">
        <w:tblPrEx>
          <w:tblCellMar>
            <w:top w:w="0" w:type="dxa"/>
            <w:bottom w:w="0" w:type="dxa"/>
          </w:tblCellMar>
        </w:tblPrEx>
        <w:trPr>
          <w:trHeight w:val="195"/>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CD9CD"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Nombre</w:t>
            </w:r>
          </w:p>
          <w:p w14:paraId="32EC7300"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Peaje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4A590"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Categorías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041A2"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Descripción</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29FCB" w14:textId="77777777" w:rsidR="00EB5DB9" w:rsidRDefault="00141725">
            <w:pPr>
              <w:jc w:val="center"/>
              <w:rPr>
                <w:rFonts w:ascii="Work Sans" w:eastAsia="Arial Narrow" w:hAnsi="Work Sans" w:cs="Arial Narrow"/>
                <w:b/>
                <w:bCs/>
                <w:sz w:val="18"/>
                <w:szCs w:val="18"/>
              </w:rPr>
            </w:pPr>
            <w:r>
              <w:rPr>
                <w:rFonts w:ascii="Work Sans" w:eastAsia="Arial Narrow" w:hAnsi="Work Sans" w:cs="Arial Narrow"/>
                <w:b/>
                <w:bCs/>
                <w:sz w:val="18"/>
                <w:szCs w:val="18"/>
              </w:rPr>
              <w:t>Tarifa*</w:t>
            </w:r>
          </w:p>
        </w:tc>
      </w:tr>
      <w:tr w:rsidR="00EB5DB9" w14:paraId="0932087A" w14:textId="77777777">
        <w:tblPrEx>
          <w:tblCellMar>
            <w:top w:w="0" w:type="dxa"/>
            <w:bottom w:w="0" w:type="dxa"/>
          </w:tblCellMar>
        </w:tblPrEx>
        <w:trPr>
          <w:trHeight w:val="435"/>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71F8C" w14:textId="77777777" w:rsidR="00EB5DB9" w:rsidRDefault="00141725">
            <w:pPr>
              <w:jc w:val="center"/>
              <w:rPr>
                <w:rFonts w:ascii="Work Sans" w:eastAsia="Arial Narrow" w:hAnsi="Work Sans" w:cs="Arial Narrow"/>
                <w:b/>
                <w:sz w:val="18"/>
                <w:szCs w:val="18"/>
              </w:rPr>
            </w:pPr>
            <w:r>
              <w:rPr>
                <w:rFonts w:ascii="Work Sans" w:eastAsia="Arial Narrow" w:hAnsi="Work Sans" w:cs="Arial Narrow"/>
                <w:b/>
                <w:sz w:val="18"/>
                <w:szCs w:val="18"/>
              </w:rPr>
              <w:t xml:space="preserve">El Cairo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171A"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D00BC"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 xml:space="preserve">Automóviles, camperos y </w:t>
            </w:r>
            <w:r>
              <w:rPr>
                <w:rFonts w:ascii="Work Sans" w:eastAsia="Arial Narrow" w:hAnsi="Work Sans" w:cs="Arial Narrow"/>
                <w:sz w:val="18"/>
                <w:szCs w:val="18"/>
              </w:rPr>
              <w:t>camionetas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2004A"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4.200</w:t>
            </w:r>
          </w:p>
        </w:tc>
      </w:tr>
      <w:tr w:rsidR="00EB5DB9" w14:paraId="4ABE859E" w14:textId="77777777">
        <w:tblPrEx>
          <w:tblCellMar>
            <w:top w:w="0" w:type="dxa"/>
            <w:bottom w:w="0" w:type="dxa"/>
          </w:tblCellMar>
        </w:tblPrEx>
        <w:trPr>
          <w:trHeight w:val="19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BF1E2"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B4278"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1C77E"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Buses, busetas, microbuses con eje trasero de doble llanta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EF4B5"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12.800</w:t>
            </w:r>
          </w:p>
        </w:tc>
      </w:tr>
      <w:tr w:rsidR="00EB5DB9" w14:paraId="410BD8AA"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8CB47"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B2434"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8CEB0"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Camiones pequeños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DE9B6"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13.800</w:t>
            </w:r>
          </w:p>
        </w:tc>
      </w:tr>
      <w:tr w:rsidR="00EB5DB9" w14:paraId="2E79F438"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3BAA9"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CDB7C"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IV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CE1B8"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Camiones grandes de dos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BEFC3"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25.400</w:t>
            </w:r>
          </w:p>
        </w:tc>
      </w:tr>
      <w:tr w:rsidR="00EB5DB9" w14:paraId="0386593A"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AD3CD"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C0F94"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E6BC5"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Camiones de tres y cuatro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93796"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46.700</w:t>
            </w:r>
          </w:p>
        </w:tc>
      </w:tr>
      <w:tr w:rsidR="00EB5DB9" w14:paraId="1F1A0997"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9B08E"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7110C"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5F4EA"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Camiones de cinco ejes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A315"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53.200</w:t>
            </w:r>
          </w:p>
        </w:tc>
      </w:tr>
      <w:tr w:rsidR="00EB5DB9" w14:paraId="7EE9F523" w14:textId="77777777">
        <w:tblPrEx>
          <w:tblCellMar>
            <w:top w:w="0" w:type="dxa"/>
            <w:bottom w:w="0" w:type="dxa"/>
          </w:tblCellMar>
        </w:tblPrEx>
        <w:trPr>
          <w:trHeight w:val="105"/>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E98BB" w14:textId="77777777" w:rsidR="00EB5DB9" w:rsidRDefault="00EB5DB9">
            <w:pPr>
              <w:rPr>
                <w:rFonts w:ascii="Work Sans" w:eastAsia="Arial Narrow" w:hAnsi="Work Sans" w:cs="Arial Narrow"/>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62497"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Categoría VII</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6627D"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Camiones de seis ejes o más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D20A3" w14:textId="77777777" w:rsidR="00EB5DB9" w:rsidRDefault="00141725">
            <w:pPr>
              <w:jc w:val="center"/>
              <w:rPr>
                <w:rFonts w:ascii="Work Sans" w:eastAsia="Arial Narrow" w:hAnsi="Work Sans" w:cs="Arial Narrow"/>
                <w:sz w:val="18"/>
                <w:szCs w:val="18"/>
              </w:rPr>
            </w:pPr>
            <w:r>
              <w:rPr>
                <w:rFonts w:ascii="Work Sans" w:eastAsia="Arial Narrow" w:hAnsi="Work Sans" w:cs="Arial Narrow"/>
                <w:sz w:val="18"/>
                <w:szCs w:val="18"/>
              </w:rPr>
              <w:t>59.900</w:t>
            </w:r>
          </w:p>
        </w:tc>
      </w:tr>
    </w:tbl>
    <w:p w14:paraId="706E3D71" w14:textId="77777777" w:rsidR="00EB5DB9" w:rsidRDefault="00141725">
      <w:pPr>
        <w:jc w:val="both"/>
        <w:rPr>
          <w:rFonts w:ascii="Work Sans" w:eastAsia="Arial Narrow" w:hAnsi="Work Sans" w:cs="Arial Narrow"/>
          <w:sz w:val="18"/>
          <w:szCs w:val="18"/>
        </w:rPr>
      </w:pPr>
      <w:r>
        <w:rPr>
          <w:rFonts w:ascii="Work Sans" w:eastAsia="Arial Narrow" w:hAnsi="Work Sans" w:cs="Arial Narrow"/>
          <w:sz w:val="18"/>
          <w:szCs w:val="18"/>
        </w:rPr>
        <w:t xml:space="preserve">       *No incluye Fosevi – Tarifas expresadas en pesos de diciembre de 2013</w:t>
      </w:r>
    </w:p>
    <w:p w14:paraId="50381076" w14:textId="77777777" w:rsidR="00EB5DB9" w:rsidRDefault="00EB5DB9">
      <w:pPr>
        <w:jc w:val="both"/>
        <w:rPr>
          <w:rFonts w:ascii="Work Sans" w:eastAsia="Arial Narrow" w:hAnsi="Work Sans" w:cs="Arial Narrow"/>
          <w:b/>
          <w:bCs/>
          <w:sz w:val="18"/>
          <w:szCs w:val="18"/>
        </w:rPr>
      </w:pPr>
    </w:p>
    <w:bookmarkEnd w:id="3"/>
    <w:p w14:paraId="11DC54D0" w14:textId="77777777" w:rsidR="00EB5DB9" w:rsidRDefault="00141725">
      <w:pPr>
        <w:pStyle w:val="Default"/>
        <w:ind w:right="-2"/>
        <w:jc w:val="both"/>
      </w:pPr>
      <w:r>
        <w:rPr>
          <w:rFonts w:ascii="Work Sans" w:eastAsia="Arial Narrow" w:hAnsi="Work Sans" w:cs="Arial Narrow"/>
          <w:b/>
          <w:sz w:val="20"/>
          <w:szCs w:val="20"/>
        </w:rPr>
        <w:t>PARÁGRAFO PRIMERO</w:t>
      </w:r>
      <w:r>
        <w:rPr>
          <w:rFonts w:ascii="Work Sans" w:eastAsia="Arial Narrow" w:hAnsi="Work Sans" w:cs="Arial Narrow"/>
          <w:sz w:val="20"/>
          <w:szCs w:val="20"/>
        </w:rPr>
        <w:t xml:space="preserve">.- </w:t>
      </w:r>
      <w:bookmarkStart w:id="5" w:name="_Hlk76746641"/>
      <w:r>
        <w:rPr>
          <w:rFonts w:ascii="Work Sans" w:eastAsia="Arial Narrow" w:hAnsi="Work Sans" w:cs="Arial Narrow"/>
          <w:sz w:val="20"/>
          <w:szCs w:val="20"/>
        </w:rPr>
        <w:t xml:space="preserve">A las tarifas de peaje de que trata el </w:t>
      </w:r>
      <w:r>
        <w:rPr>
          <w:rFonts w:ascii="Work Sans" w:eastAsia="Arial Narrow" w:hAnsi="Work Sans" w:cs="Arial Narrow"/>
          <w:sz w:val="20"/>
          <w:szCs w:val="20"/>
        </w:rPr>
        <w:t xml:space="preserve">presente artículo, se les adicionará el </w:t>
      </w:r>
      <w:r>
        <w:rPr>
          <w:rFonts w:ascii="Work Sans" w:hAnsi="Work Sans" w:cs="Arial"/>
          <w:sz w:val="20"/>
          <w:szCs w:val="20"/>
        </w:rPr>
        <w:t xml:space="preserve">valor  destinado a adelantar programas de seguridad en las carreteras a cargo de la Nación (FOSEVI) y </w:t>
      </w:r>
      <w:r>
        <w:rPr>
          <w:rFonts w:ascii="Work Sans" w:eastAsia="Arial Narrow" w:hAnsi="Work Sans" w:cs="Arial Narrow"/>
          <w:sz w:val="20"/>
          <w:szCs w:val="20"/>
        </w:rPr>
        <w:t>serán ajustadas a la centena más cercana con el fin de facilitar el recaudo.</w:t>
      </w:r>
    </w:p>
    <w:p w14:paraId="4CAE7026" w14:textId="77777777" w:rsidR="00EB5DB9" w:rsidRDefault="00EB5DB9">
      <w:pPr>
        <w:jc w:val="both"/>
        <w:rPr>
          <w:rFonts w:ascii="Work Sans" w:eastAsia="Arial Narrow" w:hAnsi="Work Sans" w:cs="Arial Narrow"/>
          <w:sz w:val="20"/>
          <w:szCs w:val="20"/>
        </w:rPr>
      </w:pPr>
    </w:p>
    <w:bookmarkEnd w:id="5"/>
    <w:p w14:paraId="5B1151AC" w14:textId="77777777" w:rsidR="00EB5DB9" w:rsidRDefault="00141725">
      <w:pPr>
        <w:jc w:val="both"/>
      </w:pPr>
      <w:r>
        <w:rPr>
          <w:rFonts w:ascii="Work Sans" w:eastAsia="Arial Narrow" w:hAnsi="Work Sans" w:cs="Arial Narrow"/>
          <w:b/>
          <w:bCs/>
          <w:sz w:val="20"/>
          <w:szCs w:val="20"/>
        </w:rPr>
        <w:t>PARÁGRAFO SEGUNDO</w:t>
      </w:r>
      <w:r>
        <w:rPr>
          <w:rFonts w:ascii="Work Sans" w:eastAsia="Arial Narrow" w:hAnsi="Work Sans" w:cs="Arial Narrow"/>
          <w:sz w:val="20"/>
          <w:szCs w:val="20"/>
        </w:rPr>
        <w:t xml:space="preserve">.- </w:t>
      </w:r>
      <w:bookmarkStart w:id="6" w:name="_Hlk76746727"/>
      <w:r>
        <w:rPr>
          <w:rFonts w:ascii="Work Sans" w:eastAsia="Arial Narrow" w:hAnsi="Work Sans" w:cs="Arial Narrow"/>
          <w:sz w:val="20"/>
          <w:szCs w:val="20"/>
        </w:rPr>
        <w:t xml:space="preserve">Las </w:t>
      </w:r>
      <w:r>
        <w:rPr>
          <w:rFonts w:ascii="Work Sans" w:eastAsia="Arial Narrow" w:hAnsi="Work Sans" w:cs="Arial Narrow"/>
          <w:sz w:val="20"/>
          <w:szCs w:val="20"/>
        </w:rPr>
        <w:t>tarifas previstas en el presente artículo comenzarán a regir a partir de la fecha de expedición de la presente resolución, con excepción de las tarifas establecidas para la estación de peaje El Cairo, y serán actualizadas a partir del 16 de enero de cada a</w:t>
      </w:r>
      <w:r>
        <w:rPr>
          <w:rFonts w:ascii="Work Sans" w:eastAsia="Arial Narrow" w:hAnsi="Work Sans" w:cs="Arial Narrow"/>
          <w:sz w:val="20"/>
          <w:szCs w:val="20"/>
        </w:rPr>
        <w:t>ño.</w:t>
      </w:r>
    </w:p>
    <w:p w14:paraId="42771497" w14:textId="77777777" w:rsidR="00EB5DB9" w:rsidRDefault="00EB5DB9">
      <w:pPr>
        <w:jc w:val="both"/>
        <w:rPr>
          <w:rFonts w:ascii="Work Sans" w:eastAsia="Arial Narrow" w:hAnsi="Work Sans" w:cs="Arial Narrow"/>
          <w:sz w:val="20"/>
          <w:szCs w:val="20"/>
        </w:rPr>
      </w:pPr>
    </w:p>
    <w:p w14:paraId="6D5DCE47" w14:textId="77777777" w:rsidR="00EB5DB9" w:rsidRDefault="00141725">
      <w:pPr>
        <w:jc w:val="both"/>
      </w:pPr>
      <w:r>
        <w:rPr>
          <w:rFonts w:ascii="Work Sans" w:eastAsia="Arial Narrow" w:hAnsi="Work Sans" w:cs="Arial Narrow"/>
          <w:b/>
          <w:bCs/>
          <w:sz w:val="20"/>
          <w:szCs w:val="20"/>
        </w:rPr>
        <w:t>PARÁGRAFO TERCERO</w:t>
      </w:r>
      <w:r>
        <w:rPr>
          <w:rFonts w:ascii="Work Sans" w:eastAsia="Arial Narrow" w:hAnsi="Work Sans" w:cs="Arial Narrow"/>
          <w:sz w:val="20"/>
          <w:szCs w:val="20"/>
        </w:rPr>
        <w:t xml:space="preserve">.- </w:t>
      </w:r>
      <w:bookmarkEnd w:id="6"/>
      <w:r>
        <w:rPr>
          <w:rFonts w:ascii="Work Sans" w:eastAsia="Arial Narrow" w:hAnsi="Work Sans" w:cs="Arial Narrow"/>
          <w:sz w:val="20"/>
          <w:szCs w:val="20"/>
        </w:rPr>
        <w:t xml:space="preserve">En las estaciones de peaje Ocoa, Iracá y la Libertad, para los años 2022 en adelante, la tarifa </w:t>
      </w:r>
      <w:r>
        <w:rPr>
          <w:rFonts w:ascii="Work Sans" w:hAnsi="Work Sans"/>
          <w:sz w:val="20"/>
          <w:szCs w:val="20"/>
        </w:rPr>
        <w:t>se actualizará anualmente con el IPC</w:t>
      </w:r>
      <w:r>
        <w:rPr>
          <w:rFonts w:ascii="Work Sans" w:eastAsia="Arial Narrow" w:hAnsi="Work Sans" w:cs="Arial Narrow"/>
          <w:sz w:val="20"/>
          <w:szCs w:val="20"/>
        </w:rPr>
        <w:t xml:space="preserve">, tal como lo establece la Sección 4.2 de la Parte Especial del Contrato de Concesión </w:t>
      </w:r>
      <w:r>
        <w:rPr>
          <w:rFonts w:ascii="Work Sans" w:hAnsi="Work Sans"/>
          <w:spacing w:val="-3"/>
          <w:sz w:val="20"/>
          <w:szCs w:val="20"/>
        </w:rPr>
        <w:t>004 de 2015.</w:t>
      </w:r>
    </w:p>
    <w:p w14:paraId="42BF6970" w14:textId="77777777" w:rsidR="00EB5DB9" w:rsidRDefault="00EB5DB9">
      <w:pPr>
        <w:jc w:val="both"/>
        <w:rPr>
          <w:rFonts w:ascii="Work Sans" w:hAnsi="Work Sans"/>
          <w:spacing w:val="-3"/>
          <w:sz w:val="20"/>
          <w:szCs w:val="20"/>
        </w:rPr>
      </w:pPr>
    </w:p>
    <w:p w14:paraId="443CBA0A" w14:textId="77777777" w:rsidR="00EB5DB9" w:rsidRDefault="00141725">
      <w:pPr>
        <w:jc w:val="both"/>
      </w:pPr>
      <w:r>
        <w:rPr>
          <w:rFonts w:ascii="Work Sans" w:eastAsia="Arial Narrow" w:hAnsi="Work Sans" w:cs="Arial Narrow"/>
          <w:b/>
          <w:bCs/>
          <w:sz w:val="20"/>
          <w:szCs w:val="20"/>
        </w:rPr>
        <w:t>PARÁGRAFO CUARTO</w:t>
      </w:r>
      <w:r>
        <w:rPr>
          <w:rFonts w:ascii="Work Sans" w:eastAsia="Arial Narrow" w:hAnsi="Work Sans" w:cs="Arial Narrow"/>
          <w:sz w:val="20"/>
          <w:szCs w:val="20"/>
        </w:rPr>
        <w:t xml:space="preserve">.- En la estación de peaje El Cairo la tarifa que será cobrada en los años siguientes al inicio del recaudo del peaje </w:t>
      </w:r>
      <w:r>
        <w:rPr>
          <w:rFonts w:ascii="Work Sans" w:hAnsi="Work Sans"/>
          <w:sz w:val="20"/>
          <w:szCs w:val="20"/>
        </w:rPr>
        <w:t>se actualizará anualmente con el IPC</w:t>
      </w:r>
      <w:r>
        <w:rPr>
          <w:rFonts w:ascii="Work Sans" w:eastAsia="Arial Narrow" w:hAnsi="Work Sans" w:cs="Arial Narrow"/>
          <w:sz w:val="20"/>
          <w:szCs w:val="20"/>
        </w:rPr>
        <w:t>, tal como lo establece la sección 4.2 de la Parte Especial del Contrato de Concesión</w:t>
      </w:r>
      <w:r>
        <w:rPr>
          <w:rFonts w:ascii="Work Sans" w:eastAsia="Arial Narrow" w:hAnsi="Work Sans" w:cs="Arial Narrow"/>
          <w:sz w:val="20"/>
          <w:szCs w:val="20"/>
        </w:rPr>
        <w:t xml:space="preserve"> 04 de 2015. </w:t>
      </w:r>
    </w:p>
    <w:p w14:paraId="68B9EEFE" w14:textId="77777777" w:rsidR="00EB5DB9" w:rsidRDefault="00EB5DB9">
      <w:pPr>
        <w:jc w:val="both"/>
        <w:rPr>
          <w:rFonts w:ascii="Work Sans" w:eastAsia="Arial Narrow" w:hAnsi="Work Sans" w:cs="Arial Narrow"/>
          <w:sz w:val="20"/>
          <w:szCs w:val="20"/>
        </w:rPr>
      </w:pPr>
    </w:p>
    <w:p w14:paraId="40126C8D" w14:textId="77777777" w:rsidR="00EB5DB9" w:rsidRDefault="00141725">
      <w:pPr>
        <w:jc w:val="both"/>
      </w:pPr>
      <w:r>
        <w:rPr>
          <w:rFonts w:ascii="Work Sans" w:eastAsia="Arial Narrow" w:hAnsi="Work Sans" w:cs="Arial Narrow"/>
          <w:b/>
          <w:bCs/>
          <w:sz w:val="20"/>
          <w:szCs w:val="20"/>
        </w:rPr>
        <w:t>PARÁGRAFO QUINTO</w:t>
      </w:r>
      <w:r>
        <w:rPr>
          <w:rFonts w:ascii="Work Sans" w:eastAsia="Arial Narrow" w:hAnsi="Work Sans" w:cs="Arial Narrow"/>
          <w:sz w:val="20"/>
          <w:szCs w:val="20"/>
        </w:rPr>
        <w:t xml:space="preserve">.- En las estaciones de peaje Casetabla y Yucao, para los años 2022 a 2024 las tarifas serán las previstas en el artículo 2 de la presente resolución. A partir del año 2025, la tarifa prevista en el presente artículo </w:t>
      </w:r>
      <w:r>
        <w:rPr>
          <w:rFonts w:ascii="Work Sans" w:hAnsi="Work Sans"/>
          <w:sz w:val="20"/>
          <w:szCs w:val="20"/>
        </w:rPr>
        <w:t>se actua</w:t>
      </w:r>
      <w:r>
        <w:rPr>
          <w:rFonts w:ascii="Work Sans" w:hAnsi="Work Sans"/>
          <w:sz w:val="20"/>
          <w:szCs w:val="20"/>
        </w:rPr>
        <w:t xml:space="preserve">lizará conforme lo establecido en </w:t>
      </w:r>
      <w:r>
        <w:rPr>
          <w:rFonts w:ascii="Work Sans" w:eastAsia="Arial Narrow" w:hAnsi="Work Sans" w:cs="Arial Narrow"/>
          <w:sz w:val="20"/>
          <w:szCs w:val="20"/>
        </w:rPr>
        <w:t xml:space="preserve">la sección 4.2 de la Parte Especial del Contrato de Concesión 04 de 2015.  </w:t>
      </w:r>
    </w:p>
    <w:p w14:paraId="1DDB34BE" w14:textId="77777777" w:rsidR="00EB5DB9" w:rsidRDefault="00EB5DB9">
      <w:pPr>
        <w:jc w:val="both"/>
        <w:rPr>
          <w:rFonts w:ascii="Work Sans" w:eastAsia="Arial Narrow" w:hAnsi="Work Sans" w:cs="Arial Narrow"/>
          <w:sz w:val="20"/>
          <w:szCs w:val="20"/>
        </w:rPr>
      </w:pPr>
    </w:p>
    <w:p w14:paraId="7D83167D" w14:textId="77777777" w:rsidR="00EB5DB9" w:rsidRDefault="00141725">
      <w:pPr>
        <w:pStyle w:val="Standard"/>
        <w:jc w:val="both"/>
      </w:pPr>
      <w:r>
        <w:rPr>
          <w:rFonts w:ascii="Work Sans" w:eastAsia="Arial Narrow" w:hAnsi="Work Sans" w:cs="Arial Narrow"/>
          <w:b/>
          <w:sz w:val="20"/>
          <w:lang w:bidi="hi-IN"/>
        </w:rPr>
        <w:t>ARTÍCULO 2</w:t>
      </w:r>
      <w:r>
        <w:rPr>
          <w:rFonts w:ascii="Work Sans" w:eastAsia="Arial Narrow" w:hAnsi="Work Sans" w:cs="Arial Narrow"/>
          <w:sz w:val="20"/>
          <w:lang w:bidi="hi-IN"/>
        </w:rPr>
        <w:t xml:space="preserve">.- </w:t>
      </w:r>
      <w:bookmarkStart w:id="7" w:name="_Hlk76063449"/>
      <w:r>
        <w:rPr>
          <w:rFonts w:ascii="Work Sans" w:eastAsia="Arial Narrow" w:hAnsi="Work Sans" w:cs="Arial Narrow"/>
          <w:sz w:val="20"/>
          <w:lang w:bidi="hi-IN"/>
        </w:rPr>
        <w:t>Establecer las siguientes tarifas a cobrar en las estaciones de peaje Yucao y Casetabla para el período 2022 - 2024, a partir del 16</w:t>
      </w:r>
      <w:r>
        <w:rPr>
          <w:rFonts w:ascii="Work Sans" w:eastAsia="Arial Narrow" w:hAnsi="Work Sans" w:cs="Arial Narrow"/>
          <w:sz w:val="20"/>
          <w:lang w:bidi="hi-IN"/>
        </w:rPr>
        <w:t xml:space="preserve"> de enero de cada año, así:</w:t>
      </w:r>
    </w:p>
    <w:p w14:paraId="2902C5D4" w14:textId="77777777" w:rsidR="00EB5DB9" w:rsidRDefault="00EB5DB9">
      <w:pPr>
        <w:pStyle w:val="Standard"/>
        <w:jc w:val="both"/>
        <w:rPr>
          <w:rFonts w:ascii="Work Sans" w:eastAsia="Arial Narrow" w:hAnsi="Work Sans" w:cs="Arial Narrow"/>
          <w:sz w:val="20"/>
          <w:lang w:bidi="hi-IN"/>
        </w:rPr>
      </w:pPr>
    </w:p>
    <w:tbl>
      <w:tblPr>
        <w:tblW w:w="8359" w:type="dxa"/>
        <w:jc w:val="center"/>
        <w:tblLayout w:type="fixed"/>
        <w:tblCellMar>
          <w:left w:w="10" w:type="dxa"/>
          <w:right w:w="10" w:type="dxa"/>
        </w:tblCellMar>
        <w:tblLook w:val="04A0" w:firstRow="1" w:lastRow="0" w:firstColumn="1" w:lastColumn="0" w:noHBand="0" w:noVBand="1"/>
      </w:tblPr>
      <w:tblGrid>
        <w:gridCol w:w="1980"/>
        <w:gridCol w:w="3402"/>
        <w:gridCol w:w="1150"/>
        <w:gridCol w:w="901"/>
        <w:gridCol w:w="926"/>
      </w:tblGrid>
      <w:tr w:rsidR="00EB5DB9" w14:paraId="2D5DC46D" w14:textId="77777777">
        <w:tblPrEx>
          <w:tblCellMar>
            <w:top w:w="0" w:type="dxa"/>
            <w:bottom w:w="0" w:type="dxa"/>
          </w:tblCellMar>
        </w:tblPrEx>
        <w:trPr>
          <w:trHeight w:val="291"/>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18C6" w14:textId="77777777" w:rsidR="00EB5DB9" w:rsidRDefault="00141725">
            <w:pPr>
              <w:jc w:val="center"/>
              <w:textAlignment w:val="auto"/>
              <w:rPr>
                <w:rFonts w:ascii="Work Sans" w:eastAsia="Arial Narrow" w:hAnsi="Work Sans" w:cs="Arial Narrow"/>
                <w:b/>
                <w:sz w:val="18"/>
                <w:szCs w:val="18"/>
              </w:rPr>
            </w:pPr>
            <w:r>
              <w:rPr>
                <w:rFonts w:ascii="Work Sans" w:eastAsia="Arial Narrow" w:hAnsi="Work Sans" w:cs="Arial Narrow"/>
                <w:b/>
                <w:sz w:val="18"/>
                <w:szCs w:val="18"/>
              </w:rPr>
              <w:t>Categorías</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F5E10" w14:textId="77777777" w:rsidR="00EB5DB9" w:rsidRDefault="00141725">
            <w:pPr>
              <w:jc w:val="center"/>
              <w:textAlignment w:val="auto"/>
              <w:rPr>
                <w:rFonts w:ascii="Work Sans" w:eastAsia="Arial Narrow" w:hAnsi="Work Sans" w:cs="Arial Narrow"/>
                <w:b/>
                <w:sz w:val="18"/>
                <w:szCs w:val="18"/>
              </w:rPr>
            </w:pPr>
            <w:r>
              <w:rPr>
                <w:rFonts w:ascii="Work Sans" w:eastAsia="Arial Narrow" w:hAnsi="Work Sans" w:cs="Arial Narrow"/>
                <w:b/>
                <w:sz w:val="18"/>
                <w:szCs w:val="18"/>
              </w:rPr>
              <w:t>Descripción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86880" w14:textId="77777777" w:rsidR="00EB5DB9" w:rsidRDefault="00141725">
            <w:pPr>
              <w:jc w:val="center"/>
              <w:textAlignment w:val="auto"/>
              <w:rPr>
                <w:rFonts w:ascii="Work Sans" w:eastAsia="Arial Narrow" w:hAnsi="Work Sans" w:cs="Arial Narrow"/>
                <w:b/>
                <w:sz w:val="18"/>
                <w:szCs w:val="18"/>
              </w:rPr>
            </w:pPr>
            <w:r>
              <w:rPr>
                <w:rFonts w:ascii="Work Sans" w:eastAsia="Arial Narrow" w:hAnsi="Work Sans" w:cs="Arial Narrow"/>
                <w:b/>
                <w:sz w:val="18"/>
                <w:szCs w:val="18"/>
              </w:rPr>
              <w:t>Tarifas</w:t>
            </w:r>
          </w:p>
        </w:tc>
      </w:tr>
      <w:tr w:rsidR="00EB5DB9" w14:paraId="5AA80174" w14:textId="77777777">
        <w:tblPrEx>
          <w:tblCellMar>
            <w:top w:w="0" w:type="dxa"/>
            <w:bottom w:w="0" w:type="dxa"/>
          </w:tblCellMar>
        </w:tblPrEx>
        <w:trPr>
          <w:trHeight w:val="291"/>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55FD8" w14:textId="77777777" w:rsidR="00EB5DB9" w:rsidRDefault="00EB5DB9">
            <w:pPr>
              <w:jc w:val="center"/>
              <w:textAlignment w:val="auto"/>
              <w:rPr>
                <w:rFonts w:ascii="Work Sans" w:eastAsia="Arial Narrow" w:hAnsi="Work Sans" w:cs="Arial Narrow"/>
                <w:sz w:val="18"/>
                <w:szCs w:val="1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A9791" w14:textId="77777777" w:rsidR="00EB5DB9" w:rsidRDefault="00EB5DB9">
            <w:pPr>
              <w:jc w:val="center"/>
              <w:textAlignment w:val="auto"/>
              <w:rPr>
                <w:rFonts w:ascii="Work Sans" w:eastAsia="Arial Narrow" w:hAnsi="Work Sans" w:cs="Arial Narrow"/>
                <w:sz w:val="18"/>
                <w:szCs w:val="18"/>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57510" w14:textId="77777777" w:rsidR="00EB5DB9" w:rsidRDefault="00141725">
            <w:pPr>
              <w:jc w:val="center"/>
              <w:textAlignment w:val="auto"/>
            </w:pPr>
            <w:r>
              <w:rPr>
                <w:rFonts w:ascii="Work Sans" w:eastAsia="Arial Narrow" w:hAnsi="Work Sans" w:cs="Arial Narrow"/>
                <w:b/>
                <w:sz w:val="18"/>
                <w:szCs w:val="18"/>
              </w:rPr>
              <w:t>2022</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8AE85" w14:textId="77777777" w:rsidR="00EB5DB9" w:rsidRDefault="00141725">
            <w:pPr>
              <w:jc w:val="center"/>
              <w:textAlignment w:val="auto"/>
            </w:pPr>
            <w:r>
              <w:rPr>
                <w:rFonts w:ascii="Work Sans" w:eastAsia="Arial Narrow" w:hAnsi="Work Sans" w:cs="Arial Narrow"/>
                <w:b/>
                <w:sz w:val="18"/>
                <w:szCs w:val="18"/>
              </w:rPr>
              <w:t>2023</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BF7A2" w14:textId="77777777" w:rsidR="00EB5DB9" w:rsidRDefault="00141725">
            <w:pPr>
              <w:jc w:val="center"/>
              <w:textAlignment w:val="auto"/>
            </w:pPr>
            <w:r>
              <w:rPr>
                <w:rFonts w:ascii="Work Sans" w:eastAsia="Arial Narrow" w:hAnsi="Work Sans" w:cs="Arial Narrow"/>
                <w:b/>
                <w:sz w:val="18"/>
                <w:szCs w:val="18"/>
              </w:rPr>
              <w:t>2024</w:t>
            </w:r>
          </w:p>
        </w:tc>
      </w:tr>
      <w:tr w:rsidR="00EB5DB9" w14:paraId="37857DB1" w14:textId="77777777">
        <w:tblPrEx>
          <w:tblCellMar>
            <w:top w:w="0" w:type="dxa"/>
            <w:bottom w:w="0" w:type="dxa"/>
          </w:tblCellMar>
        </w:tblPrEx>
        <w:trPr>
          <w:trHeight w:val="44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CA5DD" w14:textId="77777777" w:rsidR="00EB5DB9" w:rsidRDefault="00141725">
            <w:pPr>
              <w:jc w:val="center"/>
              <w:textAlignment w:val="auto"/>
              <w:rPr>
                <w:rFonts w:ascii="Work Sans" w:eastAsia="Arial Narrow" w:hAnsi="Work Sans" w:cs="Arial Narrow"/>
                <w:sz w:val="18"/>
                <w:szCs w:val="18"/>
              </w:rPr>
            </w:pPr>
            <w:bookmarkStart w:id="8" w:name="_Hlk76030185"/>
            <w:r>
              <w:rPr>
                <w:rFonts w:ascii="Work Sans" w:eastAsia="Arial Narrow" w:hAnsi="Work Sans" w:cs="Arial Narrow"/>
                <w:sz w:val="18"/>
                <w:szCs w:val="18"/>
              </w:rPr>
              <w:t>Categoría 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4109C" w14:textId="77777777" w:rsidR="00EB5DB9" w:rsidRDefault="00141725">
            <w:pPr>
              <w:textAlignment w:val="auto"/>
              <w:rPr>
                <w:rFonts w:ascii="Work Sans" w:eastAsia="Arial Narrow" w:hAnsi="Work Sans" w:cs="Arial Narrow"/>
                <w:sz w:val="18"/>
                <w:szCs w:val="18"/>
              </w:rPr>
            </w:pPr>
            <w:r>
              <w:rPr>
                <w:rFonts w:ascii="Work Sans" w:eastAsia="Arial Narrow" w:hAnsi="Work Sans" w:cs="Arial Narrow"/>
                <w:sz w:val="18"/>
                <w:szCs w:val="18"/>
              </w:rPr>
              <w:t>Automóviles, camperos y camionetas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1E4C"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6.200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F31F"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7.000</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B7DD"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7.900</w:t>
            </w:r>
          </w:p>
        </w:tc>
      </w:tr>
      <w:tr w:rsidR="00EB5DB9" w14:paraId="1F731C27" w14:textId="77777777">
        <w:tblPrEx>
          <w:tblCellMar>
            <w:top w:w="0" w:type="dxa"/>
            <w:bottom w:w="0" w:type="dxa"/>
          </w:tblCellMar>
        </w:tblPrEx>
        <w:trPr>
          <w:trHeight w:val="2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B211"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Categoría II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E395" w14:textId="77777777" w:rsidR="00EB5DB9" w:rsidRDefault="00141725">
            <w:pPr>
              <w:textAlignment w:val="auto"/>
              <w:rPr>
                <w:rFonts w:ascii="Work Sans" w:eastAsia="Arial Narrow" w:hAnsi="Work Sans" w:cs="Arial Narrow"/>
                <w:sz w:val="18"/>
                <w:szCs w:val="18"/>
              </w:rPr>
            </w:pPr>
            <w:r>
              <w:rPr>
                <w:rFonts w:ascii="Work Sans" w:eastAsia="Arial Narrow" w:hAnsi="Work Sans" w:cs="Arial Narrow"/>
                <w:sz w:val="18"/>
                <w:szCs w:val="18"/>
              </w:rPr>
              <w:t>Buses, busetas, microbuses con eje trasero de doble llanta</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A7D0"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6.600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CADA"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7.400</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E371"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8.200</w:t>
            </w:r>
          </w:p>
        </w:tc>
      </w:tr>
      <w:tr w:rsidR="00EB5DB9" w14:paraId="6DC77BD5" w14:textId="77777777">
        <w:tblPrEx>
          <w:tblCellMar>
            <w:top w:w="0" w:type="dxa"/>
            <w:bottom w:w="0" w:type="dxa"/>
          </w:tblCellMar>
        </w:tblPrEx>
        <w:trPr>
          <w:trHeight w:val="10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BD31"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Categoría III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BD0B" w14:textId="77777777" w:rsidR="00EB5DB9" w:rsidRDefault="00141725">
            <w:pPr>
              <w:textAlignment w:val="auto"/>
              <w:rPr>
                <w:rFonts w:ascii="Work Sans" w:eastAsia="Arial Narrow" w:hAnsi="Work Sans" w:cs="Arial Narrow"/>
                <w:sz w:val="18"/>
                <w:szCs w:val="18"/>
              </w:rPr>
            </w:pPr>
            <w:r>
              <w:rPr>
                <w:rFonts w:ascii="Work Sans" w:eastAsia="Arial Narrow" w:hAnsi="Work Sans" w:cs="Arial Narrow"/>
                <w:sz w:val="18"/>
                <w:szCs w:val="18"/>
              </w:rPr>
              <w:t>Camiones pequeños de dos ejes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2A56"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7.900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EE8D4"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9.200</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E0B7"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10.900</w:t>
            </w:r>
          </w:p>
        </w:tc>
      </w:tr>
      <w:tr w:rsidR="00EB5DB9" w14:paraId="47BA260C" w14:textId="77777777">
        <w:tblPrEx>
          <w:tblCellMar>
            <w:top w:w="0" w:type="dxa"/>
            <w:bottom w:w="0" w:type="dxa"/>
          </w:tblCellMar>
        </w:tblPrEx>
        <w:trPr>
          <w:trHeight w:val="10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692CB"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Categoría IV</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2553" w14:textId="77777777" w:rsidR="00EB5DB9" w:rsidRDefault="00141725">
            <w:pPr>
              <w:textAlignment w:val="auto"/>
              <w:rPr>
                <w:rFonts w:ascii="Work Sans" w:eastAsia="Arial Narrow" w:hAnsi="Work Sans" w:cs="Arial Narrow"/>
                <w:sz w:val="18"/>
                <w:szCs w:val="18"/>
              </w:rPr>
            </w:pPr>
            <w:r>
              <w:rPr>
                <w:rFonts w:ascii="Work Sans" w:eastAsia="Arial Narrow" w:hAnsi="Work Sans" w:cs="Arial Narrow"/>
                <w:sz w:val="18"/>
                <w:szCs w:val="18"/>
              </w:rPr>
              <w:t>Camiones grandes de dos ejes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C81B"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7.900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77D4F"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9.200</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472C"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10.900</w:t>
            </w:r>
          </w:p>
        </w:tc>
      </w:tr>
      <w:tr w:rsidR="00EB5DB9" w14:paraId="136939E6" w14:textId="77777777">
        <w:tblPrEx>
          <w:tblCellMar>
            <w:top w:w="0" w:type="dxa"/>
            <w:bottom w:w="0" w:type="dxa"/>
          </w:tblCellMar>
        </w:tblPrEx>
        <w:trPr>
          <w:trHeight w:val="21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63A4"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Categoría V</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556C8" w14:textId="77777777" w:rsidR="00EB5DB9" w:rsidRDefault="00141725">
            <w:pPr>
              <w:textAlignment w:val="auto"/>
              <w:rPr>
                <w:rFonts w:ascii="Work Sans" w:eastAsia="Arial Narrow" w:hAnsi="Work Sans" w:cs="Arial Narrow"/>
                <w:sz w:val="18"/>
                <w:szCs w:val="18"/>
              </w:rPr>
            </w:pPr>
            <w:r>
              <w:rPr>
                <w:rFonts w:ascii="Work Sans" w:eastAsia="Arial Narrow" w:hAnsi="Work Sans" w:cs="Arial Narrow"/>
                <w:sz w:val="18"/>
                <w:szCs w:val="18"/>
              </w:rPr>
              <w:t>Camiones de tres y cuatro ejes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F0614"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29.400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1BCA"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33.700</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BC4C9"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37.800</w:t>
            </w:r>
          </w:p>
        </w:tc>
      </w:tr>
      <w:tr w:rsidR="00EB5DB9" w14:paraId="029E718E" w14:textId="77777777">
        <w:tblPrEx>
          <w:tblCellMar>
            <w:top w:w="0" w:type="dxa"/>
            <w:bottom w:w="0" w:type="dxa"/>
          </w:tblCellMar>
        </w:tblPrEx>
        <w:trPr>
          <w:trHeight w:val="10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EF2A"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Categoría 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0A74" w14:textId="77777777" w:rsidR="00EB5DB9" w:rsidRDefault="00141725">
            <w:pPr>
              <w:textAlignment w:val="auto"/>
              <w:rPr>
                <w:rFonts w:ascii="Work Sans" w:eastAsia="Arial Narrow" w:hAnsi="Work Sans" w:cs="Arial Narrow"/>
                <w:sz w:val="18"/>
                <w:szCs w:val="18"/>
              </w:rPr>
            </w:pPr>
            <w:r>
              <w:rPr>
                <w:rFonts w:ascii="Work Sans" w:eastAsia="Arial Narrow" w:hAnsi="Work Sans" w:cs="Arial Narrow"/>
                <w:sz w:val="18"/>
                <w:szCs w:val="18"/>
              </w:rPr>
              <w:t>Camiones de cinco ejes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E911"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35.900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D24C9"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40.600</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3DA3"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47.000</w:t>
            </w:r>
          </w:p>
        </w:tc>
      </w:tr>
      <w:tr w:rsidR="00EB5DB9" w14:paraId="19C64AB2" w14:textId="77777777">
        <w:tblPrEx>
          <w:tblCellMar>
            <w:top w:w="0" w:type="dxa"/>
            <w:bottom w:w="0" w:type="dxa"/>
          </w:tblCellMar>
        </w:tblPrEx>
        <w:trPr>
          <w:trHeight w:val="10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182D"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Categoría VII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23AE" w14:textId="77777777" w:rsidR="00EB5DB9" w:rsidRDefault="00141725">
            <w:pPr>
              <w:textAlignment w:val="auto"/>
              <w:rPr>
                <w:rFonts w:ascii="Work Sans" w:eastAsia="Arial Narrow" w:hAnsi="Work Sans" w:cs="Arial Narrow"/>
                <w:sz w:val="18"/>
                <w:szCs w:val="18"/>
              </w:rPr>
            </w:pPr>
            <w:r>
              <w:rPr>
                <w:rFonts w:ascii="Work Sans" w:eastAsia="Arial Narrow" w:hAnsi="Work Sans" w:cs="Arial Narrow"/>
                <w:sz w:val="18"/>
                <w:szCs w:val="18"/>
              </w:rPr>
              <w:t>Camiones de seis ejes o más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0B6EE"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40.400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B7CD"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45.500</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30AE" w14:textId="77777777" w:rsidR="00EB5DB9" w:rsidRDefault="00141725">
            <w:pPr>
              <w:jc w:val="center"/>
              <w:textAlignment w:val="auto"/>
              <w:rPr>
                <w:rFonts w:ascii="Work Sans" w:eastAsia="Arial Narrow" w:hAnsi="Work Sans" w:cs="Arial Narrow"/>
                <w:sz w:val="18"/>
                <w:szCs w:val="18"/>
              </w:rPr>
            </w:pPr>
            <w:r>
              <w:rPr>
                <w:rFonts w:ascii="Work Sans" w:eastAsia="Arial Narrow" w:hAnsi="Work Sans" w:cs="Arial Narrow"/>
                <w:sz w:val="18"/>
                <w:szCs w:val="18"/>
              </w:rPr>
              <w:t>52.800</w:t>
            </w:r>
          </w:p>
        </w:tc>
      </w:tr>
    </w:tbl>
    <w:p w14:paraId="672C4D14" w14:textId="77777777" w:rsidR="00EB5DB9" w:rsidRDefault="00141725">
      <w:pPr>
        <w:ind w:firstLine="142"/>
        <w:jc w:val="both"/>
      </w:pPr>
      <w:bookmarkStart w:id="9" w:name="_Hlk76032130"/>
      <w:bookmarkStart w:id="10" w:name="_Hlk76030213"/>
      <w:bookmarkEnd w:id="8"/>
      <w:r>
        <w:rPr>
          <w:rFonts w:ascii="Work Sans" w:eastAsia="Arial Narrow" w:hAnsi="Work Sans" w:cs="Arial Narrow"/>
          <w:sz w:val="18"/>
          <w:szCs w:val="18"/>
        </w:rPr>
        <w:t xml:space="preserve">*No incluye Fosevi – </w:t>
      </w:r>
      <w:r>
        <w:rPr>
          <w:rFonts w:ascii="Work Sans" w:hAnsi="Work Sans"/>
          <w:sz w:val="18"/>
          <w:szCs w:val="18"/>
        </w:rPr>
        <w:t>Tarifas expresadas en pesos de diciembre de 2020</w:t>
      </w:r>
      <w:r>
        <w:rPr>
          <w:rFonts w:ascii="Work Sans" w:eastAsia="Arial Narrow" w:hAnsi="Work Sans" w:cs="Arial Narrow"/>
          <w:sz w:val="18"/>
          <w:szCs w:val="18"/>
        </w:rPr>
        <w:t>.</w:t>
      </w:r>
    </w:p>
    <w:bookmarkEnd w:id="9"/>
    <w:bookmarkEnd w:id="10"/>
    <w:p w14:paraId="2995DDDF" w14:textId="77777777" w:rsidR="00EB5DB9" w:rsidRDefault="00EB5DB9">
      <w:pPr>
        <w:spacing w:line="254" w:lineRule="auto"/>
        <w:jc w:val="both"/>
        <w:rPr>
          <w:rFonts w:ascii="Work Sans" w:eastAsia="Arial Narrow" w:hAnsi="Work Sans" w:cs="Arial Narrow"/>
          <w:b/>
          <w:bCs/>
          <w:sz w:val="20"/>
          <w:szCs w:val="20"/>
        </w:rPr>
      </w:pPr>
    </w:p>
    <w:p w14:paraId="756D732C" w14:textId="77777777" w:rsidR="00EB5DB9" w:rsidRDefault="00141725">
      <w:pPr>
        <w:pStyle w:val="Default"/>
        <w:ind w:right="-2"/>
        <w:jc w:val="both"/>
      </w:pPr>
      <w:r>
        <w:rPr>
          <w:rFonts w:ascii="Work Sans" w:eastAsia="Arial Narrow" w:hAnsi="Work Sans" w:cs="Arial Narrow"/>
          <w:b/>
          <w:sz w:val="20"/>
          <w:szCs w:val="20"/>
        </w:rPr>
        <w:t>PARÁGRAFO PRIMERO</w:t>
      </w:r>
      <w:r>
        <w:rPr>
          <w:rFonts w:ascii="Work Sans" w:eastAsia="Arial Narrow" w:hAnsi="Work Sans" w:cs="Arial Narrow"/>
          <w:sz w:val="20"/>
          <w:szCs w:val="20"/>
        </w:rPr>
        <w:t xml:space="preserve">.- A las tarifas de peaje de que trata el presente artículo, se les adicionará el </w:t>
      </w:r>
      <w:r>
        <w:rPr>
          <w:rFonts w:ascii="Work Sans" w:hAnsi="Work Sans" w:cs="Arial"/>
          <w:sz w:val="20"/>
          <w:szCs w:val="20"/>
        </w:rPr>
        <w:t xml:space="preserve">valor  destinado a </w:t>
      </w:r>
      <w:r>
        <w:rPr>
          <w:rFonts w:ascii="Work Sans" w:hAnsi="Work Sans" w:cs="Arial"/>
          <w:sz w:val="20"/>
          <w:szCs w:val="20"/>
        </w:rPr>
        <w:t xml:space="preserve">adelantar programas de seguridad en las carreteras a cargo de la Nación (FOSEVI) y </w:t>
      </w:r>
      <w:r>
        <w:rPr>
          <w:rFonts w:ascii="Work Sans" w:eastAsia="Arial Narrow" w:hAnsi="Work Sans" w:cs="Arial Narrow"/>
          <w:sz w:val="20"/>
          <w:szCs w:val="20"/>
        </w:rPr>
        <w:t>serán ajustadas a la centena más cercana con el fin de facilitar el recaudo.</w:t>
      </w:r>
    </w:p>
    <w:p w14:paraId="02E863E9" w14:textId="77777777" w:rsidR="00EB5DB9" w:rsidRDefault="00EB5DB9">
      <w:pPr>
        <w:pStyle w:val="Default"/>
        <w:ind w:right="-2"/>
        <w:jc w:val="both"/>
      </w:pPr>
    </w:p>
    <w:p w14:paraId="284D9E1D" w14:textId="77777777" w:rsidR="00EB5DB9" w:rsidRDefault="00141725">
      <w:pPr>
        <w:jc w:val="both"/>
      </w:pPr>
      <w:r>
        <w:rPr>
          <w:rFonts w:ascii="Work Sans" w:eastAsia="Arial Narrow" w:hAnsi="Work Sans" w:cs="Arial Narrow"/>
          <w:b/>
          <w:bCs/>
          <w:sz w:val="20"/>
          <w:szCs w:val="20"/>
        </w:rPr>
        <w:t>PARÁGRAFO SEGUNDO</w:t>
      </w:r>
      <w:r>
        <w:rPr>
          <w:rFonts w:ascii="Work Sans" w:eastAsia="Arial Narrow" w:hAnsi="Work Sans" w:cs="Arial Narrow"/>
          <w:sz w:val="20"/>
          <w:szCs w:val="20"/>
        </w:rPr>
        <w:t xml:space="preserve">.- Para los años 2022 a 2024, la tarifa prevista en el presente artículo </w:t>
      </w:r>
      <w:r>
        <w:rPr>
          <w:rFonts w:ascii="Work Sans" w:hAnsi="Work Sans"/>
          <w:sz w:val="20"/>
          <w:szCs w:val="20"/>
        </w:rPr>
        <w:t>se ac</w:t>
      </w:r>
      <w:r>
        <w:rPr>
          <w:rFonts w:ascii="Work Sans" w:hAnsi="Work Sans"/>
          <w:sz w:val="20"/>
          <w:szCs w:val="20"/>
        </w:rPr>
        <w:t>tualizará anualmente con el IPC</w:t>
      </w:r>
      <w:r>
        <w:rPr>
          <w:rFonts w:ascii="Work Sans" w:eastAsia="Arial Narrow" w:hAnsi="Work Sans" w:cs="Arial Narrow"/>
          <w:sz w:val="20"/>
          <w:szCs w:val="20"/>
        </w:rPr>
        <w:t xml:space="preserve">, tal como lo establece la Sección 4.2 de la Parte Especial del Contrato de Concesión </w:t>
      </w:r>
      <w:r>
        <w:rPr>
          <w:rFonts w:ascii="Work Sans" w:hAnsi="Work Sans"/>
          <w:spacing w:val="-3"/>
          <w:sz w:val="20"/>
          <w:szCs w:val="20"/>
        </w:rPr>
        <w:t>004 de 2015.</w:t>
      </w:r>
    </w:p>
    <w:p w14:paraId="44B7886B" w14:textId="77777777" w:rsidR="00EB5DB9" w:rsidRDefault="00EB5DB9">
      <w:pPr>
        <w:jc w:val="both"/>
        <w:rPr>
          <w:rFonts w:ascii="Work Sans" w:eastAsia="Arial Narrow" w:hAnsi="Work Sans" w:cs="Arial Narrow"/>
          <w:sz w:val="20"/>
          <w:szCs w:val="20"/>
        </w:rPr>
      </w:pPr>
    </w:p>
    <w:p w14:paraId="4FF93F18" w14:textId="77777777" w:rsidR="00EB5DB9" w:rsidRDefault="00141725">
      <w:pPr>
        <w:pStyle w:val="Standard"/>
        <w:jc w:val="both"/>
      </w:pPr>
      <w:r>
        <w:rPr>
          <w:rFonts w:ascii="Work Sans" w:eastAsia="Arial Narrow" w:hAnsi="Work Sans" w:cs="Arial Narrow"/>
          <w:b/>
          <w:sz w:val="20"/>
          <w:lang w:bidi="hi-IN"/>
        </w:rPr>
        <w:t>ARTÍCULO 3</w:t>
      </w:r>
      <w:r>
        <w:rPr>
          <w:rFonts w:ascii="Work Sans" w:eastAsia="Arial Narrow" w:hAnsi="Work Sans" w:cs="Arial Narrow"/>
          <w:sz w:val="20"/>
          <w:lang w:bidi="hi-IN"/>
        </w:rPr>
        <w:t>.- Establecer las siguientes tarifas diferenciales en las estaciones de peaje Iracá, Ocoa y La Libertad</w:t>
      </w:r>
      <w:r>
        <w:rPr>
          <w:rFonts w:ascii="Work Sans" w:hAnsi="Work Sans"/>
          <w:sz w:val="20"/>
        </w:rPr>
        <w:t>:</w:t>
      </w:r>
      <w:r>
        <w:rPr>
          <w:rFonts w:ascii="Work Sans" w:eastAsia="Arial Narrow" w:hAnsi="Work Sans" w:cs="Arial Narrow"/>
          <w:sz w:val="20"/>
          <w:lang w:bidi="hi-IN"/>
        </w:rPr>
        <w:t> </w:t>
      </w:r>
    </w:p>
    <w:bookmarkEnd w:id="7"/>
    <w:p w14:paraId="27F66DD6" w14:textId="77777777" w:rsidR="00EB5DB9" w:rsidRDefault="00EB5DB9">
      <w:pPr>
        <w:pStyle w:val="Standard"/>
        <w:autoSpaceDE w:val="0"/>
        <w:jc w:val="both"/>
        <w:rPr>
          <w:rFonts w:ascii="Work Sans" w:eastAsia="Arial Narrow" w:hAnsi="Work Sans" w:cs="Arial Narrow"/>
          <w:sz w:val="20"/>
          <w:lang w:bidi="hi-IN"/>
        </w:rPr>
      </w:pPr>
    </w:p>
    <w:tbl>
      <w:tblPr>
        <w:tblW w:w="4891" w:type="pct"/>
        <w:jc w:val="center"/>
        <w:tblLayout w:type="fixed"/>
        <w:tblCellMar>
          <w:left w:w="10" w:type="dxa"/>
          <w:right w:w="10" w:type="dxa"/>
        </w:tblCellMar>
        <w:tblLook w:val="04A0" w:firstRow="1" w:lastRow="0" w:firstColumn="1" w:lastColumn="0" w:noHBand="0" w:noVBand="1"/>
      </w:tblPr>
      <w:tblGrid>
        <w:gridCol w:w="2263"/>
        <w:gridCol w:w="3119"/>
        <w:gridCol w:w="2983"/>
      </w:tblGrid>
      <w:tr w:rsidR="00EB5DB9" w14:paraId="21CD4500" w14:textId="77777777">
        <w:tblPrEx>
          <w:tblCellMar>
            <w:top w:w="0" w:type="dxa"/>
            <w:bottom w:w="0" w:type="dxa"/>
          </w:tblCellMar>
        </w:tblPrEx>
        <w:trPr>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076B8" w14:textId="77777777" w:rsidR="00EB5DB9" w:rsidRDefault="00141725">
            <w:pPr>
              <w:pStyle w:val="Standard"/>
              <w:autoSpaceDE w:val="0"/>
              <w:jc w:val="center"/>
              <w:textAlignment w:val="auto"/>
              <w:rPr>
                <w:rFonts w:ascii="Work Sans" w:eastAsia="Arial Narrow" w:hAnsi="Work Sans" w:cs="Arial Narrow"/>
                <w:b/>
                <w:sz w:val="18"/>
                <w:szCs w:val="18"/>
                <w:lang w:bidi="hi-IN"/>
              </w:rPr>
            </w:pPr>
            <w:bookmarkStart w:id="11" w:name="_Hlk76063493"/>
            <w:r>
              <w:rPr>
                <w:rFonts w:ascii="Work Sans" w:eastAsia="Arial Narrow" w:hAnsi="Work Sans" w:cs="Arial Narrow"/>
                <w:b/>
                <w:sz w:val="18"/>
                <w:szCs w:val="18"/>
                <w:lang w:bidi="hi-IN"/>
              </w:rPr>
              <w:t>CATEGORÍA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751BA" w14:textId="77777777" w:rsidR="00EB5DB9" w:rsidRDefault="00141725">
            <w:pPr>
              <w:pStyle w:val="Standard"/>
              <w:autoSpaceDE w:val="0"/>
              <w:jc w:val="center"/>
              <w:textAlignment w:val="auto"/>
              <w:rPr>
                <w:rFonts w:ascii="Work Sans" w:eastAsia="Arial Narrow" w:hAnsi="Work Sans" w:cs="Arial Narrow"/>
                <w:b/>
                <w:sz w:val="18"/>
                <w:szCs w:val="18"/>
                <w:lang w:bidi="hi-IN"/>
              </w:rPr>
            </w:pPr>
            <w:r>
              <w:rPr>
                <w:rFonts w:ascii="Work Sans" w:eastAsia="Arial Narrow" w:hAnsi="Work Sans" w:cs="Arial Narrow"/>
                <w:b/>
                <w:sz w:val="18"/>
                <w:szCs w:val="18"/>
                <w:lang w:bidi="hi-IN"/>
              </w:rPr>
              <w:t>ESTACIÓN DE PEAJE</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472116" w14:textId="77777777" w:rsidR="00EB5DB9" w:rsidRDefault="00141725">
            <w:pPr>
              <w:pStyle w:val="Standard"/>
              <w:autoSpaceDE w:val="0"/>
              <w:jc w:val="center"/>
              <w:textAlignment w:val="auto"/>
              <w:rPr>
                <w:rFonts w:ascii="Work Sans" w:eastAsia="Arial Narrow" w:hAnsi="Work Sans" w:cs="Arial Narrow"/>
                <w:b/>
                <w:sz w:val="18"/>
                <w:szCs w:val="18"/>
                <w:lang w:bidi="hi-IN"/>
              </w:rPr>
            </w:pPr>
            <w:r>
              <w:rPr>
                <w:rFonts w:ascii="Work Sans" w:eastAsia="Arial Narrow" w:hAnsi="Work Sans" w:cs="Arial Narrow"/>
                <w:b/>
                <w:sz w:val="18"/>
                <w:szCs w:val="18"/>
                <w:lang w:bidi="hi-IN"/>
              </w:rPr>
              <w:t>TARIFA*</w:t>
            </w:r>
          </w:p>
        </w:tc>
      </w:tr>
      <w:tr w:rsidR="00EB5DB9" w14:paraId="50BD620E" w14:textId="77777777">
        <w:tblPrEx>
          <w:tblCellMar>
            <w:top w:w="0" w:type="dxa"/>
            <w:bottom w:w="0" w:type="dxa"/>
          </w:tblCellMar>
        </w:tblPrEx>
        <w:trPr>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CDC27" w14:textId="77777777" w:rsidR="00EB5DB9" w:rsidRDefault="00141725">
            <w:pPr>
              <w:pStyle w:val="Standard"/>
              <w:autoSpaceDE w:val="0"/>
              <w:jc w:val="center"/>
              <w:textAlignment w:val="auto"/>
              <w:rPr>
                <w:rFonts w:ascii="Work Sans" w:eastAsia="Arial Narrow" w:hAnsi="Work Sans" w:cs="Arial Narrow"/>
                <w:sz w:val="18"/>
                <w:szCs w:val="18"/>
                <w:lang w:bidi="hi-IN"/>
              </w:rPr>
            </w:pPr>
            <w:r>
              <w:rPr>
                <w:rFonts w:ascii="Work Sans" w:eastAsia="Arial Narrow" w:hAnsi="Work Sans" w:cs="Arial Narrow"/>
                <w:sz w:val="18"/>
                <w:szCs w:val="18"/>
                <w:lang w:bidi="hi-IN"/>
              </w:rPr>
              <w:t>IE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A520" w14:textId="77777777" w:rsidR="00EB5DB9" w:rsidRDefault="00141725">
            <w:pPr>
              <w:pStyle w:val="Standard"/>
              <w:autoSpaceDE w:val="0"/>
              <w:jc w:val="center"/>
              <w:textAlignment w:val="auto"/>
              <w:rPr>
                <w:rFonts w:ascii="Work Sans" w:eastAsia="Arial Narrow" w:hAnsi="Work Sans" w:cs="Arial Narrow"/>
                <w:sz w:val="18"/>
                <w:szCs w:val="18"/>
                <w:lang w:bidi="hi-IN"/>
              </w:rPr>
            </w:pPr>
            <w:r>
              <w:rPr>
                <w:rFonts w:ascii="Work Sans" w:eastAsia="Arial Narrow" w:hAnsi="Work Sans" w:cs="Arial Narrow"/>
                <w:sz w:val="18"/>
                <w:szCs w:val="18"/>
                <w:lang w:bidi="hi-IN"/>
              </w:rPr>
              <w:t>IRACÁ</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29981D" w14:textId="77777777" w:rsidR="00EB5DB9" w:rsidRDefault="00141725">
            <w:pPr>
              <w:pStyle w:val="Standard"/>
              <w:autoSpaceDE w:val="0"/>
              <w:jc w:val="center"/>
              <w:textAlignment w:val="auto"/>
              <w:rPr>
                <w:rFonts w:ascii="Work Sans" w:eastAsia="Arial Narrow" w:hAnsi="Work Sans" w:cs="Arial Narrow"/>
                <w:sz w:val="18"/>
                <w:szCs w:val="18"/>
                <w:lang w:bidi="hi-IN"/>
              </w:rPr>
            </w:pPr>
            <w:r>
              <w:rPr>
                <w:rFonts w:ascii="Work Sans" w:eastAsia="Arial Narrow" w:hAnsi="Work Sans" w:cs="Arial Narrow"/>
                <w:sz w:val="18"/>
                <w:szCs w:val="18"/>
                <w:lang w:bidi="hi-IN"/>
              </w:rPr>
              <w:t>4.100</w:t>
            </w:r>
          </w:p>
        </w:tc>
      </w:tr>
      <w:tr w:rsidR="00EB5DB9" w14:paraId="5D076530" w14:textId="77777777">
        <w:tblPrEx>
          <w:tblCellMar>
            <w:top w:w="0" w:type="dxa"/>
            <w:bottom w:w="0" w:type="dxa"/>
          </w:tblCellMar>
        </w:tblPrEx>
        <w:trPr>
          <w:trHeight w:val="261"/>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7A4E8"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E0862" w14:textId="77777777" w:rsidR="00EB5DB9" w:rsidRDefault="00141725">
            <w:pPr>
              <w:pStyle w:val="Standard"/>
              <w:autoSpaceDE w:val="0"/>
              <w:jc w:val="center"/>
              <w:textAlignment w:val="auto"/>
            </w:pPr>
            <w:r>
              <w:rPr>
                <w:rFonts w:ascii="Work Sans" w:eastAsia="Arial Narrow" w:hAnsi="Work Sans" w:cs="Arial Narrow"/>
                <w:sz w:val="18"/>
                <w:szCs w:val="18"/>
                <w:lang w:bidi="hi-IN"/>
              </w:rPr>
              <w:t>OCOA</w:t>
            </w: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0488F8" w14:textId="77777777" w:rsidR="00EB5DB9" w:rsidRDefault="00141725">
            <w:pPr>
              <w:pStyle w:val="Standard"/>
              <w:autoSpaceDE w:val="0"/>
              <w:jc w:val="center"/>
              <w:textAlignment w:val="auto"/>
              <w:rPr>
                <w:rFonts w:ascii="Work Sans" w:eastAsia="Arial Narrow" w:hAnsi="Work Sans" w:cs="Arial Narrow"/>
                <w:sz w:val="18"/>
                <w:szCs w:val="18"/>
                <w:lang w:bidi="hi-IN"/>
              </w:rPr>
            </w:pPr>
            <w:r>
              <w:rPr>
                <w:rFonts w:ascii="Work Sans" w:eastAsia="Arial Narrow" w:hAnsi="Work Sans" w:cs="Arial Narrow"/>
                <w:sz w:val="18"/>
                <w:szCs w:val="18"/>
                <w:lang w:bidi="hi-IN"/>
              </w:rPr>
              <w:t>4.100</w:t>
            </w:r>
          </w:p>
        </w:tc>
      </w:tr>
      <w:tr w:rsidR="00EB5DB9" w14:paraId="18A7BE7C" w14:textId="77777777">
        <w:tblPrEx>
          <w:tblCellMar>
            <w:top w:w="0" w:type="dxa"/>
            <w:bottom w:w="0" w:type="dxa"/>
          </w:tblCellMar>
        </w:tblPrEx>
        <w:trPr>
          <w:trHeight w:val="261"/>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1CD22"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7845E"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CDDD17"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r>
      <w:tr w:rsidR="00EB5DB9" w14:paraId="683A26FB" w14:textId="77777777">
        <w:tblPrEx>
          <w:tblCellMar>
            <w:top w:w="0" w:type="dxa"/>
            <w:bottom w:w="0" w:type="dxa"/>
          </w:tblCellMar>
        </w:tblPrEx>
        <w:trPr>
          <w:trHeight w:val="261"/>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349B9"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044A2"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05A93C"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r>
      <w:tr w:rsidR="00EB5DB9" w14:paraId="58924322" w14:textId="77777777">
        <w:tblPrEx>
          <w:tblCellMar>
            <w:top w:w="0" w:type="dxa"/>
            <w:bottom w:w="0" w:type="dxa"/>
          </w:tblCellMar>
        </w:tblPrEx>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65044" w14:textId="77777777" w:rsidR="00EB5DB9" w:rsidRDefault="00EB5DB9">
            <w:pPr>
              <w:pStyle w:val="Standard"/>
              <w:autoSpaceDE w:val="0"/>
              <w:jc w:val="center"/>
              <w:textAlignment w:val="auto"/>
              <w:rPr>
                <w:rFonts w:ascii="Work Sans" w:eastAsia="Arial Narrow" w:hAnsi="Work Sans" w:cs="Arial Narrow"/>
                <w:sz w:val="18"/>
                <w:szCs w:val="18"/>
                <w:lang w:bidi="hi-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1F575" w14:textId="77777777" w:rsidR="00EB5DB9" w:rsidRDefault="00141725">
            <w:pPr>
              <w:pStyle w:val="Standard"/>
              <w:autoSpaceDE w:val="0"/>
              <w:jc w:val="center"/>
              <w:textAlignment w:val="auto"/>
              <w:rPr>
                <w:rFonts w:ascii="Work Sans" w:eastAsia="Arial Narrow" w:hAnsi="Work Sans" w:cs="Arial Narrow"/>
                <w:sz w:val="18"/>
                <w:szCs w:val="18"/>
                <w:lang w:bidi="hi-IN"/>
              </w:rPr>
            </w:pPr>
            <w:r>
              <w:rPr>
                <w:rFonts w:ascii="Work Sans" w:eastAsia="Arial Narrow" w:hAnsi="Work Sans" w:cs="Arial Narrow"/>
                <w:sz w:val="18"/>
                <w:szCs w:val="18"/>
                <w:lang w:bidi="hi-IN"/>
              </w:rPr>
              <w:t>LA LIBERTAD</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E2382F" w14:textId="77777777" w:rsidR="00EB5DB9" w:rsidRDefault="00141725">
            <w:pPr>
              <w:pStyle w:val="Standard"/>
              <w:autoSpaceDE w:val="0"/>
              <w:jc w:val="center"/>
              <w:textAlignment w:val="auto"/>
              <w:rPr>
                <w:rFonts w:ascii="Work Sans" w:eastAsia="Arial Narrow" w:hAnsi="Work Sans" w:cs="Arial Narrow"/>
                <w:sz w:val="18"/>
                <w:szCs w:val="18"/>
                <w:lang w:bidi="hi-IN"/>
              </w:rPr>
            </w:pPr>
            <w:r>
              <w:rPr>
                <w:rFonts w:ascii="Work Sans" w:eastAsia="Arial Narrow" w:hAnsi="Work Sans" w:cs="Arial Narrow"/>
                <w:sz w:val="18"/>
                <w:szCs w:val="18"/>
                <w:lang w:bidi="hi-IN"/>
              </w:rPr>
              <w:t>6.900</w:t>
            </w:r>
          </w:p>
        </w:tc>
      </w:tr>
    </w:tbl>
    <w:p w14:paraId="7E2643F1" w14:textId="77777777" w:rsidR="00EB5DB9" w:rsidRDefault="00141725">
      <w:pPr>
        <w:pStyle w:val="Standard"/>
        <w:autoSpaceDE w:val="0"/>
        <w:jc w:val="both"/>
        <w:rPr>
          <w:rFonts w:ascii="Work Sans" w:eastAsia="Arial Narrow" w:hAnsi="Work Sans" w:cs="Arial Narrow"/>
          <w:sz w:val="18"/>
          <w:szCs w:val="18"/>
          <w:lang w:bidi="hi-IN"/>
        </w:rPr>
      </w:pPr>
      <w:bookmarkStart w:id="12" w:name="_Hlk76063659"/>
      <w:bookmarkEnd w:id="11"/>
      <w:r>
        <w:rPr>
          <w:rFonts w:ascii="Work Sans" w:eastAsia="Arial Narrow" w:hAnsi="Work Sans" w:cs="Arial Narrow"/>
          <w:sz w:val="18"/>
          <w:szCs w:val="18"/>
          <w:lang w:bidi="hi-IN"/>
        </w:rPr>
        <w:t xml:space="preserve">  *No incluye FOSEVI – Tarifas expresadas en pesos de diciembre de 2020.</w:t>
      </w:r>
    </w:p>
    <w:p w14:paraId="1D097787" w14:textId="77777777" w:rsidR="00EB5DB9" w:rsidRDefault="00141725">
      <w:pPr>
        <w:jc w:val="both"/>
        <w:rPr>
          <w:rFonts w:ascii="Work Sans" w:eastAsia="Arial Narrow" w:hAnsi="Work Sans" w:cs="Arial Narrow"/>
          <w:sz w:val="18"/>
          <w:szCs w:val="18"/>
        </w:rPr>
      </w:pPr>
      <w:r>
        <w:rPr>
          <w:rFonts w:ascii="Work Sans" w:eastAsia="Arial Narrow" w:hAnsi="Work Sans" w:cs="Arial Narrow"/>
          <w:sz w:val="18"/>
          <w:szCs w:val="18"/>
        </w:rPr>
        <w:t xml:space="preserve">  **Este es el número máximo de beneficiarios para tarifa diferencial. </w:t>
      </w:r>
      <w:bookmarkEnd w:id="12"/>
    </w:p>
    <w:p w14:paraId="0F3B3D01" w14:textId="77777777" w:rsidR="00EB5DB9" w:rsidRDefault="00EB5DB9">
      <w:pPr>
        <w:jc w:val="both"/>
        <w:rPr>
          <w:rFonts w:ascii="Work Sans" w:eastAsia="Arial Narrow" w:hAnsi="Work Sans" w:cs="Arial Narrow"/>
          <w:b/>
          <w:sz w:val="20"/>
          <w:szCs w:val="20"/>
        </w:rPr>
      </w:pPr>
    </w:p>
    <w:p w14:paraId="6EA0035C" w14:textId="77777777" w:rsidR="00EB5DB9" w:rsidRDefault="00141725">
      <w:pPr>
        <w:jc w:val="both"/>
      </w:pPr>
      <w:r>
        <w:rPr>
          <w:rFonts w:ascii="Work Sans" w:eastAsia="Arial Narrow" w:hAnsi="Work Sans" w:cs="Arial Narrow"/>
          <w:b/>
          <w:bCs/>
          <w:sz w:val="20"/>
          <w:szCs w:val="20"/>
        </w:rPr>
        <w:t>PARÁGRAFO PRIMERO.-</w:t>
      </w:r>
      <w:r>
        <w:rPr>
          <w:rFonts w:ascii="Work Sans" w:eastAsia="Arial Narrow" w:hAnsi="Work Sans" w:cs="Arial Narrow"/>
          <w:sz w:val="20"/>
          <w:szCs w:val="20"/>
        </w:rPr>
        <w:t xml:space="preserve"> </w:t>
      </w:r>
      <w:bookmarkStart w:id="13" w:name="_Hlk76738589"/>
      <w:r>
        <w:rPr>
          <w:rFonts w:ascii="Work Sans" w:eastAsia="Arial Narrow" w:hAnsi="Work Sans" w:cs="Arial Narrow"/>
          <w:sz w:val="20"/>
          <w:szCs w:val="20"/>
        </w:rPr>
        <w:t xml:space="preserve">A las tarifas de peaje de que trata el presente artículo, se les adicionará el </w:t>
      </w:r>
      <w:r>
        <w:rPr>
          <w:rFonts w:ascii="Work Sans" w:hAnsi="Work Sans" w:cs="Arial"/>
          <w:sz w:val="20"/>
          <w:szCs w:val="20"/>
        </w:rPr>
        <w:t xml:space="preserve">valor  destinado a adelantar programas de seguridad en las carreteras a cargo de la Nación (FOSEVI), y </w:t>
      </w:r>
      <w:r>
        <w:rPr>
          <w:rFonts w:ascii="Work Sans" w:eastAsia="Arial Narrow" w:hAnsi="Work Sans" w:cs="Arial Narrow"/>
          <w:sz w:val="20"/>
          <w:szCs w:val="20"/>
        </w:rPr>
        <w:t>serán ajustadas a la centena más cercana con el fin de</w:t>
      </w:r>
      <w:r>
        <w:rPr>
          <w:rFonts w:ascii="Work Sans" w:eastAsia="Arial Narrow" w:hAnsi="Work Sans" w:cs="Arial Narrow"/>
          <w:sz w:val="20"/>
          <w:szCs w:val="20"/>
        </w:rPr>
        <w:t xml:space="preserve"> facilitar el recaudo.</w:t>
      </w:r>
    </w:p>
    <w:p w14:paraId="0BADE2E0" w14:textId="77777777" w:rsidR="00EB5DB9" w:rsidRDefault="00EB5DB9">
      <w:pPr>
        <w:jc w:val="both"/>
        <w:rPr>
          <w:rFonts w:ascii="Work Sans" w:hAnsi="Work Sans" w:cs="Arial"/>
          <w:sz w:val="20"/>
          <w:szCs w:val="20"/>
        </w:rPr>
      </w:pPr>
    </w:p>
    <w:p w14:paraId="28E567FE" w14:textId="77777777" w:rsidR="00EB5DB9" w:rsidRDefault="00141725">
      <w:pPr>
        <w:jc w:val="both"/>
      </w:pPr>
      <w:r>
        <w:rPr>
          <w:rFonts w:ascii="Work Sans" w:hAnsi="Work Sans"/>
          <w:b/>
          <w:bCs/>
          <w:sz w:val="20"/>
          <w:szCs w:val="20"/>
        </w:rPr>
        <w:t>PARÁGRAFO SEGUNDO</w:t>
      </w:r>
      <w:r>
        <w:rPr>
          <w:rFonts w:ascii="Work Sans" w:hAnsi="Work Sans"/>
          <w:sz w:val="20"/>
          <w:szCs w:val="20"/>
        </w:rPr>
        <w:t xml:space="preserve">.- </w:t>
      </w:r>
      <w:r>
        <w:rPr>
          <w:rFonts w:ascii="Work Sans" w:eastAsia="Arial Narrow" w:hAnsi="Work Sans" w:cs="Arial Narrow"/>
          <w:sz w:val="20"/>
          <w:szCs w:val="20"/>
        </w:rPr>
        <w:t>Las tarifas diferenciales establecidas en el presente artículo comenzarán a regir a partir de la fecha de expedición de la presente resolución. Para los años 2022 en adelante, la tarifa diferencial se actualizará</w:t>
      </w:r>
      <w:r>
        <w:rPr>
          <w:rFonts w:ascii="Work Sans" w:eastAsia="Arial Narrow" w:hAnsi="Work Sans" w:cs="Arial Narrow"/>
          <w:sz w:val="20"/>
          <w:szCs w:val="20"/>
        </w:rPr>
        <w:t xml:space="preserve"> a partir del 16 de enero de cada año en el mismo valor que aumente la tarifa plena con la actualización del IPC (excluyendo el valor del FOSEVI).</w:t>
      </w:r>
    </w:p>
    <w:p w14:paraId="03D35318" w14:textId="77777777" w:rsidR="00EB5DB9" w:rsidRDefault="00EB5DB9">
      <w:pPr>
        <w:jc w:val="both"/>
        <w:rPr>
          <w:rFonts w:ascii="Work Sans" w:eastAsia="Arial Narrow" w:hAnsi="Work Sans" w:cs="Arial Narrow"/>
          <w:sz w:val="20"/>
          <w:szCs w:val="20"/>
        </w:rPr>
      </w:pPr>
    </w:p>
    <w:bookmarkEnd w:id="13"/>
    <w:p w14:paraId="5D276EB3" w14:textId="77777777" w:rsidR="00EB5DB9" w:rsidRDefault="00141725">
      <w:pPr>
        <w:jc w:val="both"/>
      </w:pPr>
      <w:r>
        <w:rPr>
          <w:rFonts w:ascii="Work Sans" w:hAnsi="Work Sans"/>
          <w:b/>
          <w:bCs/>
          <w:sz w:val="20"/>
          <w:szCs w:val="20"/>
        </w:rPr>
        <w:t>PARÁGRAFO TERCERO</w:t>
      </w:r>
      <w:r>
        <w:rPr>
          <w:rFonts w:ascii="Work Sans" w:hAnsi="Work Sans"/>
          <w:sz w:val="20"/>
          <w:szCs w:val="20"/>
        </w:rPr>
        <w:t xml:space="preserve">.- </w:t>
      </w:r>
      <w:r>
        <w:rPr>
          <w:rFonts w:ascii="Work Sans" w:eastAsia="Arial Narrow" w:hAnsi="Work Sans" w:cs="Arial Narrow"/>
          <w:sz w:val="20"/>
          <w:szCs w:val="20"/>
        </w:rPr>
        <w:t>La tarifa diferencial para la estación de peaje Iracá aplica a 59  vehículos de categorí</w:t>
      </w:r>
      <w:r>
        <w:rPr>
          <w:rFonts w:ascii="Work Sans" w:eastAsia="Arial Narrow" w:hAnsi="Work Sans" w:cs="Arial Narrow"/>
          <w:sz w:val="20"/>
          <w:szCs w:val="20"/>
        </w:rPr>
        <w:t xml:space="preserve">a I de servicio público de transporte intermunicipal </w:t>
      </w:r>
      <w:r>
        <w:rPr>
          <w:rFonts w:ascii="Work Sans" w:hAnsi="Work Sans"/>
          <w:sz w:val="20"/>
          <w:szCs w:val="20"/>
        </w:rPr>
        <w:t xml:space="preserve">que realizan el recorrido entre los municipios de San Martín y Granada. </w:t>
      </w:r>
    </w:p>
    <w:p w14:paraId="4CCE9E98" w14:textId="77777777" w:rsidR="00EB5DB9" w:rsidRDefault="00141725">
      <w:pPr>
        <w:jc w:val="both"/>
        <w:rPr>
          <w:rFonts w:ascii="Work Sans" w:hAnsi="Work Sans"/>
          <w:sz w:val="20"/>
          <w:szCs w:val="20"/>
        </w:rPr>
      </w:pPr>
      <w:r>
        <w:rPr>
          <w:rFonts w:ascii="Work Sans" w:hAnsi="Work Sans"/>
          <w:sz w:val="20"/>
          <w:szCs w:val="20"/>
        </w:rPr>
        <w:t xml:space="preserve"> </w:t>
      </w:r>
    </w:p>
    <w:p w14:paraId="2DA717B1" w14:textId="77777777" w:rsidR="00EB5DB9" w:rsidRDefault="00141725">
      <w:pPr>
        <w:jc w:val="both"/>
      </w:pPr>
      <w:r>
        <w:rPr>
          <w:rFonts w:ascii="Work Sans" w:hAnsi="Work Sans"/>
          <w:b/>
          <w:bCs/>
          <w:sz w:val="20"/>
          <w:szCs w:val="20"/>
        </w:rPr>
        <w:t>PARÁGRAFO CUARTO.-</w:t>
      </w:r>
      <w:r>
        <w:rPr>
          <w:rFonts w:ascii="Work Sans" w:hAnsi="Work Sans"/>
          <w:sz w:val="20"/>
          <w:szCs w:val="20"/>
        </w:rPr>
        <w:t xml:space="preserve"> </w:t>
      </w:r>
      <w:r>
        <w:rPr>
          <w:rFonts w:ascii="Work Sans" w:eastAsia="Arial Narrow" w:hAnsi="Work Sans" w:cs="Arial Narrow"/>
          <w:sz w:val="20"/>
          <w:szCs w:val="20"/>
        </w:rPr>
        <w:t>La tarifa diferencial para la estación de peaje Ocoa aplica para 5.242 vehículos de categoría I de servicio p</w:t>
      </w:r>
      <w:r>
        <w:rPr>
          <w:rFonts w:ascii="Work Sans" w:eastAsia="Arial Narrow" w:hAnsi="Work Sans" w:cs="Arial Narrow"/>
          <w:sz w:val="20"/>
          <w:szCs w:val="20"/>
        </w:rPr>
        <w:t xml:space="preserve">articular, para 216 vehículos de servicio público de transporte individual de pasajeros, y para 55 </w:t>
      </w:r>
      <w:r>
        <w:rPr>
          <w:rFonts w:ascii="Work Sans" w:hAnsi="Work Sans"/>
          <w:sz w:val="20"/>
          <w:szCs w:val="20"/>
        </w:rPr>
        <w:t xml:space="preserve">vehículos </w:t>
      </w:r>
      <w:r>
        <w:rPr>
          <w:rFonts w:ascii="Work Sans" w:eastAsia="Arial Narrow" w:hAnsi="Work Sans" w:cs="Arial Narrow"/>
          <w:sz w:val="20"/>
          <w:szCs w:val="20"/>
        </w:rPr>
        <w:t xml:space="preserve">de servicio público de transporte intermunicipal </w:t>
      </w:r>
      <w:r>
        <w:rPr>
          <w:rFonts w:ascii="Work Sans" w:hAnsi="Work Sans"/>
          <w:sz w:val="20"/>
          <w:szCs w:val="20"/>
        </w:rPr>
        <w:t>que realizan el recorrido entre los municipios de Acacías y Villavicencio.</w:t>
      </w:r>
    </w:p>
    <w:p w14:paraId="7E44BF68" w14:textId="77777777" w:rsidR="00EB5DB9" w:rsidRDefault="00EB5DB9">
      <w:pPr>
        <w:jc w:val="both"/>
        <w:rPr>
          <w:rFonts w:ascii="Work Sans" w:hAnsi="Work Sans"/>
          <w:sz w:val="20"/>
          <w:szCs w:val="20"/>
        </w:rPr>
      </w:pPr>
    </w:p>
    <w:p w14:paraId="2E6FFE61" w14:textId="77777777" w:rsidR="00EB5DB9" w:rsidRDefault="00141725">
      <w:pPr>
        <w:pStyle w:val="Default"/>
        <w:ind w:right="-2"/>
        <w:jc w:val="both"/>
      </w:pPr>
      <w:r>
        <w:rPr>
          <w:rFonts w:ascii="Work Sans" w:hAnsi="Work Sans"/>
          <w:b/>
          <w:bCs/>
          <w:sz w:val="20"/>
          <w:szCs w:val="20"/>
        </w:rPr>
        <w:t xml:space="preserve">PARÁGRAFO </w:t>
      </w:r>
      <w:r>
        <w:rPr>
          <w:rFonts w:ascii="Work Sans" w:eastAsia="Arial Narrow" w:hAnsi="Work Sans" w:cs="Arial Narrow"/>
          <w:b/>
          <w:sz w:val="20"/>
          <w:szCs w:val="20"/>
        </w:rPr>
        <w:t>QUINTO.-</w:t>
      </w:r>
      <w:r>
        <w:rPr>
          <w:rFonts w:ascii="Work Sans" w:eastAsia="Arial Narrow" w:hAnsi="Work Sans" w:cs="Arial Narrow"/>
          <w:sz w:val="20"/>
          <w:szCs w:val="20"/>
        </w:rPr>
        <w:t xml:space="preserve"> La </w:t>
      </w:r>
      <w:r>
        <w:rPr>
          <w:rFonts w:ascii="Work Sans" w:eastAsia="Arial Narrow" w:hAnsi="Work Sans" w:cs="Arial Narrow"/>
          <w:sz w:val="20"/>
          <w:szCs w:val="20"/>
        </w:rPr>
        <w:t>tarifa diferencial para la estación de peaje La Libertad aplica para 300 vehículos de categoría I de servicio particular.</w:t>
      </w:r>
    </w:p>
    <w:p w14:paraId="197EA3FC" w14:textId="77777777" w:rsidR="00EB5DB9" w:rsidRDefault="00EB5DB9">
      <w:pPr>
        <w:jc w:val="both"/>
        <w:rPr>
          <w:rFonts w:ascii="Work Sans" w:eastAsia="Arial Narrow" w:hAnsi="Work Sans" w:cs="Arial Narrow"/>
          <w:b/>
          <w:sz w:val="20"/>
          <w:szCs w:val="20"/>
        </w:rPr>
      </w:pPr>
    </w:p>
    <w:p w14:paraId="2A65BEBC" w14:textId="77777777" w:rsidR="00EB5DB9" w:rsidRDefault="00141725">
      <w:pPr>
        <w:pStyle w:val="Standard"/>
        <w:jc w:val="both"/>
      </w:pPr>
      <w:r>
        <w:rPr>
          <w:rFonts w:ascii="Work Sans" w:eastAsia="Arial Narrow" w:hAnsi="Work Sans" w:cs="Arial Narrow"/>
          <w:b/>
          <w:bCs/>
          <w:sz w:val="20"/>
          <w:lang w:bidi="hi-IN"/>
        </w:rPr>
        <w:t xml:space="preserve">ARTÍCULO 4.- </w:t>
      </w:r>
      <w:r>
        <w:rPr>
          <w:rFonts w:ascii="Work Sans" w:hAnsi="Work Sans"/>
          <w:b/>
          <w:bCs/>
          <w:sz w:val="20"/>
        </w:rPr>
        <w:t xml:space="preserve"> </w:t>
      </w:r>
      <w:r>
        <w:rPr>
          <w:rFonts w:ascii="Work Sans" w:eastAsia="Arial Narrow" w:hAnsi="Work Sans" w:cs="Arial Narrow"/>
          <w:sz w:val="20"/>
          <w:lang w:bidi="hi-IN"/>
        </w:rPr>
        <w:t xml:space="preserve">La fijación de los requisitos para acreditar la calidad de beneficiario, el procedimiento para acceder al </w:t>
      </w:r>
      <w:r>
        <w:rPr>
          <w:rFonts w:ascii="Work Sans" w:eastAsia="Arial Narrow" w:hAnsi="Work Sans" w:cs="Arial Narrow"/>
          <w:sz w:val="20"/>
          <w:lang w:bidi="hi-IN"/>
        </w:rPr>
        <w:t xml:space="preserve">beneficio, los mecanismos de otorgamiento, reemplazo y control, y las causales de pérdida del beneficio de las tarifas diferenciales previstas en esta Resolución corresponderá a la Agencia Nacional de Infraestructura. </w:t>
      </w:r>
    </w:p>
    <w:p w14:paraId="1C52F104" w14:textId="77777777" w:rsidR="00EB5DB9" w:rsidRDefault="00EB5DB9">
      <w:pPr>
        <w:pStyle w:val="Standard"/>
        <w:autoSpaceDE w:val="0"/>
        <w:jc w:val="both"/>
        <w:rPr>
          <w:rFonts w:ascii="Work Sans" w:eastAsia="Arial Narrow" w:hAnsi="Work Sans" w:cs="Arial Narrow"/>
          <w:b/>
          <w:bCs/>
          <w:sz w:val="20"/>
          <w:lang w:bidi="hi-IN"/>
        </w:rPr>
      </w:pPr>
    </w:p>
    <w:p w14:paraId="34F4DB34" w14:textId="77777777" w:rsidR="00EB5DB9" w:rsidRDefault="00141725">
      <w:pPr>
        <w:pStyle w:val="Standard"/>
        <w:autoSpaceDE w:val="0"/>
        <w:jc w:val="both"/>
      </w:pPr>
      <w:r>
        <w:rPr>
          <w:rFonts w:ascii="Work Sans" w:eastAsia="Arial Narrow" w:hAnsi="Work Sans" w:cs="Arial Narrow"/>
          <w:b/>
          <w:bCs/>
          <w:sz w:val="20"/>
          <w:lang w:bidi="hi-IN"/>
        </w:rPr>
        <w:t>ARTÍCULO 5</w:t>
      </w:r>
      <w:r>
        <w:rPr>
          <w:rFonts w:ascii="Work Sans" w:eastAsia="Arial Narrow" w:hAnsi="Work Sans" w:cs="Arial Narrow"/>
          <w:sz w:val="20"/>
          <w:lang w:bidi="hi-IN"/>
        </w:rPr>
        <w:t xml:space="preserve">.- La presente Resolución </w:t>
      </w:r>
      <w:r>
        <w:rPr>
          <w:rFonts w:ascii="Work Sans" w:eastAsia="Arial Narrow" w:hAnsi="Work Sans" w:cs="Arial Narrow"/>
          <w:sz w:val="20"/>
          <w:lang w:bidi="hi-IN"/>
        </w:rPr>
        <w:t>rige a partir de la fecha de su publicación y deroga las Resoluciones Nos. 0003126 de 2014, 0001130 de 2015 y 0000331 de 2017.</w:t>
      </w:r>
    </w:p>
    <w:p w14:paraId="308A2EEF" w14:textId="77777777" w:rsidR="00EB5DB9" w:rsidRDefault="00EB5DB9">
      <w:pPr>
        <w:pStyle w:val="Standard"/>
        <w:jc w:val="both"/>
        <w:rPr>
          <w:rFonts w:ascii="Work Sans" w:eastAsia="Arial Narrow" w:hAnsi="Work Sans" w:cs="Arial Narrow"/>
          <w:sz w:val="20"/>
          <w:lang w:bidi="hi-IN"/>
        </w:rPr>
      </w:pPr>
    </w:p>
    <w:p w14:paraId="403766E2" w14:textId="77777777" w:rsidR="00EB5DB9" w:rsidRDefault="00EB5DB9">
      <w:pPr>
        <w:pStyle w:val="Standard"/>
        <w:jc w:val="both"/>
        <w:rPr>
          <w:rFonts w:ascii="Work Sans" w:eastAsia="Arial Narrow" w:hAnsi="Work Sans" w:cs="Arial Narrow"/>
          <w:sz w:val="20"/>
          <w:lang w:bidi="hi-IN"/>
        </w:rPr>
      </w:pPr>
    </w:p>
    <w:p w14:paraId="2872C0B3" w14:textId="77777777" w:rsidR="00EB5DB9" w:rsidRDefault="00141725">
      <w:pPr>
        <w:pStyle w:val="Standard"/>
        <w:autoSpaceDE w:val="0"/>
        <w:jc w:val="center"/>
        <w:rPr>
          <w:rFonts w:ascii="Work Sans" w:eastAsia="Arial Narrow" w:hAnsi="Work Sans" w:cs="Arial Narrow"/>
          <w:b/>
          <w:sz w:val="20"/>
          <w:lang w:bidi="hi-IN"/>
        </w:rPr>
      </w:pPr>
      <w:r>
        <w:rPr>
          <w:rFonts w:ascii="Work Sans" w:eastAsia="Arial Narrow" w:hAnsi="Work Sans" w:cs="Arial Narrow"/>
          <w:b/>
          <w:sz w:val="20"/>
          <w:lang w:bidi="hi-IN"/>
        </w:rPr>
        <w:t>PUBLÍQUESE Y CÚMPLASE,</w:t>
      </w:r>
    </w:p>
    <w:p w14:paraId="55574946" w14:textId="77777777" w:rsidR="00EB5DB9" w:rsidRDefault="00EB5DB9">
      <w:pPr>
        <w:pStyle w:val="Standard"/>
        <w:autoSpaceDE w:val="0"/>
        <w:jc w:val="both"/>
        <w:rPr>
          <w:rFonts w:ascii="Work Sans" w:eastAsia="Arial Narrow" w:hAnsi="Work Sans" w:cs="Arial Narrow"/>
          <w:sz w:val="20"/>
          <w:lang w:bidi="hi-IN"/>
        </w:rPr>
      </w:pPr>
    </w:p>
    <w:p w14:paraId="10A2EFC1" w14:textId="77777777" w:rsidR="00EB5DB9" w:rsidRDefault="00EB5DB9">
      <w:pPr>
        <w:pStyle w:val="Standard"/>
        <w:autoSpaceDE w:val="0"/>
        <w:jc w:val="both"/>
        <w:rPr>
          <w:rFonts w:ascii="Work Sans" w:eastAsia="Arial Narrow" w:hAnsi="Work Sans" w:cs="Arial Narrow"/>
          <w:sz w:val="20"/>
          <w:lang w:bidi="hi-IN"/>
        </w:rPr>
      </w:pPr>
    </w:p>
    <w:p w14:paraId="55D4731D" w14:textId="77777777" w:rsidR="00EB5DB9" w:rsidRDefault="00EB5DB9">
      <w:pPr>
        <w:jc w:val="center"/>
        <w:rPr>
          <w:rFonts w:ascii="Work Sans" w:eastAsia="Arial Narrow" w:hAnsi="Work Sans" w:cs="Arial Narrow"/>
          <w:sz w:val="20"/>
          <w:szCs w:val="20"/>
        </w:rPr>
      </w:pPr>
    </w:p>
    <w:p w14:paraId="5250FB9F" w14:textId="77777777" w:rsidR="00EB5DB9" w:rsidRDefault="00141725">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07D1E5AC" w14:textId="77777777" w:rsidR="00EB5DB9" w:rsidRDefault="00EB5DB9">
      <w:pPr>
        <w:pStyle w:val="Standard"/>
        <w:autoSpaceDE w:val="0"/>
        <w:ind w:left="-142" w:right="-86"/>
        <w:jc w:val="center"/>
        <w:rPr>
          <w:rFonts w:ascii="Work Sans" w:hAnsi="Work Sans" w:cs="Arial"/>
          <w:sz w:val="21"/>
          <w:szCs w:val="21"/>
          <w:lang w:val="es-CO"/>
        </w:rPr>
      </w:pPr>
    </w:p>
    <w:p w14:paraId="1A64A1F9" w14:textId="77777777" w:rsidR="00EB5DB9" w:rsidRDefault="00EB5DB9">
      <w:pPr>
        <w:pStyle w:val="Standard"/>
        <w:autoSpaceDE w:val="0"/>
        <w:ind w:left="-142" w:right="-86"/>
        <w:jc w:val="center"/>
        <w:rPr>
          <w:rFonts w:ascii="Work Sans" w:hAnsi="Work Sans" w:cs="Arial"/>
          <w:sz w:val="21"/>
          <w:szCs w:val="21"/>
          <w:lang w:val="es-CO"/>
        </w:rPr>
      </w:pPr>
    </w:p>
    <w:p w14:paraId="21A6808F" w14:textId="77777777" w:rsidR="00EB5DB9" w:rsidRDefault="00EB5DB9">
      <w:pPr>
        <w:widowControl/>
        <w:jc w:val="center"/>
        <w:textAlignment w:val="auto"/>
        <w:rPr>
          <w:rFonts w:ascii="Work Sans" w:hAnsi="Work Sans" w:cs="Arial"/>
          <w:kern w:val="0"/>
          <w:sz w:val="20"/>
          <w:szCs w:val="20"/>
          <w:lang w:val="es-CO" w:eastAsia="en-US" w:bidi="ar-SA"/>
        </w:rPr>
      </w:pPr>
    </w:p>
    <w:p w14:paraId="0B9EC325" w14:textId="77777777" w:rsidR="00EB5DB9" w:rsidRDefault="00141725">
      <w:pPr>
        <w:pStyle w:val="Ttulo1"/>
        <w:ind w:right="-1"/>
        <w:rPr>
          <w:rFonts w:ascii="Work Sans" w:hAnsi="Work Sans"/>
          <w:sz w:val="20"/>
        </w:rPr>
      </w:pPr>
      <w:r>
        <w:rPr>
          <w:rFonts w:ascii="Work Sans" w:hAnsi="Work Sans"/>
          <w:sz w:val="20"/>
        </w:rPr>
        <w:t>ANGELA MARÍA OROZCO GÓMEZ</w:t>
      </w:r>
    </w:p>
    <w:p w14:paraId="64B12A12" w14:textId="77777777" w:rsidR="00EB5DB9" w:rsidRDefault="00EB5DB9">
      <w:pPr>
        <w:pStyle w:val="Standard"/>
        <w:rPr>
          <w:rFonts w:ascii="Work Sans" w:hAnsi="Work Sans"/>
        </w:rPr>
      </w:pPr>
    </w:p>
    <w:p w14:paraId="7BA7E740" w14:textId="77777777" w:rsidR="00EB5DB9" w:rsidRDefault="00EB5DB9">
      <w:pPr>
        <w:pStyle w:val="Standard"/>
        <w:rPr>
          <w:rFonts w:ascii="Work Sans" w:hAnsi="Work Sans"/>
          <w:sz w:val="12"/>
          <w:szCs w:val="12"/>
        </w:rPr>
      </w:pPr>
    </w:p>
    <w:p w14:paraId="735F85F9" w14:textId="77777777" w:rsidR="00EB5DB9" w:rsidRDefault="00141725">
      <w:pPr>
        <w:jc w:val="both"/>
        <w:rPr>
          <w:rFonts w:ascii="Work Sans" w:hAnsi="Work Sans" w:cs="Arial"/>
          <w:sz w:val="12"/>
          <w:szCs w:val="12"/>
          <w:lang w:eastAsia="es-CO"/>
        </w:rPr>
      </w:pPr>
      <w:r>
        <w:rPr>
          <w:rFonts w:ascii="Work Sans" w:hAnsi="Work Sans" w:cs="Arial"/>
          <w:sz w:val="12"/>
          <w:szCs w:val="12"/>
          <w:lang w:eastAsia="es-CO"/>
        </w:rPr>
        <w:t xml:space="preserve">Manuel Felipe Gutiérrez Torres – Presidente Agencia </w:t>
      </w:r>
      <w:r>
        <w:rPr>
          <w:rFonts w:ascii="Work Sans" w:hAnsi="Work Sans" w:cs="Arial"/>
          <w:sz w:val="12"/>
          <w:szCs w:val="12"/>
          <w:lang w:eastAsia="es-CO"/>
        </w:rPr>
        <w:t>Nacional de Infraestructura</w:t>
      </w:r>
    </w:p>
    <w:p w14:paraId="32A387E3" w14:textId="77777777" w:rsidR="00EB5DB9" w:rsidRDefault="00141725">
      <w:pPr>
        <w:jc w:val="both"/>
        <w:rPr>
          <w:rFonts w:ascii="Work Sans" w:hAnsi="Work Sans" w:cs="Arial"/>
          <w:sz w:val="12"/>
          <w:szCs w:val="12"/>
          <w:lang w:eastAsia="es-CO"/>
        </w:rPr>
      </w:pPr>
      <w:r>
        <w:rPr>
          <w:rFonts w:ascii="Work Sans" w:hAnsi="Work Sans" w:cs="Arial"/>
          <w:sz w:val="12"/>
          <w:szCs w:val="12"/>
          <w:lang w:eastAsia="es-CO"/>
        </w:rPr>
        <w:t>Sol Ángel Cala Acosta – Asesora Despacho de la Ministra de Transporte</w:t>
      </w:r>
    </w:p>
    <w:p w14:paraId="46A0CEA1" w14:textId="77777777" w:rsidR="00EB5DB9" w:rsidRDefault="00141725">
      <w:pPr>
        <w:rPr>
          <w:rFonts w:ascii="Work Sans" w:hAnsi="Work Sans" w:cs="Arial"/>
          <w:sz w:val="12"/>
          <w:szCs w:val="12"/>
          <w:lang w:eastAsia="es-CO"/>
        </w:rPr>
      </w:pPr>
      <w:r>
        <w:rPr>
          <w:rFonts w:ascii="Work Sans" w:hAnsi="Work Sans" w:cs="Arial"/>
          <w:sz w:val="12"/>
          <w:szCs w:val="12"/>
          <w:lang w:eastAsia="es-CO"/>
        </w:rPr>
        <w:t>Beatriz Helena García Guzmán – Jefe Oficina Asesora de Jurídica, Ministerio de Transporte</w:t>
      </w:r>
    </w:p>
    <w:p w14:paraId="2223D50D" w14:textId="77777777" w:rsidR="00EB5DB9" w:rsidRDefault="00141725">
      <w:pPr>
        <w:jc w:val="both"/>
        <w:rPr>
          <w:rFonts w:ascii="Work Sans" w:hAnsi="Work Sans" w:cs="Arial"/>
          <w:sz w:val="12"/>
          <w:szCs w:val="12"/>
          <w:lang w:eastAsia="es-CO"/>
        </w:rPr>
      </w:pPr>
      <w:bookmarkStart w:id="14" w:name="_Hlk512429908"/>
      <w:r>
        <w:rPr>
          <w:rFonts w:ascii="Work Sans" w:hAnsi="Work Sans" w:cs="Arial"/>
          <w:sz w:val="12"/>
          <w:szCs w:val="12"/>
          <w:lang w:eastAsia="es-CO"/>
        </w:rPr>
        <w:t xml:space="preserve">Fernando Ramírez Laguado- Vicepresidente Jurídico, Agencia Nacional </w:t>
      </w:r>
      <w:r>
        <w:rPr>
          <w:rFonts w:ascii="Work Sans" w:hAnsi="Work Sans" w:cs="Arial"/>
          <w:sz w:val="12"/>
          <w:szCs w:val="12"/>
          <w:lang w:eastAsia="es-CO"/>
        </w:rPr>
        <w:t xml:space="preserve">de Infraestructura </w:t>
      </w:r>
    </w:p>
    <w:bookmarkEnd w:id="14"/>
    <w:p w14:paraId="53B1100A" w14:textId="77777777" w:rsidR="00EB5DB9" w:rsidRDefault="00141725">
      <w:pPr>
        <w:jc w:val="both"/>
        <w:rPr>
          <w:rFonts w:ascii="Work Sans" w:hAnsi="Work Sans" w:cs="Arial"/>
          <w:sz w:val="12"/>
          <w:szCs w:val="12"/>
          <w:lang w:eastAsia="es-CO"/>
        </w:rPr>
      </w:pPr>
      <w:r>
        <w:rPr>
          <w:rFonts w:ascii="Work Sans" w:hAnsi="Work Sans" w:cs="Arial"/>
          <w:sz w:val="12"/>
          <w:szCs w:val="12"/>
          <w:lang w:eastAsia="es-CO"/>
        </w:rPr>
        <w:t>Ángela María Acosta – Jefe de Oficina de Regulación Económica, Ministerio de Transporte</w:t>
      </w:r>
    </w:p>
    <w:p w14:paraId="4AC131F0" w14:textId="77777777" w:rsidR="00EB5DB9" w:rsidRDefault="00141725">
      <w:pPr>
        <w:jc w:val="both"/>
        <w:rPr>
          <w:rFonts w:ascii="Work Sans" w:hAnsi="Work Sans" w:cs="Arial"/>
          <w:sz w:val="12"/>
          <w:szCs w:val="12"/>
          <w:lang w:eastAsia="es-CO"/>
        </w:rPr>
      </w:pPr>
      <w:r>
        <w:rPr>
          <w:rFonts w:ascii="Work Sans" w:hAnsi="Work Sans" w:cs="Arial"/>
          <w:sz w:val="12"/>
          <w:szCs w:val="12"/>
          <w:lang w:eastAsia="es-CO"/>
        </w:rPr>
        <w:t>Diego Alejandro Morales Silva – Vicepresidente de Planeación, Riesgos y Entorno – ANI</w:t>
      </w:r>
    </w:p>
    <w:p w14:paraId="70A5AA03" w14:textId="77777777" w:rsidR="00EB5DB9" w:rsidRDefault="00141725">
      <w:pPr>
        <w:jc w:val="both"/>
        <w:rPr>
          <w:rFonts w:ascii="Work Sans" w:hAnsi="Work Sans" w:cs="Arial"/>
          <w:sz w:val="12"/>
          <w:szCs w:val="12"/>
          <w:lang w:eastAsia="es-CO"/>
        </w:rPr>
      </w:pPr>
      <w:r>
        <w:rPr>
          <w:rFonts w:ascii="Work Sans" w:hAnsi="Work Sans" w:cs="Arial"/>
          <w:sz w:val="12"/>
          <w:szCs w:val="12"/>
          <w:lang w:eastAsia="es-CO"/>
        </w:rPr>
        <w:t xml:space="preserve">Claudia Patricia Roa Orjuela- Asesora Oficina Asesora de </w:t>
      </w:r>
      <w:r>
        <w:rPr>
          <w:rFonts w:ascii="Work Sans" w:hAnsi="Work Sans" w:cs="Arial"/>
          <w:sz w:val="12"/>
          <w:szCs w:val="12"/>
          <w:lang w:eastAsia="es-CO"/>
        </w:rPr>
        <w:t>Jurídica, Ministerio de Transporte</w:t>
      </w:r>
    </w:p>
    <w:p w14:paraId="1E782F86" w14:textId="77777777" w:rsidR="00EB5DB9" w:rsidRDefault="00141725">
      <w:pPr>
        <w:jc w:val="both"/>
        <w:rPr>
          <w:rFonts w:ascii="Work Sans" w:hAnsi="Work Sans" w:cs="Arial"/>
          <w:sz w:val="12"/>
          <w:szCs w:val="12"/>
          <w:lang w:eastAsia="es-CO"/>
        </w:rPr>
      </w:pPr>
      <w:r>
        <w:rPr>
          <w:rFonts w:ascii="Work Sans" w:hAnsi="Work Sans" w:cs="Arial"/>
          <w:sz w:val="12"/>
          <w:szCs w:val="12"/>
          <w:lang w:eastAsia="es-CO"/>
        </w:rPr>
        <w:t>Magda Paola Suárez Alejo – Abogada Grupo de Conceptos</w:t>
      </w:r>
    </w:p>
    <w:p w14:paraId="03C3FA08" w14:textId="77777777" w:rsidR="00EB5DB9" w:rsidRDefault="00EB5DB9">
      <w:pPr>
        <w:pStyle w:val="Standard"/>
        <w:autoSpaceDE w:val="0"/>
        <w:ind w:left="-142" w:right="-86"/>
        <w:jc w:val="center"/>
        <w:rPr>
          <w:rFonts w:ascii="Work Sans" w:hAnsi="Work Sans"/>
        </w:rPr>
      </w:pPr>
    </w:p>
    <w:p w14:paraId="105BA9ED" w14:textId="77777777" w:rsidR="00EB5DB9" w:rsidRDefault="00EB5DB9">
      <w:pPr>
        <w:pStyle w:val="Standard"/>
        <w:jc w:val="center"/>
        <w:rPr>
          <w:rFonts w:ascii="Work Sans" w:hAnsi="Work Sans"/>
          <w:sz w:val="22"/>
          <w:szCs w:val="22"/>
        </w:rPr>
      </w:pPr>
    </w:p>
    <w:sectPr w:rsidR="00EB5DB9">
      <w:headerReference w:type="default" r:id="rId10"/>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9B36" w14:textId="77777777" w:rsidR="00141725" w:rsidRDefault="00141725">
      <w:r>
        <w:separator/>
      </w:r>
    </w:p>
  </w:endnote>
  <w:endnote w:type="continuationSeparator" w:id="0">
    <w:p w14:paraId="4259EC23" w14:textId="77777777" w:rsidR="00141725" w:rsidRDefault="0014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ork Sans">
    <w:altName w:val="Work Sans"/>
    <w:panose1 w:val="00000800000000000000"/>
    <w:charset w:val="4D"/>
    <w:family w:val="auto"/>
    <w:notTrueType/>
    <w:pitch w:val="variable"/>
    <w:sig w:usb0="20000007" w:usb1="00000001" w:usb2="00000000" w:usb3="00000000" w:csb0="00000193"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20B0604020202020204"/>
    <w:charset w:val="00"/>
    <w:family w:val="roman"/>
    <w:pitch w:val="default"/>
  </w:font>
  <w:font w:name="Arial Narrow">
    <w:altName w:val="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ode3of9">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720E" w14:textId="77777777" w:rsidR="00141725" w:rsidRDefault="00141725">
      <w:r>
        <w:rPr>
          <w:color w:val="000000"/>
        </w:rPr>
        <w:separator/>
      </w:r>
    </w:p>
  </w:footnote>
  <w:footnote w:type="continuationSeparator" w:id="0">
    <w:p w14:paraId="5DBE6ED4" w14:textId="77777777" w:rsidR="00141725" w:rsidRDefault="0014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2C8A" w14:textId="77777777" w:rsidR="00FE1387" w:rsidRDefault="00141725">
    <w:r>
      <w:rPr>
        <w:noProof/>
        <w:lang w:val="es-CO" w:eastAsia="es-CO" w:bidi="ar-SA"/>
      </w:rPr>
      <w:drawing>
        <wp:inline distT="0" distB="0" distL="0" distR="0" wp14:anchorId="51B9B3FC" wp14:editId="5C3AAD14">
          <wp:extent cx="2164083" cy="320040"/>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42038C24" w14:textId="77777777" w:rsidR="00FE1387" w:rsidRDefault="00141725">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1D240B09" w14:textId="77777777" w:rsidR="00FE1387" w:rsidRDefault="00141725">
    <w:pPr>
      <w:pStyle w:val="Encabezado"/>
      <w:jc w:val="center"/>
    </w:pPr>
    <w:r>
      <w:rPr>
        <w:rFonts w:ascii="Work Sans" w:hAnsi="Work Sans"/>
        <w:sz w:val="20"/>
      </w:rPr>
      <w:t xml:space="preserve">de </w:t>
    </w:r>
    <w:r>
      <w:rPr>
        <w:rFonts w:ascii="Work Sans" w:hAnsi="Work Sans" w:cs="Arial"/>
        <w:sz w:val="20"/>
        <w:lang w:val="es-CO"/>
      </w:rPr>
      <w:t>*F_RAD_S*</w:t>
    </w:r>
  </w:p>
  <w:p w14:paraId="0AC81677" w14:textId="77777777" w:rsidR="00FE1387" w:rsidRDefault="00141725">
    <w:pPr>
      <w:pStyle w:val="Encabezado"/>
      <w:jc w:val="center"/>
      <w:rPr>
        <w:rFonts w:ascii="Code3of9" w:hAnsi="Code3of9" w:cs="Tahoma"/>
        <w:sz w:val="36"/>
        <w:szCs w:val="40"/>
      </w:rPr>
    </w:pPr>
    <w:r>
      <w:rPr>
        <w:rFonts w:ascii="Code3of9" w:hAnsi="Code3of9" w:cs="Tahoma"/>
        <w:sz w:val="36"/>
        <w:szCs w:val="40"/>
      </w:rPr>
      <w:t>**RAD_S**</w:t>
    </w:r>
  </w:p>
  <w:p w14:paraId="39127D91" w14:textId="77777777" w:rsidR="00FE1387" w:rsidRDefault="00141725">
    <w:pPr>
      <w:pStyle w:val="Encabezado"/>
      <w:jc w:val="center"/>
      <w:rPr>
        <w:rFonts w:ascii="Code3of9" w:hAnsi="Code3of9" w:cs="Tahoma"/>
        <w:sz w:val="36"/>
        <w:szCs w:val="40"/>
      </w:rPr>
    </w:pPr>
  </w:p>
  <w:p w14:paraId="1567EF35" w14:textId="77777777" w:rsidR="00FE1387" w:rsidRDefault="00141725">
    <w:pPr>
      <w:tabs>
        <w:tab w:val="left" w:pos="4320"/>
      </w:tabs>
      <w:ind w:right="215"/>
      <w:jc w:val="center"/>
      <w:rPr>
        <w:rFonts w:ascii="Work Sans" w:hAnsi="Work Sans"/>
        <w:i/>
        <w:spacing w:val="-3"/>
        <w:sz w:val="20"/>
        <w:szCs w:val="20"/>
      </w:rPr>
    </w:pPr>
    <w:r>
      <w:rPr>
        <w:rFonts w:ascii="Work Sans" w:hAnsi="Work Sans"/>
        <w:i/>
        <w:spacing w:val="-3"/>
        <w:sz w:val="20"/>
        <w:szCs w:val="20"/>
      </w:rPr>
      <w:t xml:space="preserve">“Por la cual se establecen tarifas para las estaciones de peaje Iraca, Ocoa, La Libertad Casetabla, Yucao y El Cairo,  tarifas diferenciales en las estaciones de </w:t>
    </w:r>
    <w:r>
      <w:rPr>
        <w:rFonts w:ascii="Work Sans" w:hAnsi="Work Sans"/>
        <w:i/>
        <w:spacing w:val="-3"/>
        <w:sz w:val="20"/>
        <w:szCs w:val="20"/>
      </w:rPr>
      <w:t>peajes Iracá, Ocoa y la Libertad, las cuales forman parte del proyecto vial de iniciativa privada Malla Vial del Meta y se dictan otras disposiciones”</w:t>
    </w:r>
  </w:p>
  <w:p w14:paraId="4F507B53" w14:textId="77777777" w:rsidR="00FE1387" w:rsidRDefault="00141725">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77B"/>
    <w:multiLevelType w:val="multilevel"/>
    <w:tmpl w:val="B13004AC"/>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197C72DA"/>
    <w:multiLevelType w:val="multilevel"/>
    <w:tmpl w:val="B9BE58E0"/>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E2E01F1"/>
    <w:multiLevelType w:val="multilevel"/>
    <w:tmpl w:val="2DAA2D78"/>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21F60AAE"/>
    <w:multiLevelType w:val="multilevel"/>
    <w:tmpl w:val="CDF81C2A"/>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27313857"/>
    <w:multiLevelType w:val="multilevel"/>
    <w:tmpl w:val="4882FE4E"/>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9753921"/>
    <w:multiLevelType w:val="multilevel"/>
    <w:tmpl w:val="B1B03648"/>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3367449A"/>
    <w:multiLevelType w:val="multilevel"/>
    <w:tmpl w:val="F6F6ECC8"/>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3B603EE"/>
    <w:multiLevelType w:val="multilevel"/>
    <w:tmpl w:val="06DA5932"/>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3F2E17F3"/>
    <w:multiLevelType w:val="multilevel"/>
    <w:tmpl w:val="DC4CF600"/>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3FF1394D"/>
    <w:multiLevelType w:val="multilevel"/>
    <w:tmpl w:val="17EAC860"/>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410B018A"/>
    <w:multiLevelType w:val="multilevel"/>
    <w:tmpl w:val="6D548A46"/>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48D60F41"/>
    <w:multiLevelType w:val="multilevel"/>
    <w:tmpl w:val="CB3C6214"/>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A903C54"/>
    <w:multiLevelType w:val="multilevel"/>
    <w:tmpl w:val="6B10B440"/>
    <w:lvl w:ilvl="0">
      <w:numFmt w:val="bullet"/>
      <w:lvlText w:val=""/>
      <w:lvlJc w:val="left"/>
      <w:pPr>
        <w:ind w:left="360" w:hanging="360"/>
      </w:pPr>
      <w:rPr>
        <w:rFonts w:ascii="Symbol" w:hAnsi="Symbol"/>
      </w:rPr>
    </w:lvl>
    <w:lvl w:ilvl="1">
      <w:numFmt w:val="bullet"/>
      <w:lvlText w:val="o"/>
      <w:lvlJc w:val="left"/>
      <w:pPr>
        <w:ind w:left="371" w:hanging="360"/>
      </w:pPr>
      <w:rPr>
        <w:rFonts w:ascii="Courier New" w:hAnsi="Courier New" w:cs="Courier New"/>
      </w:rPr>
    </w:lvl>
    <w:lvl w:ilvl="2">
      <w:numFmt w:val="bullet"/>
      <w:lvlText w:val=""/>
      <w:lvlJc w:val="left"/>
      <w:pPr>
        <w:ind w:left="1091" w:hanging="360"/>
      </w:pPr>
      <w:rPr>
        <w:rFonts w:ascii="Wingdings" w:hAnsi="Wingdings"/>
      </w:rPr>
    </w:lvl>
    <w:lvl w:ilvl="3">
      <w:numFmt w:val="bullet"/>
      <w:lvlText w:val=""/>
      <w:lvlJc w:val="left"/>
      <w:pPr>
        <w:ind w:left="1811" w:hanging="360"/>
      </w:pPr>
      <w:rPr>
        <w:rFonts w:ascii="Symbol" w:hAnsi="Symbol"/>
      </w:rPr>
    </w:lvl>
    <w:lvl w:ilvl="4">
      <w:numFmt w:val="bullet"/>
      <w:lvlText w:val="o"/>
      <w:lvlJc w:val="left"/>
      <w:pPr>
        <w:ind w:left="2531" w:hanging="360"/>
      </w:pPr>
      <w:rPr>
        <w:rFonts w:ascii="Courier New" w:hAnsi="Courier New" w:cs="Courier New"/>
      </w:rPr>
    </w:lvl>
    <w:lvl w:ilvl="5">
      <w:numFmt w:val="bullet"/>
      <w:lvlText w:val=""/>
      <w:lvlJc w:val="left"/>
      <w:pPr>
        <w:ind w:left="3251" w:hanging="360"/>
      </w:pPr>
      <w:rPr>
        <w:rFonts w:ascii="Wingdings" w:hAnsi="Wingdings"/>
      </w:rPr>
    </w:lvl>
    <w:lvl w:ilvl="6">
      <w:numFmt w:val="bullet"/>
      <w:lvlText w:val=""/>
      <w:lvlJc w:val="left"/>
      <w:pPr>
        <w:ind w:left="3971" w:hanging="360"/>
      </w:pPr>
      <w:rPr>
        <w:rFonts w:ascii="Symbol" w:hAnsi="Symbol"/>
      </w:rPr>
    </w:lvl>
    <w:lvl w:ilvl="7">
      <w:numFmt w:val="bullet"/>
      <w:lvlText w:val="o"/>
      <w:lvlJc w:val="left"/>
      <w:pPr>
        <w:ind w:left="4691" w:hanging="360"/>
      </w:pPr>
      <w:rPr>
        <w:rFonts w:ascii="Courier New" w:hAnsi="Courier New" w:cs="Courier New"/>
      </w:rPr>
    </w:lvl>
    <w:lvl w:ilvl="8">
      <w:numFmt w:val="bullet"/>
      <w:lvlText w:val=""/>
      <w:lvlJc w:val="left"/>
      <w:pPr>
        <w:ind w:left="5411" w:hanging="360"/>
      </w:pPr>
      <w:rPr>
        <w:rFonts w:ascii="Wingdings" w:hAnsi="Wingdings"/>
      </w:rPr>
    </w:lvl>
  </w:abstractNum>
  <w:abstractNum w:abstractNumId="13" w15:restartNumberingAfterBreak="0">
    <w:nsid w:val="4D52761C"/>
    <w:multiLevelType w:val="multilevel"/>
    <w:tmpl w:val="D230293A"/>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546B4D5F"/>
    <w:multiLevelType w:val="multilevel"/>
    <w:tmpl w:val="04906F0A"/>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58434DE3"/>
    <w:multiLevelType w:val="multilevel"/>
    <w:tmpl w:val="8FBC8E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E47ED6"/>
    <w:multiLevelType w:val="multilevel"/>
    <w:tmpl w:val="365E34A0"/>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6AC66F85"/>
    <w:multiLevelType w:val="multilevel"/>
    <w:tmpl w:val="21AACFF6"/>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74B106D8"/>
    <w:multiLevelType w:val="multilevel"/>
    <w:tmpl w:val="8C02A804"/>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75A16875"/>
    <w:multiLevelType w:val="multilevel"/>
    <w:tmpl w:val="5C2EDD6A"/>
    <w:lvl w:ilvl="0">
      <w:start w:val="1"/>
      <w:numFmt w:val="decimal"/>
      <w:lvlText w:val="%1."/>
      <w:lvlJc w:val="left"/>
      <w:pPr>
        <w:ind w:left="1080" w:hanging="360"/>
      </w:pPr>
      <w:rPr>
        <w:rFonts w:ascii="Work Sans" w:hAnsi="Work Sans"/>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9DC344D"/>
    <w:multiLevelType w:val="multilevel"/>
    <w:tmpl w:val="6D20D1EA"/>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7A9610B8"/>
    <w:multiLevelType w:val="multilevel"/>
    <w:tmpl w:val="36C45F04"/>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7CB61ED6"/>
    <w:multiLevelType w:val="multilevel"/>
    <w:tmpl w:val="65DC0644"/>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7"/>
  </w:num>
  <w:num w:numId="2">
    <w:abstractNumId w:val="5"/>
  </w:num>
  <w:num w:numId="3">
    <w:abstractNumId w:val="16"/>
  </w:num>
  <w:num w:numId="4">
    <w:abstractNumId w:val="2"/>
  </w:num>
  <w:num w:numId="5">
    <w:abstractNumId w:val="17"/>
  </w:num>
  <w:num w:numId="6">
    <w:abstractNumId w:val="11"/>
  </w:num>
  <w:num w:numId="7">
    <w:abstractNumId w:val="20"/>
  </w:num>
  <w:num w:numId="8">
    <w:abstractNumId w:val="8"/>
  </w:num>
  <w:num w:numId="9">
    <w:abstractNumId w:val="21"/>
  </w:num>
  <w:num w:numId="10">
    <w:abstractNumId w:val="9"/>
  </w:num>
  <w:num w:numId="11">
    <w:abstractNumId w:val="14"/>
  </w:num>
  <w:num w:numId="12">
    <w:abstractNumId w:val="1"/>
  </w:num>
  <w:num w:numId="13">
    <w:abstractNumId w:val="0"/>
  </w:num>
  <w:num w:numId="14">
    <w:abstractNumId w:val="13"/>
  </w:num>
  <w:num w:numId="15">
    <w:abstractNumId w:val="18"/>
  </w:num>
  <w:num w:numId="16">
    <w:abstractNumId w:val="4"/>
  </w:num>
  <w:num w:numId="17">
    <w:abstractNumId w:val="10"/>
  </w:num>
  <w:num w:numId="18">
    <w:abstractNumId w:val="3"/>
  </w:num>
  <w:num w:numId="19">
    <w:abstractNumId w:val="22"/>
  </w:num>
  <w:num w:numId="20">
    <w:abstractNumId w:val="6"/>
  </w:num>
  <w:num w:numId="21">
    <w:abstractNumId w:val="1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B5DB9"/>
    <w:rsid w:val="00141725"/>
    <w:rsid w:val="00DF3BE6"/>
    <w:rsid w:val="00EB5D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801B0ED"/>
  <w15:docId w15:val="{A6B9578A-86F1-C945-967E-500D6814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styleId="TDC1">
    <w:name w:val="toc 1"/>
    <w:basedOn w:val="Normal"/>
    <w:next w:val="Normal"/>
    <w:pPr>
      <w:widowControl/>
      <w:tabs>
        <w:tab w:val="left" w:leader="dot" w:pos="9000"/>
        <w:tab w:val="right" w:pos="9360"/>
      </w:tabs>
      <w:spacing w:before="480"/>
      <w:ind w:left="720" w:right="720" w:hanging="720"/>
      <w:textAlignment w:val="auto"/>
    </w:pPr>
    <w:rPr>
      <w:rFonts w:ascii="Courier New" w:eastAsia="SimSun" w:hAnsi="Courier New" w:cs="Times New Roman"/>
      <w:kern w:val="0"/>
      <w:szCs w:val="20"/>
      <w:lang w:val="en-US" w:eastAsia="es-ES" w:bidi="ar-SA"/>
    </w:rPr>
  </w:style>
  <w:style w:type="paragraph" w:styleId="TDC2">
    <w:name w:val="toc 2"/>
    <w:basedOn w:val="Normal"/>
    <w:next w:val="Normal"/>
    <w:pPr>
      <w:widowControl/>
      <w:tabs>
        <w:tab w:val="left" w:leader="dot" w:pos="9000"/>
        <w:tab w:val="right" w:pos="9360"/>
      </w:tabs>
      <w:ind w:left="1440" w:right="720" w:hanging="720"/>
      <w:textAlignment w:val="auto"/>
    </w:pPr>
    <w:rPr>
      <w:rFonts w:ascii="Courier New" w:eastAsia="SimSun" w:hAnsi="Courier New" w:cs="Times New Roman"/>
      <w:kern w:val="0"/>
      <w:szCs w:val="20"/>
      <w:lang w:val="en-US" w:eastAsia="es-ES" w:bidi="ar-SA"/>
    </w:rPr>
  </w:style>
  <w:style w:type="paragraph" w:styleId="TDC3">
    <w:name w:val="toc 3"/>
    <w:basedOn w:val="Normal"/>
    <w:next w:val="Normal"/>
    <w:pPr>
      <w:widowControl/>
      <w:tabs>
        <w:tab w:val="left" w:leader="dot" w:pos="9000"/>
        <w:tab w:val="right" w:pos="9360"/>
      </w:tabs>
      <w:ind w:left="2160" w:right="720" w:hanging="720"/>
      <w:textAlignment w:val="auto"/>
    </w:pPr>
    <w:rPr>
      <w:rFonts w:ascii="Courier New" w:eastAsia="SimSun" w:hAnsi="Courier New" w:cs="Times New Roman"/>
      <w:kern w:val="0"/>
      <w:szCs w:val="20"/>
      <w:lang w:val="en-US" w:eastAsia="es-ES" w:bidi="ar-SA"/>
    </w:rPr>
  </w:style>
  <w:style w:type="paragraph" w:styleId="TDC4">
    <w:name w:val="toc 4"/>
    <w:basedOn w:val="Normal"/>
    <w:next w:val="Normal"/>
    <w:pPr>
      <w:widowControl/>
      <w:tabs>
        <w:tab w:val="left" w:leader="dot" w:pos="9000"/>
        <w:tab w:val="right" w:pos="9360"/>
      </w:tabs>
      <w:ind w:left="2880" w:right="720" w:hanging="720"/>
      <w:textAlignment w:val="auto"/>
    </w:pPr>
    <w:rPr>
      <w:rFonts w:ascii="Courier New" w:eastAsia="SimSun" w:hAnsi="Courier New" w:cs="Times New Roman"/>
      <w:kern w:val="0"/>
      <w:szCs w:val="20"/>
      <w:lang w:val="en-US" w:eastAsia="es-ES" w:bidi="ar-SA"/>
    </w:rPr>
  </w:style>
  <w:style w:type="paragraph" w:styleId="TDC5">
    <w:name w:val="toc 5"/>
    <w:basedOn w:val="Normal"/>
    <w:next w:val="Normal"/>
    <w:pPr>
      <w:widowControl/>
      <w:tabs>
        <w:tab w:val="left" w:leader="dot" w:pos="9000"/>
        <w:tab w:val="right" w:pos="9360"/>
      </w:tabs>
      <w:ind w:left="3600" w:right="720" w:hanging="720"/>
      <w:textAlignment w:val="auto"/>
    </w:pPr>
    <w:rPr>
      <w:rFonts w:ascii="Courier New" w:eastAsia="SimSun" w:hAnsi="Courier New" w:cs="Times New Roman"/>
      <w:kern w:val="0"/>
      <w:szCs w:val="20"/>
      <w:lang w:val="en-US" w:eastAsia="es-ES" w:bidi="ar-SA"/>
    </w:rPr>
  </w:style>
  <w:style w:type="paragraph" w:styleId="TDC6">
    <w:name w:val="toc 6"/>
    <w:basedOn w:val="Normal"/>
    <w:next w:val="Normal"/>
    <w:pPr>
      <w:widowControl/>
      <w:tabs>
        <w:tab w:val="left" w:pos="9000"/>
        <w:tab w:val="right" w:pos="9360"/>
      </w:tabs>
      <w:ind w:left="720" w:hanging="720"/>
      <w:textAlignment w:val="auto"/>
    </w:pPr>
    <w:rPr>
      <w:rFonts w:ascii="Courier New" w:eastAsia="SimSun" w:hAnsi="Courier New" w:cs="Times New Roman"/>
      <w:kern w:val="0"/>
      <w:szCs w:val="20"/>
      <w:lang w:val="en-US" w:eastAsia="es-ES" w:bidi="ar-SA"/>
    </w:rPr>
  </w:style>
  <w:style w:type="paragraph" w:styleId="TDC7">
    <w:name w:val="toc 7"/>
    <w:basedOn w:val="Normal"/>
    <w:next w:val="Normal"/>
    <w:pPr>
      <w:widowControl/>
      <w:ind w:left="720" w:hanging="720"/>
      <w:textAlignment w:val="auto"/>
    </w:pPr>
    <w:rPr>
      <w:rFonts w:ascii="Courier New" w:eastAsia="SimSun" w:hAnsi="Courier New" w:cs="Times New Roman"/>
      <w:kern w:val="0"/>
      <w:szCs w:val="20"/>
      <w:lang w:val="en-US" w:eastAsia="es-ES" w:bidi="ar-SA"/>
    </w:rPr>
  </w:style>
  <w:style w:type="paragraph" w:styleId="TDC8">
    <w:name w:val="toc 8"/>
    <w:basedOn w:val="Normal"/>
    <w:next w:val="Normal"/>
    <w:pPr>
      <w:widowControl/>
      <w:tabs>
        <w:tab w:val="left" w:pos="9000"/>
        <w:tab w:val="right" w:pos="9360"/>
      </w:tabs>
      <w:ind w:left="720" w:hanging="720"/>
      <w:textAlignment w:val="auto"/>
    </w:pPr>
    <w:rPr>
      <w:rFonts w:ascii="Courier New" w:eastAsia="SimSun" w:hAnsi="Courier New" w:cs="Times New Roman"/>
      <w:kern w:val="0"/>
      <w:szCs w:val="20"/>
      <w:lang w:val="en-US" w:eastAsia="es-ES" w:bidi="ar-SA"/>
    </w:rPr>
  </w:style>
  <w:style w:type="paragraph" w:styleId="TDC9">
    <w:name w:val="toc 9"/>
    <w:basedOn w:val="Normal"/>
    <w:next w:val="Normal"/>
    <w:pPr>
      <w:widowControl/>
      <w:tabs>
        <w:tab w:val="left" w:leader="dot" w:pos="9000"/>
        <w:tab w:val="right" w:pos="9360"/>
      </w:tabs>
      <w:ind w:left="720" w:hanging="720"/>
      <w:textAlignment w:val="auto"/>
    </w:pPr>
    <w:rPr>
      <w:rFonts w:ascii="Courier New" w:eastAsia="SimSun" w:hAnsi="Courier New" w:cs="Times New Roman"/>
      <w:kern w:val="0"/>
      <w:szCs w:val="20"/>
      <w:lang w:val="en-US" w:eastAsia="es-ES" w:bidi="ar-SA"/>
    </w:rPr>
  </w:style>
  <w:style w:type="paragraph" w:styleId="Textoindependiente">
    <w:name w:val="Body Text"/>
    <w:basedOn w:val="Normal"/>
    <w:pPr>
      <w:widowControl/>
      <w:tabs>
        <w:tab w:val="left" w:pos="-720"/>
      </w:tabs>
      <w:jc w:val="both"/>
      <w:textAlignment w:val="auto"/>
    </w:pPr>
    <w:rPr>
      <w:rFonts w:ascii="Arial" w:eastAsia="SimSun" w:hAnsi="Arial" w:cs="Times New Roman"/>
      <w:spacing w:val="-3"/>
      <w:kern w:val="0"/>
      <w:sz w:val="28"/>
      <w:szCs w:val="20"/>
      <w:lang w:val="es" w:eastAsia="es-ES" w:bidi="ar-SA"/>
    </w:rPr>
  </w:style>
  <w:style w:type="character" w:customStyle="1" w:styleId="TextoindependienteCar">
    <w:name w:val="Texto independiente Car"/>
    <w:basedOn w:val="Fuentedeprrafopredeter"/>
    <w:rPr>
      <w:rFonts w:ascii="Arial" w:eastAsia="SimSun" w:hAnsi="Arial" w:cs="Times New Roman"/>
      <w:spacing w:val="-3"/>
      <w:sz w:val="28"/>
      <w:lang w:val="es" w:eastAsia="es-ES"/>
    </w:rPr>
  </w:style>
  <w:style w:type="paragraph" w:styleId="Sangradetextonormal">
    <w:name w:val="Body Text Indent"/>
    <w:basedOn w:val="Normal"/>
    <w:pPr>
      <w:widowControl/>
      <w:tabs>
        <w:tab w:val="left" w:pos="-720"/>
        <w:tab w:val="left" w:pos="5103"/>
      </w:tabs>
      <w:ind w:left="5103" w:hanging="5103"/>
      <w:jc w:val="both"/>
      <w:textAlignment w:val="auto"/>
    </w:pPr>
    <w:rPr>
      <w:rFonts w:ascii="Arial" w:eastAsia="SimSun" w:hAnsi="Arial" w:cs="Times New Roman"/>
      <w:spacing w:val="-3"/>
      <w:kern w:val="0"/>
      <w:sz w:val="28"/>
      <w:szCs w:val="20"/>
      <w:lang w:val="es" w:eastAsia="es-ES" w:bidi="ar-SA"/>
    </w:rPr>
  </w:style>
  <w:style w:type="character" w:customStyle="1" w:styleId="SangradetextonormalCar">
    <w:name w:val="Sangría de texto normal Car"/>
    <w:basedOn w:val="Fuentedeprrafopredeter"/>
    <w:rPr>
      <w:rFonts w:ascii="Arial" w:eastAsia="SimSun" w:hAnsi="Arial" w:cs="Times New Roman"/>
      <w:spacing w:val="-3"/>
      <w:sz w:val="28"/>
      <w:lang w:val="es" w:eastAsia="es-ES"/>
    </w:rPr>
  </w:style>
  <w:style w:type="paragraph" w:styleId="Ttulo">
    <w:name w:val="Title"/>
    <w:basedOn w:val="Normal"/>
    <w:uiPriority w:val="10"/>
    <w:qFormat/>
    <w:pPr>
      <w:widowControl/>
      <w:spacing w:before="240" w:after="60"/>
      <w:jc w:val="center"/>
      <w:textAlignment w:val="auto"/>
    </w:pPr>
    <w:rPr>
      <w:rFonts w:ascii="Arial" w:eastAsia="SimSun" w:hAnsi="Arial" w:cs="Times New Roman"/>
      <w:b/>
      <w:sz w:val="32"/>
      <w:szCs w:val="20"/>
      <w:lang w:val="es" w:eastAsia="es-ES" w:bidi="ar-SA"/>
    </w:rPr>
  </w:style>
  <w:style w:type="character" w:customStyle="1" w:styleId="TtuloCar">
    <w:name w:val="Título Car"/>
    <w:basedOn w:val="Fuentedeprrafopredeter"/>
    <w:rPr>
      <w:rFonts w:ascii="Arial" w:eastAsia="SimSun" w:hAnsi="Arial" w:cs="Times New Roman"/>
      <w:b/>
      <w:kern w:val="3"/>
      <w:sz w:val="32"/>
      <w:lang w:val="es" w:eastAsia="es-ES"/>
    </w:rPr>
  </w:style>
  <w:style w:type="paragraph" w:customStyle="1" w:styleId="Default">
    <w:name w:val="Default"/>
    <w:pPr>
      <w:suppressAutoHyphens/>
      <w:autoSpaceDE w:val="0"/>
      <w:textAlignment w:val="auto"/>
    </w:pPr>
    <w:rPr>
      <w:rFonts w:ascii="Verdana" w:eastAsia="SimSun" w:hAnsi="Verdana" w:cs="Verdana"/>
      <w:color w:val="000000"/>
      <w:sz w:val="24"/>
      <w:szCs w:val="24"/>
      <w:lang w:val="es-ES" w:eastAsia="es-ES"/>
    </w:rPr>
  </w:style>
  <w:style w:type="character" w:customStyle="1" w:styleId="PrrafodelistaCar">
    <w:name w:val="Párrafo de lista Car"/>
    <w:rPr>
      <w:rFonts w:ascii="Courier New" w:hAnsi="Courier New" w:cs="Courier New"/>
      <w:kern w:val="3"/>
      <w:sz w:val="24"/>
      <w:lang w:val="es-ES" w:eastAsia="zh-CN"/>
    </w:rPr>
  </w:style>
  <w:style w:type="paragraph" w:customStyle="1" w:styleId="Estilo">
    <w:name w:val="Estilo"/>
    <w:pPr>
      <w:widowControl w:val="0"/>
      <w:suppressAutoHyphens/>
      <w:autoSpaceDE w:val="0"/>
      <w:textAlignment w:val="auto"/>
    </w:pPr>
    <w:rPr>
      <w:rFonts w:ascii="Arial" w:eastAsia="SimSun" w:hAnsi="Arial" w:cs="Arial"/>
      <w:sz w:val="24"/>
      <w:szCs w:val="24"/>
      <w:lang w:val="es-ES" w:eastAsia="es-ES"/>
    </w:rPr>
  </w:style>
  <w:style w:type="character" w:customStyle="1" w:styleId="apple-converted-space">
    <w:name w:val="apple-converted-space"/>
  </w:style>
  <w:style w:type="character" w:customStyle="1" w:styleId="spelle">
    <w:name w:val="spelle"/>
  </w:style>
  <w:style w:type="paragraph" w:customStyle="1" w:styleId="Epgrafe0">
    <w:name w:val="Epígrafe"/>
    <w:basedOn w:val="Standard"/>
    <w:pPr>
      <w:suppressLineNumbers/>
      <w:spacing w:before="120" w:after="120"/>
    </w:pPr>
    <w:rPr>
      <w:rFonts w:eastAsia="SimSun" w:cs="Lohit Devanagari"/>
      <w:i/>
      <w:iCs/>
      <w:szCs w:val="24"/>
    </w:rPr>
  </w:style>
  <w:style w:type="paragraph" w:customStyle="1" w:styleId="Car0">
    <w:name w:val="Car0"/>
    <w:basedOn w:val="Standard"/>
    <w:pPr>
      <w:spacing w:after="160" w:line="240" w:lineRule="exact"/>
    </w:pPr>
    <w:rPr>
      <w:rFonts w:ascii="Tahoma" w:eastAsia="SimSun" w:hAnsi="Tahoma" w:cs="Tahoma"/>
      <w:sz w:val="20"/>
      <w:lang w:val="en-US"/>
    </w:rPr>
  </w:style>
  <w:style w:type="character" w:customStyle="1" w:styleId="normaltextrun">
    <w:name w:val="normaltextrun"/>
    <w:basedOn w:val="Fuentedeprrafopredete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eop">
    <w:name w:val="eop"/>
    <w:basedOn w:val="Fuentedeprrafopredeter"/>
  </w:style>
  <w:style w:type="character" w:customStyle="1" w:styleId="Mencionar1">
    <w:name w:val="Mencionar1"/>
    <w:basedOn w:val="Fuentedeprrafopredeter"/>
    <w:rPr>
      <w:color w:val="2B579A"/>
      <w:shd w:val="clear" w:color="auto" w:fill="E6E6E6"/>
    </w:rPr>
  </w:style>
  <w:style w:type="character" w:customStyle="1" w:styleId="fontstyle01">
    <w:name w:val="fontstyle01"/>
    <w:basedOn w:val="Fuentedeprrafopredeter"/>
    <w:rPr>
      <w:rFonts w:ascii="TimesNewRomanPSMT" w:hAnsi="TimesNewRomanPSMT"/>
      <w:b w:val="0"/>
      <w:bCs w:val="0"/>
      <w:i w:val="0"/>
      <w:iCs w:val="0"/>
      <w:color w:val="000000"/>
      <w:sz w:val="24"/>
      <w:szCs w:val="24"/>
    </w:rPr>
  </w:style>
  <w:style w:type="character" w:styleId="Hipervnculovisitado">
    <w:name w:val="FollowedHyperlink"/>
    <w:basedOn w:val="Fuentedeprrafopredeter"/>
    <w:rPr>
      <w:color w:val="800080"/>
      <w:u w:val="single"/>
    </w:rPr>
  </w:style>
  <w:style w:type="character" w:customStyle="1" w:styleId="Fuentedeprrafopredeter0">
    <w:name w:val="Fuente de párrafo predete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6276</Words>
  <Characters>34522</Characters>
  <Application>Microsoft Office Word</Application>
  <DocSecurity>0</DocSecurity>
  <Lines>287</Lines>
  <Paragraphs>81</Paragraphs>
  <ScaleCrop>false</ScaleCrop>
  <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Microsoft Office User</cp:lastModifiedBy>
  <cp:revision>2</cp:revision>
  <cp:lastPrinted>2020-04-03T23:17:00Z</cp:lastPrinted>
  <dcterms:created xsi:type="dcterms:W3CDTF">2021-08-20T17:28:00Z</dcterms:created>
  <dcterms:modified xsi:type="dcterms:W3CDTF">2021-08-20T17:28:00Z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