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D6F93"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noProof/>
          <w:sz w:val="24"/>
          <w:szCs w:val="24"/>
          <w:lang w:eastAsia="es-MX"/>
        </w:rPr>
        <w:drawing>
          <wp:anchor distT="0" distB="0" distL="114300" distR="114300" simplePos="0" relativeHeight="251664896" behindDoc="0" locked="0" layoutInCell="1" allowOverlap="1" wp14:anchorId="3EECF63D" wp14:editId="23AF5E79">
            <wp:simplePos x="0" y="0"/>
            <wp:positionH relativeFrom="column">
              <wp:posOffset>3967480</wp:posOffset>
            </wp:positionH>
            <wp:positionV relativeFrom="paragraph">
              <wp:posOffset>-358140</wp:posOffset>
            </wp:positionV>
            <wp:extent cx="1257300" cy="4260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anchor>
        </w:drawing>
      </w:r>
      <w:r w:rsidRPr="00734EEF">
        <w:rPr>
          <w:rFonts w:ascii="Times New Roman" w:eastAsia="Times New Roman" w:hAnsi="Times New Roman" w:cs="Times New Roman"/>
          <w:noProof/>
          <w:sz w:val="24"/>
          <w:szCs w:val="24"/>
          <w:lang w:eastAsia="es-MX"/>
        </w:rPr>
        <w:drawing>
          <wp:anchor distT="0" distB="0" distL="114300" distR="114300" simplePos="0" relativeHeight="251659776" behindDoc="0" locked="0" layoutInCell="1" allowOverlap="1" wp14:anchorId="19C81968" wp14:editId="2C836F44">
            <wp:simplePos x="0" y="0"/>
            <wp:positionH relativeFrom="column">
              <wp:posOffset>1381125</wp:posOffset>
            </wp:positionH>
            <wp:positionV relativeFrom="paragraph">
              <wp:posOffset>-424815</wp:posOffset>
            </wp:positionV>
            <wp:extent cx="2051685" cy="5619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anchor>
        </w:drawing>
      </w:r>
      <w:r w:rsidRPr="00734EEF">
        <w:rPr>
          <w:rFonts w:ascii="Times New Roman" w:eastAsia="Times New Roman" w:hAnsi="Times New Roman" w:cs="Times New Roman"/>
          <w:noProof/>
          <w:sz w:val="24"/>
          <w:szCs w:val="24"/>
          <w:lang w:eastAsia="es-MX"/>
        </w:rPr>
        <w:drawing>
          <wp:anchor distT="0" distB="0" distL="114300" distR="114300" simplePos="0" relativeHeight="251654656" behindDoc="0" locked="0" layoutInCell="1" allowOverlap="1" wp14:anchorId="49505E4B" wp14:editId="2B3E2DE0">
            <wp:simplePos x="0" y="0"/>
            <wp:positionH relativeFrom="column">
              <wp:posOffset>-90170</wp:posOffset>
            </wp:positionH>
            <wp:positionV relativeFrom="paragraph">
              <wp:posOffset>-748665</wp:posOffset>
            </wp:positionV>
            <wp:extent cx="990600" cy="885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anchor>
        </w:drawing>
      </w:r>
    </w:p>
    <w:p w14:paraId="6F3E1F8F"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p>
    <w:p w14:paraId="3D4DA3E4"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p>
    <w:p w14:paraId="66952DE1" w14:textId="77777777" w:rsidR="00EB78FD" w:rsidRPr="00734EEF" w:rsidRDefault="00EB78FD" w:rsidP="00EB78FD">
      <w:pPr>
        <w:spacing w:after="0" w:line="240" w:lineRule="auto"/>
        <w:rPr>
          <w:rFonts w:ascii="Times New Roman" w:eastAsia="Times New Roman" w:hAnsi="Times New Roman" w:cs="Times New Roman"/>
          <w:sz w:val="24"/>
          <w:szCs w:val="24"/>
          <w:lang w:val="es-ES_tradnl" w:eastAsia="es-ES"/>
        </w:rPr>
      </w:pPr>
    </w:p>
    <w:p w14:paraId="040DF898" w14:textId="77777777" w:rsidR="00EB78FD" w:rsidRPr="00734EEF" w:rsidRDefault="00EB78FD" w:rsidP="00EB78FD">
      <w:pPr>
        <w:keepNext/>
        <w:widowControl w:val="0"/>
        <w:tabs>
          <w:tab w:val="left" w:pos="4253"/>
        </w:tabs>
        <w:spacing w:after="0" w:line="240" w:lineRule="auto"/>
        <w:jc w:val="center"/>
        <w:outlineLvl w:val="1"/>
        <w:rPr>
          <w:rFonts w:ascii="Times New Roman" w:eastAsia="Times New Roman" w:hAnsi="Times New Roman" w:cs="Times New Roman"/>
          <w:b/>
          <w:sz w:val="24"/>
          <w:szCs w:val="24"/>
          <w:lang w:val="es-ES_tradnl" w:eastAsia="es-ES"/>
        </w:rPr>
      </w:pPr>
      <w:r w:rsidRPr="00734EEF">
        <w:rPr>
          <w:rFonts w:ascii="Times New Roman" w:eastAsia="Times New Roman" w:hAnsi="Times New Roman" w:cs="Times New Roman"/>
          <w:b/>
          <w:sz w:val="24"/>
          <w:szCs w:val="24"/>
          <w:lang w:val="es-ES_tradnl" w:eastAsia="es-ES"/>
        </w:rPr>
        <w:t>RESOLUCIÓN  NÚMERO                                          DE 2014</w:t>
      </w:r>
    </w:p>
    <w:p w14:paraId="27068941"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p>
    <w:p w14:paraId="40CC58A2"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p>
    <w:p w14:paraId="7A710668"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b/>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w:t>
      </w:r>
    </w:p>
    <w:p w14:paraId="5D0FAF87" w14:textId="77777777" w:rsidR="00EB78FD" w:rsidRPr="00734EEF"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3DCDAFAD" w14:textId="77777777" w:rsidR="00EB78FD" w:rsidRPr="00734EEF"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16D94D54" w14:textId="77777777" w:rsidR="00D25526" w:rsidRPr="00734EEF"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r w:rsidRPr="00734EEF">
        <w:rPr>
          <w:rFonts w:ascii="Times New Roman" w:eastAsia="Times New Roman" w:hAnsi="Times New Roman" w:cs="Times New Roman"/>
          <w:color w:val="000000"/>
          <w:sz w:val="24"/>
          <w:szCs w:val="24"/>
          <w:lang w:val="es-ES" w:eastAsia="es-ES"/>
        </w:rPr>
        <w:t>“Por la cual se emite Concepto vinculante previo al establecimiento de una estación de peaje</w:t>
      </w:r>
      <w:r w:rsidR="00C92E42" w:rsidRPr="00734EEF">
        <w:rPr>
          <w:rFonts w:ascii="Times New Roman" w:eastAsia="Times New Roman" w:hAnsi="Times New Roman" w:cs="Times New Roman"/>
          <w:color w:val="000000"/>
          <w:sz w:val="24"/>
          <w:szCs w:val="24"/>
          <w:lang w:val="es-ES" w:eastAsia="es-ES"/>
        </w:rPr>
        <w:t xml:space="preserve"> denominada “Peaje </w:t>
      </w:r>
      <w:r w:rsidR="00326D14">
        <w:rPr>
          <w:rFonts w:ascii="Times New Roman" w:eastAsia="Times New Roman" w:hAnsi="Times New Roman" w:cs="Times New Roman"/>
          <w:color w:val="000000"/>
          <w:sz w:val="24"/>
          <w:szCs w:val="24"/>
          <w:lang w:val="es-ES" w:eastAsia="es-ES"/>
        </w:rPr>
        <w:t>Cocora</w:t>
      </w:r>
      <w:r w:rsidR="00C92E42" w:rsidRPr="00734EEF">
        <w:rPr>
          <w:rFonts w:ascii="Times New Roman" w:eastAsia="Times New Roman" w:hAnsi="Times New Roman" w:cs="Times New Roman"/>
          <w:color w:val="000000"/>
          <w:sz w:val="24"/>
          <w:szCs w:val="24"/>
          <w:lang w:val="es-ES" w:eastAsia="es-ES"/>
        </w:rPr>
        <w:t xml:space="preserve">” </w:t>
      </w:r>
      <w:r w:rsidR="00277FAC" w:rsidRPr="00734EEF">
        <w:rPr>
          <w:rFonts w:ascii="Times New Roman" w:eastAsia="Times New Roman" w:hAnsi="Times New Roman" w:cs="Times New Roman"/>
          <w:color w:val="000000"/>
          <w:sz w:val="24"/>
          <w:szCs w:val="24"/>
          <w:lang w:val="es-ES" w:eastAsia="es-ES"/>
        </w:rPr>
        <w:t xml:space="preserve">y </w:t>
      </w:r>
      <w:r w:rsidR="00C92E42" w:rsidRPr="00734EEF">
        <w:rPr>
          <w:rFonts w:ascii="Times New Roman" w:eastAsia="Times New Roman" w:hAnsi="Times New Roman" w:cs="Times New Roman"/>
          <w:color w:val="000000"/>
          <w:sz w:val="24"/>
          <w:szCs w:val="24"/>
          <w:lang w:val="es-ES" w:eastAsia="es-ES"/>
        </w:rPr>
        <w:t xml:space="preserve"> se establecen las tarifas a cobrar en </w:t>
      </w:r>
      <w:r w:rsidR="00602821" w:rsidRPr="00734EEF">
        <w:rPr>
          <w:rFonts w:ascii="Times New Roman" w:eastAsia="Times New Roman" w:hAnsi="Times New Roman" w:cs="Times New Roman"/>
          <w:color w:val="000000"/>
          <w:sz w:val="24"/>
          <w:szCs w:val="24"/>
          <w:lang w:val="es-ES" w:eastAsia="es-ES"/>
        </w:rPr>
        <w:t xml:space="preserve">la anterior y en </w:t>
      </w:r>
      <w:r w:rsidR="00277FAC" w:rsidRPr="00734EEF">
        <w:rPr>
          <w:rFonts w:ascii="Times New Roman" w:eastAsia="Times New Roman" w:hAnsi="Times New Roman" w:cs="Times New Roman"/>
          <w:color w:val="000000"/>
          <w:sz w:val="24"/>
          <w:szCs w:val="24"/>
          <w:lang w:val="es-ES" w:eastAsia="es-ES"/>
        </w:rPr>
        <w:t xml:space="preserve">las estaciones de peaje denominadas </w:t>
      </w:r>
      <w:r w:rsidR="008162F8">
        <w:rPr>
          <w:rFonts w:ascii="Times New Roman" w:eastAsia="Times New Roman" w:hAnsi="Times New Roman" w:cs="Times New Roman"/>
          <w:color w:val="000000"/>
          <w:sz w:val="24"/>
          <w:szCs w:val="24"/>
          <w:lang w:val="es-ES" w:eastAsia="es-ES"/>
        </w:rPr>
        <w:t>“</w:t>
      </w:r>
      <w:r w:rsidR="00326D14">
        <w:rPr>
          <w:rFonts w:ascii="Times New Roman" w:eastAsia="Times New Roman" w:hAnsi="Times New Roman" w:cs="Times New Roman"/>
          <w:color w:val="000000"/>
          <w:sz w:val="24"/>
          <w:szCs w:val="24"/>
          <w:lang w:val="es-ES" w:eastAsia="es-ES"/>
        </w:rPr>
        <w:t>Gualanday</w:t>
      </w:r>
      <w:r w:rsidR="002A5FF1">
        <w:rPr>
          <w:rFonts w:ascii="Times New Roman" w:eastAsia="Times New Roman" w:hAnsi="Times New Roman" w:cs="Times New Roman"/>
          <w:color w:val="000000"/>
          <w:sz w:val="24"/>
          <w:szCs w:val="24"/>
          <w:lang w:val="es-ES" w:eastAsia="es-ES"/>
        </w:rPr>
        <w:t>”</w:t>
      </w:r>
      <w:r w:rsidR="00277FAC" w:rsidRPr="00734EEF">
        <w:rPr>
          <w:rFonts w:ascii="Times New Roman" w:eastAsia="Times New Roman" w:hAnsi="Times New Roman" w:cs="Times New Roman"/>
          <w:color w:val="000000"/>
          <w:sz w:val="24"/>
          <w:szCs w:val="24"/>
          <w:lang w:val="es-ES" w:eastAsia="es-ES"/>
        </w:rPr>
        <w:t xml:space="preserve"> y </w:t>
      </w:r>
      <w:r w:rsidR="002A5FF1">
        <w:rPr>
          <w:rFonts w:ascii="Times New Roman" w:eastAsia="Times New Roman" w:hAnsi="Times New Roman" w:cs="Times New Roman"/>
          <w:color w:val="000000"/>
          <w:sz w:val="24"/>
          <w:szCs w:val="24"/>
          <w:lang w:val="es-ES" w:eastAsia="es-ES"/>
        </w:rPr>
        <w:t>“</w:t>
      </w:r>
      <w:r w:rsidR="00326D14">
        <w:rPr>
          <w:rFonts w:ascii="Times New Roman" w:eastAsia="Times New Roman" w:hAnsi="Times New Roman" w:cs="Times New Roman"/>
          <w:color w:val="000000"/>
          <w:sz w:val="24"/>
          <w:szCs w:val="24"/>
          <w:lang w:val="es-ES" w:eastAsia="es-ES"/>
        </w:rPr>
        <w:t>Chicoral</w:t>
      </w:r>
      <w:r w:rsidR="008162F8">
        <w:rPr>
          <w:rFonts w:ascii="Times New Roman" w:eastAsia="Times New Roman" w:hAnsi="Times New Roman" w:cs="Times New Roman"/>
          <w:color w:val="000000"/>
          <w:sz w:val="24"/>
          <w:szCs w:val="24"/>
          <w:lang w:val="es-ES" w:eastAsia="es-ES"/>
        </w:rPr>
        <w:t>”</w:t>
      </w:r>
      <w:r w:rsidR="00326D14" w:rsidRPr="00734EEF">
        <w:rPr>
          <w:rFonts w:ascii="Times New Roman" w:eastAsia="Times New Roman" w:hAnsi="Times New Roman" w:cs="Times New Roman"/>
          <w:color w:val="000000"/>
          <w:sz w:val="24"/>
          <w:szCs w:val="24"/>
          <w:lang w:val="es-ES" w:eastAsia="es-ES"/>
        </w:rPr>
        <w:t xml:space="preserve">  </w:t>
      </w:r>
      <w:r w:rsidR="00602821" w:rsidRPr="00734EEF">
        <w:rPr>
          <w:rFonts w:ascii="Times New Roman" w:eastAsia="Times New Roman" w:hAnsi="Times New Roman" w:cs="Times New Roman"/>
          <w:color w:val="000000"/>
          <w:sz w:val="24"/>
          <w:szCs w:val="24"/>
          <w:lang w:val="es-ES" w:eastAsia="es-ES"/>
        </w:rPr>
        <w:t xml:space="preserve">existentes en el trayecto </w:t>
      </w:r>
      <w:r w:rsidR="00326D14">
        <w:rPr>
          <w:rFonts w:ascii="Times New Roman" w:eastAsia="Times New Roman" w:hAnsi="Times New Roman" w:cs="Times New Roman"/>
          <w:color w:val="000000"/>
          <w:sz w:val="24"/>
          <w:szCs w:val="24"/>
          <w:lang w:val="es-ES" w:eastAsia="es-ES"/>
        </w:rPr>
        <w:t>Gira</w:t>
      </w:r>
      <w:r w:rsidR="002A5FF1">
        <w:rPr>
          <w:rFonts w:ascii="Times New Roman" w:eastAsia="Times New Roman" w:hAnsi="Times New Roman" w:cs="Times New Roman"/>
          <w:color w:val="000000"/>
          <w:sz w:val="24"/>
          <w:szCs w:val="24"/>
          <w:lang w:val="es-ES" w:eastAsia="es-ES"/>
        </w:rPr>
        <w:t>r</w:t>
      </w:r>
      <w:r w:rsidR="00326D14">
        <w:rPr>
          <w:rFonts w:ascii="Times New Roman" w:eastAsia="Times New Roman" w:hAnsi="Times New Roman" w:cs="Times New Roman"/>
          <w:color w:val="000000"/>
          <w:sz w:val="24"/>
          <w:szCs w:val="24"/>
          <w:lang w:val="es-ES" w:eastAsia="es-ES"/>
        </w:rPr>
        <w:t>dot</w:t>
      </w:r>
      <w:r w:rsidR="00602821" w:rsidRPr="00734EEF">
        <w:rPr>
          <w:rFonts w:ascii="Times New Roman" w:eastAsia="Times New Roman" w:hAnsi="Times New Roman" w:cs="Times New Roman"/>
          <w:color w:val="000000"/>
          <w:sz w:val="24"/>
          <w:szCs w:val="24"/>
          <w:lang w:val="es-ES" w:eastAsia="es-ES"/>
        </w:rPr>
        <w:t>-</w:t>
      </w:r>
      <w:r w:rsidR="00C20736">
        <w:rPr>
          <w:rFonts w:ascii="Times New Roman" w:eastAsia="Times New Roman" w:hAnsi="Times New Roman" w:cs="Times New Roman"/>
          <w:color w:val="000000"/>
          <w:sz w:val="24"/>
          <w:szCs w:val="24"/>
          <w:lang w:val="es-ES" w:eastAsia="es-ES"/>
        </w:rPr>
        <w:t>Ibagué</w:t>
      </w:r>
      <w:r w:rsidR="00602821" w:rsidRPr="00734EEF">
        <w:rPr>
          <w:rFonts w:ascii="Times New Roman" w:eastAsia="Times New Roman" w:hAnsi="Times New Roman" w:cs="Times New Roman"/>
          <w:color w:val="000000"/>
          <w:sz w:val="24"/>
          <w:szCs w:val="24"/>
          <w:lang w:val="es-ES" w:eastAsia="es-ES"/>
        </w:rPr>
        <w:t xml:space="preserve"> perten</w:t>
      </w:r>
      <w:r w:rsidR="009538F4" w:rsidRPr="00734EEF">
        <w:rPr>
          <w:rFonts w:ascii="Times New Roman" w:eastAsia="Times New Roman" w:hAnsi="Times New Roman" w:cs="Times New Roman"/>
          <w:color w:val="000000"/>
          <w:sz w:val="24"/>
          <w:szCs w:val="24"/>
          <w:lang w:val="es-ES" w:eastAsia="es-ES"/>
        </w:rPr>
        <w:t xml:space="preserve">ecientes al Proyecto vial </w:t>
      </w:r>
      <w:r w:rsidR="00326D14">
        <w:rPr>
          <w:rFonts w:ascii="Times New Roman" w:eastAsia="Times New Roman" w:hAnsi="Times New Roman" w:cs="Times New Roman"/>
          <w:color w:val="000000"/>
          <w:sz w:val="24"/>
          <w:szCs w:val="24"/>
          <w:lang w:val="es-ES" w:eastAsia="es-ES"/>
        </w:rPr>
        <w:t>Girardot</w:t>
      </w:r>
      <w:r w:rsidR="00326D14" w:rsidRPr="00734EEF">
        <w:rPr>
          <w:rFonts w:ascii="Times New Roman" w:eastAsia="Times New Roman" w:hAnsi="Times New Roman" w:cs="Times New Roman"/>
          <w:color w:val="000000"/>
          <w:sz w:val="24"/>
          <w:szCs w:val="24"/>
          <w:lang w:val="es-ES" w:eastAsia="es-ES"/>
        </w:rPr>
        <w:t xml:space="preserve"> </w:t>
      </w:r>
      <w:r w:rsidR="00602821" w:rsidRPr="00734EEF">
        <w:rPr>
          <w:rFonts w:ascii="Times New Roman" w:eastAsia="Times New Roman" w:hAnsi="Times New Roman" w:cs="Times New Roman"/>
          <w:color w:val="000000"/>
          <w:sz w:val="24"/>
          <w:szCs w:val="24"/>
          <w:lang w:val="es-ES" w:eastAsia="es-ES"/>
        </w:rPr>
        <w:t>–</w:t>
      </w:r>
      <w:r w:rsidR="00B071C2" w:rsidRPr="00734EEF">
        <w:rPr>
          <w:rFonts w:ascii="Times New Roman" w:eastAsia="Times New Roman" w:hAnsi="Times New Roman" w:cs="Times New Roman"/>
          <w:color w:val="000000"/>
          <w:sz w:val="24"/>
          <w:szCs w:val="24"/>
          <w:lang w:val="es-ES" w:eastAsia="es-ES"/>
        </w:rPr>
        <w:t xml:space="preserve"> </w:t>
      </w:r>
      <w:r w:rsidR="00326D14">
        <w:rPr>
          <w:rFonts w:ascii="Times New Roman" w:eastAsia="Times New Roman" w:hAnsi="Times New Roman" w:cs="Times New Roman"/>
          <w:color w:val="000000"/>
          <w:sz w:val="24"/>
          <w:szCs w:val="24"/>
          <w:lang w:val="es-ES" w:eastAsia="es-ES"/>
        </w:rPr>
        <w:t>Ibagué - Cajamarca</w:t>
      </w:r>
      <w:r w:rsidR="00602821" w:rsidRPr="00734EEF">
        <w:rPr>
          <w:rFonts w:ascii="Times New Roman" w:eastAsia="Times New Roman" w:hAnsi="Times New Roman" w:cs="Times New Roman"/>
          <w:color w:val="000000"/>
          <w:sz w:val="24"/>
          <w:szCs w:val="24"/>
          <w:lang w:val="es-ES" w:eastAsia="es-ES"/>
        </w:rPr>
        <w:t>”</w:t>
      </w:r>
    </w:p>
    <w:p w14:paraId="29783BF3" w14:textId="77777777" w:rsidR="00D25526" w:rsidRPr="00734EEF" w:rsidRDefault="00D25526"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04A0A81B" w14:textId="77777777" w:rsidR="00EB78FD" w:rsidRPr="00734EEF" w:rsidRDefault="00EB78FD" w:rsidP="00EB78FD">
      <w:pPr>
        <w:spacing w:after="0" w:line="240" w:lineRule="auto"/>
        <w:jc w:val="center"/>
        <w:rPr>
          <w:rFonts w:ascii="Times New Roman" w:eastAsia="Times New Roman" w:hAnsi="Times New Roman" w:cs="Times New Roman"/>
          <w:b/>
          <w:i/>
          <w:sz w:val="24"/>
          <w:szCs w:val="24"/>
          <w:lang w:eastAsia="es-ES"/>
        </w:rPr>
      </w:pPr>
    </w:p>
    <w:p w14:paraId="225DCA95"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734EEF">
        <w:rPr>
          <w:rFonts w:ascii="Times New Roman" w:eastAsia="Times New Roman" w:hAnsi="Times New Roman" w:cs="Times New Roman"/>
          <w:b/>
          <w:sz w:val="24"/>
          <w:szCs w:val="24"/>
          <w:lang w:val="es-ES_tradnl" w:eastAsia="es-ES"/>
        </w:rPr>
        <w:t>LA MINISTRA DE TRANSPORTE</w:t>
      </w:r>
    </w:p>
    <w:p w14:paraId="03318781" w14:textId="77777777" w:rsidR="00EB78FD" w:rsidRPr="00734EEF" w:rsidRDefault="00EB78FD" w:rsidP="00EB78FD">
      <w:pPr>
        <w:spacing w:after="0" w:line="240" w:lineRule="auto"/>
        <w:jc w:val="center"/>
        <w:rPr>
          <w:rFonts w:ascii="Times New Roman" w:eastAsia="Times New Roman" w:hAnsi="Times New Roman" w:cs="Times New Roman"/>
          <w:sz w:val="24"/>
          <w:szCs w:val="24"/>
          <w:lang w:val="es-ES_tradnl" w:eastAsia="es-ES"/>
        </w:rPr>
      </w:pPr>
    </w:p>
    <w:p w14:paraId="1E281D62"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734EEF">
        <w:rPr>
          <w:rFonts w:ascii="Times New Roman" w:eastAsia="Times New Roman" w:hAnsi="Times New Roman" w:cs="Times New Roman"/>
          <w:sz w:val="24"/>
          <w:szCs w:val="24"/>
          <w:lang w:val="es-ES_tradnl" w:eastAsia="es-ES"/>
        </w:rPr>
        <w:t>En ejercicio de las facultades legales y en especial las conferidas en el Artículo 6 Numerales 6.14 y 6.15 del Decreto 087 de 2011</w:t>
      </w:r>
      <w:r w:rsidR="00E11A2F" w:rsidRPr="00734EEF">
        <w:rPr>
          <w:rFonts w:ascii="Times New Roman" w:eastAsia="Times New Roman" w:hAnsi="Times New Roman" w:cs="Times New Roman"/>
          <w:sz w:val="24"/>
          <w:szCs w:val="24"/>
          <w:lang w:val="es-ES_tradnl" w:eastAsia="es-ES"/>
        </w:rPr>
        <w:t>, y,</w:t>
      </w:r>
    </w:p>
    <w:p w14:paraId="03FBF0F4"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p>
    <w:p w14:paraId="73577B88"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734EEF">
        <w:rPr>
          <w:rFonts w:ascii="Times New Roman" w:eastAsia="Times New Roman" w:hAnsi="Times New Roman" w:cs="Times New Roman"/>
          <w:b/>
          <w:sz w:val="24"/>
          <w:szCs w:val="24"/>
          <w:lang w:val="es-ES_tradnl" w:eastAsia="es-ES"/>
        </w:rPr>
        <w:t>CONSIDERANDO</w:t>
      </w:r>
    </w:p>
    <w:p w14:paraId="7E2B07C3"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53D5D1AE" w14:textId="77777777" w:rsidR="00EB78FD" w:rsidRPr="00734EEF" w:rsidRDefault="00EB78FD" w:rsidP="00EB78FD">
      <w:pPr>
        <w:spacing w:after="0" w:line="240" w:lineRule="auto"/>
        <w:jc w:val="both"/>
        <w:rPr>
          <w:rFonts w:ascii="Times New Roman" w:eastAsia="Times New Roman" w:hAnsi="Times New Roman" w:cs="Times New Roman"/>
          <w:i/>
          <w:sz w:val="24"/>
          <w:szCs w:val="24"/>
          <w:lang w:val="es-ES_tradnl" w:eastAsia="es-ES"/>
        </w:rPr>
      </w:pPr>
    </w:p>
    <w:p w14:paraId="4CD9D435"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sz w:val="24"/>
          <w:szCs w:val="24"/>
          <w:lang w:val="es-ES_tradnl" w:eastAsia="es-ES"/>
        </w:rPr>
        <w:t>Que el Decreto 087 de 2011 “Por el cual se modifica la estructura del Ministerio de Transporte, y se determinan las funciones de sus dependencias”</w:t>
      </w:r>
      <w:r w:rsidR="007B08DA" w:rsidRPr="00734EEF">
        <w:rPr>
          <w:rFonts w:ascii="Times New Roman" w:eastAsia="Times New Roman" w:hAnsi="Times New Roman" w:cs="Times New Roman"/>
          <w:sz w:val="24"/>
          <w:szCs w:val="24"/>
          <w:lang w:val="es-ES_tradnl" w:eastAsia="es-ES"/>
        </w:rPr>
        <w:t xml:space="preserve"> e</w:t>
      </w:r>
      <w:r w:rsidRPr="00734EEF">
        <w:rPr>
          <w:rFonts w:ascii="Times New Roman" w:eastAsia="Times New Roman" w:hAnsi="Times New Roman" w:cs="Times New Roman"/>
          <w:sz w:val="24"/>
          <w:szCs w:val="24"/>
          <w:lang w:val="es-ES_tradnl" w:eastAsia="es-ES"/>
        </w:rPr>
        <w:t>stableció en los numerales 6.14 y 6.15 del artículo 6:</w:t>
      </w:r>
    </w:p>
    <w:p w14:paraId="5BAEC07B"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5A1B169C" w14:textId="77777777" w:rsidR="00EB78FD" w:rsidRPr="00734EEF"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734EEF">
        <w:rPr>
          <w:rFonts w:ascii="Times New Roman" w:eastAsia="Times New Roman" w:hAnsi="Times New Roman" w:cs="Times New Roman"/>
          <w:i/>
          <w:sz w:val="24"/>
          <w:szCs w:val="24"/>
          <w:lang w:val="es-ES_tradnl"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5C3F3609" w14:textId="77777777" w:rsidR="00EB78FD" w:rsidRPr="00734EEF"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p>
    <w:p w14:paraId="0008EF89" w14:textId="77777777" w:rsidR="00EB78FD" w:rsidRPr="00734EEF"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734EEF">
        <w:rPr>
          <w:rFonts w:ascii="Times New Roman" w:eastAsia="Times New Roman" w:hAnsi="Times New Roman" w:cs="Times New Roman"/>
          <w:i/>
          <w:sz w:val="24"/>
          <w:szCs w:val="24"/>
          <w:lang w:val="es-ES_tradnl" w:eastAsia="es-ES"/>
        </w:rPr>
        <w:t>6.15. Establecer los peajes, tarifas, tasas y derechos a cobrar por el uso de la infraestructura de los modos de transporte, excepto el aéreo.”</w:t>
      </w:r>
    </w:p>
    <w:p w14:paraId="71D9FC56"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52B25778"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sz w:val="24"/>
          <w:szCs w:val="24"/>
          <w:lang w:val="es-ES_tradnl"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1ED2712F"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0A4CE2B5"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sz w:val="24"/>
          <w:szCs w:val="24"/>
          <w:lang w:val="es-ES_tradnl"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42A1E9EF" w14:textId="77777777" w:rsidR="00EB78FD" w:rsidRPr="00734EEF" w:rsidRDefault="00EB78FD" w:rsidP="00EB78FD">
      <w:pPr>
        <w:spacing w:after="0" w:line="240" w:lineRule="auto"/>
        <w:jc w:val="both"/>
        <w:rPr>
          <w:rFonts w:ascii="Times New Roman" w:eastAsia="Times New Roman" w:hAnsi="Times New Roman" w:cs="Times New Roman"/>
          <w:i/>
          <w:sz w:val="24"/>
          <w:szCs w:val="24"/>
          <w:lang w:val="es-ES_tradnl" w:eastAsia="es-ES"/>
        </w:rPr>
      </w:pPr>
    </w:p>
    <w:p w14:paraId="589847CB" w14:textId="77777777" w:rsidR="00EB78FD" w:rsidRPr="00734EEF" w:rsidRDefault="00EB78FD" w:rsidP="00EB78FD">
      <w:pPr>
        <w:tabs>
          <w:tab w:val="left" w:pos="0"/>
        </w:tabs>
        <w:spacing w:after="0" w:line="240" w:lineRule="auto"/>
        <w:jc w:val="both"/>
        <w:rPr>
          <w:rFonts w:ascii="Times New Roman" w:eastAsia="Calibri" w:hAnsi="Times New Roman" w:cs="Times New Roman"/>
          <w:color w:val="000000"/>
          <w:sz w:val="24"/>
          <w:szCs w:val="24"/>
        </w:rPr>
      </w:pPr>
      <w:r w:rsidRPr="00734EEF">
        <w:rPr>
          <w:rFonts w:ascii="Times New Roman" w:eastAsia="Times New Roman" w:hAnsi="Times New Roman" w:cs="Times New Roman"/>
          <w:sz w:val="24"/>
          <w:szCs w:val="24"/>
          <w:lang w:val="es-ES_tradnl" w:eastAsia="es-ES"/>
        </w:rPr>
        <w:t xml:space="preserve">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w:t>
      </w:r>
      <w:r w:rsidRPr="00734EEF">
        <w:rPr>
          <w:rFonts w:ascii="Times New Roman" w:eastAsia="Times New Roman" w:hAnsi="Times New Roman" w:cs="Times New Roman"/>
          <w:sz w:val="24"/>
          <w:szCs w:val="24"/>
          <w:lang w:val="es-ES_tradnl" w:eastAsia="es-ES"/>
        </w:rPr>
        <w:lastRenderedPageBreak/>
        <w:t>infraestructura y/o servicio</w:t>
      </w:r>
      <w:r w:rsidRPr="00734EEF">
        <w:rPr>
          <w:rFonts w:ascii="Times New Roman" w:eastAsia="Calibri" w:hAnsi="Times New Roman" w:cs="Times New Roman"/>
          <w:color w:val="000000"/>
          <w:sz w:val="24"/>
          <w:szCs w:val="24"/>
        </w:rPr>
        <w:t xml:space="preserve">; igualmente se contempla el derecho al recaudo de recursos de explotación económica del proyecto. </w:t>
      </w:r>
    </w:p>
    <w:p w14:paraId="65072C02" w14:textId="77777777" w:rsidR="00FB6204" w:rsidRPr="00734EEF" w:rsidRDefault="00FB6204" w:rsidP="00FB6204">
      <w:pPr>
        <w:autoSpaceDE w:val="0"/>
        <w:autoSpaceDN w:val="0"/>
        <w:adjustRightInd w:val="0"/>
        <w:spacing w:after="0" w:line="240" w:lineRule="auto"/>
        <w:rPr>
          <w:rFonts w:ascii="Times New Roman" w:hAnsi="Times New Roman" w:cs="Times New Roman"/>
          <w:color w:val="000000"/>
          <w:sz w:val="24"/>
          <w:szCs w:val="24"/>
        </w:rPr>
      </w:pPr>
    </w:p>
    <w:p w14:paraId="5F302CD4" w14:textId="77777777" w:rsidR="00326D14" w:rsidRPr="00F8491F" w:rsidRDefault="00326D14" w:rsidP="00F8491F">
      <w:pPr>
        <w:tabs>
          <w:tab w:val="left" w:pos="0"/>
        </w:tabs>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Que en desarrollo de la</w:t>
      </w:r>
      <w:r w:rsidR="002A5FF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disposiciones contempladas en la ley 1508 de 2012 el Originador, Promesa de Sociedad Futura APP GICA S.A., formuló ante la Agencia Nacional de Infraestructura ANI un proyecto de concesión vial</w:t>
      </w:r>
      <w:r w:rsidR="008162F8">
        <w:rPr>
          <w:rFonts w:ascii="Times New Roman" w:hAnsi="Times New Roman" w:cs="Times New Roman"/>
          <w:color w:val="000000"/>
          <w:sz w:val="24"/>
          <w:szCs w:val="24"/>
        </w:rPr>
        <w:t xml:space="preserve"> de Asociación Público Privada de Iniciativa </w:t>
      </w:r>
      <w:r w:rsidR="002A5FF1">
        <w:rPr>
          <w:rFonts w:ascii="Times New Roman" w:hAnsi="Times New Roman" w:cs="Times New Roman"/>
          <w:color w:val="000000"/>
          <w:sz w:val="24"/>
          <w:szCs w:val="24"/>
        </w:rPr>
        <w:t>Privada</w:t>
      </w:r>
      <w:r>
        <w:rPr>
          <w:rFonts w:ascii="Times New Roman" w:hAnsi="Times New Roman" w:cs="Times New Roman"/>
          <w:color w:val="000000"/>
          <w:sz w:val="24"/>
          <w:szCs w:val="24"/>
        </w:rPr>
        <w:t xml:space="preserve"> cuyo objeto es</w:t>
      </w:r>
      <w:r w:rsidR="008162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162F8">
        <w:rPr>
          <w:rFonts w:ascii="Times New Roman" w:hAnsi="Times New Roman" w:cs="Times New Roman"/>
          <w:color w:val="000000"/>
          <w:sz w:val="24"/>
          <w:szCs w:val="24"/>
        </w:rPr>
        <w:t>“</w:t>
      </w:r>
      <w:r w:rsidR="008162F8" w:rsidRPr="008162F8">
        <w:rPr>
          <w:rFonts w:ascii="Times New Roman" w:eastAsia="MS Mincho" w:hAnsi="Times New Roman" w:cs="Times New Roman"/>
          <w:spacing w:val="-3"/>
          <w:sz w:val="24"/>
          <w:szCs w:val="24"/>
          <w:lang w:val="es-ES_tradnl" w:eastAsia="es-ES"/>
        </w:rPr>
        <w:t xml:space="preserve">Estudios, diseños, construcción, operación, mantenimiento, gestión social, predial y ambiental de la segunda calzada de la vía Ibagué – Cajamarca; y la operación y mantenimiento del sistema vial Variante Chicoral, Variante Gualanday, Gualanday -Ibagué, Gualanday – Espinal, Variante Picaleña, Ramal Norte y trazado existente Ibagué-Cajamarca, </w:t>
      </w:r>
      <w:r w:rsidR="008162F8" w:rsidRPr="008162F8">
        <w:rPr>
          <w:rFonts w:ascii="Times New Roman" w:eastAsia="MS Mincho" w:hAnsi="Times New Roman" w:cs="Times New Roman"/>
          <w:spacing w:val="2"/>
          <w:sz w:val="24"/>
          <w:szCs w:val="24"/>
          <w:lang w:val="es-ES_tradnl" w:eastAsia="es-ES"/>
        </w:rPr>
        <w:t>d</w:t>
      </w:r>
      <w:r w:rsidR="008162F8" w:rsidRPr="008162F8">
        <w:rPr>
          <w:rFonts w:ascii="Times New Roman" w:eastAsia="MS Mincho" w:hAnsi="Times New Roman" w:cs="Times New Roman"/>
          <w:sz w:val="24"/>
          <w:szCs w:val="24"/>
          <w:lang w:val="es-ES_tradnl" w:eastAsia="es-ES"/>
        </w:rPr>
        <w:t>e</w:t>
      </w:r>
      <w:r w:rsidR="008162F8" w:rsidRPr="008162F8">
        <w:rPr>
          <w:rFonts w:ascii="Times New Roman" w:eastAsia="MS Mincho" w:hAnsi="Times New Roman" w:cs="Times New Roman"/>
          <w:spacing w:val="-1"/>
          <w:sz w:val="24"/>
          <w:szCs w:val="24"/>
          <w:lang w:val="es-ES_tradnl" w:eastAsia="es-ES"/>
        </w:rPr>
        <w:t xml:space="preserve"> a</w:t>
      </w:r>
      <w:r w:rsidR="008162F8" w:rsidRPr="008162F8">
        <w:rPr>
          <w:rFonts w:ascii="Times New Roman" w:eastAsia="MS Mincho" w:hAnsi="Times New Roman" w:cs="Times New Roman"/>
          <w:spacing w:val="1"/>
          <w:sz w:val="24"/>
          <w:szCs w:val="24"/>
          <w:lang w:val="es-ES_tradnl" w:eastAsia="es-ES"/>
        </w:rPr>
        <w:t>c</w:t>
      </w:r>
      <w:r w:rsidR="008162F8" w:rsidRPr="008162F8">
        <w:rPr>
          <w:rFonts w:ascii="Times New Roman" w:eastAsia="MS Mincho" w:hAnsi="Times New Roman" w:cs="Times New Roman"/>
          <w:sz w:val="24"/>
          <w:szCs w:val="24"/>
          <w:lang w:val="es-ES_tradnl" w:eastAsia="es-ES"/>
        </w:rPr>
        <w:t>u</w:t>
      </w:r>
      <w:r w:rsidR="008162F8" w:rsidRPr="008162F8">
        <w:rPr>
          <w:rFonts w:ascii="Times New Roman" w:eastAsia="MS Mincho" w:hAnsi="Times New Roman" w:cs="Times New Roman"/>
          <w:spacing w:val="-1"/>
          <w:sz w:val="24"/>
          <w:szCs w:val="24"/>
          <w:lang w:val="es-ES_tradnl" w:eastAsia="es-ES"/>
        </w:rPr>
        <w:t>er</w:t>
      </w:r>
      <w:r w:rsidR="008162F8" w:rsidRPr="008162F8">
        <w:rPr>
          <w:rFonts w:ascii="Times New Roman" w:eastAsia="MS Mincho" w:hAnsi="Times New Roman" w:cs="Times New Roman"/>
          <w:sz w:val="24"/>
          <w:szCs w:val="24"/>
          <w:lang w:val="es-ES_tradnl" w:eastAsia="es-ES"/>
        </w:rPr>
        <w:t xml:space="preserve">do </w:t>
      </w:r>
      <w:r w:rsidR="008162F8" w:rsidRPr="008162F8">
        <w:rPr>
          <w:rFonts w:ascii="Times New Roman" w:eastAsia="MS Mincho" w:hAnsi="Times New Roman" w:cs="Times New Roman"/>
          <w:spacing w:val="-1"/>
          <w:sz w:val="24"/>
          <w:szCs w:val="24"/>
          <w:lang w:val="es-ES_tradnl" w:eastAsia="es-ES"/>
        </w:rPr>
        <w:t>c</w:t>
      </w:r>
      <w:r w:rsidR="008162F8" w:rsidRPr="008162F8">
        <w:rPr>
          <w:rFonts w:ascii="Times New Roman" w:eastAsia="MS Mincho" w:hAnsi="Times New Roman" w:cs="Times New Roman"/>
          <w:sz w:val="24"/>
          <w:szCs w:val="24"/>
          <w:lang w:val="es-ES_tradnl" w:eastAsia="es-ES"/>
        </w:rPr>
        <w:t xml:space="preserve">on </w:t>
      </w:r>
      <w:r w:rsidR="008162F8" w:rsidRPr="008162F8">
        <w:rPr>
          <w:rFonts w:ascii="Times New Roman" w:eastAsia="MS Mincho" w:hAnsi="Times New Roman" w:cs="Times New Roman"/>
          <w:spacing w:val="-1"/>
          <w:sz w:val="24"/>
          <w:szCs w:val="24"/>
          <w:lang w:val="es-ES_tradnl" w:eastAsia="es-ES"/>
        </w:rPr>
        <w:t>e</w:t>
      </w:r>
      <w:r w:rsidR="008162F8" w:rsidRPr="008162F8">
        <w:rPr>
          <w:rFonts w:ascii="Times New Roman" w:eastAsia="MS Mincho" w:hAnsi="Times New Roman" w:cs="Times New Roman"/>
          <w:sz w:val="24"/>
          <w:szCs w:val="24"/>
          <w:lang w:val="es-ES_tradnl" w:eastAsia="es-ES"/>
        </w:rPr>
        <w:t>l</w:t>
      </w:r>
      <w:r w:rsidR="008162F8" w:rsidRPr="008162F8">
        <w:rPr>
          <w:rFonts w:ascii="Times New Roman" w:eastAsia="MS Mincho" w:hAnsi="Times New Roman" w:cs="Times New Roman"/>
          <w:spacing w:val="3"/>
          <w:sz w:val="24"/>
          <w:szCs w:val="24"/>
          <w:lang w:val="es-ES_tradnl" w:eastAsia="es-ES"/>
        </w:rPr>
        <w:t xml:space="preserve"> </w:t>
      </w:r>
      <w:r w:rsidR="008162F8" w:rsidRPr="008162F8">
        <w:rPr>
          <w:rFonts w:ascii="Times New Roman" w:eastAsia="MS Mincho" w:hAnsi="Times New Roman" w:cs="Times New Roman"/>
          <w:sz w:val="24"/>
          <w:szCs w:val="24"/>
          <w:lang w:val="es-ES_tradnl" w:eastAsia="es-ES"/>
        </w:rPr>
        <w:t>Ap</w:t>
      </w:r>
      <w:r w:rsidR="008162F8" w:rsidRPr="008162F8">
        <w:rPr>
          <w:rFonts w:ascii="Times New Roman" w:eastAsia="MS Mincho" w:hAnsi="Times New Roman" w:cs="Times New Roman"/>
          <w:spacing w:val="-1"/>
          <w:sz w:val="24"/>
          <w:szCs w:val="24"/>
          <w:lang w:val="es-ES_tradnl" w:eastAsia="es-ES"/>
        </w:rPr>
        <w:t>é</w:t>
      </w:r>
      <w:r w:rsidR="008162F8" w:rsidRPr="008162F8">
        <w:rPr>
          <w:rFonts w:ascii="Times New Roman" w:eastAsia="MS Mincho" w:hAnsi="Times New Roman" w:cs="Times New Roman"/>
          <w:sz w:val="24"/>
          <w:szCs w:val="24"/>
          <w:lang w:val="es-ES_tradnl" w:eastAsia="es-ES"/>
        </w:rPr>
        <w:t>ndi</w:t>
      </w:r>
      <w:r w:rsidR="008162F8" w:rsidRPr="008162F8">
        <w:rPr>
          <w:rFonts w:ascii="Times New Roman" w:eastAsia="MS Mincho" w:hAnsi="Times New Roman" w:cs="Times New Roman"/>
          <w:spacing w:val="-1"/>
          <w:sz w:val="24"/>
          <w:szCs w:val="24"/>
          <w:lang w:val="es-ES_tradnl" w:eastAsia="es-ES"/>
        </w:rPr>
        <w:t>c</w:t>
      </w:r>
      <w:r w:rsidR="008162F8" w:rsidRPr="008162F8">
        <w:rPr>
          <w:rFonts w:ascii="Times New Roman" w:eastAsia="MS Mincho" w:hAnsi="Times New Roman" w:cs="Times New Roman"/>
          <w:sz w:val="24"/>
          <w:szCs w:val="24"/>
          <w:lang w:val="es-ES_tradnl" w:eastAsia="es-ES"/>
        </w:rPr>
        <w:t>e</w:t>
      </w:r>
      <w:r w:rsidR="008162F8" w:rsidRPr="008162F8">
        <w:rPr>
          <w:rFonts w:ascii="Times New Roman" w:eastAsia="MS Mincho" w:hAnsi="Times New Roman" w:cs="Times New Roman"/>
          <w:spacing w:val="1"/>
          <w:sz w:val="24"/>
          <w:szCs w:val="24"/>
          <w:lang w:val="es-ES_tradnl" w:eastAsia="es-ES"/>
        </w:rPr>
        <w:t xml:space="preserve"> </w:t>
      </w:r>
      <w:r w:rsidR="008162F8" w:rsidRPr="008162F8">
        <w:rPr>
          <w:rFonts w:ascii="Times New Roman" w:eastAsia="MS Mincho" w:hAnsi="Times New Roman" w:cs="Times New Roman"/>
          <w:spacing w:val="2"/>
          <w:sz w:val="24"/>
          <w:szCs w:val="24"/>
          <w:lang w:val="es-ES_tradnl" w:eastAsia="es-ES"/>
        </w:rPr>
        <w:t>T</w:t>
      </w:r>
      <w:r w:rsidR="008162F8" w:rsidRPr="008162F8">
        <w:rPr>
          <w:rFonts w:ascii="Times New Roman" w:eastAsia="MS Mincho" w:hAnsi="Times New Roman" w:cs="Times New Roman"/>
          <w:spacing w:val="-1"/>
          <w:sz w:val="24"/>
          <w:szCs w:val="24"/>
          <w:lang w:val="es-ES_tradnl" w:eastAsia="es-ES"/>
        </w:rPr>
        <w:t>éc</w:t>
      </w:r>
      <w:r w:rsidR="008162F8" w:rsidRPr="008162F8">
        <w:rPr>
          <w:rFonts w:ascii="Times New Roman" w:eastAsia="MS Mincho" w:hAnsi="Times New Roman" w:cs="Times New Roman"/>
          <w:sz w:val="24"/>
          <w:szCs w:val="24"/>
          <w:lang w:val="es-ES_tradnl" w:eastAsia="es-ES"/>
        </w:rPr>
        <w:t>ni</w:t>
      </w:r>
      <w:r w:rsidR="008162F8" w:rsidRPr="008162F8">
        <w:rPr>
          <w:rFonts w:ascii="Times New Roman" w:eastAsia="MS Mincho" w:hAnsi="Times New Roman" w:cs="Times New Roman"/>
          <w:spacing w:val="-1"/>
          <w:sz w:val="24"/>
          <w:szCs w:val="24"/>
          <w:lang w:val="es-ES_tradnl" w:eastAsia="es-ES"/>
        </w:rPr>
        <w:t>c</w:t>
      </w:r>
      <w:r w:rsidR="008162F8" w:rsidRPr="008162F8">
        <w:rPr>
          <w:rFonts w:ascii="Times New Roman" w:eastAsia="MS Mincho" w:hAnsi="Times New Roman" w:cs="Times New Roman"/>
          <w:sz w:val="24"/>
          <w:szCs w:val="24"/>
          <w:lang w:val="es-ES_tradnl" w:eastAsia="es-ES"/>
        </w:rPr>
        <w:t>o 1</w:t>
      </w:r>
      <w:r w:rsidR="008162F8">
        <w:rPr>
          <w:rFonts w:ascii="Times New Roman" w:eastAsia="MS Mincho" w:hAnsi="Times New Roman" w:cs="Times New Roman"/>
          <w:sz w:val="24"/>
          <w:szCs w:val="24"/>
          <w:lang w:val="es-ES_tradnl" w:eastAsia="es-ES"/>
        </w:rPr>
        <w:t xml:space="preserve">. </w:t>
      </w:r>
      <w:r>
        <w:rPr>
          <w:rFonts w:ascii="Times New Roman" w:hAnsi="Times New Roman" w:cs="Times New Roman"/>
          <w:color w:val="000000"/>
          <w:sz w:val="24"/>
          <w:szCs w:val="24"/>
        </w:rPr>
        <w:t>”.</w:t>
      </w:r>
    </w:p>
    <w:p w14:paraId="5634B4A1" w14:textId="77777777" w:rsidR="00EB78FD" w:rsidRPr="00734EEF" w:rsidRDefault="00EB78FD" w:rsidP="00F8491F">
      <w:pPr>
        <w:tabs>
          <w:tab w:val="left" w:pos="0"/>
        </w:tabs>
        <w:spacing w:after="0" w:line="240" w:lineRule="auto"/>
        <w:jc w:val="both"/>
        <w:rPr>
          <w:rFonts w:ascii="Times New Roman" w:eastAsia="Calibri" w:hAnsi="Times New Roman" w:cs="Times New Roman"/>
          <w:color w:val="000000"/>
          <w:sz w:val="24"/>
          <w:szCs w:val="24"/>
        </w:rPr>
      </w:pPr>
    </w:p>
    <w:p w14:paraId="3F0268BE" w14:textId="77777777" w:rsidR="00591602" w:rsidRDefault="00EB78FD" w:rsidP="009B29E5">
      <w:pPr>
        <w:tabs>
          <w:tab w:val="left" w:pos="0"/>
        </w:tabs>
        <w:spacing w:after="0" w:line="240" w:lineRule="auto"/>
        <w:jc w:val="both"/>
        <w:rPr>
          <w:rFonts w:ascii="Times New Roman" w:eastAsia="Times New Roman" w:hAnsi="Times New Roman" w:cs="Times New Roman"/>
          <w:sz w:val="24"/>
          <w:szCs w:val="24"/>
          <w:lang w:val="es-ES" w:eastAsia="es-ES"/>
        </w:rPr>
      </w:pPr>
      <w:r w:rsidRPr="00734EEF">
        <w:rPr>
          <w:rFonts w:ascii="Times New Roman" w:eastAsia="Times New Roman" w:hAnsi="Times New Roman" w:cs="Times New Roman"/>
          <w:sz w:val="24"/>
          <w:szCs w:val="24"/>
          <w:lang w:val="es-ES_tradnl" w:eastAsia="es-ES"/>
        </w:rPr>
        <w:t xml:space="preserve">Que de conformidad con el estudio de estructuración realizado por </w:t>
      </w:r>
      <w:r w:rsidR="00326D14">
        <w:rPr>
          <w:rFonts w:ascii="Times New Roman" w:eastAsia="Times New Roman" w:hAnsi="Times New Roman" w:cs="Times New Roman"/>
          <w:sz w:val="24"/>
          <w:szCs w:val="24"/>
          <w:lang w:val="es-ES_tradnl" w:eastAsia="es-ES"/>
        </w:rPr>
        <w:t>el Originador</w:t>
      </w:r>
      <w:r w:rsidRPr="00734EEF">
        <w:rPr>
          <w:rFonts w:ascii="Times New Roman" w:eastAsia="Times New Roman" w:hAnsi="Times New Roman" w:cs="Times New Roman"/>
          <w:sz w:val="24"/>
          <w:szCs w:val="24"/>
          <w:lang w:val="es-ES_tradnl" w:eastAsia="es-ES"/>
        </w:rPr>
        <w:t>, hay viabilidad técnica y socioeconómica para la instalación de una estación de peaje</w:t>
      </w:r>
      <w:r w:rsidR="00FB6204" w:rsidRPr="00734EEF">
        <w:rPr>
          <w:rFonts w:ascii="Times New Roman" w:eastAsia="Times New Roman" w:hAnsi="Times New Roman" w:cs="Times New Roman"/>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 xml:space="preserve">en </w:t>
      </w:r>
      <w:r w:rsidR="00326D14">
        <w:rPr>
          <w:rFonts w:ascii="Times New Roman" w:eastAsia="Times New Roman" w:hAnsi="Times New Roman" w:cs="Times New Roman"/>
          <w:sz w:val="24"/>
          <w:szCs w:val="24"/>
          <w:lang w:val="es-ES_tradnl" w:eastAsia="es-ES"/>
        </w:rPr>
        <w:t>el</w:t>
      </w:r>
      <w:r w:rsidR="00326D14" w:rsidRPr="00734EEF">
        <w:rPr>
          <w:rFonts w:ascii="Times New Roman" w:eastAsia="Times New Roman" w:hAnsi="Times New Roman" w:cs="Times New Roman"/>
          <w:sz w:val="24"/>
          <w:szCs w:val="24"/>
          <w:lang w:val="es-ES_tradnl" w:eastAsia="es-ES"/>
        </w:rPr>
        <w:t xml:space="preserve"> </w:t>
      </w:r>
      <w:r w:rsidR="00A4302C">
        <w:rPr>
          <w:rFonts w:ascii="Times New Roman" w:eastAsia="Times New Roman" w:hAnsi="Times New Roman" w:cs="Times New Roman"/>
          <w:sz w:val="24"/>
          <w:szCs w:val="24"/>
          <w:lang w:val="es-ES_tradnl" w:eastAsia="es-ES"/>
        </w:rPr>
        <w:t>sector denominado Valle del Cocora</w:t>
      </w:r>
      <w:r w:rsidR="007924C8">
        <w:rPr>
          <w:rFonts w:ascii="Times New Roman" w:eastAsia="Times New Roman" w:hAnsi="Times New Roman" w:cs="Times New Roman"/>
          <w:sz w:val="24"/>
          <w:szCs w:val="24"/>
          <w:lang w:val="es-ES_tradnl" w:eastAsia="es-ES"/>
        </w:rPr>
        <w:t>;</w:t>
      </w:r>
      <w:r w:rsidR="00A4302C">
        <w:rPr>
          <w:rFonts w:ascii="Times New Roman" w:eastAsia="Times New Roman" w:hAnsi="Times New Roman" w:cs="Times New Roman"/>
          <w:sz w:val="24"/>
          <w:szCs w:val="24"/>
          <w:lang w:val="es-ES_tradnl" w:eastAsia="es-ES"/>
        </w:rPr>
        <w:t xml:space="preserve"> </w:t>
      </w:r>
      <w:r w:rsidR="007924C8">
        <w:rPr>
          <w:rFonts w:ascii="Times New Roman" w:eastAsia="Times New Roman" w:hAnsi="Times New Roman" w:cs="Times New Roman"/>
          <w:sz w:val="24"/>
          <w:szCs w:val="24"/>
          <w:lang w:eastAsia="es-ES"/>
        </w:rPr>
        <w:t xml:space="preserve">así: Sentido Ibagué – Cajamarca entre el K13+000 al K14+000 de la vía nueva Segunda Calzada Ibagué – Cajamarca y Sentido Cajamarca – Ibagué entre </w:t>
      </w:r>
      <w:r w:rsidR="007924C8" w:rsidRPr="00AA075F">
        <w:rPr>
          <w:rFonts w:ascii="Times New Roman" w:eastAsia="Times New Roman" w:hAnsi="Times New Roman" w:cs="Times New Roman"/>
          <w:sz w:val="24"/>
          <w:szCs w:val="24"/>
          <w:lang w:eastAsia="es-ES"/>
        </w:rPr>
        <w:t>el PR6</w:t>
      </w:r>
      <w:r w:rsidR="003C5E0C" w:rsidRPr="003C5E0C">
        <w:rPr>
          <w:rFonts w:ascii="Times New Roman" w:eastAsia="Times New Roman" w:hAnsi="Times New Roman" w:cs="Times New Roman"/>
          <w:sz w:val="24"/>
          <w:szCs w:val="24"/>
          <w:lang w:eastAsia="es-ES"/>
        </w:rPr>
        <w:t>9</w:t>
      </w:r>
      <w:r w:rsidR="007924C8" w:rsidRPr="00AA075F">
        <w:rPr>
          <w:rFonts w:ascii="Times New Roman" w:eastAsia="Times New Roman" w:hAnsi="Times New Roman" w:cs="Times New Roman"/>
          <w:sz w:val="24"/>
          <w:szCs w:val="24"/>
          <w:lang w:eastAsia="es-ES"/>
        </w:rPr>
        <w:t>+000 al PR</w:t>
      </w:r>
      <w:r w:rsidR="003C5E0C" w:rsidRPr="003C5E0C">
        <w:rPr>
          <w:rFonts w:ascii="Times New Roman" w:eastAsia="Times New Roman" w:hAnsi="Times New Roman" w:cs="Times New Roman"/>
          <w:sz w:val="24"/>
          <w:szCs w:val="24"/>
          <w:lang w:eastAsia="es-ES"/>
        </w:rPr>
        <w:t>70</w:t>
      </w:r>
      <w:r w:rsidR="007924C8" w:rsidRPr="00AA075F">
        <w:rPr>
          <w:rFonts w:ascii="Times New Roman" w:eastAsia="Times New Roman" w:hAnsi="Times New Roman" w:cs="Times New Roman"/>
          <w:sz w:val="24"/>
          <w:szCs w:val="24"/>
          <w:lang w:eastAsia="es-ES"/>
        </w:rPr>
        <w:t xml:space="preserve">+000 de la vía existente Ibagué </w:t>
      </w:r>
      <w:r w:rsidR="003C5E0C">
        <w:rPr>
          <w:rFonts w:ascii="Times New Roman" w:eastAsia="Times New Roman" w:hAnsi="Times New Roman" w:cs="Times New Roman"/>
          <w:sz w:val="24"/>
          <w:szCs w:val="24"/>
          <w:lang w:eastAsia="es-ES"/>
        </w:rPr>
        <w:t xml:space="preserve">– Cajamarca (Ruta 4003). </w:t>
      </w:r>
    </w:p>
    <w:p w14:paraId="5A791C36" w14:textId="77777777" w:rsidR="00A4302C" w:rsidRPr="00734EEF" w:rsidRDefault="00A4302C" w:rsidP="009B29E5">
      <w:pPr>
        <w:tabs>
          <w:tab w:val="left" w:pos="0"/>
        </w:tabs>
        <w:spacing w:after="0" w:line="240" w:lineRule="auto"/>
        <w:jc w:val="both"/>
        <w:rPr>
          <w:rFonts w:ascii="Times New Roman" w:eastAsia="Times New Roman" w:hAnsi="Times New Roman" w:cs="Times New Roman"/>
          <w:sz w:val="24"/>
          <w:szCs w:val="24"/>
          <w:lang w:val="es-ES" w:eastAsia="es-ES"/>
        </w:rPr>
      </w:pPr>
    </w:p>
    <w:p w14:paraId="733C1FA0" w14:textId="77777777" w:rsidR="00A36D5B" w:rsidRPr="00734EEF" w:rsidRDefault="00D43551" w:rsidP="008613C8">
      <w:pPr>
        <w:tabs>
          <w:tab w:val="left" w:pos="0"/>
        </w:tabs>
        <w:spacing w:after="0" w:line="240" w:lineRule="auto"/>
        <w:jc w:val="both"/>
        <w:rPr>
          <w:rFonts w:ascii="Times New Roman" w:hAnsi="Times New Roman" w:cs="Times New Roman"/>
          <w:sz w:val="24"/>
          <w:szCs w:val="24"/>
        </w:rPr>
      </w:pPr>
      <w:r w:rsidRPr="00734EEF">
        <w:rPr>
          <w:rFonts w:ascii="Times New Roman" w:eastAsia="Times New Roman" w:hAnsi="Times New Roman" w:cs="Times New Roman"/>
          <w:sz w:val="24"/>
          <w:szCs w:val="24"/>
          <w:lang w:val="es-ES_tradnl" w:eastAsia="es-ES"/>
        </w:rPr>
        <w:t xml:space="preserve">Que de la misma forma en la estructuración del proyecto, se encontró que sobre el corredor </w:t>
      </w:r>
      <w:r w:rsidR="00AF6E9D">
        <w:rPr>
          <w:rFonts w:ascii="Times New Roman" w:eastAsia="Times New Roman" w:hAnsi="Times New Roman" w:cs="Times New Roman"/>
          <w:sz w:val="24"/>
          <w:szCs w:val="24"/>
          <w:lang w:val="es-ES_tradnl" w:eastAsia="es-ES"/>
        </w:rPr>
        <w:t>Girardot - Ibagué</w:t>
      </w:r>
      <w:r w:rsidR="00AF6E9D" w:rsidRPr="00734EEF">
        <w:rPr>
          <w:rFonts w:ascii="Times New Roman" w:eastAsia="Times New Roman" w:hAnsi="Times New Roman" w:cs="Times New Roman"/>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 xml:space="preserve">- </w:t>
      </w:r>
      <w:r w:rsidR="00AF6E9D">
        <w:rPr>
          <w:rFonts w:ascii="Times New Roman" w:eastAsia="Times New Roman" w:hAnsi="Times New Roman" w:cs="Times New Roman"/>
          <w:sz w:val="24"/>
          <w:szCs w:val="24"/>
          <w:lang w:val="es-ES_tradnl" w:eastAsia="es-ES"/>
        </w:rPr>
        <w:t>Cajam</w:t>
      </w:r>
      <w:r w:rsidR="00C20736">
        <w:rPr>
          <w:rFonts w:ascii="Times New Roman" w:eastAsia="Times New Roman" w:hAnsi="Times New Roman" w:cs="Times New Roman"/>
          <w:sz w:val="24"/>
          <w:szCs w:val="24"/>
          <w:lang w:val="es-ES_tradnl" w:eastAsia="es-ES"/>
        </w:rPr>
        <w:t>a</w:t>
      </w:r>
      <w:r w:rsidR="00AF6E9D">
        <w:rPr>
          <w:rFonts w:ascii="Times New Roman" w:eastAsia="Times New Roman" w:hAnsi="Times New Roman" w:cs="Times New Roman"/>
          <w:sz w:val="24"/>
          <w:szCs w:val="24"/>
          <w:lang w:val="es-ES_tradnl" w:eastAsia="es-ES"/>
        </w:rPr>
        <w:t>rca</w:t>
      </w:r>
      <w:r w:rsidR="00AF6E9D" w:rsidRPr="00734EEF">
        <w:rPr>
          <w:rFonts w:ascii="Times New Roman" w:eastAsia="Times New Roman" w:hAnsi="Times New Roman" w:cs="Times New Roman"/>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existen dos estaciones de peaje que act</w:t>
      </w:r>
      <w:r w:rsidR="00C62D63" w:rsidRPr="00734EEF">
        <w:rPr>
          <w:rFonts w:ascii="Times New Roman" w:eastAsia="Times New Roman" w:hAnsi="Times New Roman" w:cs="Times New Roman"/>
          <w:sz w:val="24"/>
          <w:szCs w:val="24"/>
          <w:lang w:val="es-ES_tradnl" w:eastAsia="es-ES"/>
        </w:rPr>
        <w:t>ualmente se encuentran operando</w:t>
      </w:r>
      <w:r w:rsidR="00A36D5B" w:rsidRPr="00734EEF">
        <w:rPr>
          <w:rFonts w:ascii="Times New Roman" w:eastAsia="Times New Roman" w:hAnsi="Times New Roman" w:cs="Times New Roman"/>
          <w:sz w:val="24"/>
          <w:szCs w:val="24"/>
          <w:lang w:val="es-ES_tradnl" w:eastAsia="es-ES"/>
        </w:rPr>
        <w:t xml:space="preserve"> por l</w:t>
      </w:r>
      <w:r w:rsidR="00C20736">
        <w:rPr>
          <w:rFonts w:ascii="Times New Roman" w:eastAsia="Times New Roman" w:hAnsi="Times New Roman" w:cs="Times New Roman"/>
          <w:sz w:val="24"/>
          <w:szCs w:val="24"/>
          <w:lang w:val="es-ES_tradnl" w:eastAsia="es-ES"/>
        </w:rPr>
        <w:t>a</w:t>
      </w:r>
      <w:r w:rsidR="00A36D5B" w:rsidRPr="00734EEF">
        <w:rPr>
          <w:rFonts w:ascii="Times New Roman" w:eastAsia="Times New Roman" w:hAnsi="Times New Roman" w:cs="Times New Roman"/>
          <w:sz w:val="24"/>
          <w:szCs w:val="24"/>
          <w:lang w:val="es-ES_tradnl" w:eastAsia="es-ES"/>
        </w:rPr>
        <w:t xml:space="preserve"> Concesionari</w:t>
      </w:r>
      <w:r w:rsidR="00C20736">
        <w:rPr>
          <w:rFonts w:ascii="Times New Roman" w:eastAsia="Times New Roman" w:hAnsi="Times New Roman" w:cs="Times New Roman"/>
          <w:sz w:val="24"/>
          <w:szCs w:val="24"/>
          <w:lang w:val="es-ES_tradnl" w:eastAsia="es-ES"/>
        </w:rPr>
        <w:t>a</w:t>
      </w:r>
      <w:r w:rsidR="00A36D5B" w:rsidRPr="00734EEF">
        <w:rPr>
          <w:rFonts w:ascii="Times New Roman" w:eastAsia="Times New Roman" w:hAnsi="Times New Roman" w:cs="Times New Roman"/>
          <w:sz w:val="24"/>
          <w:szCs w:val="24"/>
          <w:lang w:val="es-ES_tradnl" w:eastAsia="es-ES"/>
        </w:rPr>
        <w:t xml:space="preserve"> </w:t>
      </w:r>
      <w:r w:rsidR="00AF6E9D">
        <w:rPr>
          <w:rFonts w:ascii="Times New Roman" w:eastAsia="Times New Roman" w:hAnsi="Times New Roman" w:cs="Times New Roman"/>
          <w:sz w:val="24"/>
          <w:szCs w:val="24"/>
          <w:lang w:val="es-ES_tradnl" w:eastAsia="es-ES"/>
        </w:rPr>
        <w:t>San Rafael S.A.</w:t>
      </w:r>
      <w:r w:rsidR="00055C70">
        <w:rPr>
          <w:rFonts w:ascii="Times New Roman" w:eastAsia="Times New Roman" w:hAnsi="Times New Roman" w:cs="Times New Roman"/>
          <w:sz w:val="24"/>
          <w:szCs w:val="24"/>
          <w:lang w:val="es-ES_tradnl" w:eastAsia="es-ES"/>
        </w:rPr>
        <w:t>, de acuerdo con el contrato de concesión No.007 de 2007</w:t>
      </w:r>
      <w:r w:rsidR="00C62D63" w:rsidRPr="00734EEF">
        <w:rPr>
          <w:rFonts w:ascii="Times New Roman" w:eastAsia="Times New Roman" w:hAnsi="Times New Roman" w:cs="Times New Roman"/>
          <w:sz w:val="24"/>
          <w:szCs w:val="24"/>
          <w:lang w:val="es-ES_tradnl" w:eastAsia="es-ES"/>
        </w:rPr>
        <w:t xml:space="preserve">, en los siguientes puntos: Estación </w:t>
      </w:r>
      <w:r w:rsidR="00AF6E9D">
        <w:rPr>
          <w:rFonts w:ascii="Times New Roman" w:eastAsia="Times New Roman" w:hAnsi="Times New Roman" w:cs="Times New Roman"/>
          <w:sz w:val="24"/>
          <w:szCs w:val="24"/>
          <w:lang w:val="es-ES_tradnl" w:eastAsia="es-ES"/>
        </w:rPr>
        <w:t>Gualanday</w:t>
      </w:r>
      <w:r w:rsidR="00AF6E9D" w:rsidRPr="00734EEF">
        <w:rPr>
          <w:rFonts w:ascii="Times New Roman" w:eastAsia="Times New Roman" w:hAnsi="Times New Roman" w:cs="Times New Roman"/>
          <w:sz w:val="24"/>
          <w:szCs w:val="24"/>
          <w:lang w:val="es-ES_tradnl" w:eastAsia="es-ES"/>
        </w:rPr>
        <w:t xml:space="preserve"> </w:t>
      </w:r>
      <w:r w:rsidR="00C20736">
        <w:rPr>
          <w:rFonts w:ascii="Times New Roman" w:eastAsia="Times New Roman" w:hAnsi="Times New Roman" w:cs="Times New Roman"/>
          <w:sz w:val="24"/>
          <w:szCs w:val="24"/>
          <w:lang w:val="es-ES_tradnl" w:eastAsia="es-ES"/>
        </w:rPr>
        <w:t>PR</w:t>
      </w:r>
      <w:r w:rsidR="003C5E0C" w:rsidRPr="003C5E0C">
        <w:rPr>
          <w:rFonts w:ascii="Times New Roman" w:eastAsia="Times New Roman" w:hAnsi="Times New Roman" w:cs="Times New Roman"/>
          <w:sz w:val="24"/>
          <w:szCs w:val="24"/>
          <w:lang w:val="es-ES_tradnl" w:eastAsia="es-ES"/>
        </w:rPr>
        <w:t>9+400 (4004)</w:t>
      </w:r>
      <w:r w:rsidR="00C62D63" w:rsidRPr="00734EEF">
        <w:rPr>
          <w:rFonts w:ascii="Times New Roman" w:eastAsia="Times New Roman" w:hAnsi="Times New Roman" w:cs="Times New Roman"/>
          <w:sz w:val="24"/>
          <w:szCs w:val="24"/>
          <w:lang w:val="es-ES_tradnl" w:eastAsia="es-ES"/>
        </w:rPr>
        <w:t xml:space="preserve"> bidireccional, </w:t>
      </w:r>
      <w:r w:rsidR="00C20736">
        <w:rPr>
          <w:rFonts w:ascii="Times New Roman" w:eastAsia="Times New Roman" w:hAnsi="Times New Roman" w:cs="Times New Roman"/>
          <w:sz w:val="24"/>
          <w:szCs w:val="24"/>
          <w:lang w:val="es-ES_tradnl" w:eastAsia="es-ES"/>
        </w:rPr>
        <w:t>E</w:t>
      </w:r>
      <w:r w:rsidR="00C62D63" w:rsidRPr="00734EEF">
        <w:rPr>
          <w:rFonts w:ascii="Times New Roman" w:eastAsia="Times New Roman" w:hAnsi="Times New Roman" w:cs="Times New Roman"/>
          <w:sz w:val="24"/>
          <w:szCs w:val="24"/>
          <w:lang w:val="es-ES_tradnl" w:eastAsia="es-ES"/>
        </w:rPr>
        <w:t xml:space="preserve">stación </w:t>
      </w:r>
      <w:r w:rsidR="00AF6E9D">
        <w:rPr>
          <w:rFonts w:ascii="Times New Roman" w:eastAsia="Times New Roman" w:hAnsi="Times New Roman" w:cs="Times New Roman"/>
          <w:sz w:val="24"/>
          <w:szCs w:val="24"/>
          <w:lang w:val="es-ES_tradnl" w:eastAsia="es-ES"/>
        </w:rPr>
        <w:t>Chicoral</w:t>
      </w:r>
      <w:r w:rsidR="00C62D63" w:rsidRPr="00734EEF">
        <w:rPr>
          <w:rFonts w:ascii="Times New Roman" w:eastAsia="Times New Roman" w:hAnsi="Times New Roman" w:cs="Times New Roman"/>
          <w:sz w:val="24"/>
          <w:szCs w:val="24"/>
          <w:lang w:val="es-ES_tradnl" w:eastAsia="es-ES"/>
        </w:rPr>
        <w:t xml:space="preserve"> </w:t>
      </w:r>
      <w:r w:rsidR="00AF6E9D">
        <w:rPr>
          <w:rFonts w:ascii="Times New Roman" w:eastAsia="Times New Roman" w:hAnsi="Times New Roman" w:cs="Times New Roman"/>
          <w:sz w:val="24"/>
          <w:szCs w:val="24"/>
          <w:lang w:val="es-ES_tradnl" w:eastAsia="es-ES"/>
        </w:rPr>
        <w:t>PR</w:t>
      </w:r>
      <w:r w:rsidR="003C5E0C" w:rsidRPr="003C5E0C">
        <w:rPr>
          <w:rFonts w:ascii="Times New Roman" w:eastAsia="Times New Roman" w:hAnsi="Times New Roman" w:cs="Times New Roman"/>
          <w:sz w:val="24"/>
          <w:szCs w:val="24"/>
          <w:lang w:val="es-ES_tradnl" w:eastAsia="es-ES"/>
        </w:rPr>
        <w:t>17+000 (4004 B)</w:t>
      </w:r>
      <w:r w:rsidR="00C20736">
        <w:rPr>
          <w:rFonts w:ascii="Times New Roman" w:eastAsia="Times New Roman" w:hAnsi="Times New Roman" w:cs="Times New Roman"/>
          <w:sz w:val="24"/>
          <w:szCs w:val="24"/>
          <w:lang w:val="es-ES_tradnl" w:eastAsia="es-ES"/>
        </w:rPr>
        <w:t xml:space="preserve"> </w:t>
      </w:r>
      <w:r w:rsidR="00C62D63" w:rsidRPr="00734EEF">
        <w:rPr>
          <w:rFonts w:ascii="Times New Roman" w:eastAsia="Times New Roman" w:hAnsi="Times New Roman" w:cs="Times New Roman"/>
          <w:sz w:val="24"/>
          <w:szCs w:val="24"/>
          <w:lang w:val="es-ES_tradnl" w:eastAsia="es-ES"/>
        </w:rPr>
        <w:t>Bidireccional</w:t>
      </w:r>
      <w:r w:rsidR="00150552" w:rsidRPr="00734EEF">
        <w:rPr>
          <w:rFonts w:ascii="Times New Roman" w:eastAsia="Times New Roman" w:hAnsi="Times New Roman" w:cs="Times New Roman"/>
          <w:sz w:val="24"/>
          <w:szCs w:val="24"/>
          <w:lang w:val="es-ES_tradnl" w:eastAsia="es-ES"/>
        </w:rPr>
        <w:t>.</w:t>
      </w:r>
      <w:r w:rsidR="00A36D5B" w:rsidRPr="00734EEF">
        <w:rPr>
          <w:rFonts w:ascii="Times New Roman" w:eastAsia="Times New Roman" w:hAnsi="Times New Roman" w:cs="Times New Roman"/>
          <w:sz w:val="24"/>
          <w:szCs w:val="24"/>
          <w:lang w:val="es-ES_tradnl" w:eastAsia="es-ES"/>
        </w:rPr>
        <w:t xml:space="preserve"> </w:t>
      </w:r>
    </w:p>
    <w:p w14:paraId="64963F6C" w14:textId="77777777" w:rsidR="00D43551" w:rsidRPr="00734EEF" w:rsidRDefault="00D43551"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730C0DA3"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 w:eastAsia="es-ES"/>
        </w:rPr>
      </w:pPr>
      <w:r w:rsidRPr="00734EEF">
        <w:rPr>
          <w:rFonts w:ascii="Times New Roman" w:eastAsia="Times New Roman" w:hAnsi="Times New Roman" w:cs="Times New Roman"/>
          <w:sz w:val="24"/>
          <w:szCs w:val="24"/>
          <w:lang w:val="es-ES" w:eastAsia="es-ES"/>
        </w:rPr>
        <w:t xml:space="preserve">Que dentro de la estructuración financiera del proyecto se contempla como una de las fuentes de retribución para el concesionario, el recaudo de peajes una vez se cumplan los requisitos </w:t>
      </w:r>
      <w:r w:rsidR="00055C70">
        <w:rPr>
          <w:rFonts w:ascii="Times New Roman" w:eastAsia="Times New Roman" w:hAnsi="Times New Roman" w:cs="Times New Roman"/>
          <w:sz w:val="24"/>
          <w:szCs w:val="24"/>
          <w:lang w:val="es-ES" w:eastAsia="es-ES"/>
        </w:rPr>
        <w:t>establecidos</w:t>
      </w:r>
      <w:r w:rsidR="00055C70" w:rsidRPr="00734EEF">
        <w:rPr>
          <w:rFonts w:ascii="Times New Roman" w:eastAsia="Times New Roman" w:hAnsi="Times New Roman" w:cs="Times New Roman"/>
          <w:sz w:val="24"/>
          <w:szCs w:val="24"/>
          <w:lang w:val="es-ES" w:eastAsia="es-ES"/>
        </w:rPr>
        <w:t xml:space="preserve"> </w:t>
      </w:r>
      <w:r w:rsidRPr="00734EEF">
        <w:rPr>
          <w:rFonts w:ascii="Times New Roman" w:eastAsia="Times New Roman" w:hAnsi="Times New Roman" w:cs="Times New Roman"/>
          <w:sz w:val="24"/>
          <w:szCs w:val="24"/>
          <w:lang w:val="es-ES" w:eastAsia="es-ES"/>
        </w:rPr>
        <w:t xml:space="preserve">en </w:t>
      </w:r>
      <w:r w:rsidR="00055C70">
        <w:rPr>
          <w:rFonts w:ascii="Times New Roman" w:eastAsia="Times New Roman" w:hAnsi="Times New Roman" w:cs="Times New Roman"/>
          <w:sz w:val="24"/>
          <w:szCs w:val="24"/>
          <w:lang w:val="es-ES" w:eastAsia="es-ES"/>
        </w:rPr>
        <w:t>los</w:t>
      </w:r>
      <w:r w:rsidR="00055C70" w:rsidRPr="00734EEF">
        <w:rPr>
          <w:rFonts w:ascii="Times New Roman" w:eastAsia="Times New Roman" w:hAnsi="Times New Roman" w:cs="Times New Roman"/>
          <w:sz w:val="24"/>
          <w:szCs w:val="24"/>
          <w:lang w:val="es-ES" w:eastAsia="es-ES"/>
        </w:rPr>
        <w:t xml:space="preserve"> </w:t>
      </w:r>
      <w:r w:rsidRPr="00734EEF">
        <w:rPr>
          <w:rFonts w:ascii="Times New Roman" w:eastAsia="Times New Roman" w:hAnsi="Times New Roman" w:cs="Times New Roman"/>
          <w:sz w:val="24"/>
          <w:szCs w:val="24"/>
          <w:lang w:val="es-ES" w:eastAsia="es-ES"/>
        </w:rPr>
        <w:t>capítulo</w:t>
      </w:r>
      <w:r w:rsidR="00055C70">
        <w:rPr>
          <w:rFonts w:ascii="Times New Roman" w:eastAsia="Times New Roman" w:hAnsi="Times New Roman" w:cs="Times New Roman"/>
          <w:sz w:val="24"/>
          <w:szCs w:val="24"/>
          <w:lang w:val="es-ES" w:eastAsia="es-ES"/>
        </w:rPr>
        <w:t>s</w:t>
      </w:r>
      <w:r w:rsidRPr="00734EEF">
        <w:rPr>
          <w:rFonts w:ascii="Times New Roman" w:eastAsia="Times New Roman" w:hAnsi="Times New Roman" w:cs="Times New Roman"/>
          <w:sz w:val="24"/>
          <w:szCs w:val="24"/>
          <w:lang w:val="es-ES" w:eastAsia="es-ES"/>
        </w:rPr>
        <w:t xml:space="preserve"> III</w:t>
      </w:r>
      <w:r w:rsidR="001975C4">
        <w:rPr>
          <w:rFonts w:ascii="Times New Roman" w:eastAsia="Times New Roman" w:hAnsi="Times New Roman" w:cs="Times New Roman"/>
          <w:sz w:val="24"/>
          <w:szCs w:val="24"/>
          <w:lang w:val="es-ES" w:eastAsia="es-ES"/>
        </w:rPr>
        <w:t xml:space="preserve"> y IV</w:t>
      </w:r>
      <w:r w:rsidRPr="00734EEF">
        <w:rPr>
          <w:rFonts w:ascii="Times New Roman" w:eastAsia="Times New Roman" w:hAnsi="Times New Roman" w:cs="Times New Roman"/>
          <w:sz w:val="24"/>
          <w:szCs w:val="24"/>
          <w:lang w:val="es-ES" w:eastAsia="es-ES"/>
        </w:rPr>
        <w:t xml:space="preserve"> de la minuta del </w:t>
      </w:r>
      <w:r w:rsidR="001975C4">
        <w:rPr>
          <w:rFonts w:ascii="Times New Roman" w:eastAsia="Times New Roman" w:hAnsi="Times New Roman" w:cs="Times New Roman"/>
          <w:sz w:val="24"/>
          <w:szCs w:val="24"/>
          <w:lang w:val="es-ES" w:eastAsia="es-ES"/>
        </w:rPr>
        <w:t>C</w:t>
      </w:r>
      <w:r w:rsidRPr="00734EEF">
        <w:rPr>
          <w:rFonts w:ascii="Times New Roman" w:eastAsia="Times New Roman" w:hAnsi="Times New Roman" w:cs="Times New Roman"/>
          <w:sz w:val="24"/>
          <w:szCs w:val="24"/>
          <w:lang w:val="es-ES" w:eastAsia="es-ES"/>
        </w:rPr>
        <w:t xml:space="preserve">ontrato de </w:t>
      </w:r>
      <w:r w:rsidR="001975C4">
        <w:rPr>
          <w:rFonts w:ascii="Times New Roman" w:eastAsia="Times New Roman" w:hAnsi="Times New Roman" w:cs="Times New Roman"/>
          <w:sz w:val="24"/>
          <w:szCs w:val="24"/>
          <w:lang w:val="es-ES" w:eastAsia="es-ES"/>
        </w:rPr>
        <w:t>C</w:t>
      </w:r>
      <w:r w:rsidRPr="00734EEF">
        <w:rPr>
          <w:rFonts w:ascii="Times New Roman" w:eastAsia="Times New Roman" w:hAnsi="Times New Roman" w:cs="Times New Roman"/>
          <w:sz w:val="24"/>
          <w:szCs w:val="24"/>
          <w:lang w:val="es-ES" w:eastAsia="es-ES"/>
        </w:rPr>
        <w:t>oncesión</w:t>
      </w:r>
      <w:r w:rsidR="001975C4">
        <w:rPr>
          <w:rFonts w:ascii="Times New Roman" w:eastAsia="Times New Roman" w:hAnsi="Times New Roman" w:cs="Times New Roman"/>
          <w:sz w:val="24"/>
          <w:szCs w:val="24"/>
          <w:lang w:val="es-ES" w:eastAsia="es-ES"/>
        </w:rPr>
        <w:t xml:space="preserve"> Parte Especial</w:t>
      </w:r>
      <w:r w:rsidRPr="00734EEF">
        <w:rPr>
          <w:rFonts w:ascii="Times New Roman" w:eastAsia="Times New Roman" w:hAnsi="Times New Roman" w:cs="Times New Roman"/>
          <w:sz w:val="24"/>
          <w:szCs w:val="24"/>
          <w:lang w:val="es-ES" w:eastAsia="es-ES"/>
        </w:rPr>
        <w:t xml:space="preserve"> </w:t>
      </w:r>
      <w:r w:rsidR="0068343E">
        <w:rPr>
          <w:rFonts w:ascii="Times New Roman" w:eastAsia="Times New Roman" w:hAnsi="Times New Roman" w:cs="Times New Roman"/>
          <w:sz w:val="24"/>
          <w:szCs w:val="24"/>
          <w:lang w:val="es-ES" w:eastAsia="es-ES"/>
        </w:rPr>
        <w:t>entregada por el Originador en la Etapa de Factibilidad.</w:t>
      </w:r>
    </w:p>
    <w:p w14:paraId="30742CA3"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 w:eastAsia="es-ES"/>
        </w:rPr>
      </w:pPr>
    </w:p>
    <w:p w14:paraId="73E13DF5"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sz w:val="24"/>
          <w:szCs w:val="24"/>
          <w:lang w:val="es-ES_tradnl" w:eastAsia="es-ES"/>
        </w:rPr>
        <w:t xml:space="preserve">Que las tarifas son el resultado de un estudio de tráfico específico realizado para cada proyecto, </w:t>
      </w:r>
      <w:r w:rsidR="00055C70">
        <w:rPr>
          <w:rFonts w:ascii="Times New Roman" w:eastAsia="Times New Roman" w:hAnsi="Times New Roman" w:cs="Times New Roman"/>
          <w:sz w:val="24"/>
          <w:szCs w:val="24"/>
          <w:lang w:val="es-ES_tradnl" w:eastAsia="es-ES"/>
        </w:rPr>
        <w:t>y que estas</w:t>
      </w:r>
      <w:r w:rsidR="00055C70" w:rsidRPr="00734EEF">
        <w:rPr>
          <w:rFonts w:ascii="Times New Roman" w:eastAsia="Times New Roman" w:hAnsi="Times New Roman" w:cs="Times New Roman"/>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 xml:space="preserve">son utilizadas para </w:t>
      </w:r>
      <w:r w:rsidR="00A9720D" w:rsidRPr="00734EEF">
        <w:rPr>
          <w:rFonts w:ascii="Times New Roman" w:eastAsia="Times New Roman" w:hAnsi="Times New Roman" w:cs="Times New Roman"/>
          <w:sz w:val="24"/>
          <w:szCs w:val="24"/>
          <w:lang w:val="es-ES_tradnl" w:eastAsia="es-ES"/>
        </w:rPr>
        <w:t>determinar los</w:t>
      </w:r>
      <w:r w:rsidRPr="00734EEF">
        <w:rPr>
          <w:rFonts w:ascii="Times New Roman" w:eastAsia="Times New Roman" w:hAnsi="Times New Roman" w:cs="Times New Roman"/>
          <w:sz w:val="24"/>
          <w:szCs w:val="24"/>
          <w:lang w:val="es-ES_tradnl" w:eastAsia="es-ES"/>
        </w:rPr>
        <w:t xml:space="preserve"> ingresos dentro del modelo financiero de estructuración de la concesión, constituyéndose en  uno de los parámetros necesarios para la obtención de la viabilidad financiera del proyecto. </w:t>
      </w:r>
    </w:p>
    <w:p w14:paraId="2312CA8E"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22F16874"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734EEF">
        <w:rPr>
          <w:rFonts w:ascii="Times New Roman" w:eastAsia="Times New Roman" w:hAnsi="Times New Roman" w:cs="Times New Roman"/>
          <w:sz w:val="24"/>
          <w:szCs w:val="24"/>
          <w:lang w:eastAsia="es-ES"/>
        </w:rPr>
        <w:t xml:space="preserve">Que como consecuencia de lo anterior, la oficina de Regulación Económica el día </w:t>
      </w:r>
      <w:r w:rsidR="009E63E0">
        <w:rPr>
          <w:rFonts w:ascii="Times New Roman" w:eastAsia="Times New Roman" w:hAnsi="Times New Roman" w:cs="Times New Roman"/>
          <w:sz w:val="24"/>
          <w:szCs w:val="24"/>
          <w:lang w:eastAsia="es-ES"/>
        </w:rPr>
        <w:t>2</w:t>
      </w:r>
      <w:r w:rsidR="00A213B1">
        <w:rPr>
          <w:rFonts w:ascii="Times New Roman" w:eastAsia="Times New Roman" w:hAnsi="Times New Roman" w:cs="Times New Roman"/>
          <w:sz w:val="24"/>
          <w:szCs w:val="24"/>
          <w:lang w:eastAsia="es-ES"/>
        </w:rPr>
        <w:t>3</w:t>
      </w:r>
      <w:r w:rsidR="009E63E0">
        <w:rPr>
          <w:rFonts w:ascii="Times New Roman" w:eastAsia="Times New Roman" w:hAnsi="Times New Roman" w:cs="Times New Roman"/>
          <w:sz w:val="24"/>
          <w:szCs w:val="24"/>
          <w:lang w:eastAsia="es-ES"/>
        </w:rPr>
        <w:t>-01-201</w:t>
      </w:r>
      <w:r w:rsidR="00A213B1">
        <w:rPr>
          <w:rFonts w:ascii="Times New Roman" w:eastAsia="Times New Roman" w:hAnsi="Times New Roman" w:cs="Times New Roman"/>
          <w:sz w:val="24"/>
          <w:szCs w:val="24"/>
          <w:lang w:eastAsia="es-ES"/>
        </w:rPr>
        <w:t>5</w:t>
      </w:r>
      <w:r w:rsidRPr="00734EEF">
        <w:rPr>
          <w:rFonts w:ascii="Times New Roman" w:eastAsia="Times New Roman" w:hAnsi="Times New Roman" w:cs="Times New Roman"/>
          <w:sz w:val="24"/>
          <w:szCs w:val="24"/>
          <w:lang w:eastAsia="es-ES"/>
        </w:rPr>
        <w:t xml:space="preserve"> emitió concepto vinculante previo favorable, para el establecimiento </w:t>
      </w:r>
      <w:r w:rsidR="00A87FBA" w:rsidRPr="00734EEF">
        <w:rPr>
          <w:rFonts w:ascii="Times New Roman" w:eastAsia="Times New Roman" w:hAnsi="Times New Roman" w:cs="Times New Roman"/>
          <w:sz w:val="24"/>
          <w:szCs w:val="24"/>
          <w:lang w:eastAsia="es-ES"/>
        </w:rPr>
        <w:t xml:space="preserve">de una estación de peaje denominada </w:t>
      </w:r>
      <w:r w:rsidR="0068343E">
        <w:rPr>
          <w:rFonts w:ascii="Times New Roman" w:eastAsia="Times New Roman" w:hAnsi="Times New Roman" w:cs="Times New Roman"/>
          <w:sz w:val="24"/>
          <w:szCs w:val="24"/>
          <w:lang w:eastAsia="es-ES"/>
        </w:rPr>
        <w:t>Cocora</w:t>
      </w:r>
      <w:r w:rsidR="00A87FBA" w:rsidRPr="00734EEF">
        <w:rPr>
          <w:rFonts w:ascii="Times New Roman" w:eastAsia="Times New Roman" w:hAnsi="Times New Roman" w:cs="Times New Roman"/>
          <w:sz w:val="24"/>
          <w:szCs w:val="24"/>
          <w:lang w:eastAsia="es-ES"/>
        </w:rPr>
        <w:t xml:space="preserve">, en el proyecto vial </w:t>
      </w:r>
      <w:r w:rsidR="00C93FE3">
        <w:rPr>
          <w:rFonts w:ascii="Times New Roman" w:hAnsi="Times New Roman" w:cs="Times New Roman"/>
          <w:color w:val="000000"/>
          <w:sz w:val="24"/>
          <w:szCs w:val="24"/>
        </w:rPr>
        <w:t>Segunda Calzada de la Vía Ibagué-Cajama</w:t>
      </w:r>
      <w:r w:rsidR="00055C70">
        <w:rPr>
          <w:rFonts w:ascii="Times New Roman" w:hAnsi="Times New Roman" w:cs="Times New Roman"/>
          <w:color w:val="000000"/>
          <w:sz w:val="24"/>
          <w:szCs w:val="24"/>
        </w:rPr>
        <w:t>r</w:t>
      </w:r>
      <w:r w:rsidR="00C93FE3">
        <w:rPr>
          <w:rFonts w:ascii="Times New Roman" w:hAnsi="Times New Roman" w:cs="Times New Roman"/>
          <w:color w:val="000000"/>
          <w:sz w:val="24"/>
          <w:szCs w:val="24"/>
        </w:rPr>
        <w:t>ca</w:t>
      </w:r>
      <w:r w:rsidR="0076027B">
        <w:rPr>
          <w:rFonts w:ascii="Times New Roman" w:hAnsi="Times New Roman" w:cs="Times New Roman"/>
          <w:color w:val="000000"/>
          <w:sz w:val="24"/>
          <w:szCs w:val="24"/>
        </w:rPr>
        <w:t>.</w:t>
      </w:r>
      <w:r w:rsidR="00C93FE3" w:rsidRPr="00734EEF" w:rsidDel="0068343E">
        <w:rPr>
          <w:rFonts w:ascii="Times New Roman" w:eastAsia="Times New Roman" w:hAnsi="Times New Roman" w:cs="Times New Roman"/>
          <w:sz w:val="24"/>
          <w:szCs w:val="24"/>
          <w:lang w:eastAsia="es-ES"/>
        </w:rPr>
        <w:t xml:space="preserve"> </w:t>
      </w:r>
      <w:r w:rsidR="00A87FBA" w:rsidRPr="00734EEF">
        <w:rPr>
          <w:rFonts w:ascii="Times New Roman" w:eastAsia="Times New Roman" w:hAnsi="Times New Roman" w:cs="Times New Roman"/>
          <w:sz w:val="24"/>
          <w:szCs w:val="24"/>
          <w:lang w:eastAsia="es-ES"/>
        </w:rPr>
        <w:t xml:space="preserve"> </w:t>
      </w:r>
    </w:p>
    <w:p w14:paraId="2240ECD4"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i/>
          <w:sz w:val="24"/>
          <w:szCs w:val="24"/>
          <w:lang w:val="es-ES_tradnl" w:eastAsia="es-ES"/>
        </w:rPr>
      </w:pPr>
    </w:p>
    <w:p w14:paraId="2FCA4DD2" w14:textId="2EA5CEC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734EEF">
        <w:rPr>
          <w:rFonts w:ascii="Times New Roman" w:eastAsia="Times New Roman" w:hAnsi="Times New Roman" w:cs="Times New Roman"/>
          <w:sz w:val="24"/>
          <w:szCs w:val="24"/>
          <w:lang w:eastAsia="es-ES"/>
        </w:rPr>
        <w:t xml:space="preserve">Que el contenido de la presente Resolución, fue publicado en la página web de la Agencia Nacional de Infraestructura ANI, el día </w:t>
      </w:r>
      <w:r w:rsidR="005221BC">
        <w:rPr>
          <w:rFonts w:ascii="Times New Roman" w:eastAsia="Times New Roman" w:hAnsi="Times New Roman" w:cs="Times New Roman"/>
          <w:sz w:val="24"/>
          <w:szCs w:val="24"/>
          <w:lang w:eastAsia="es-ES"/>
        </w:rPr>
        <w:t>27</w:t>
      </w:r>
      <w:r w:rsidR="009E63E0">
        <w:rPr>
          <w:rFonts w:ascii="Times New Roman" w:eastAsia="Times New Roman" w:hAnsi="Times New Roman" w:cs="Times New Roman"/>
          <w:sz w:val="24"/>
          <w:szCs w:val="24"/>
          <w:lang w:eastAsia="es-ES"/>
        </w:rPr>
        <w:t>-01-201</w:t>
      </w:r>
      <w:r w:rsidR="005221BC">
        <w:rPr>
          <w:rFonts w:ascii="Times New Roman" w:eastAsia="Times New Roman" w:hAnsi="Times New Roman" w:cs="Times New Roman"/>
          <w:sz w:val="24"/>
          <w:szCs w:val="24"/>
          <w:lang w:eastAsia="es-ES"/>
        </w:rPr>
        <w:t>5</w:t>
      </w:r>
      <w:bookmarkStart w:id="0" w:name="_GoBack"/>
      <w:bookmarkEnd w:id="0"/>
      <w:r w:rsidR="009E63E0">
        <w:rPr>
          <w:rFonts w:ascii="Times New Roman" w:eastAsia="Times New Roman" w:hAnsi="Times New Roman" w:cs="Times New Roman"/>
          <w:sz w:val="24"/>
          <w:szCs w:val="24"/>
          <w:lang w:eastAsia="es-ES"/>
        </w:rPr>
        <w:t xml:space="preserve"> </w:t>
      </w:r>
      <w:r w:rsidRPr="00734EEF">
        <w:rPr>
          <w:rFonts w:ascii="Times New Roman" w:eastAsia="Times New Roman" w:hAnsi="Times New Roman" w:cs="Times New Roman"/>
          <w:sz w:val="24"/>
          <w:szCs w:val="24"/>
          <w:lang w:eastAsia="es-ES"/>
        </w:rPr>
        <w:t xml:space="preserve">en cumplimiento a lo determinado en el numeral 8 del artículo 8 de la Ley 1437 de 2011, con el objeto de recibir opiniones, sugerencias o propuestas alternativas.  </w:t>
      </w:r>
    </w:p>
    <w:p w14:paraId="7F182BBB"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p>
    <w:p w14:paraId="5D5298D9"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734EEF">
        <w:rPr>
          <w:rFonts w:ascii="Times New Roman" w:eastAsia="Times New Roman" w:hAnsi="Times New Roman" w:cs="Times New Roman"/>
          <w:sz w:val="24"/>
          <w:szCs w:val="24"/>
          <w:lang w:eastAsia="es-ES"/>
        </w:rPr>
        <w:t>Que los comentarios recibidos fueron evaluados, atendidos y los pertinentes fueron incorporados en el contenido del presente acto administrativo.</w:t>
      </w:r>
    </w:p>
    <w:p w14:paraId="44BE96AC" w14:textId="77777777" w:rsidR="00EB78FD" w:rsidRPr="00734EEF"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p>
    <w:p w14:paraId="5EA71628" w14:textId="77777777" w:rsidR="00EB78FD" w:rsidRDefault="00EB78FD" w:rsidP="00EB78FD">
      <w:pPr>
        <w:spacing w:after="0" w:line="240" w:lineRule="auto"/>
        <w:jc w:val="both"/>
        <w:rPr>
          <w:rFonts w:ascii="Times New Roman" w:eastAsia="Times New Roman" w:hAnsi="Times New Roman" w:cs="Times New Roman"/>
          <w:sz w:val="24"/>
          <w:szCs w:val="24"/>
          <w:lang w:val="es-CO" w:eastAsia="es-ES"/>
        </w:rPr>
      </w:pPr>
      <w:r w:rsidRPr="00734EEF">
        <w:rPr>
          <w:rFonts w:ascii="Times New Roman" w:eastAsia="Times New Roman" w:hAnsi="Times New Roman" w:cs="Times New Roman"/>
          <w:sz w:val="24"/>
          <w:szCs w:val="24"/>
          <w:lang w:val="es-CO" w:eastAsia="es-ES"/>
        </w:rPr>
        <w:lastRenderedPageBreak/>
        <w:t xml:space="preserve">En mérito de lo expuesto, </w:t>
      </w:r>
    </w:p>
    <w:p w14:paraId="4B09D5EC" w14:textId="77777777" w:rsidR="00F8491F" w:rsidRDefault="00F8491F" w:rsidP="00EB78FD">
      <w:pPr>
        <w:spacing w:after="0" w:line="240" w:lineRule="auto"/>
        <w:jc w:val="both"/>
        <w:rPr>
          <w:rFonts w:ascii="Times New Roman" w:eastAsia="Times New Roman" w:hAnsi="Times New Roman" w:cs="Times New Roman"/>
          <w:sz w:val="24"/>
          <w:szCs w:val="24"/>
          <w:lang w:val="es-ES_tradnl" w:eastAsia="es-ES"/>
        </w:rPr>
      </w:pPr>
    </w:p>
    <w:p w14:paraId="53608CF5" w14:textId="77777777" w:rsidR="00A92FFA" w:rsidRPr="00734EEF" w:rsidRDefault="00A92FFA" w:rsidP="00EB78FD">
      <w:pPr>
        <w:spacing w:after="0" w:line="240" w:lineRule="auto"/>
        <w:jc w:val="both"/>
        <w:rPr>
          <w:rFonts w:ascii="Times New Roman" w:eastAsia="Times New Roman" w:hAnsi="Times New Roman" w:cs="Times New Roman"/>
          <w:sz w:val="24"/>
          <w:szCs w:val="24"/>
          <w:lang w:val="es-ES_tradnl" w:eastAsia="es-ES"/>
        </w:rPr>
      </w:pPr>
    </w:p>
    <w:p w14:paraId="3A0C851F"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734EEF">
        <w:rPr>
          <w:rFonts w:ascii="Times New Roman" w:eastAsia="Times New Roman" w:hAnsi="Times New Roman" w:cs="Times New Roman"/>
          <w:b/>
          <w:sz w:val="24"/>
          <w:szCs w:val="24"/>
          <w:lang w:val="es-ES_tradnl" w:eastAsia="es-ES"/>
        </w:rPr>
        <w:t>RESUELVE:</w:t>
      </w:r>
    </w:p>
    <w:p w14:paraId="0D5BC23E" w14:textId="77777777" w:rsidR="00EB78FD" w:rsidRPr="00734EEF" w:rsidRDefault="00EB78FD" w:rsidP="00EB78FD">
      <w:pPr>
        <w:spacing w:after="0" w:line="240" w:lineRule="auto"/>
        <w:jc w:val="center"/>
        <w:rPr>
          <w:rFonts w:ascii="Times New Roman" w:eastAsia="Times New Roman" w:hAnsi="Times New Roman" w:cs="Times New Roman"/>
          <w:b/>
          <w:sz w:val="24"/>
          <w:szCs w:val="24"/>
          <w:lang w:val="es-ES_tradnl" w:eastAsia="es-ES"/>
        </w:rPr>
      </w:pPr>
    </w:p>
    <w:p w14:paraId="14377F0C" w14:textId="77777777" w:rsidR="0093144B" w:rsidRPr="00734EEF" w:rsidRDefault="00EB78FD" w:rsidP="0093144B">
      <w:pPr>
        <w:tabs>
          <w:tab w:val="left" w:pos="0"/>
        </w:tabs>
        <w:spacing w:after="0" w:line="240" w:lineRule="auto"/>
        <w:jc w:val="both"/>
        <w:rPr>
          <w:rFonts w:ascii="Times New Roman" w:eastAsia="Times New Roman" w:hAnsi="Times New Roman" w:cs="Times New Roman"/>
          <w:sz w:val="24"/>
          <w:szCs w:val="24"/>
          <w:lang w:val="es-ES" w:eastAsia="es-ES"/>
        </w:rPr>
      </w:pPr>
      <w:r w:rsidRPr="00734EEF">
        <w:rPr>
          <w:rFonts w:ascii="Times New Roman" w:eastAsia="Times New Roman" w:hAnsi="Times New Roman" w:cs="Times New Roman"/>
          <w:b/>
          <w:sz w:val="24"/>
          <w:szCs w:val="24"/>
          <w:lang w:val="es-ES_tradnl" w:eastAsia="es-ES"/>
        </w:rPr>
        <w:t xml:space="preserve">ARTÍCULO PRIMERO: </w:t>
      </w:r>
      <w:r w:rsidRPr="00734EEF">
        <w:rPr>
          <w:rFonts w:ascii="Times New Roman" w:eastAsia="Times New Roman" w:hAnsi="Times New Roman" w:cs="Times New Roman"/>
          <w:sz w:val="24"/>
          <w:szCs w:val="24"/>
          <w:lang w:val="es-ES_tradnl" w:eastAsia="es-ES"/>
        </w:rPr>
        <w:t xml:space="preserve">Emitir concepto vinculante previo favorable, para el establecimiento de </w:t>
      </w:r>
      <w:r w:rsidR="00F337FA">
        <w:rPr>
          <w:rFonts w:ascii="Times New Roman" w:eastAsia="Times New Roman" w:hAnsi="Times New Roman" w:cs="Times New Roman"/>
          <w:sz w:val="24"/>
          <w:szCs w:val="24"/>
          <w:lang w:val="es-ES_tradnl" w:eastAsia="es-ES"/>
        </w:rPr>
        <w:t xml:space="preserve">(1) </w:t>
      </w:r>
      <w:r w:rsidRPr="00734EEF">
        <w:rPr>
          <w:rFonts w:ascii="Times New Roman" w:eastAsia="Times New Roman" w:hAnsi="Times New Roman" w:cs="Times New Roman"/>
          <w:sz w:val="24"/>
          <w:szCs w:val="24"/>
          <w:lang w:val="es-ES_tradnl" w:eastAsia="es-ES"/>
        </w:rPr>
        <w:t xml:space="preserve">una estación de peaje, en el proyecto </w:t>
      </w:r>
      <w:r w:rsidRPr="00734EEF">
        <w:rPr>
          <w:rFonts w:ascii="Times New Roman" w:eastAsia="Times New Roman" w:hAnsi="Times New Roman" w:cs="Times New Roman"/>
          <w:sz w:val="24"/>
          <w:szCs w:val="24"/>
          <w:lang w:eastAsia="es-ES"/>
        </w:rPr>
        <w:t xml:space="preserve">vial </w:t>
      </w:r>
      <w:r w:rsidR="00C93FE3">
        <w:rPr>
          <w:rFonts w:ascii="Times New Roman" w:hAnsi="Times New Roman" w:cs="Times New Roman"/>
          <w:color w:val="000000"/>
          <w:sz w:val="24"/>
          <w:szCs w:val="24"/>
        </w:rPr>
        <w:t>Segunda Calzada de la Vía Ibagué</w:t>
      </w:r>
      <w:r w:rsidR="00F337FA">
        <w:rPr>
          <w:rFonts w:ascii="Times New Roman" w:hAnsi="Times New Roman" w:cs="Times New Roman"/>
          <w:color w:val="000000"/>
          <w:sz w:val="24"/>
          <w:szCs w:val="24"/>
        </w:rPr>
        <w:t xml:space="preserve"> </w:t>
      </w:r>
      <w:r w:rsidR="00C93FE3">
        <w:rPr>
          <w:rFonts w:ascii="Times New Roman" w:hAnsi="Times New Roman" w:cs="Times New Roman"/>
          <w:color w:val="000000"/>
          <w:sz w:val="24"/>
          <w:szCs w:val="24"/>
        </w:rPr>
        <w:t>-</w:t>
      </w:r>
      <w:r w:rsidR="00F337FA">
        <w:rPr>
          <w:rFonts w:ascii="Times New Roman" w:hAnsi="Times New Roman" w:cs="Times New Roman"/>
          <w:color w:val="000000"/>
          <w:sz w:val="24"/>
          <w:szCs w:val="24"/>
        </w:rPr>
        <w:t xml:space="preserve"> </w:t>
      </w:r>
      <w:r w:rsidR="00C93FE3">
        <w:rPr>
          <w:rFonts w:ascii="Times New Roman" w:hAnsi="Times New Roman" w:cs="Times New Roman"/>
          <w:color w:val="000000"/>
          <w:sz w:val="24"/>
          <w:szCs w:val="24"/>
        </w:rPr>
        <w:t>Cajama</w:t>
      </w:r>
      <w:r w:rsidR="007924C8">
        <w:rPr>
          <w:rFonts w:ascii="Times New Roman" w:hAnsi="Times New Roman" w:cs="Times New Roman"/>
          <w:color w:val="000000"/>
          <w:sz w:val="24"/>
          <w:szCs w:val="24"/>
        </w:rPr>
        <w:t>r</w:t>
      </w:r>
      <w:r w:rsidR="00C93FE3">
        <w:rPr>
          <w:rFonts w:ascii="Times New Roman" w:hAnsi="Times New Roman" w:cs="Times New Roman"/>
          <w:color w:val="000000"/>
          <w:sz w:val="24"/>
          <w:szCs w:val="24"/>
        </w:rPr>
        <w:t>ca</w:t>
      </w:r>
      <w:r w:rsidRPr="00734EEF">
        <w:rPr>
          <w:rFonts w:ascii="Times New Roman" w:eastAsia="Times New Roman" w:hAnsi="Times New Roman" w:cs="Times New Roman"/>
          <w:i/>
          <w:sz w:val="24"/>
          <w:szCs w:val="24"/>
          <w:lang w:eastAsia="es-ES"/>
        </w:rPr>
        <w:t xml:space="preserve">, </w:t>
      </w:r>
      <w:r w:rsidRPr="00734EEF">
        <w:rPr>
          <w:rFonts w:ascii="Times New Roman" w:eastAsia="Times New Roman" w:hAnsi="Times New Roman" w:cs="Times New Roman"/>
          <w:sz w:val="24"/>
          <w:szCs w:val="24"/>
          <w:lang w:eastAsia="es-ES"/>
        </w:rPr>
        <w:t>que se denomina</w:t>
      </w:r>
      <w:r w:rsidR="00F337FA">
        <w:rPr>
          <w:rFonts w:ascii="Times New Roman" w:eastAsia="Times New Roman" w:hAnsi="Times New Roman" w:cs="Times New Roman"/>
          <w:sz w:val="24"/>
          <w:szCs w:val="24"/>
          <w:lang w:eastAsia="es-ES"/>
        </w:rPr>
        <w:t>ra</w:t>
      </w:r>
      <w:r w:rsidR="009F7B9C" w:rsidRPr="00734EEF">
        <w:rPr>
          <w:rFonts w:ascii="Times New Roman" w:eastAsia="Times New Roman" w:hAnsi="Times New Roman" w:cs="Times New Roman"/>
          <w:sz w:val="24"/>
          <w:szCs w:val="24"/>
          <w:lang w:eastAsia="es-ES"/>
        </w:rPr>
        <w:t xml:space="preserve"> Peaje </w:t>
      </w:r>
      <w:r w:rsidR="00C93FE3">
        <w:rPr>
          <w:rFonts w:ascii="Times New Roman" w:eastAsia="Times New Roman" w:hAnsi="Times New Roman" w:cs="Times New Roman"/>
          <w:sz w:val="24"/>
          <w:szCs w:val="24"/>
          <w:lang w:eastAsia="es-ES"/>
        </w:rPr>
        <w:t>Cocora</w:t>
      </w:r>
      <w:r w:rsidRPr="00734EEF">
        <w:rPr>
          <w:rFonts w:ascii="Times New Roman" w:eastAsia="Times New Roman" w:hAnsi="Times New Roman" w:cs="Times New Roman"/>
          <w:sz w:val="24"/>
          <w:szCs w:val="24"/>
          <w:lang w:eastAsia="es-ES"/>
        </w:rPr>
        <w:t xml:space="preserve">, </w:t>
      </w:r>
      <w:r w:rsidR="00F337FA">
        <w:rPr>
          <w:rFonts w:ascii="Times New Roman" w:eastAsia="Times New Roman" w:hAnsi="Times New Roman" w:cs="Times New Roman"/>
          <w:sz w:val="24"/>
          <w:szCs w:val="24"/>
          <w:lang w:eastAsia="es-ES"/>
        </w:rPr>
        <w:t xml:space="preserve">el cual se </w:t>
      </w:r>
      <w:r w:rsidR="00A87FBA" w:rsidRPr="00734EEF">
        <w:rPr>
          <w:rFonts w:ascii="Times New Roman" w:eastAsia="Times New Roman" w:hAnsi="Times New Roman" w:cs="Times New Roman"/>
          <w:sz w:val="24"/>
          <w:szCs w:val="24"/>
          <w:lang w:eastAsia="es-ES"/>
        </w:rPr>
        <w:t>ubic</w:t>
      </w:r>
      <w:r w:rsidR="00F337FA">
        <w:rPr>
          <w:rFonts w:ascii="Times New Roman" w:eastAsia="Times New Roman" w:hAnsi="Times New Roman" w:cs="Times New Roman"/>
          <w:sz w:val="24"/>
          <w:szCs w:val="24"/>
          <w:lang w:eastAsia="es-ES"/>
        </w:rPr>
        <w:t>ará</w:t>
      </w:r>
      <w:r w:rsidR="00A87FBA" w:rsidRPr="00734EEF">
        <w:rPr>
          <w:rFonts w:ascii="Times New Roman" w:eastAsia="Times New Roman" w:hAnsi="Times New Roman" w:cs="Times New Roman"/>
          <w:sz w:val="24"/>
          <w:szCs w:val="24"/>
          <w:lang w:eastAsia="es-ES"/>
        </w:rPr>
        <w:t xml:space="preserve"> en el </w:t>
      </w:r>
      <w:r w:rsidR="00A4302C">
        <w:rPr>
          <w:rFonts w:ascii="Times New Roman" w:eastAsia="Times New Roman" w:hAnsi="Times New Roman" w:cs="Times New Roman"/>
          <w:sz w:val="24"/>
          <w:szCs w:val="24"/>
          <w:lang w:eastAsia="es-ES"/>
        </w:rPr>
        <w:t>sector denominado Valle del Cocora</w:t>
      </w:r>
      <w:r w:rsidR="007924C8">
        <w:rPr>
          <w:rFonts w:ascii="Times New Roman" w:eastAsia="Times New Roman" w:hAnsi="Times New Roman" w:cs="Times New Roman"/>
          <w:sz w:val="24"/>
          <w:szCs w:val="24"/>
          <w:lang w:eastAsia="es-ES"/>
        </w:rPr>
        <w:t xml:space="preserve">; así: Sentido Ibagué – Cajamarca entre el K13+000 al K14+000 de la vía nueva Segunda Calzada Ibagué – Cajamarca y Sentido Cajamarca – Ibagué entre </w:t>
      </w:r>
      <w:r w:rsidR="007924C8" w:rsidRPr="00AA075F">
        <w:rPr>
          <w:rFonts w:ascii="Times New Roman" w:eastAsia="Times New Roman" w:hAnsi="Times New Roman" w:cs="Times New Roman"/>
          <w:sz w:val="24"/>
          <w:szCs w:val="24"/>
          <w:lang w:eastAsia="es-ES"/>
        </w:rPr>
        <w:t>el PR6</w:t>
      </w:r>
      <w:r w:rsidR="003C5E0C" w:rsidRPr="003C5E0C">
        <w:rPr>
          <w:rFonts w:ascii="Times New Roman" w:eastAsia="Times New Roman" w:hAnsi="Times New Roman" w:cs="Times New Roman"/>
          <w:sz w:val="24"/>
          <w:szCs w:val="24"/>
          <w:lang w:eastAsia="es-ES"/>
        </w:rPr>
        <w:t>9</w:t>
      </w:r>
      <w:r w:rsidR="007924C8" w:rsidRPr="00AA075F">
        <w:rPr>
          <w:rFonts w:ascii="Times New Roman" w:eastAsia="Times New Roman" w:hAnsi="Times New Roman" w:cs="Times New Roman"/>
          <w:sz w:val="24"/>
          <w:szCs w:val="24"/>
          <w:lang w:eastAsia="es-ES"/>
        </w:rPr>
        <w:t>+000 al PR</w:t>
      </w:r>
      <w:r w:rsidR="003C5E0C" w:rsidRPr="003C5E0C">
        <w:rPr>
          <w:rFonts w:ascii="Times New Roman" w:eastAsia="Times New Roman" w:hAnsi="Times New Roman" w:cs="Times New Roman"/>
          <w:sz w:val="24"/>
          <w:szCs w:val="24"/>
          <w:lang w:eastAsia="es-ES"/>
        </w:rPr>
        <w:t>70</w:t>
      </w:r>
      <w:r w:rsidR="007924C8" w:rsidRPr="00AA075F">
        <w:rPr>
          <w:rFonts w:ascii="Times New Roman" w:eastAsia="Times New Roman" w:hAnsi="Times New Roman" w:cs="Times New Roman"/>
          <w:sz w:val="24"/>
          <w:szCs w:val="24"/>
          <w:lang w:eastAsia="es-ES"/>
        </w:rPr>
        <w:t>+000</w:t>
      </w:r>
      <w:r w:rsidR="007924C8">
        <w:rPr>
          <w:rFonts w:ascii="Times New Roman" w:eastAsia="Times New Roman" w:hAnsi="Times New Roman" w:cs="Times New Roman"/>
          <w:sz w:val="24"/>
          <w:szCs w:val="24"/>
          <w:lang w:eastAsia="es-ES"/>
        </w:rPr>
        <w:t xml:space="preserve"> de la vía existente Ibagué – Cajamarca (Ruta 4003)</w:t>
      </w:r>
      <w:r w:rsidR="00A4302C">
        <w:rPr>
          <w:rFonts w:ascii="Times New Roman" w:eastAsia="Times New Roman" w:hAnsi="Times New Roman" w:cs="Times New Roman"/>
          <w:sz w:val="24"/>
          <w:szCs w:val="24"/>
          <w:lang w:eastAsia="es-ES"/>
        </w:rPr>
        <w:t xml:space="preserve">. </w:t>
      </w:r>
    </w:p>
    <w:p w14:paraId="30119D84" w14:textId="77777777" w:rsid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14:paraId="2ED4A699" w14:textId="77777777" w:rsidR="00F8491F" w:rsidRPr="00734EEF" w:rsidRDefault="00F8491F" w:rsidP="00EB78FD">
      <w:pPr>
        <w:spacing w:after="0" w:line="240" w:lineRule="auto"/>
        <w:jc w:val="both"/>
        <w:rPr>
          <w:rFonts w:ascii="Times New Roman" w:eastAsia="Times New Roman" w:hAnsi="Times New Roman" w:cs="Times New Roman"/>
          <w:b/>
          <w:sz w:val="24"/>
          <w:szCs w:val="24"/>
          <w:lang w:val="es-ES_tradnl" w:eastAsia="es-ES"/>
        </w:rPr>
      </w:pPr>
    </w:p>
    <w:p w14:paraId="2F0806A9" w14:textId="77777777" w:rsidR="007C2EB1" w:rsidRDefault="007C2EB1" w:rsidP="007C2EB1">
      <w:pPr>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 xml:space="preserve">ARTÍCULO </w:t>
      </w:r>
      <w:r>
        <w:rPr>
          <w:rFonts w:ascii="Times New Roman" w:eastAsia="Times New Roman" w:hAnsi="Times New Roman" w:cs="Times New Roman"/>
          <w:b/>
          <w:sz w:val="24"/>
          <w:szCs w:val="24"/>
          <w:lang w:val="es-ES_tradnl" w:eastAsia="es-ES"/>
        </w:rPr>
        <w:t>SEGUNDO</w:t>
      </w:r>
      <w:r w:rsidRPr="003F02D3">
        <w:rPr>
          <w:rFonts w:ascii="Times New Roman" w:eastAsia="Times New Roman" w:hAnsi="Times New Roman" w:cs="Times New Roman"/>
          <w:b/>
          <w:sz w:val="24"/>
          <w:szCs w:val="24"/>
          <w:lang w:val="es-ES_tradnl" w:eastAsia="es-ES"/>
        </w:rPr>
        <w:t xml:space="preserve">: </w:t>
      </w:r>
      <w:r w:rsidRPr="003F02D3">
        <w:rPr>
          <w:rFonts w:ascii="Times New Roman" w:eastAsia="Times New Roman" w:hAnsi="Times New Roman" w:cs="Times New Roman"/>
          <w:sz w:val="24"/>
          <w:szCs w:val="24"/>
          <w:lang w:val="es-ES_tradnl" w:eastAsia="es-ES"/>
        </w:rPr>
        <w:t xml:space="preserve">Establecer </w:t>
      </w:r>
      <w:r w:rsidR="00F337FA">
        <w:rPr>
          <w:rFonts w:ascii="Times New Roman" w:eastAsia="Times New Roman" w:hAnsi="Times New Roman" w:cs="Times New Roman"/>
          <w:sz w:val="24"/>
          <w:szCs w:val="24"/>
          <w:lang w:val="es-ES_tradnl" w:eastAsia="es-ES"/>
        </w:rPr>
        <w:t xml:space="preserve">el cobro de las tarifas </w:t>
      </w:r>
      <w:r w:rsidR="00535EE3">
        <w:rPr>
          <w:rFonts w:ascii="Times New Roman" w:eastAsia="Times New Roman" w:hAnsi="Times New Roman" w:cs="Times New Roman"/>
          <w:sz w:val="24"/>
          <w:szCs w:val="24"/>
          <w:lang w:val="es-ES_tradnl" w:eastAsia="es-ES"/>
        </w:rPr>
        <w:t xml:space="preserve">para la estación </w:t>
      </w:r>
      <w:r w:rsidR="00F337FA">
        <w:rPr>
          <w:rFonts w:ascii="Times New Roman" w:eastAsia="Times New Roman" w:hAnsi="Times New Roman" w:cs="Times New Roman"/>
          <w:sz w:val="24"/>
          <w:szCs w:val="24"/>
          <w:lang w:val="es-ES_tradnl" w:eastAsia="es-ES"/>
        </w:rPr>
        <w:t>de peaje</w:t>
      </w:r>
      <w:r w:rsidR="00535EE3">
        <w:rPr>
          <w:rFonts w:ascii="Times New Roman" w:eastAsia="Times New Roman" w:hAnsi="Times New Roman" w:cs="Times New Roman"/>
          <w:sz w:val="24"/>
          <w:szCs w:val="24"/>
          <w:lang w:val="es-ES_tradnl" w:eastAsia="es-ES"/>
        </w:rPr>
        <w:t xml:space="preserve"> Cocora</w:t>
      </w:r>
      <w:r w:rsidR="00F337FA">
        <w:rPr>
          <w:rFonts w:ascii="Times New Roman" w:eastAsia="Times New Roman" w:hAnsi="Times New Roman" w:cs="Times New Roman"/>
          <w:sz w:val="24"/>
          <w:szCs w:val="24"/>
          <w:lang w:val="es-ES_tradnl" w:eastAsia="es-ES"/>
        </w:rPr>
        <w:t xml:space="preserve"> en forma </w:t>
      </w:r>
      <w:r w:rsidR="00535EE3">
        <w:rPr>
          <w:rFonts w:ascii="Times New Roman" w:eastAsia="Times New Roman" w:hAnsi="Times New Roman" w:cs="Times New Roman"/>
          <w:sz w:val="24"/>
          <w:szCs w:val="24"/>
          <w:lang w:val="es-ES_tradnl" w:eastAsia="es-ES"/>
        </w:rPr>
        <w:t>unidireccional</w:t>
      </w:r>
      <w:r w:rsidR="00D21371" w:rsidRPr="00D21371">
        <w:t xml:space="preserve"> </w:t>
      </w:r>
      <w:r w:rsidR="00D21371">
        <w:rPr>
          <w:rFonts w:ascii="Times New Roman" w:eastAsia="Times New Roman" w:hAnsi="Times New Roman" w:cs="Times New Roman"/>
          <w:sz w:val="24"/>
          <w:szCs w:val="24"/>
          <w:lang w:val="es-ES_tradnl" w:eastAsia="es-ES"/>
        </w:rPr>
        <w:t>s</w:t>
      </w:r>
      <w:r w:rsidR="00D21371" w:rsidRPr="00D21371">
        <w:rPr>
          <w:rFonts w:ascii="Times New Roman" w:eastAsia="Times New Roman" w:hAnsi="Times New Roman" w:cs="Times New Roman"/>
          <w:sz w:val="24"/>
          <w:szCs w:val="24"/>
          <w:lang w:val="es-ES_tradnl" w:eastAsia="es-ES"/>
        </w:rPr>
        <w:t>entido Ibagué – Cajamarca</w:t>
      </w:r>
      <w:r w:rsidR="00535EE3">
        <w:rPr>
          <w:rFonts w:ascii="Times New Roman" w:eastAsia="Times New Roman" w:hAnsi="Times New Roman" w:cs="Times New Roman"/>
          <w:sz w:val="24"/>
          <w:szCs w:val="24"/>
          <w:lang w:val="es-ES_tradnl" w:eastAsia="es-ES"/>
        </w:rPr>
        <w:t xml:space="preserve">, las cuales podrán ser cobradas </w:t>
      </w:r>
      <w:r w:rsidR="00535EE3" w:rsidRPr="00535EE3">
        <w:rPr>
          <w:rFonts w:ascii="Times New Roman" w:eastAsia="Times New Roman" w:hAnsi="Times New Roman" w:cs="Times New Roman"/>
          <w:sz w:val="24"/>
          <w:szCs w:val="24"/>
          <w:lang w:val="es-ES_tradnl" w:eastAsia="es-ES"/>
        </w:rPr>
        <w:t>a partir de la entrega de la Infraestructura correspondiente a Combeima - Valle del Cocora (Unidad Funcional 1 del Proyecto) en los términos establecidos en la Sección 4.2 (a) i del Contrato de Concesión Parte Especial.</w:t>
      </w:r>
      <w:r w:rsidR="00535EE3">
        <w:rPr>
          <w:rFonts w:ascii="Times New Roman" w:eastAsia="Times New Roman" w:hAnsi="Times New Roman" w:cs="Times New Roman"/>
          <w:sz w:val="24"/>
          <w:szCs w:val="24"/>
          <w:lang w:val="es-ES_tradnl" w:eastAsia="es-ES"/>
        </w:rPr>
        <w:t xml:space="preserve"> Según</w:t>
      </w:r>
      <w:r w:rsidR="00F337FA">
        <w:rPr>
          <w:rFonts w:ascii="Times New Roman" w:eastAsia="Times New Roman" w:hAnsi="Times New Roman" w:cs="Times New Roman"/>
          <w:sz w:val="24"/>
          <w:szCs w:val="24"/>
          <w:lang w:val="es-ES_tradnl" w:eastAsia="es-ES"/>
        </w:rPr>
        <w:t xml:space="preserve"> </w:t>
      </w:r>
      <w:r w:rsidRPr="003F02D3">
        <w:rPr>
          <w:rFonts w:ascii="Times New Roman" w:eastAsia="Times New Roman" w:hAnsi="Times New Roman" w:cs="Times New Roman"/>
          <w:sz w:val="24"/>
          <w:szCs w:val="24"/>
          <w:lang w:val="es-ES_tradnl" w:eastAsia="es-ES"/>
        </w:rPr>
        <w:t>las siguientes categorías vehiculares y tarifas:</w:t>
      </w:r>
    </w:p>
    <w:p w14:paraId="61F45B62" w14:textId="77777777" w:rsidR="007C2EB1" w:rsidRDefault="007C2EB1" w:rsidP="007C2EB1">
      <w:pPr>
        <w:pStyle w:val="Normal1"/>
        <w:tabs>
          <w:tab w:val="clear" w:pos="2880"/>
        </w:tabs>
        <w:ind w:left="0" w:firstLine="0"/>
        <w:rPr>
          <w:rFonts w:eastAsia="Apple LiGothic Medium"/>
        </w:rPr>
      </w:pPr>
    </w:p>
    <w:p w14:paraId="76629E35" w14:textId="77777777" w:rsidR="00A92FFA" w:rsidRPr="00C93FE3" w:rsidRDefault="00A92FFA" w:rsidP="007C2EB1">
      <w:pPr>
        <w:pStyle w:val="Normal1"/>
        <w:tabs>
          <w:tab w:val="clear" w:pos="2880"/>
        </w:tabs>
        <w:ind w:left="0" w:firstLine="0"/>
        <w:rPr>
          <w:rFonts w:eastAsia="Apple LiGothic Medium"/>
        </w:rPr>
      </w:pPr>
    </w:p>
    <w:tbl>
      <w:tblPr>
        <w:tblW w:w="7849"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4760"/>
        <w:gridCol w:w="1269"/>
      </w:tblGrid>
      <w:tr w:rsidR="007C2EB1" w:rsidRPr="00C93FE3" w14:paraId="3D6F6B41" w14:textId="77777777" w:rsidTr="00A213B1">
        <w:trPr>
          <w:trHeight w:val="1405"/>
        </w:trPr>
        <w:tc>
          <w:tcPr>
            <w:tcW w:w="1820" w:type="dxa"/>
            <w:shd w:val="clear" w:color="auto" w:fill="BFBFBF" w:themeFill="background1" w:themeFillShade="BF"/>
            <w:vAlign w:val="center"/>
          </w:tcPr>
          <w:p w14:paraId="405C4EC4" w14:textId="77777777" w:rsidR="007C2EB1" w:rsidRPr="00AA3418" w:rsidRDefault="007C2EB1" w:rsidP="00AA3418">
            <w:pPr>
              <w:rPr>
                <w:rFonts w:ascii="Times New Roman" w:hAnsi="Times New Roman" w:cs="Times New Roman"/>
                <w:b/>
                <w:sz w:val="24"/>
                <w:szCs w:val="24"/>
              </w:rPr>
            </w:pPr>
            <w:r w:rsidRPr="00AA3418">
              <w:rPr>
                <w:rFonts w:ascii="Times New Roman" w:hAnsi="Times New Roman" w:cs="Times New Roman"/>
                <w:b/>
                <w:sz w:val="24"/>
                <w:szCs w:val="24"/>
              </w:rPr>
              <w:t>CATEGORIAS</w:t>
            </w:r>
          </w:p>
        </w:tc>
        <w:tc>
          <w:tcPr>
            <w:tcW w:w="4760" w:type="dxa"/>
            <w:shd w:val="clear" w:color="auto" w:fill="BFBFBF" w:themeFill="background1" w:themeFillShade="BF"/>
            <w:vAlign w:val="center"/>
          </w:tcPr>
          <w:p w14:paraId="30468441" w14:textId="77777777" w:rsidR="007C2EB1" w:rsidRPr="00AA3418" w:rsidRDefault="007C2EB1" w:rsidP="00AA3418">
            <w:pPr>
              <w:rPr>
                <w:rFonts w:ascii="Times New Roman" w:hAnsi="Times New Roman" w:cs="Times New Roman"/>
                <w:b/>
                <w:sz w:val="24"/>
                <w:szCs w:val="24"/>
                <w:lang w:val="es-CO"/>
              </w:rPr>
            </w:pPr>
            <w:r w:rsidRPr="00AA3418">
              <w:rPr>
                <w:rFonts w:ascii="Times New Roman" w:hAnsi="Times New Roman" w:cs="Times New Roman"/>
                <w:b/>
                <w:sz w:val="24"/>
                <w:szCs w:val="24"/>
                <w:lang w:val="es-CO"/>
              </w:rPr>
              <w:t>DESCRIPCION</w:t>
            </w:r>
          </w:p>
        </w:tc>
        <w:tc>
          <w:tcPr>
            <w:tcW w:w="1269" w:type="dxa"/>
            <w:shd w:val="clear" w:color="auto" w:fill="BFBFBF" w:themeFill="background1" w:themeFillShade="BF"/>
            <w:vAlign w:val="center"/>
          </w:tcPr>
          <w:p w14:paraId="1C4C7D4B" w14:textId="77777777" w:rsidR="007C2EB1" w:rsidRPr="00AA3418" w:rsidRDefault="007C2EB1" w:rsidP="00AA3418">
            <w:pPr>
              <w:rPr>
                <w:rFonts w:ascii="Times New Roman" w:hAnsi="Times New Roman" w:cs="Times New Roman"/>
                <w:b/>
                <w:sz w:val="24"/>
                <w:szCs w:val="24"/>
              </w:rPr>
            </w:pPr>
            <w:r w:rsidRPr="00AA3418">
              <w:rPr>
                <w:b/>
              </w:rPr>
              <w:t>TARIFAS  (Pesos diciembre 2012)</w:t>
            </w:r>
            <w:r w:rsidRPr="00AA3418">
              <w:rPr>
                <w:rFonts w:ascii="Times New Roman" w:hAnsi="Times New Roman" w:cs="Times New Roman"/>
                <w:b/>
                <w:sz w:val="24"/>
                <w:szCs w:val="24"/>
              </w:rPr>
              <w:t xml:space="preserve"> </w:t>
            </w:r>
          </w:p>
        </w:tc>
      </w:tr>
      <w:tr w:rsidR="007C2EB1" w:rsidRPr="00C93FE3" w14:paraId="0FFDB9F4" w14:textId="77777777" w:rsidTr="00A213B1">
        <w:trPr>
          <w:trHeight w:val="478"/>
        </w:trPr>
        <w:tc>
          <w:tcPr>
            <w:tcW w:w="1820" w:type="dxa"/>
            <w:shd w:val="clear" w:color="auto" w:fill="auto"/>
            <w:vAlign w:val="bottom"/>
          </w:tcPr>
          <w:p w14:paraId="7672819D"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I</w:t>
            </w:r>
          </w:p>
        </w:tc>
        <w:tc>
          <w:tcPr>
            <w:tcW w:w="4760" w:type="dxa"/>
            <w:shd w:val="clear" w:color="auto" w:fill="auto"/>
          </w:tcPr>
          <w:p w14:paraId="21E35E8C" w14:textId="77777777" w:rsidR="007C2EB1" w:rsidRPr="00C93FE3" w:rsidRDefault="007C2EB1" w:rsidP="00AA3418">
            <w:pPr>
              <w:rPr>
                <w:rFonts w:ascii="Times New Roman" w:hAnsi="Times New Roman" w:cs="Times New Roman"/>
                <w:sz w:val="24"/>
                <w:szCs w:val="24"/>
              </w:rPr>
            </w:pPr>
            <w:r w:rsidRPr="003C5E0C">
              <w:rPr>
                <w:rFonts w:ascii="Times New Roman" w:hAnsi="Times New Roman" w:cs="Times New Roman"/>
                <w:sz w:val="24"/>
                <w:szCs w:val="24"/>
              </w:rPr>
              <w:t>Automóviles, camperos y camionetas</w:t>
            </w:r>
          </w:p>
        </w:tc>
        <w:tc>
          <w:tcPr>
            <w:tcW w:w="1269" w:type="dxa"/>
            <w:shd w:val="clear" w:color="auto" w:fill="auto"/>
            <w:vAlign w:val="center"/>
          </w:tcPr>
          <w:p w14:paraId="2AAED3BD"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3C5E0C">
              <w:rPr>
                <w:rFonts w:ascii="Times New Roman" w:eastAsia="Times New Roman" w:hAnsi="Times New Roman" w:cs="Times New Roman"/>
                <w:sz w:val="24"/>
                <w:szCs w:val="24"/>
              </w:rPr>
              <w:t>00</w:t>
            </w:r>
          </w:p>
        </w:tc>
      </w:tr>
      <w:tr w:rsidR="007C2EB1" w:rsidRPr="00C93FE3" w14:paraId="2A67995F" w14:textId="77777777" w:rsidTr="00A213B1">
        <w:trPr>
          <w:trHeight w:val="797"/>
        </w:trPr>
        <w:tc>
          <w:tcPr>
            <w:tcW w:w="1820" w:type="dxa"/>
            <w:shd w:val="clear" w:color="auto" w:fill="auto"/>
            <w:vAlign w:val="bottom"/>
          </w:tcPr>
          <w:p w14:paraId="13D37346"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II</w:t>
            </w:r>
          </w:p>
        </w:tc>
        <w:tc>
          <w:tcPr>
            <w:tcW w:w="4760" w:type="dxa"/>
            <w:shd w:val="clear" w:color="auto" w:fill="auto"/>
          </w:tcPr>
          <w:p w14:paraId="31FA0FA9" w14:textId="77777777" w:rsidR="007C2EB1" w:rsidRPr="00C93FE3" w:rsidRDefault="007C2EB1" w:rsidP="00AA3418">
            <w:pPr>
              <w:rPr>
                <w:rFonts w:ascii="Times New Roman" w:hAnsi="Times New Roman" w:cs="Times New Roman"/>
                <w:sz w:val="24"/>
                <w:szCs w:val="24"/>
              </w:rPr>
            </w:pPr>
            <w:r w:rsidRPr="003C5E0C">
              <w:rPr>
                <w:rFonts w:ascii="Times New Roman" w:hAnsi="Times New Roman" w:cs="Times New Roman"/>
                <w:sz w:val="24"/>
                <w:szCs w:val="24"/>
              </w:rPr>
              <w:t>Buses, busetas microbuses con eje trasero de doble llanta y camiones de dos (2) ejes.</w:t>
            </w:r>
          </w:p>
        </w:tc>
        <w:tc>
          <w:tcPr>
            <w:tcW w:w="1269" w:type="dxa"/>
            <w:shd w:val="clear" w:color="auto" w:fill="auto"/>
            <w:vAlign w:val="center"/>
          </w:tcPr>
          <w:p w14:paraId="613787F5"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C5E0C">
              <w:rPr>
                <w:rFonts w:ascii="Times New Roman" w:eastAsia="Times New Roman" w:hAnsi="Times New Roman" w:cs="Times New Roman"/>
                <w:sz w:val="24"/>
                <w:szCs w:val="24"/>
              </w:rPr>
              <w:t>00</w:t>
            </w:r>
          </w:p>
        </w:tc>
      </w:tr>
      <w:tr w:rsidR="007C2EB1" w:rsidRPr="00C93FE3" w14:paraId="3AE2AEDE" w14:textId="77777777" w:rsidTr="00A213B1">
        <w:trPr>
          <w:trHeight w:val="493"/>
        </w:trPr>
        <w:tc>
          <w:tcPr>
            <w:tcW w:w="1820" w:type="dxa"/>
            <w:shd w:val="clear" w:color="auto" w:fill="auto"/>
            <w:vAlign w:val="bottom"/>
          </w:tcPr>
          <w:p w14:paraId="6373A368"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III</w:t>
            </w:r>
          </w:p>
        </w:tc>
        <w:tc>
          <w:tcPr>
            <w:tcW w:w="4760" w:type="dxa"/>
            <w:shd w:val="clear" w:color="auto" w:fill="auto"/>
          </w:tcPr>
          <w:p w14:paraId="6650BB13" w14:textId="77777777" w:rsidR="007C2EB1" w:rsidRPr="00C93FE3" w:rsidRDefault="007C2EB1" w:rsidP="00AA3418">
            <w:pPr>
              <w:rPr>
                <w:rFonts w:ascii="Times New Roman" w:hAnsi="Times New Roman" w:cs="Times New Roman"/>
                <w:sz w:val="24"/>
                <w:szCs w:val="24"/>
              </w:rPr>
            </w:pPr>
            <w:r w:rsidRPr="003C5E0C">
              <w:rPr>
                <w:rFonts w:ascii="Times New Roman" w:hAnsi="Times New Roman" w:cs="Times New Roman"/>
                <w:sz w:val="24"/>
                <w:szCs w:val="24"/>
              </w:rPr>
              <w:t xml:space="preserve"> Camiones de tres (3) y cuatro (4) ejes.</w:t>
            </w:r>
          </w:p>
        </w:tc>
        <w:tc>
          <w:tcPr>
            <w:tcW w:w="1269" w:type="dxa"/>
            <w:shd w:val="clear" w:color="auto" w:fill="auto"/>
            <w:vAlign w:val="center"/>
          </w:tcPr>
          <w:p w14:paraId="4225B021"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3C5E0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C5E0C">
              <w:rPr>
                <w:rFonts w:ascii="Times New Roman" w:eastAsia="Times New Roman" w:hAnsi="Times New Roman" w:cs="Times New Roman"/>
                <w:sz w:val="24"/>
                <w:szCs w:val="24"/>
              </w:rPr>
              <w:t>00</w:t>
            </w:r>
          </w:p>
        </w:tc>
      </w:tr>
      <w:tr w:rsidR="007C2EB1" w:rsidRPr="00C93FE3" w14:paraId="36D067F1" w14:textId="77777777" w:rsidTr="00A213B1">
        <w:trPr>
          <w:trHeight w:val="478"/>
        </w:trPr>
        <w:tc>
          <w:tcPr>
            <w:tcW w:w="1820" w:type="dxa"/>
            <w:shd w:val="clear" w:color="auto" w:fill="auto"/>
            <w:vAlign w:val="bottom"/>
          </w:tcPr>
          <w:p w14:paraId="255B3C10"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IV</w:t>
            </w:r>
          </w:p>
        </w:tc>
        <w:tc>
          <w:tcPr>
            <w:tcW w:w="4760" w:type="dxa"/>
            <w:shd w:val="clear" w:color="auto" w:fill="auto"/>
          </w:tcPr>
          <w:p w14:paraId="381BFB3E" w14:textId="77777777" w:rsidR="007C2EB1" w:rsidRPr="00C93FE3" w:rsidRDefault="007C2EB1" w:rsidP="00AA3418">
            <w:pPr>
              <w:rPr>
                <w:rFonts w:ascii="Times New Roman" w:hAnsi="Times New Roman" w:cs="Times New Roman"/>
                <w:sz w:val="24"/>
                <w:szCs w:val="24"/>
              </w:rPr>
            </w:pPr>
            <w:r w:rsidRPr="003C5E0C">
              <w:rPr>
                <w:rFonts w:ascii="Times New Roman" w:hAnsi="Times New Roman" w:cs="Times New Roman"/>
                <w:sz w:val="24"/>
                <w:szCs w:val="24"/>
              </w:rPr>
              <w:t xml:space="preserve">Camiones de cinco (5) ejes. </w:t>
            </w:r>
          </w:p>
        </w:tc>
        <w:tc>
          <w:tcPr>
            <w:tcW w:w="1269" w:type="dxa"/>
            <w:shd w:val="clear" w:color="auto" w:fill="auto"/>
            <w:vAlign w:val="center"/>
          </w:tcPr>
          <w:p w14:paraId="248253AA"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3C5E0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3C5E0C">
              <w:rPr>
                <w:rFonts w:ascii="Times New Roman" w:eastAsia="Times New Roman" w:hAnsi="Times New Roman" w:cs="Times New Roman"/>
                <w:sz w:val="24"/>
                <w:szCs w:val="24"/>
              </w:rPr>
              <w:t>00</w:t>
            </w:r>
          </w:p>
        </w:tc>
      </w:tr>
      <w:tr w:rsidR="007C2EB1" w:rsidRPr="00C93FE3" w14:paraId="470A79CE" w14:textId="77777777" w:rsidTr="00A213B1">
        <w:trPr>
          <w:trHeight w:val="652"/>
        </w:trPr>
        <w:tc>
          <w:tcPr>
            <w:tcW w:w="1820" w:type="dxa"/>
            <w:shd w:val="clear" w:color="auto" w:fill="auto"/>
            <w:vAlign w:val="bottom"/>
          </w:tcPr>
          <w:p w14:paraId="74305174" w14:textId="77777777" w:rsidR="007C2EB1" w:rsidRPr="00C93FE3" w:rsidRDefault="007C2EB1" w:rsidP="00AA3418">
            <w:pPr>
              <w:rPr>
                <w:rFonts w:ascii="Times New Roman" w:hAnsi="Times New Roman" w:cs="Times New Roman"/>
                <w:sz w:val="24"/>
                <w:szCs w:val="24"/>
              </w:rPr>
            </w:pPr>
            <w:r w:rsidRPr="003C5E0C">
              <w:rPr>
                <w:rFonts w:ascii="Times New Roman" w:eastAsia="Times New Roman" w:hAnsi="Times New Roman" w:cs="Times New Roman"/>
                <w:sz w:val="24"/>
                <w:szCs w:val="24"/>
              </w:rPr>
              <w:t>V</w:t>
            </w:r>
          </w:p>
        </w:tc>
        <w:tc>
          <w:tcPr>
            <w:tcW w:w="4760" w:type="dxa"/>
            <w:shd w:val="clear" w:color="auto" w:fill="auto"/>
          </w:tcPr>
          <w:p w14:paraId="7CB1C539" w14:textId="77777777" w:rsidR="007C2EB1" w:rsidRPr="00C93FE3" w:rsidRDefault="007C2EB1" w:rsidP="00AA3418">
            <w:pPr>
              <w:rPr>
                <w:rFonts w:ascii="Times New Roman" w:hAnsi="Times New Roman" w:cs="Times New Roman"/>
                <w:sz w:val="24"/>
                <w:szCs w:val="24"/>
              </w:rPr>
            </w:pPr>
            <w:r w:rsidRPr="003C5E0C">
              <w:rPr>
                <w:rFonts w:ascii="Times New Roman" w:hAnsi="Times New Roman" w:cs="Times New Roman"/>
                <w:sz w:val="24"/>
                <w:szCs w:val="24"/>
              </w:rPr>
              <w:t>Camiones de seis (6) ejes.</w:t>
            </w:r>
          </w:p>
        </w:tc>
        <w:tc>
          <w:tcPr>
            <w:tcW w:w="1269" w:type="dxa"/>
            <w:shd w:val="clear" w:color="auto" w:fill="auto"/>
            <w:vAlign w:val="bottom"/>
          </w:tcPr>
          <w:p w14:paraId="4AE82619" w14:textId="77777777" w:rsidR="007C2EB1" w:rsidRPr="00C93FE3" w:rsidRDefault="007C2EB1" w:rsidP="00AA3418">
            <w:pPr>
              <w:autoSpaceDE w:val="0"/>
              <w:autoSpaceDN w:val="0"/>
              <w:spacing w:before="240" w:after="60"/>
              <w:jc w:val="both"/>
              <w:outlineLvl w:val="5"/>
              <w:rPr>
                <w:rFonts w:ascii="Times New Roman" w:hAnsi="Times New Roman" w:cs="Times New Roman"/>
                <w:sz w:val="24"/>
                <w:szCs w:val="24"/>
              </w:rPr>
            </w:pPr>
            <w:r w:rsidRPr="003C5E0C">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2.5</w:t>
            </w:r>
            <w:r w:rsidRPr="003C5E0C">
              <w:rPr>
                <w:rFonts w:ascii="Times New Roman" w:eastAsia="Times New Roman" w:hAnsi="Times New Roman" w:cs="Times New Roman"/>
                <w:sz w:val="24"/>
                <w:szCs w:val="24"/>
              </w:rPr>
              <w:t xml:space="preserve">00 </w:t>
            </w:r>
          </w:p>
        </w:tc>
      </w:tr>
    </w:tbl>
    <w:p w14:paraId="77EF9CD0" w14:textId="77777777" w:rsidR="007C2EB1" w:rsidRPr="003F02D3" w:rsidRDefault="007C2EB1" w:rsidP="007C2EB1">
      <w:pPr>
        <w:spacing w:after="0" w:line="240" w:lineRule="auto"/>
        <w:jc w:val="both"/>
        <w:rPr>
          <w:rFonts w:ascii="Times New Roman" w:eastAsia="Times New Roman" w:hAnsi="Times New Roman" w:cs="Times New Roman"/>
          <w:b/>
          <w:sz w:val="24"/>
          <w:szCs w:val="24"/>
          <w:lang w:val="es-ES_tradnl" w:eastAsia="es-ES"/>
        </w:rPr>
      </w:pPr>
    </w:p>
    <w:p w14:paraId="3E5FD49E" w14:textId="77777777" w:rsidR="00F8491F" w:rsidRDefault="00F8491F" w:rsidP="007C2EB1">
      <w:pPr>
        <w:pStyle w:val="Normal1"/>
        <w:tabs>
          <w:tab w:val="clear" w:pos="2880"/>
        </w:tabs>
        <w:ind w:left="864" w:firstLine="0"/>
        <w:rPr>
          <w:b/>
        </w:rPr>
      </w:pPr>
    </w:p>
    <w:p w14:paraId="7D6C9161" w14:textId="77777777" w:rsidR="00A92FFA" w:rsidRDefault="00A92FFA" w:rsidP="007C2EB1">
      <w:pPr>
        <w:pStyle w:val="Normal1"/>
        <w:tabs>
          <w:tab w:val="clear" w:pos="2880"/>
        </w:tabs>
        <w:ind w:left="864" w:firstLine="0"/>
        <w:rPr>
          <w:b/>
        </w:rPr>
      </w:pPr>
    </w:p>
    <w:p w14:paraId="49122A3A" w14:textId="77777777" w:rsidR="007C2EB1" w:rsidRPr="0027403E" w:rsidRDefault="00535EE3" w:rsidP="00535EE3">
      <w:pPr>
        <w:pStyle w:val="Normal1"/>
        <w:tabs>
          <w:tab w:val="clear" w:pos="2880"/>
        </w:tabs>
        <w:ind w:left="0" w:firstLine="0"/>
      </w:pPr>
      <w:r w:rsidRPr="00535EE3">
        <w:t xml:space="preserve">Establecer el cobro de las tarifas para la estación de peaje Cocora en forma </w:t>
      </w:r>
      <w:r>
        <w:t>bi</w:t>
      </w:r>
      <w:r w:rsidRPr="00535EE3">
        <w:t xml:space="preserve">direccional, las cuales podrán ser cobradas </w:t>
      </w:r>
      <w:r w:rsidR="007C2EB1" w:rsidRPr="0027403E">
        <w:t>a partir de la entrega de la Infraestructura Correspondiente a Valle del Cocora – Paso Urbano por Cajamarca (Unidad Funcional 2 del Proyecto) en los términos establecidos en la Sección 4.2(a) ii del Contrato de Concesión Parte Especial:</w:t>
      </w:r>
    </w:p>
    <w:p w14:paraId="58EAD3CD" w14:textId="77777777" w:rsidR="007C2EB1" w:rsidRPr="00F150BA" w:rsidRDefault="007C2EB1" w:rsidP="007C2EB1">
      <w:pPr>
        <w:pStyle w:val="Normal1"/>
        <w:tabs>
          <w:tab w:val="clear" w:pos="2880"/>
        </w:tabs>
        <w:ind w:left="864" w:firstLine="0"/>
        <w:rPr>
          <w:b/>
        </w:rPr>
      </w:pPr>
    </w:p>
    <w:p w14:paraId="43CC4C6B" w14:textId="77777777" w:rsidR="007C2EB1" w:rsidRPr="00F150BA" w:rsidRDefault="007C2EB1" w:rsidP="007C2EB1">
      <w:pPr>
        <w:pStyle w:val="Normal1"/>
        <w:tabs>
          <w:tab w:val="clear" w:pos="2880"/>
        </w:tabs>
        <w:ind w:left="864" w:firstLine="0"/>
        <w:rPr>
          <w:b/>
        </w:rPr>
      </w:pPr>
    </w:p>
    <w:tbl>
      <w:tblPr>
        <w:tblW w:w="762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4620"/>
        <w:gridCol w:w="1232"/>
      </w:tblGrid>
      <w:tr w:rsidR="007C2EB1" w:rsidRPr="00F150BA" w14:paraId="1154D01C" w14:textId="77777777" w:rsidTr="00AD5EFD">
        <w:trPr>
          <w:trHeight w:val="845"/>
        </w:trPr>
        <w:tc>
          <w:tcPr>
            <w:tcW w:w="1768" w:type="dxa"/>
            <w:shd w:val="clear" w:color="auto" w:fill="D9D9D9" w:themeFill="background1" w:themeFillShade="D9"/>
            <w:vAlign w:val="center"/>
          </w:tcPr>
          <w:p w14:paraId="0F9C82C2" w14:textId="77777777" w:rsidR="007C2EB1" w:rsidRPr="00AA3418" w:rsidRDefault="007C2EB1" w:rsidP="00AA3418">
            <w:pPr>
              <w:rPr>
                <w:b/>
              </w:rPr>
            </w:pPr>
            <w:r w:rsidRPr="00AA3418">
              <w:rPr>
                <w:b/>
              </w:rPr>
              <w:lastRenderedPageBreak/>
              <w:t>CATEGORIAS</w:t>
            </w:r>
          </w:p>
        </w:tc>
        <w:tc>
          <w:tcPr>
            <w:tcW w:w="4620" w:type="dxa"/>
            <w:shd w:val="clear" w:color="auto" w:fill="D9D9D9" w:themeFill="background1" w:themeFillShade="D9"/>
            <w:vAlign w:val="center"/>
          </w:tcPr>
          <w:p w14:paraId="025116CF" w14:textId="77777777" w:rsidR="007C2EB1" w:rsidRPr="00AA3418" w:rsidRDefault="007C2EB1" w:rsidP="00AA3418">
            <w:pPr>
              <w:rPr>
                <w:b/>
                <w:lang w:val="es-CO"/>
              </w:rPr>
            </w:pPr>
            <w:r w:rsidRPr="00AA3418">
              <w:rPr>
                <w:b/>
                <w:lang w:val="es-CO"/>
              </w:rPr>
              <w:t>DESCRIPCION</w:t>
            </w:r>
          </w:p>
        </w:tc>
        <w:tc>
          <w:tcPr>
            <w:tcW w:w="1232" w:type="dxa"/>
            <w:shd w:val="clear" w:color="auto" w:fill="D9D9D9" w:themeFill="background1" w:themeFillShade="D9"/>
            <w:vAlign w:val="center"/>
          </w:tcPr>
          <w:p w14:paraId="7BE4BDDD" w14:textId="77777777" w:rsidR="007C2EB1" w:rsidRPr="00AA3418" w:rsidRDefault="007C2EB1" w:rsidP="00AA3418">
            <w:pPr>
              <w:rPr>
                <w:b/>
              </w:rPr>
            </w:pPr>
            <w:r w:rsidRPr="00AA3418">
              <w:rPr>
                <w:b/>
              </w:rPr>
              <w:t>TARIFAS  (Pesos diciembre 2012)</w:t>
            </w:r>
          </w:p>
        </w:tc>
      </w:tr>
      <w:tr w:rsidR="007C2EB1" w:rsidRPr="00F150BA" w14:paraId="3AFFB4A3" w14:textId="77777777" w:rsidTr="00AD5EFD">
        <w:trPr>
          <w:trHeight w:val="288"/>
        </w:trPr>
        <w:tc>
          <w:tcPr>
            <w:tcW w:w="1768" w:type="dxa"/>
            <w:shd w:val="clear" w:color="auto" w:fill="auto"/>
            <w:vAlign w:val="bottom"/>
          </w:tcPr>
          <w:p w14:paraId="7DC08049" w14:textId="77777777" w:rsidR="007C2EB1" w:rsidRPr="00F150BA" w:rsidRDefault="007C2EB1" w:rsidP="00AA3418">
            <w:r w:rsidRPr="00F150BA">
              <w:rPr>
                <w:rFonts w:eastAsia="Times New Roman"/>
              </w:rPr>
              <w:t>I</w:t>
            </w:r>
          </w:p>
        </w:tc>
        <w:tc>
          <w:tcPr>
            <w:tcW w:w="4620" w:type="dxa"/>
            <w:shd w:val="clear" w:color="auto" w:fill="auto"/>
          </w:tcPr>
          <w:p w14:paraId="5D06609C" w14:textId="77777777" w:rsidR="007C2EB1" w:rsidRPr="00F150BA" w:rsidRDefault="007C2EB1" w:rsidP="00AA3418">
            <w:r w:rsidRPr="00F150BA">
              <w:t>Automóviles, camperos y camionetas</w:t>
            </w:r>
          </w:p>
        </w:tc>
        <w:tc>
          <w:tcPr>
            <w:tcW w:w="1232" w:type="dxa"/>
            <w:shd w:val="clear" w:color="auto" w:fill="auto"/>
            <w:vAlign w:val="center"/>
          </w:tcPr>
          <w:p w14:paraId="58B536AF" w14:textId="77777777" w:rsidR="007C2EB1" w:rsidRPr="00F150BA" w:rsidRDefault="007C2EB1" w:rsidP="00AA3418">
            <w:r w:rsidRPr="00F150BA">
              <w:rPr>
                <w:rFonts w:eastAsia="Times New Roman"/>
              </w:rPr>
              <w:t>$12.</w:t>
            </w:r>
            <w:r>
              <w:rPr>
                <w:rFonts w:eastAsia="Times New Roman"/>
              </w:rPr>
              <w:t>2</w:t>
            </w:r>
            <w:r w:rsidRPr="00F150BA">
              <w:rPr>
                <w:rFonts w:eastAsia="Times New Roman"/>
              </w:rPr>
              <w:t>00</w:t>
            </w:r>
          </w:p>
        </w:tc>
      </w:tr>
      <w:tr w:rsidR="007C2EB1" w:rsidRPr="00F150BA" w14:paraId="1AB9F91B" w14:textId="77777777" w:rsidTr="00AD5EFD">
        <w:trPr>
          <w:trHeight w:val="471"/>
        </w:trPr>
        <w:tc>
          <w:tcPr>
            <w:tcW w:w="1768" w:type="dxa"/>
            <w:shd w:val="clear" w:color="auto" w:fill="auto"/>
            <w:vAlign w:val="bottom"/>
          </w:tcPr>
          <w:p w14:paraId="7EC19B9D" w14:textId="77777777" w:rsidR="007C2EB1" w:rsidRPr="00F150BA" w:rsidRDefault="007C2EB1" w:rsidP="00AA3418">
            <w:r w:rsidRPr="00F150BA">
              <w:rPr>
                <w:rFonts w:eastAsia="Times New Roman"/>
              </w:rPr>
              <w:t>II</w:t>
            </w:r>
          </w:p>
        </w:tc>
        <w:tc>
          <w:tcPr>
            <w:tcW w:w="4620" w:type="dxa"/>
            <w:shd w:val="clear" w:color="auto" w:fill="auto"/>
          </w:tcPr>
          <w:p w14:paraId="647BE466" w14:textId="77777777" w:rsidR="007C2EB1" w:rsidRPr="00F150BA" w:rsidRDefault="007C2EB1" w:rsidP="00AA3418">
            <w:r w:rsidRPr="00F150BA">
              <w:t>Buses, busetas microbuses con eje trasero de doble llanta y camiones de dos (2) ejes.</w:t>
            </w:r>
          </w:p>
        </w:tc>
        <w:tc>
          <w:tcPr>
            <w:tcW w:w="1232" w:type="dxa"/>
            <w:shd w:val="clear" w:color="auto" w:fill="auto"/>
            <w:vAlign w:val="center"/>
          </w:tcPr>
          <w:p w14:paraId="7FF5FB63" w14:textId="77777777" w:rsidR="007C2EB1" w:rsidRPr="00F150BA" w:rsidRDefault="007C2EB1" w:rsidP="00AA3418">
            <w:r w:rsidRPr="00F150BA">
              <w:rPr>
                <w:rFonts w:eastAsia="Times New Roman"/>
              </w:rPr>
              <w:t>$15.</w:t>
            </w:r>
            <w:r>
              <w:rPr>
                <w:rFonts w:eastAsia="Times New Roman"/>
              </w:rPr>
              <w:t>1</w:t>
            </w:r>
            <w:r w:rsidRPr="00F150BA">
              <w:rPr>
                <w:rFonts w:eastAsia="Times New Roman"/>
              </w:rPr>
              <w:t>00</w:t>
            </w:r>
          </w:p>
        </w:tc>
      </w:tr>
      <w:tr w:rsidR="007C2EB1" w:rsidRPr="00F150BA" w14:paraId="689DC19D" w14:textId="77777777" w:rsidTr="00AD5EFD">
        <w:trPr>
          <w:trHeight w:val="288"/>
        </w:trPr>
        <w:tc>
          <w:tcPr>
            <w:tcW w:w="1768" w:type="dxa"/>
            <w:shd w:val="clear" w:color="auto" w:fill="auto"/>
            <w:vAlign w:val="bottom"/>
          </w:tcPr>
          <w:p w14:paraId="6B964943" w14:textId="77777777" w:rsidR="007C2EB1" w:rsidRPr="00F150BA" w:rsidRDefault="007C2EB1" w:rsidP="00AA3418">
            <w:r w:rsidRPr="00F150BA">
              <w:rPr>
                <w:rFonts w:eastAsia="Times New Roman"/>
              </w:rPr>
              <w:t>III</w:t>
            </w:r>
          </w:p>
        </w:tc>
        <w:tc>
          <w:tcPr>
            <w:tcW w:w="4620" w:type="dxa"/>
            <w:shd w:val="clear" w:color="auto" w:fill="auto"/>
          </w:tcPr>
          <w:p w14:paraId="7F8581FA" w14:textId="77777777" w:rsidR="007C2EB1" w:rsidRPr="00F150BA" w:rsidRDefault="007C2EB1" w:rsidP="00AA3418">
            <w:r w:rsidRPr="00F150BA" w:rsidDel="00AD4ACC">
              <w:t xml:space="preserve"> </w:t>
            </w:r>
            <w:r w:rsidRPr="00F150BA">
              <w:t>Camiones de tres (3) y cuatro (4) ejes.</w:t>
            </w:r>
          </w:p>
        </w:tc>
        <w:tc>
          <w:tcPr>
            <w:tcW w:w="1232" w:type="dxa"/>
            <w:shd w:val="clear" w:color="auto" w:fill="auto"/>
            <w:vAlign w:val="center"/>
          </w:tcPr>
          <w:p w14:paraId="3FD850BA" w14:textId="77777777" w:rsidR="007C2EB1" w:rsidRPr="00F150BA" w:rsidRDefault="007C2EB1" w:rsidP="00AA3418">
            <w:r w:rsidRPr="00F150BA">
              <w:rPr>
                <w:rFonts w:eastAsia="Times New Roman"/>
              </w:rPr>
              <w:t>$36.</w:t>
            </w:r>
            <w:r>
              <w:rPr>
                <w:rFonts w:eastAsia="Times New Roman"/>
              </w:rPr>
              <w:t>4</w:t>
            </w:r>
            <w:r w:rsidRPr="00F150BA">
              <w:rPr>
                <w:rFonts w:eastAsia="Times New Roman"/>
              </w:rPr>
              <w:t>00</w:t>
            </w:r>
          </w:p>
        </w:tc>
      </w:tr>
      <w:tr w:rsidR="007C2EB1" w:rsidRPr="00F150BA" w14:paraId="0D777E0C" w14:textId="77777777" w:rsidTr="00AD5EFD">
        <w:trPr>
          <w:trHeight w:val="288"/>
        </w:trPr>
        <w:tc>
          <w:tcPr>
            <w:tcW w:w="1768" w:type="dxa"/>
            <w:shd w:val="clear" w:color="auto" w:fill="auto"/>
            <w:vAlign w:val="bottom"/>
          </w:tcPr>
          <w:p w14:paraId="0719A045" w14:textId="77777777" w:rsidR="007C2EB1" w:rsidRPr="00F150BA" w:rsidRDefault="007C2EB1" w:rsidP="00AA3418">
            <w:r w:rsidRPr="00F150BA">
              <w:rPr>
                <w:rFonts w:eastAsia="Times New Roman"/>
              </w:rPr>
              <w:t>IV</w:t>
            </w:r>
          </w:p>
        </w:tc>
        <w:tc>
          <w:tcPr>
            <w:tcW w:w="4620" w:type="dxa"/>
            <w:shd w:val="clear" w:color="auto" w:fill="auto"/>
          </w:tcPr>
          <w:p w14:paraId="7D2630AF" w14:textId="77777777" w:rsidR="007C2EB1" w:rsidRPr="00F150BA" w:rsidRDefault="007C2EB1" w:rsidP="00AA3418">
            <w:r w:rsidRPr="00F150BA">
              <w:t>Camiones de cinco (5) ejes.</w:t>
            </w:r>
            <w:r w:rsidRPr="00F150BA" w:rsidDel="00AD4ACC">
              <w:t xml:space="preserve"> </w:t>
            </w:r>
          </w:p>
        </w:tc>
        <w:tc>
          <w:tcPr>
            <w:tcW w:w="1232" w:type="dxa"/>
            <w:shd w:val="clear" w:color="auto" w:fill="auto"/>
            <w:vAlign w:val="center"/>
          </w:tcPr>
          <w:p w14:paraId="3D269D90" w14:textId="77777777" w:rsidR="007C2EB1" w:rsidRPr="00F150BA" w:rsidRDefault="007C2EB1" w:rsidP="00AA3418">
            <w:r w:rsidRPr="00F150BA">
              <w:rPr>
                <w:rFonts w:eastAsia="Times New Roman"/>
              </w:rPr>
              <w:t>$4</w:t>
            </w:r>
            <w:r>
              <w:rPr>
                <w:rFonts w:eastAsia="Times New Roman"/>
              </w:rPr>
              <w:t>5</w:t>
            </w:r>
            <w:r w:rsidRPr="00F150BA">
              <w:rPr>
                <w:rFonts w:eastAsia="Times New Roman"/>
              </w:rPr>
              <w:t>.</w:t>
            </w:r>
            <w:r>
              <w:rPr>
                <w:rFonts w:eastAsia="Times New Roman"/>
              </w:rPr>
              <w:t>7</w:t>
            </w:r>
            <w:r w:rsidRPr="00F150BA">
              <w:rPr>
                <w:rFonts w:eastAsia="Times New Roman"/>
              </w:rPr>
              <w:t>00</w:t>
            </w:r>
          </w:p>
        </w:tc>
      </w:tr>
      <w:tr w:rsidR="007C2EB1" w:rsidRPr="00F150BA" w14:paraId="31FAAC7D" w14:textId="77777777" w:rsidTr="00AD5EFD">
        <w:trPr>
          <w:trHeight w:val="288"/>
        </w:trPr>
        <w:tc>
          <w:tcPr>
            <w:tcW w:w="1768" w:type="dxa"/>
            <w:shd w:val="clear" w:color="auto" w:fill="auto"/>
            <w:vAlign w:val="bottom"/>
          </w:tcPr>
          <w:p w14:paraId="3C2B58F1" w14:textId="77777777" w:rsidR="007C2EB1" w:rsidRPr="00F150BA" w:rsidRDefault="007C2EB1" w:rsidP="00AA3418">
            <w:r w:rsidRPr="00F150BA">
              <w:rPr>
                <w:rFonts w:eastAsia="Times New Roman"/>
              </w:rPr>
              <w:t>V</w:t>
            </w:r>
          </w:p>
        </w:tc>
        <w:tc>
          <w:tcPr>
            <w:tcW w:w="4620" w:type="dxa"/>
            <w:shd w:val="clear" w:color="auto" w:fill="auto"/>
          </w:tcPr>
          <w:p w14:paraId="65FFF36F" w14:textId="77777777" w:rsidR="007C2EB1" w:rsidRPr="00F150BA" w:rsidRDefault="007C2EB1" w:rsidP="00AA3418">
            <w:r w:rsidRPr="00F150BA">
              <w:t>Camiones de seis (6) ejes.</w:t>
            </w:r>
          </w:p>
        </w:tc>
        <w:tc>
          <w:tcPr>
            <w:tcW w:w="1232" w:type="dxa"/>
            <w:shd w:val="clear" w:color="auto" w:fill="auto"/>
            <w:vAlign w:val="bottom"/>
          </w:tcPr>
          <w:p w14:paraId="272ADA05" w14:textId="77777777" w:rsidR="007C2EB1" w:rsidRPr="00F150BA" w:rsidRDefault="007C2EB1" w:rsidP="00AA3418">
            <w:pPr>
              <w:tabs>
                <w:tab w:val="center" w:pos="4252"/>
                <w:tab w:val="right" w:pos="8504"/>
              </w:tabs>
              <w:jc w:val="both"/>
              <w:rPr>
                <w:rFonts w:eastAsia="Times New Roman"/>
              </w:rPr>
            </w:pPr>
            <w:r w:rsidRPr="00F150BA">
              <w:rPr>
                <w:rFonts w:eastAsia="Times New Roman"/>
              </w:rPr>
              <w:t>$5</w:t>
            </w:r>
            <w:r>
              <w:rPr>
                <w:rFonts w:eastAsia="Times New Roman"/>
              </w:rPr>
              <w:t>2.8</w:t>
            </w:r>
            <w:r w:rsidRPr="00F150BA">
              <w:rPr>
                <w:rFonts w:eastAsia="Times New Roman"/>
              </w:rPr>
              <w:t xml:space="preserve">00 </w:t>
            </w:r>
          </w:p>
        </w:tc>
      </w:tr>
    </w:tbl>
    <w:p w14:paraId="78B7F380" w14:textId="77777777" w:rsidR="007C2EB1" w:rsidRDefault="007C2EB1" w:rsidP="007C2EB1">
      <w:pPr>
        <w:spacing w:after="0" w:line="240" w:lineRule="auto"/>
        <w:jc w:val="both"/>
        <w:rPr>
          <w:rFonts w:ascii="Times New Roman" w:eastAsia="Times New Roman" w:hAnsi="Times New Roman" w:cs="Times New Roman"/>
          <w:b/>
          <w:sz w:val="24"/>
          <w:szCs w:val="24"/>
          <w:lang w:val="es-ES_tradnl" w:eastAsia="es-ES"/>
        </w:rPr>
      </w:pPr>
    </w:p>
    <w:p w14:paraId="44056944" w14:textId="77777777" w:rsidR="00A92FFA" w:rsidRDefault="00A92FFA" w:rsidP="007C2EB1">
      <w:pPr>
        <w:spacing w:after="0" w:line="240" w:lineRule="auto"/>
        <w:jc w:val="both"/>
        <w:rPr>
          <w:rFonts w:ascii="Times New Roman" w:eastAsia="Times New Roman" w:hAnsi="Times New Roman" w:cs="Times New Roman"/>
          <w:b/>
          <w:sz w:val="24"/>
          <w:szCs w:val="24"/>
          <w:lang w:val="es-ES_tradnl" w:eastAsia="es-ES"/>
        </w:rPr>
      </w:pPr>
    </w:p>
    <w:p w14:paraId="1EA4219C" w14:textId="77777777" w:rsidR="00A92FFA" w:rsidRDefault="00A92FFA" w:rsidP="007C2EB1">
      <w:pPr>
        <w:spacing w:after="0" w:line="240" w:lineRule="auto"/>
        <w:jc w:val="both"/>
        <w:rPr>
          <w:rFonts w:ascii="Times New Roman" w:eastAsia="Times New Roman" w:hAnsi="Times New Roman" w:cs="Times New Roman"/>
          <w:b/>
          <w:sz w:val="24"/>
          <w:szCs w:val="24"/>
          <w:lang w:val="es-ES_tradnl" w:eastAsia="es-ES"/>
        </w:rPr>
      </w:pPr>
    </w:p>
    <w:p w14:paraId="19AA113A" w14:textId="77777777" w:rsidR="007C2EB1" w:rsidRPr="003F02D3" w:rsidRDefault="007C2EB1" w:rsidP="007C2EB1">
      <w:pPr>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PARÁGRAFO PRIMERO</w:t>
      </w:r>
      <w:r w:rsidRPr="003F02D3">
        <w:rPr>
          <w:rFonts w:ascii="Times New Roman" w:eastAsia="Times New Roman" w:hAnsi="Times New Roman" w:cs="Times New Roman"/>
          <w:sz w:val="24"/>
          <w:szCs w:val="24"/>
          <w:lang w:val="es-ES_tradnl" w:eastAsia="es-ES"/>
        </w:rPr>
        <w:t xml:space="preserve">: De conformidad con </w:t>
      </w:r>
      <w:r w:rsidR="00D21371">
        <w:rPr>
          <w:rFonts w:ascii="Times New Roman" w:eastAsia="Times New Roman" w:hAnsi="Times New Roman" w:cs="Times New Roman"/>
          <w:sz w:val="24"/>
          <w:szCs w:val="24"/>
          <w:lang w:val="es-ES_tradnl" w:eastAsia="es-ES"/>
        </w:rPr>
        <w:t>lo establecido en</w:t>
      </w:r>
      <w:r>
        <w:rPr>
          <w:rFonts w:ascii="Times New Roman" w:eastAsia="Times New Roman" w:hAnsi="Times New Roman" w:cs="Times New Roman"/>
          <w:sz w:val="24"/>
          <w:szCs w:val="24"/>
          <w:lang w:val="es-ES_tradnl" w:eastAsia="es-ES"/>
        </w:rPr>
        <w:t xml:space="preserve"> </w:t>
      </w:r>
      <w:r w:rsidR="00D21371">
        <w:rPr>
          <w:rFonts w:ascii="Times New Roman" w:eastAsia="Times New Roman" w:hAnsi="Times New Roman" w:cs="Times New Roman"/>
          <w:sz w:val="24"/>
          <w:szCs w:val="24"/>
          <w:lang w:val="es-ES_tradnl" w:eastAsia="es-ES"/>
        </w:rPr>
        <w:t>la parte especial d</w:t>
      </w:r>
      <w:r>
        <w:rPr>
          <w:rFonts w:ascii="Times New Roman" w:eastAsia="Times New Roman" w:hAnsi="Times New Roman" w:cs="Times New Roman"/>
          <w:sz w:val="24"/>
          <w:szCs w:val="24"/>
          <w:lang w:val="es-ES_tradnl" w:eastAsia="es-ES"/>
        </w:rPr>
        <w:t>el Contrato de Concesión</w:t>
      </w:r>
      <w:r w:rsidRPr="003F02D3">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 incremento de la estructura tarifaria de las estaciones de peaje</w:t>
      </w:r>
      <w:r w:rsidRPr="003F02D3">
        <w:rPr>
          <w:rFonts w:ascii="Times New Roman" w:eastAsia="Times New Roman" w:hAnsi="Times New Roman" w:cs="Times New Roman"/>
          <w:sz w:val="24"/>
          <w:szCs w:val="24"/>
          <w:lang w:val="es-ES_tradnl" w:eastAsia="es-ES"/>
        </w:rPr>
        <w:t xml:space="preserve"> a que hace referencia el presente artículo</w:t>
      </w:r>
      <w:r w:rsidRPr="003F02D3">
        <w:rPr>
          <w:rFonts w:ascii="Times New Roman" w:eastAsia="Apple LiGothic Medium" w:hAnsi="Times New Roman" w:cs="Times New Roman"/>
          <w:sz w:val="24"/>
          <w:szCs w:val="24"/>
        </w:rPr>
        <w:t xml:space="preserve"> procederá una vez se terminen las obras de la Unidad Funcional </w:t>
      </w:r>
      <w:r>
        <w:rPr>
          <w:rFonts w:ascii="Times New Roman" w:eastAsia="Apple LiGothic Medium" w:hAnsi="Times New Roman" w:cs="Times New Roman"/>
          <w:sz w:val="24"/>
          <w:szCs w:val="24"/>
        </w:rPr>
        <w:t>1</w:t>
      </w:r>
      <w:r w:rsidRPr="003F02D3">
        <w:rPr>
          <w:rFonts w:ascii="Times New Roman" w:eastAsia="Apple LiGothic Medium" w:hAnsi="Times New Roman" w:cs="Times New Roman"/>
          <w:sz w:val="24"/>
          <w:szCs w:val="24"/>
        </w:rPr>
        <w:t xml:space="preserve"> y </w:t>
      </w:r>
      <w:r>
        <w:rPr>
          <w:rFonts w:ascii="Times New Roman" w:eastAsia="Apple LiGothic Medium" w:hAnsi="Times New Roman" w:cs="Times New Roman"/>
          <w:color w:val="000000" w:themeColor="text1"/>
          <w:sz w:val="24"/>
          <w:szCs w:val="24"/>
        </w:rPr>
        <w:t>2</w:t>
      </w:r>
      <w:r w:rsidRPr="002C7A22">
        <w:rPr>
          <w:rFonts w:ascii="Times New Roman" w:eastAsia="MS Mincho" w:hAnsi="Times New Roman" w:cs="Times New Roman"/>
          <w:sz w:val="24"/>
          <w:szCs w:val="24"/>
          <w:lang w:val="es-ES_tradnl" w:eastAsia="es-ES"/>
        </w:rPr>
        <w:t xml:space="preserve"> </w:t>
      </w:r>
      <w:r w:rsidRPr="002C7A22">
        <w:rPr>
          <w:rFonts w:ascii="Times New Roman" w:eastAsia="Apple LiGothic Medium" w:hAnsi="Times New Roman" w:cs="Times New Roman"/>
          <w:color w:val="000000" w:themeColor="text1"/>
          <w:sz w:val="24"/>
          <w:szCs w:val="24"/>
          <w:lang w:val="es-ES_tradnl"/>
        </w:rPr>
        <w:t>y se reciba la infraestructura correspondiente a la UF3</w:t>
      </w:r>
      <w:r>
        <w:rPr>
          <w:rFonts w:ascii="Times New Roman" w:eastAsia="Apple LiGothic Medium" w:hAnsi="Times New Roman" w:cs="Times New Roman"/>
          <w:color w:val="000000" w:themeColor="text1"/>
          <w:sz w:val="24"/>
          <w:szCs w:val="24"/>
        </w:rPr>
        <w:t>.</w:t>
      </w:r>
      <w:r w:rsidRPr="003F02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El</w:t>
      </w:r>
      <w:r w:rsidRPr="003F02D3">
        <w:rPr>
          <w:rFonts w:ascii="Times New Roman" w:eastAsia="Times New Roman" w:hAnsi="Times New Roman" w:cs="Times New Roman"/>
          <w:color w:val="000000" w:themeColor="text1"/>
          <w:sz w:val="24"/>
          <w:szCs w:val="24"/>
          <w:lang w:val="es-ES_tradnl" w:eastAsia="es-ES"/>
        </w:rPr>
        <w:t xml:space="preserve"> derec</w:t>
      </w:r>
      <w:r w:rsidRPr="003F02D3">
        <w:rPr>
          <w:rFonts w:ascii="Times New Roman" w:eastAsia="Times New Roman" w:hAnsi="Times New Roman" w:cs="Times New Roman"/>
          <w:sz w:val="24"/>
          <w:szCs w:val="24"/>
          <w:lang w:val="es-ES_tradnl" w:eastAsia="es-ES"/>
        </w:rPr>
        <w:t xml:space="preserve">ho a percibir la retribución por recaudo de peajes, sólo procederá una vez se cumplan los presupuestos establecidos en </w:t>
      </w:r>
      <w:r>
        <w:rPr>
          <w:rFonts w:ascii="Times New Roman" w:eastAsia="Times New Roman" w:hAnsi="Times New Roman" w:cs="Times New Roman"/>
          <w:sz w:val="24"/>
          <w:szCs w:val="24"/>
          <w:lang w:val="es-ES_tradnl" w:eastAsia="es-ES"/>
        </w:rPr>
        <w:t>el Contrato de Concesión</w:t>
      </w:r>
      <w:r w:rsidRPr="003F02D3">
        <w:rPr>
          <w:rFonts w:ascii="Times New Roman" w:eastAsia="Times New Roman" w:hAnsi="Times New Roman" w:cs="Times New Roman"/>
          <w:sz w:val="24"/>
          <w:szCs w:val="24"/>
          <w:lang w:val="es-ES_tradnl" w:eastAsia="es-ES"/>
        </w:rPr>
        <w:t>.</w:t>
      </w:r>
    </w:p>
    <w:p w14:paraId="2C639059" w14:textId="77777777" w:rsidR="007C2EB1" w:rsidRDefault="007C2EB1" w:rsidP="007C2EB1">
      <w:pPr>
        <w:spacing w:after="0" w:line="240" w:lineRule="auto"/>
        <w:jc w:val="both"/>
        <w:rPr>
          <w:rFonts w:ascii="Times New Roman" w:eastAsia="Times New Roman" w:hAnsi="Times New Roman" w:cs="Times New Roman"/>
          <w:sz w:val="24"/>
          <w:szCs w:val="24"/>
          <w:lang w:val="es-ES_tradnl" w:eastAsia="es-ES"/>
        </w:rPr>
      </w:pPr>
    </w:p>
    <w:p w14:paraId="02A57B9B" w14:textId="77777777" w:rsidR="00A92FFA" w:rsidRPr="003F02D3" w:rsidRDefault="00A92FFA" w:rsidP="007C2EB1">
      <w:pPr>
        <w:spacing w:after="0" w:line="240" w:lineRule="auto"/>
        <w:jc w:val="both"/>
        <w:rPr>
          <w:rFonts w:ascii="Times New Roman" w:eastAsia="Times New Roman" w:hAnsi="Times New Roman" w:cs="Times New Roman"/>
          <w:sz w:val="24"/>
          <w:szCs w:val="24"/>
          <w:lang w:val="es-ES_tradnl" w:eastAsia="es-ES"/>
        </w:rPr>
      </w:pPr>
    </w:p>
    <w:p w14:paraId="2183918C" w14:textId="09A16C90" w:rsidR="007C2EB1" w:rsidRPr="003F02D3" w:rsidRDefault="007C2EB1" w:rsidP="007C2EB1">
      <w:pPr>
        <w:tabs>
          <w:tab w:val="left" w:pos="0"/>
        </w:tabs>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PARAGRAFO SEGUNDO:</w:t>
      </w:r>
      <w:r w:rsidRPr="003F02D3">
        <w:rPr>
          <w:rFonts w:ascii="Times New Roman" w:eastAsia="Times New Roman" w:hAnsi="Times New Roman" w:cs="Times New Roman"/>
          <w:sz w:val="24"/>
          <w:szCs w:val="24"/>
          <w:lang w:val="es-ES_tradnl" w:eastAsia="es-ES"/>
        </w:rPr>
        <w:t xml:space="preserve"> La</w:t>
      </w:r>
      <w:r>
        <w:rPr>
          <w:rFonts w:ascii="Times New Roman" w:eastAsia="Times New Roman" w:hAnsi="Times New Roman" w:cs="Times New Roman"/>
          <w:sz w:val="24"/>
          <w:szCs w:val="24"/>
          <w:lang w:val="es-ES_tradnl" w:eastAsia="es-ES"/>
        </w:rPr>
        <w:t>s</w:t>
      </w:r>
      <w:r w:rsidRPr="003F02D3">
        <w:rPr>
          <w:rFonts w:ascii="Times New Roman" w:eastAsia="Times New Roman" w:hAnsi="Times New Roman" w:cs="Times New Roman"/>
          <w:sz w:val="24"/>
          <w:szCs w:val="24"/>
          <w:lang w:val="es-ES_tradnl" w:eastAsia="es-ES"/>
        </w:rPr>
        <w:t xml:space="preserve"> tarifa</w:t>
      </w:r>
      <w:r>
        <w:rPr>
          <w:rFonts w:ascii="Times New Roman" w:eastAsia="Times New Roman" w:hAnsi="Times New Roman" w:cs="Times New Roman"/>
          <w:sz w:val="24"/>
          <w:szCs w:val="24"/>
          <w:lang w:val="es-ES_tradnl" w:eastAsia="es-ES"/>
        </w:rPr>
        <w:t>s</w:t>
      </w:r>
      <w:r w:rsidRPr="003F02D3">
        <w:rPr>
          <w:rFonts w:ascii="Times New Roman" w:eastAsia="Times New Roman" w:hAnsi="Times New Roman" w:cs="Times New Roman"/>
          <w:sz w:val="24"/>
          <w:szCs w:val="24"/>
          <w:lang w:val="es-ES_tradnl" w:eastAsia="es-ES"/>
        </w:rPr>
        <w:t xml:space="preserve"> de</w:t>
      </w:r>
      <w:r w:rsidR="00A92FFA">
        <w:rPr>
          <w:rFonts w:ascii="Times New Roman" w:eastAsia="Times New Roman" w:hAnsi="Times New Roman" w:cs="Times New Roman"/>
          <w:sz w:val="24"/>
          <w:szCs w:val="24"/>
          <w:lang w:val="es-ES_tradnl" w:eastAsia="es-ES"/>
        </w:rPr>
        <w:t xml:space="preserve">l </w:t>
      </w:r>
      <w:r w:rsidRPr="003F02D3">
        <w:rPr>
          <w:rFonts w:ascii="Times New Roman" w:eastAsia="Times New Roman" w:hAnsi="Times New Roman" w:cs="Times New Roman"/>
          <w:sz w:val="24"/>
          <w:szCs w:val="24"/>
          <w:lang w:val="es-ES_tradnl" w:eastAsia="es-ES"/>
        </w:rPr>
        <w:t>peaje</w:t>
      </w:r>
      <w:r w:rsidR="00A92FFA">
        <w:rPr>
          <w:rFonts w:ascii="Times New Roman" w:eastAsia="Times New Roman" w:hAnsi="Times New Roman" w:cs="Times New Roman"/>
          <w:sz w:val="24"/>
          <w:szCs w:val="24"/>
          <w:lang w:val="es-ES_tradnl" w:eastAsia="es-ES"/>
        </w:rPr>
        <w:t xml:space="preserve"> Cocora</w:t>
      </w:r>
      <w:r w:rsidRPr="003F02D3">
        <w:rPr>
          <w:rFonts w:ascii="Times New Roman" w:eastAsia="Times New Roman" w:hAnsi="Times New Roman" w:cs="Times New Roman"/>
          <w:sz w:val="24"/>
          <w:szCs w:val="24"/>
          <w:lang w:val="es-ES_tradnl" w:eastAsia="es-ES"/>
        </w:rPr>
        <w:t xml:space="preserve"> de que trata el presente artículo, incluye</w:t>
      </w:r>
      <w:r>
        <w:rPr>
          <w:rFonts w:ascii="Times New Roman" w:eastAsia="Times New Roman" w:hAnsi="Times New Roman" w:cs="Times New Roman"/>
          <w:sz w:val="24"/>
          <w:szCs w:val="24"/>
          <w:lang w:val="es-ES_tradnl" w:eastAsia="es-ES"/>
        </w:rPr>
        <w:t>n</w:t>
      </w:r>
      <w:r w:rsidRPr="003F02D3">
        <w:rPr>
          <w:rFonts w:ascii="Times New Roman" w:eastAsia="Times New Roman" w:hAnsi="Times New Roman" w:cs="Times New Roman"/>
          <w:sz w:val="24"/>
          <w:szCs w:val="24"/>
          <w:lang w:val="es-ES_tradnl" w:eastAsia="es-ES"/>
        </w:rPr>
        <w:t xml:space="preserve"> el valor de DOSCIENTOS PESOS ($200) por cada vehículo que pasa por la estación de peaje, </w:t>
      </w:r>
      <w:r w:rsidR="00154367">
        <w:rPr>
          <w:rFonts w:ascii="Times New Roman" w:eastAsia="Times New Roman" w:hAnsi="Times New Roman" w:cs="Times New Roman"/>
          <w:sz w:val="24"/>
          <w:szCs w:val="24"/>
          <w:lang w:val="es-ES_tradnl" w:eastAsia="es-ES"/>
        </w:rPr>
        <w:t>con destino al Fondo de Seguridad Vial – FOSEVI -</w:t>
      </w:r>
      <w:r w:rsidRPr="003F02D3">
        <w:rPr>
          <w:rFonts w:ascii="Times New Roman" w:eastAsia="Times New Roman" w:hAnsi="Times New Roman" w:cs="Times New Roman"/>
          <w:sz w:val="24"/>
          <w:szCs w:val="24"/>
          <w:lang w:val="es-ES_tradnl" w:eastAsia="es-ES"/>
        </w:rPr>
        <w:t xml:space="preserve">. </w:t>
      </w:r>
    </w:p>
    <w:p w14:paraId="4F737018" w14:textId="77777777" w:rsidR="007C2EB1" w:rsidRDefault="007C2EB1" w:rsidP="00EB78FD">
      <w:pPr>
        <w:spacing w:after="0" w:line="240" w:lineRule="auto"/>
        <w:jc w:val="both"/>
        <w:rPr>
          <w:rFonts w:ascii="Times New Roman" w:eastAsia="Times New Roman" w:hAnsi="Times New Roman" w:cs="Times New Roman"/>
          <w:b/>
          <w:sz w:val="24"/>
          <w:szCs w:val="24"/>
          <w:lang w:val="es-ES_tradnl" w:eastAsia="es-ES"/>
        </w:rPr>
      </w:pPr>
    </w:p>
    <w:p w14:paraId="1AA01719" w14:textId="77777777" w:rsidR="007C2EB1" w:rsidRDefault="007C2EB1" w:rsidP="00EB78FD">
      <w:pPr>
        <w:spacing w:after="0" w:line="240" w:lineRule="auto"/>
        <w:jc w:val="both"/>
        <w:rPr>
          <w:rFonts w:ascii="Times New Roman" w:eastAsia="Times New Roman" w:hAnsi="Times New Roman" w:cs="Times New Roman"/>
          <w:b/>
          <w:sz w:val="24"/>
          <w:szCs w:val="24"/>
          <w:lang w:val="es-ES_tradnl" w:eastAsia="es-ES"/>
        </w:rPr>
      </w:pPr>
    </w:p>
    <w:p w14:paraId="0AA2CD69" w14:textId="77777777" w:rsidR="00EB78FD" w:rsidRPr="00734EEF" w:rsidRDefault="00EB78FD" w:rsidP="00EB78FD">
      <w:pPr>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b/>
          <w:sz w:val="24"/>
          <w:szCs w:val="24"/>
          <w:lang w:val="es-ES_tradnl" w:eastAsia="es-ES"/>
        </w:rPr>
        <w:t xml:space="preserve">ARTÍCULO </w:t>
      </w:r>
      <w:r w:rsidR="007C2EB1">
        <w:rPr>
          <w:rFonts w:ascii="Times New Roman" w:eastAsia="Times New Roman" w:hAnsi="Times New Roman" w:cs="Times New Roman"/>
          <w:b/>
          <w:sz w:val="24"/>
          <w:szCs w:val="24"/>
          <w:lang w:val="es-ES_tradnl" w:eastAsia="es-ES"/>
        </w:rPr>
        <w:t>TERCERO</w:t>
      </w:r>
      <w:r w:rsidRPr="00734EEF">
        <w:rPr>
          <w:rFonts w:ascii="Times New Roman" w:eastAsia="Times New Roman" w:hAnsi="Times New Roman" w:cs="Times New Roman"/>
          <w:b/>
          <w:sz w:val="24"/>
          <w:szCs w:val="24"/>
          <w:lang w:val="es-ES_tradnl" w:eastAsia="es-ES"/>
        </w:rPr>
        <w:t>:</w:t>
      </w:r>
      <w:r w:rsidRPr="00734EEF">
        <w:rPr>
          <w:rFonts w:ascii="Times New Roman" w:eastAsia="Times New Roman" w:hAnsi="Times New Roman" w:cs="Times New Roman"/>
          <w:sz w:val="24"/>
          <w:szCs w:val="24"/>
          <w:lang w:val="es-ES_tradnl" w:eastAsia="es-ES"/>
        </w:rPr>
        <w:t xml:space="preserve"> Establecer las siguientes categorías vehiculares y tarifas que podrá cobrar </w:t>
      </w:r>
      <w:r w:rsidR="003306A4">
        <w:rPr>
          <w:rFonts w:ascii="Times New Roman" w:eastAsia="Times New Roman" w:hAnsi="Times New Roman" w:cs="Times New Roman"/>
          <w:sz w:val="24"/>
          <w:szCs w:val="24"/>
          <w:lang w:val="es-ES_tradnl" w:eastAsia="es-ES"/>
        </w:rPr>
        <w:t>el</w:t>
      </w:r>
      <w:r w:rsidR="003306A4" w:rsidRPr="00734EEF">
        <w:rPr>
          <w:rFonts w:ascii="Times New Roman" w:eastAsia="Times New Roman" w:hAnsi="Times New Roman" w:cs="Times New Roman"/>
          <w:sz w:val="24"/>
          <w:szCs w:val="24"/>
          <w:lang w:val="es-ES_tradnl" w:eastAsia="es-ES"/>
        </w:rPr>
        <w:t xml:space="preserve"> </w:t>
      </w:r>
      <w:r w:rsidRPr="00734EEF">
        <w:rPr>
          <w:rFonts w:ascii="Times New Roman" w:eastAsia="Times New Roman" w:hAnsi="Times New Roman" w:cs="Times New Roman"/>
          <w:sz w:val="24"/>
          <w:szCs w:val="24"/>
          <w:lang w:val="es-ES_tradnl" w:eastAsia="es-ES"/>
        </w:rPr>
        <w:t>concesionario</w:t>
      </w:r>
      <w:r w:rsidR="00A92FFA">
        <w:rPr>
          <w:rFonts w:ascii="Times New Roman" w:eastAsia="Times New Roman" w:hAnsi="Times New Roman" w:cs="Times New Roman"/>
          <w:sz w:val="24"/>
          <w:szCs w:val="24"/>
          <w:lang w:val="es-ES_tradnl" w:eastAsia="es-ES"/>
        </w:rPr>
        <w:t>,</w:t>
      </w:r>
      <w:r w:rsidRPr="00734EEF">
        <w:rPr>
          <w:rFonts w:ascii="Times New Roman" w:eastAsia="Times New Roman" w:hAnsi="Times New Roman" w:cs="Times New Roman"/>
          <w:sz w:val="24"/>
          <w:szCs w:val="24"/>
          <w:lang w:val="es-ES_tradnl" w:eastAsia="es-ES"/>
        </w:rPr>
        <w:t xml:space="preserve"> a todos los usuarios en las estaciones de peaje</w:t>
      </w:r>
      <w:r w:rsidR="00EA6A62" w:rsidRPr="00734EEF">
        <w:rPr>
          <w:rFonts w:ascii="Times New Roman" w:eastAsia="Times New Roman" w:hAnsi="Times New Roman" w:cs="Times New Roman"/>
          <w:sz w:val="24"/>
          <w:szCs w:val="24"/>
          <w:lang w:val="es-ES_tradnl" w:eastAsia="es-ES"/>
        </w:rPr>
        <w:t xml:space="preserve"> existentes </w:t>
      </w:r>
      <w:r w:rsidR="00C93FE3">
        <w:rPr>
          <w:rFonts w:ascii="Times New Roman" w:eastAsia="Times New Roman" w:hAnsi="Times New Roman" w:cs="Times New Roman"/>
          <w:sz w:val="24"/>
          <w:szCs w:val="24"/>
          <w:lang w:val="es-ES_tradnl" w:eastAsia="es-ES"/>
        </w:rPr>
        <w:t>Gualanday</w:t>
      </w:r>
      <w:r w:rsidR="00C93FE3" w:rsidRPr="00734EEF">
        <w:rPr>
          <w:rFonts w:ascii="Times New Roman" w:eastAsia="Times New Roman" w:hAnsi="Times New Roman" w:cs="Times New Roman"/>
          <w:sz w:val="24"/>
          <w:szCs w:val="24"/>
          <w:lang w:val="es-ES_tradnl" w:eastAsia="es-ES"/>
        </w:rPr>
        <w:t xml:space="preserve"> </w:t>
      </w:r>
      <w:r w:rsidR="001B17D7" w:rsidRPr="00734EEF">
        <w:rPr>
          <w:rFonts w:ascii="Times New Roman" w:eastAsia="Times New Roman" w:hAnsi="Times New Roman" w:cs="Times New Roman"/>
          <w:sz w:val="24"/>
          <w:szCs w:val="24"/>
          <w:lang w:val="es-ES_tradnl" w:eastAsia="es-ES"/>
        </w:rPr>
        <w:t xml:space="preserve">y </w:t>
      </w:r>
      <w:r w:rsidR="00C93FE3">
        <w:rPr>
          <w:rFonts w:ascii="Times New Roman" w:eastAsia="Times New Roman" w:hAnsi="Times New Roman" w:cs="Times New Roman"/>
          <w:sz w:val="24"/>
          <w:szCs w:val="24"/>
          <w:lang w:val="es-ES_tradnl" w:eastAsia="es-ES"/>
        </w:rPr>
        <w:t>Chicoral</w:t>
      </w:r>
      <w:r w:rsidR="003306A4">
        <w:rPr>
          <w:rFonts w:ascii="Times New Roman" w:eastAsia="Times New Roman" w:hAnsi="Times New Roman" w:cs="Times New Roman"/>
          <w:sz w:val="24"/>
          <w:szCs w:val="24"/>
          <w:lang w:eastAsia="es-ES"/>
        </w:rPr>
        <w:t>,</w:t>
      </w:r>
      <w:r w:rsidR="00154367">
        <w:rPr>
          <w:rFonts w:ascii="Times New Roman" w:eastAsia="Times New Roman" w:hAnsi="Times New Roman" w:cs="Times New Roman"/>
          <w:sz w:val="24"/>
          <w:szCs w:val="24"/>
          <w:lang w:eastAsia="es-ES"/>
        </w:rPr>
        <w:t xml:space="preserve"> una vez se suscriba el Acta de Terminación de las Unidades Funcionales 1 y 2 y se reciba la infraestructura correspondiente a la unidad Funcional 3</w:t>
      </w:r>
      <w:r w:rsidR="00A92FFA">
        <w:rPr>
          <w:rFonts w:ascii="Times New Roman" w:eastAsia="Times New Roman" w:hAnsi="Times New Roman" w:cs="Times New Roman"/>
          <w:sz w:val="24"/>
          <w:szCs w:val="24"/>
          <w:lang w:eastAsia="es-ES"/>
        </w:rPr>
        <w:t>.</w:t>
      </w:r>
      <w:r w:rsidR="003306A4">
        <w:rPr>
          <w:rFonts w:ascii="Times New Roman" w:eastAsia="Times New Roman" w:hAnsi="Times New Roman" w:cs="Times New Roman"/>
          <w:sz w:val="24"/>
          <w:szCs w:val="24"/>
          <w:lang w:eastAsia="es-ES"/>
        </w:rPr>
        <w:t xml:space="preserve"> </w:t>
      </w:r>
    </w:p>
    <w:p w14:paraId="22AEF8E2" w14:textId="77777777" w:rsidR="00F8491F" w:rsidRDefault="00F8491F" w:rsidP="000F1E19">
      <w:pPr>
        <w:pStyle w:val="Normal1"/>
        <w:tabs>
          <w:tab w:val="clear" w:pos="2880"/>
        </w:tabs>
        <w:ind w:left="864" w:firstLine="0"/>
        <w:rPr>
          <w:b/>
        </w:rPr>
      </w:pPr>
    </w:p>
    <w:p w14:paraId="2D8EB15F" w14:textId="77777777" w:rsidR="00A92FFA" w:rsidRDefault="00A92FFA" w:rsidP="000F1E19">
      <w:pPr>
        <w:pStyle w:val="Normal1"/>
        <w:tabs>
          <w:tab w:val="clear" w:pos="2880"/>
        </w:tabs>
        <w:ind w:left="864" w:firstLine="0"/>
        <w:rPr>
          <w:b/>
        </w:rPr>
      </w:pPr>
    </w:p>
    <w:p w14:paraId="2410FAB5" w14:textId="77777777" w:rsidR="00C93FE3" w:rsidRPr="006B0727" w:rsidRDefault="00C93FE3" w:rsidP="00C93FE3">
      <w:pPr>
        <w:pStyle w:val="Normal1"/>
        <w:tabs>
          <w:tab w:val="clear" w:pos="2880"/>
        </w:tabs>
        <w:ind w:left="864" w:firstLine="0"/>
        <w:rPr>
          <w:b/>
        </w:rPr>
      </w:pPr>
      <w:r w:rsidRPr="006B0727">
        <w:rPr>
          <w:b/>
        </w:rPr>
        <w:t>Tarifas al usuario para el peaje Gualanday</w:t>
      </w:r>
    </w:p>
    <w:p w14:paraId="3A6EC094" w14:textId="77777777" w:rsidR="00C93FE3" w:rsidRPr="008F027A" w:rsidRDefault="00C93FE3" w:rsidP="00C93FE3">
      <w:pPr>
        <w:pStyle w:val="Normal1"/>
        <w:tabs>
          <w:tab w:val="clear" w:pos="2880"/>
        </w:tabs>
        <w:ind w:left="864" w:firstLine="0"/>
        <w:rPr>
          <w:b/>
        </w:rPr>
      </w:pPr>
    </w:p>
    <w:tbl>
      <w:tblPr>
        <w:tblW w:w="789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4785"/>
        <w:gridCol w:w="1276"/>
      </w:tblGrid>
      <w:tr w:rsidR="00C93FE3" w:rsidRPr="008F027A" w14:paraId="1957028D" w14:textId="77777777" w:rsidTr="00BE588E">
        <w:tc>
          <w:tcPr>
            <w:tcW w:w="1830" w:type="dxa"/>
            <w:shd w:val="clear" w:color="auto" w:fill="BFBFBF" w:themeFill="background1" w:themeFillShade="BF"/>
            <w:vAlign w:val="center"/>
          </w:tcPr>
          <w:p w14:paraId="45DECAE7" w14:textId="77777777" w:rsidR="00C93FE3" w:rsidRPr="00BE588E" w:rsidRDefault="00C93FE3" w:rsidP="00C93FE3">
            <w:pPr>
              <w:rPr>
                <w:rFonts w:ascii="Times New Roman" w:hAnsi="Times New Roman" w:cs="Times New Roman"/>
                <w:b/>
                <w:sz w:val="24"/>
                <w:szCs w:val="24"/>
              </w:rPr>
            </w:pPr>
            <w:r w:rsidRPr="00BE588E">
              <w:rPr>
                <w:rFonts w:ascii="Times New Roman" w:hAnsi="Times New Roman" w:cs="Times New Roman"/>
                <w:b/>
                <w:sz w:val="24"/>
                <w:szCs w:val="24"/>
              </w:rPr>
              <w:t>CATEGORIAS</w:t>
            </w:r>
          </w:p>
        </w:tc>
        <w:tc>
          <w:tcPr>
            <w:tcW w:w="4785" w:type="dxa"/>
            <w:shd w:val="clear" w:color="auto" w:fill="BFBFBF" w:themeFill="background1" w:themeFillShade="BF"/>
            <w:vAlign w:val="center"/>
          </w:tcPr>
          <w:p w14:paraId="0F1AD14B" w14:textId="77777777" w:rsidR="00C93FE3" w:rsidRPr="00BE588E" w:rsidRDefault="00C93FE3" w:rsidP="00C93FE3">
            <w:pPr>
              <w:rPr>
                <w:rFonts w:ascii="Times New Roman" w:hAnsi="Times New Roman" w:cs="Times New Roman"/>
                <w:b/>
                <w:sz w:val="24"/>
                <w:szCs w:val="24"/>
                <w:lang w:val="es-CO"/>
              </w:rPr>
            </w:pPr>
            <w:r w:rsidRPr="00BE588E">
              <w:rPr>
                <w:rFonts w:ascii="Times New Roman" w:hAnsi="Times New Roman" w:cs="Times New Roman"/>
                <w:b/>
                <w:sz w:val="24"/>
                <w:szCs w:val="24"/>
                <w:lang w:val="es-CO"/>
              </w:rPr>
              <w:t>DESCRIPCION</w:t>
            </w:r>
          </w:p>
        </w:tc>
        <w:tc>
          <w:tcPr>
            <w:tcW w:w="1276" w:type="dxa"/>
            <w:shd w:val="clear" w:color="auto" w:fill="BFBFBF" w:themeFill="background1" w:themeFillShade="BF"/>
            <w:vAlign w:val="center"/>
          </w:tcPr>
          <w:p w14:paraId="12DBE7C4" w14:textId="77777777" w:rsidR="00C93FE3" w:rsidRPr="00BE588E" w:rsidRDefault="00562CEC" w:rsidP="00C93FE3">
            <w:pPr>
              <w:rPr>
                <w:rFonts w:ascii="Times New Roman" w:hAnsi="Times New Roman" w:cs="Times New Roman"/>
                <w:b/>
                <w:sz w:val="24"/>
                <w:szCs w:val="24"/>
              </w:rPr>
            </w:pPr>
            <w:r w:rsidRPr="00BE588E">
              <w:rPr>
                <w:b/>
              </w:rPr>
              <w:t>TARIFAS  (Pesos diciembre 2012)</w:t>
            </w:r>
          </w:p>
        </w:tc>
      </w:tr>
      <w:tr w:rsidR="00C93FE3" w:rsidRPr="008F027A" w14:paraId="5C011ABC" w14:textId="77777777" w:rsidTr="00C93FE3">
        <w:tc>
          <w:tcPr>
            <w:tcW w:w="1830" w:type="dxa"/>
            <w:shd w:val="clear" w:color="auto" w:fill="auto"/>
            <w:vAlign w:val="bottom"/>
          </w:tcPr>
          <w:p w14:paraId="3A09A57A"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w:t>
            </w:r>
          </w:p>
        </w:tc>
        <w:tc>
          <w:tcPr>
            <w:tcW w:w="4785" w:type="dxa"/>
            <w:shd w:val="clear" w:color="auto" w:fill="auto"/>
          </w:tcPr>
          <w:p w14:paraId="1F1E1363"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Automóviles, camperos y camionetas</w:t>
            </w:r>
          </w:p>
        </w:tc>
        <w:tc>
          <w:tcPr>
            <w:tcW w:w="1276" w:type="dxa"/>
            <w:shd w:val="clear" w:color="auto" w:fill="auto"/>
            <w:vAlign w:val="center"/>
          </w:tcPr>
          <w:p w14:paraId="5FDA7D2D"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$10.</w:t>
            </w:r>
            <w:r w:rsidR="00BE588E">
              <w:rPr>
                <w:rFonts w:ascii="Times New Roman" w:eastAsia="Times New Roman" w:hAnsi="Times New Roman" w:cs="Times New Roman"/>
                <w:sz w:val="24"/>
                <w:szCs w:val="24"/>
              </w:rPr>
              <w:t>0</w:t>
            </w:r>
            <w:r w:rsidRPr="008F027A">
              <w:rPr>
                <w:rFonts w:ascii="Times New Roman" w:eastAsia="Times New Roman" w:hAnsi="Times New Roman" w:cs="Times New Roman"/>
                <w:sz w:val="24"/>
                <w:szCs w:val="24"/>
              </w:rPr>
              <w:t>00</w:t>
            </w:r>
          </w:p>
        </w:tc>
      </w:tr>
      <w:tr w:rsidR="00C93FE3" w:rsidRPr="008F027A" w14:paraId="36DF77B7" w14:textId="77777777" w:rsidTr="00C93FE3">
        <w:tc>
          <w:tcPr>
            <w:tcW w:w="1830" w:type="dxa"/>
            <w:shd w:val="clear" w:color="auto" w:fill="auto"/>
            <w:vAlign w:val="bottom"/>
          </w:tcPr>
          <w:p w14:paraId="316B9403"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lastRenderedPageBreak/>
              <w:t>II</w:t>
            </w:r>
          </w:p>
        </w:tc>
        <w:tc>
          <w:tcPr>
            <w:tcW w:w="4785" w:type="dxa"/>
            <w:shd w:val="clear" w:color="auto" w:fill="auto"/>
          </w:tcPr>
          <w:p w14:paraId="0719F848"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Buses, busetas microbuses con eje trasero de doble llanta y camiones de dos (2) ejes.</w:t>
            </w:r>
          </w:p>
        </w:tc>
        <w:tc>
          <w:tcPr>
            <w:tcW w:w="1276" w:type="dxa"/>
            <w:shd w:val="clear" w:color="auto" w:fill="auto"/>
            <w:vAlign w:val="center"/>
          </w:tcPr>
          <w:p w14:paraId="0A5696AF"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$12.</w:t>
            </w:r>
            <w:r w:rsidR="00BE588E">
              <w:rPr>
                <w:rFonts w:ascii="Times New Roman" w:eastAsia="Times New Roman" w:hAnsi="Times New Roman" w:cs="Times New Roman"/>
                <w:sz w:val="24"/>
                <w:szCs w:val="24"/>
              </w:rPr>
              <w:t>4</w:t>
            </w:r>
            <w:r w:rsidRPr="008F027A">
              <w:rPr>
                <w:rFonts w:ascii="Times New Roman" w:eastAsia="Times New Roman" w:hAnsi="Times New Roman" w:cs="Times New Roman"/>
                <w:sz w:val="24"/>
                <w:szCs w:val="24"/>
              </w:rPr>
              <w:t>00</w:t>
            </w:r>
          </w:p>
        </w:tc>
      </w:tr>
      <w:tr w:rsidR="00C93FE3" w:rsidRPr="008F027A" w14:paraId="511B1CAC" w14:textId="77777777" w:rsidTr="00C93FE3">
        <w:tc>
          <w:tcPr>
            <w:tcW w:w="1830" w:type="dxa"/>
            <w:shd w:val="clear" w:color="auto" w:fill="auto"/>
            <w:vAlign w:val="bottom"/>
          </w:tcPr>
          <w:p w14:paraId="36006D8A"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III</w:t>
            </w:r>
          </w:p>
        </w:tc>
        <w:tc>
          <w:tcPr>
            <w:tcW w:w="4785" w:type="dxa"/>
            <w:shd w:val="clear" w:color="auto" w:fill="auto"/>
          </w:tcPr>
          <w:p w14:paraId="49771A9A" w14:textId="77777777" w:rsidR="00C93FE3" w:rsidRPr="008F027A" w:rsidRDefault="00C93FE3" w:rsidP="00C93FE3">
            <w:pPr>
              <w:rPr>
                <w:rFonts w:ascii="Times New Roman" w:hAnsi="Times New Roman" w:cs="Times New Roman"/>
                <w:sz w:val="24"/>
                <w:szCs w:val="24"/>
              </w:rPr>
            </w:pPr>
            <w:r w:rsidRPr="008F027A" w:rsidDel="00AD4ACC">
              <w:rPr>
                <w:rFonts w:ascii="Times New Roman" w:hAnsi="Times New Roman" w:cs="Times New Roman"/>
                <w:sz w:val="24"/>
                <w:szCs w:val="24"/>
              </w:rPr>
              <w:t xml:space="preserve"> </w:t>
            </w:r>
            <w:r w:rsidRPr="008F027A">
              <w:rPr>
                <w:rFonts w:ascii="Times New Roman" w:hAnsi="Times New Roman" w:cs="Times New Roman"/>
                <w:sz w:val="24"/>
                <w:szCs w:val="24"/>
              </w:rPr>
              <w:t>Camiones de tres (3) y cuatro (4) ejes.</w:t>
            </w:r>
          </w:p>
        </w:tc>
        <w:tc>
          <w:tcPr>
            <w:tcW w:w="1276" w:type="dxa"/>
            <w:shd w:val="clear" w:color="auto" w:fill="auto"/>
            <w:vAlign w:val="center"/>
          </w:tcPr>
          <w:p w14:paraId="79446D1E"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$29.</w:t>
            </w:r>
            <w:r w:rsidR="00BE588E">
              <w:rPr>
                <w:rFonts w:ascii="Times New Roman" w:eastAsia="Times New Roman" w:hAnsi="Times New Roman" w:cs="Times New Roman"/>
                <w:sz w:val="24"/>
                <w:szCs w:val="24"/>
              </w:rPr>
              <w:t>8</w:t>
            </w:r>
            <w:r w:rsidRPr="008F027A">
              <w:rPr>
                <w:rFonts w:ascii="Times New Roman" w:eastAsia="Times New Roman" w:hAnsi="Times New Roman" w:cs="Times New Roman"/>
                <w:sz w:val="24"/>
                <w:szCs w:val="24"/>
              </w:rPr>
              <w:t>00</w:t>
            </w:r>
          </w:p>
        </w:tc>
      </w:tr>
      <w:tr w:rsidR="00C93FE3" w:rsidRPr="008F027A" w14:paraId="52B8C36F" w14:textId="77777777" w:rsidTr="00C93FE3">
        <w:tc>
          <w:tcPr>
            <w:tcW w:w="1830" w:type="dxa"/>
            <w:shd w:val="clear" w:color="auto" w:fill="auto"/>
            <w:vAlign w:val="bottom"/>
          </w:tcPr>
          <w:p w14:paraId="1827C73B"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IV</w:t>
            </w:r>
          </w:p>
        </w:tc>
        <w:tc>
          <w:tcPr>
            <w:tcW w:w="4785" w:type="dxa"/>
            <w:shd w:val="clear" w:color="auto" w:fill="auto"/>
          </w:tcPr>
          <w:p w14:paraId="4912E69E"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de cinco (5) ejes.</w:t>
            </w:r>
            <w:r w:rsidRPr="008F027A" w:rsidDel="00AD4ACC">
              <w:rPr>
                <w:rFonts w:ascii="Times New Roman" w:hAnsi="Times New Roman" w:cs="Times New Roman"/>
                <w:sz w:val="24"/>
                <w:szCs w:val="24"/>
              </w:rPr>
              <w:t xml:space="preserve"> </w:t>
            </w:r>
          </w:p>
        </w:tc>
        <w:tc>
          <w:tcPr>
            <w:tcW w:w="1276" w:type="dxa"/>
            <w:shd w:val="clear" w:color="auto" w:fill="auto"/>
            <w:vAlign w:val="center"/>
          </w:tcPr>
          <w:p w14:paraId="75262079"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$37.</w:t>
            </w:r>
            <w:r w:rsidR="00BE588E">
              <w:rPr>
                <w:rFonts w:ascii="Times New Roman" w:eastAsia="Times New Roman" w:hAnsi="Times New Roman" w:cs="Times New Roman"/>
                <w:sz w:val="24"/>
                <w:szCs w:val="24"/>
              </w:rPr>
              <w:t>4</w:t>
            </w:r>
            <w:r w:rsidRPr="008F027A">
              <w:rPr>
                <w:rFonts w:ascii="Times New Roman" w:eastAsia="Times New Roman" w:hAnsi="Times New Roman" w:cs="Times New Roman"/>
                <w:sz w:val="24"/>
                <w:szCs w:val="24"/>
              </w:rPr>
              <w:t>00</w:t>
            </w:r>
          </w:p>
        </w:tc>
      </w:tr>
      <w:tr w:rsidR="00C93FE3" w:rsidRPr="008F027A" w14:paraId="21979E72" w14:textId="77777777" w:rsidTr="00C93FE3">
        <w:tc>
          <w:tcPr>
            <w:tcW w:w="1830" w:type="dxa"/>
            <w:shd w:val="clear" w:color="auto" w:fill="auto"/>
            <w:vAlign w:val="bottom"/>
          </w:tcPr>
          <w:p w14:paraId="152E4E5F"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V</w:t>
            </w:r>
          </w:p>
        </w:tc>
        <w:tc>
          <w:tcPr>
            <w:tcW w:w="4785" w:type="dxa"/>
            <w:shd w:val="clear" w:color="auto" w:fill="auto"/>
          </w:tcPr>
          <w:p w14:paraId="2C814C35"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de seis (6) ejes.</w:t>
            </w:r>
          </w:p>
        </w:tc>
        <w:tc>
          <w:tcPr>
            <w:tcW w:w="1276" w:type="dxa"/>
            <w:shd w:val="clear" w:color="auto" w:fill="auto"/>
            <w:vAlign w:val="center"/>
          </w:tcPr>
          <w:p w14:paraId="775561D8"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$43.</w:t>
            </w:r>
            <w:r w:rsidR="00BE588E">
              <w:rPr>
                <w:rFonts w:ascii="Times New Roman" w:eastAsia="Times New Roman" w:hAnsi="Times New Roman" w:cs="Times New Roman"/>
                <w:sz w:val="24"/>
                <w:szCs w:val="24"/>
              </w:rPr>
              <w:t>3</w:t>
            </w:r>
            <w:r w:rsidRPr="008F027A">
              <w:rPr>
                <w:rFonts w:ascii="Times New Roman" w:eastAsia="Times New Roman" w:hAnsi="Times New Roman" w:cs="Times New Roman"/>
                <w:sz w:val="24"/>
                <w:szCs w:val="24"/>
              </w:rPr>
              <w:t>00</w:t>
            </w:r>
          </w:p>
        </w:tc>
      </w:tr>
    </w:tbl>
    <w:p w14:paraId="50A6425F" w14:textId="77777777" w:rsidR="00C93FE3" w:rsidRDefault="00C93FE3" w:rsidP="00C93FE3">
      <w:pPr>
        <w:pStyle w:val="Normal1"/>
        <w:tabs>
          <w:tab w:val="clear" w:pos="2880"/>
        </w:tabs>
        <w:ind w:left="864" w:firstLine="0"/>
        <w:rPr>
          <w:b/>
        </w:rPr>
      </w:pPr>
    </w:p>
    <w:p w14:paraId="154D10E1" w14:textId="77777777" w:rsidR="00F8491F" w:rsidRDefault="00F8491F" w:rsidP="00C93FE3">
      <w:pPr>
        <w:pStyle w:val="Normal1"/>
        <w:tabs>
          <w:tab w:val="clear" w:pos="2880"/>
        </w:tabs>
        <w:ind w:left="864" w:firstLine="0"/>
        <w:rPr>
          <w:b/>
        </w:rPr>
      </w:pPr>
    </w:p>
    <w:p w14:paraId="488D3D76" w14:textId="77777777" w:rsidR="00C93FE3" w:rsidRPr="006B0727" w:rsidRDefault="00C93FE3" w:rsidP="00C93FE3">
      <w:pPr>
        <w:pStyle w:val="Normal1"/>
        <w:tabs>
          <w:tab w:val="clear" w:pos="2880"/>
        </w:tabs>
        <w:ind w:left="864" w:firstLine="0"/>
        <w:rPr>
          <w:b/>
        </w:rPr>
      </w:pPr>
      <w:r w:rsidRPr="006B0727">
        <w:rPr>
          <w:b/>
        </w:rPr>
        <w:t>Tarifas al usuario para el peaje Chicoral</w:t>
      </w:r>
    </w:p>
    <w:p w14:paraId="6D7BBAC5" w14:textId="77777777" w:rsidR="00C93FE3" w:rsidRPr="00C93FE3" w:rsidRDefault="00C93FE3" w:rsidP="00C93FE3">
      <w:pPr>
        <w:pStyle w:val="Normal1"/>
        <w:tabs>
          <w:tab w:val="clear" w:pos="2880"/>
        </w:tabs>
        <w:ind w:left="864" w:firstLine="0"/>
        <w:rPr>
          <w:b/>
        </w:rPr>
      </w:pPr>
    </w:p>
    <w:tbl>
      <w:tblPr>
        <w:tblW w:w="789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4785"/>
        <w:gridCol w:w="1276"/>
      </w:tblGrid>
      <w:tr w:rsidR="00C93FE3" w:rsidRPr="008F027A" w14:paraId="603C6C01" w14:textId="77777777" w:rsidTr="00F8491F">
        <w:tc>
          <w:tcPr>
            <w:tcW w:w="1830" w:type="dxa"/>
            <w:shd w:val="clear" w:color="auto" w:fill="BFBFBF" w:themeFill="background1" w:themeFillShade="BF"/>
            <w:vAlign w:val="center"/>
          </w:tcPr>
          <w:p w14:paraId="3EB90EC7" w14:textId="77777777" w:rsidR="00C93FE3" w:rsidRPr="00F8491F" w:rsidRDefault="00C93FE3" w:rsidP="00C93FE3">
            <w:pPr>
              <w:rPr>
                <w:rFonts w:ascii="Times New Roman" w:hAnsi="Times New Roman" w:cs="Times New Roman"/>
                <w:b/>
                <w:sz w:val="24"/>
                <w:szCs w:val="24"/>
              </w:rPr>
            </w:pPr>
            <w:r w:rsidRPr="00F8491F">
              <w:rPr>
                <w:rFonts w:ascii="Times New Roman" w:hAnsi="Times New Roman" w:cs="Times New Roman"/>
                <w:b/>
                <w:sz w:val="24"/>
                <w:szCs w:val="24"/>
              </w:rPr>
              <w:t>CATEGORIAS</w:t>
            </w:r>
          </w:p>
        </w:tc>
        <w:tc>
          <w:tcPr>
            <w:tcW w:w="4785" w:type="dxa"/>
            <w:shd w:val="clear" w:color="auto" w:fill="BFBFBF" w:themeFill="background1" w:themeFillShade="BF"/>
            <w:vAlign w:val="center"/>
          </w:tcPr>
          <w:p w14:paraId="5C78C1D5" w14:textId="77777777" w:rsidR="00C93FE3" w:rsidRPr="00F8491F" w:rsidRDefault="00C93FE3" w:rsidP="00C93FE3">
            <w:pPr>
              <w:rPr>
                <w:rFonts w:ascii="Times New Roman" w:hAnsi="Times New Roman" w:cs="Times New Roman"/>
                <w:b/>
                <w:sz w:val="24"/>
                <w:szCs w:val="24"/>
                <w:lang w:val="es-CO"/>
              </w:rPr>
            </w:pPr>
            <w:r w:rsidRPr="00F8491F">
              <w:rPr>
                <w:rFonts w:ascii="Times New Roman" w:hAnsi="Times New Roman" w:cs="Times New Roman"/>
                <w:b/>
                <w:sz w:val="24"/>
                <w:szCs w:val="24"/>
                <w:lang w:val="es-CO"/>
              </w:rPr>
              <w:t>DESCRIPCION</w:t>
            </w:r>
          </w:p>
        </w:tc>
        <w:tc>
          <w:tcPr>
            <w:tcW w:w="1276" w:type="dxa"/>
            <w:shd w:val="clear" w:color="auto" w:fill="BFBFBF" w:themeFill="background1" w:themeFillShade="BF"/>
            <w:vAlign w:val="center"/>
          </w:tcPr>
          <w:p w14:paraId="1FB0E48B" w14:textId="77777777" w:rsidR="00C93FE3" w:rsidRPr="00F8491F" w:rsidRDefault="00562CEC" w:rsidP="00C93FE3">
            <w:pPr>
              <w:rPr>
                <w:rFonts w:ascii="Times New Roman" w:hAnsi="Times New Roman" w:cs="Times New Roman"/>
                <w:b/>
                <w:sz w:val="24"/>
                <w:szCs w:val="24"/>
              </w:rPr>
            </w:pPr>
            <w:r w:rsidRPr="00F8491F">
              <w:rPr>
                <w:b/>
              </w:rPr>
              <w:t>TARIFAS  (Pesos diciembre 2012)</w:t>
            </w:r>
            <w:r w:rsidR="00C93FE3" w:rsidRPr="00F8491F">
              <w:rPr>
                <w:rFonts w:ascii="Times New Roman" w:hAnsi="Times New Roman" w:cs="Times New Roman"/>
                <w:b/>
                <w:sz w:val="24"/>
                <w:szCs w:val="24"/>
              </w:rPr>
              <w:t xml:space="preserve"> </w:t>
            </w:r>
          </w:p>
        </w:tc>
      </w:tr>
      <w:tr w:rsidR="00C93FE3" w:rsidRPr="008F027A" w14:paraId="58B09CF2" w14:textId="77777777" w:rsidTr="00C93FE3">
        <w:tc>
          <w:tcPr>
            <w:tcW w:w="1830" w:type="dxa"/>
            <w:shd w:val="clear" w:color="auto" w:fill="auto"/>
            <w:vAlign w:val="bottom"/>
          </w:tcPr>
          <w:p w14:paraId="09085575"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w:t>
            </w:r>
          </w:p>
        </w:tc>
        <w:tc>
          <w:tcPr>
            <w:tcW w:w="4785" w:type="dxa"/>
            <w:shd w:val="clear" w:color="auto" w:fill="auto"/>
          </w:tcPr>
          <w:p w14:paraId="1FC31CFB"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Automóviles, camperos y camionetas</w:t>
            </w:r>
          </w:p>
        </w:tc>
        <w:tc>
          <w:tcPr>
            <w:tcW w:w="1276" w:type="dxa"/>
            <w:shd w:val="clear" w:color="auto" w:fill="auto"/>
            <w:vAlign w:val="center"/>
          </w:tcPr>
          <w:p w14:paraId="1B3B9ADC"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$10.</w:t>
            </w:r>
            <w:r w:rsidR="00BE588E">
              <w:rPr>
                <w:rFonts w:ascii="Times New Roman" w:eastAsia="Times New Roman" w:hAnsi="Times New Roman" w:cs="Times New Roman"/>
                <w:sz w:val="24"/>
                <w:szCs w:val="24"/>
              </w:rPr>
              <w:t>0</w:t>
            </w:r>
            <w:r w:rsidRPr="008F027A">
              <w:rPr>
                <w:rFonts w:ascii="Times New Roman" w:eastAsia="Times New Roman" w:hAnsi="Times New Roman" w:cs="Times New Roman"/>
                <w:sz w:val="24"/>
                <w:szCs w:val="24"/>
              </w:rPr>
              <w:t>00</w:t>
            </w:r>
          </w:p>
        </w:tc>
      </w:tr>
      <w:tr w:rsidR="00C93FE3" w:rsidRPr="008F027A" w14:paraId="5FD3CCC1" w14:textId="77777777" w:rsidTr="00C93FE3">
        <w:tc>
          <w:tcPr>
            <w:tcW w:w="1830" w:type="dxa"/>
            <w:shd w:val="clear" w:color="auto" w:fill="auto"/>
            <w:vAlign w:val="bottom"/>
          </w:tcPr>
          <w:p w14:paraId="0A81E482"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II</w:t>
            </w:r>
          </w:p>
        </w:tc>
        <w:tc>
          <w:tcPr>
            <w:tcW w:w="4785" w:type="dxa"/>
            <w:shd w:val="clear" w:color="auto" w:fill="auto"/>
          </w:tcPr>
          <w:p w14:paraId="3427F49E"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Buses y busetas</w:t>
            </w:r>
          </w:p>
        </w:tc>
        <w:tc>
          <w:tcPr>
            <w:tcW w:w="1276" w:type="dxa"/>
            <w:shd w:val="clear" w:color="auto" w:fill="auto"/>
            <w:vAlign w:val="center"/>
          </w:tcPr>
          <w:p w14:paraId="7BE01D5F"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$12.</w:t>
            </w:r>
            <w:r w:rsidR="00BE588E">
              <w:rPr>
                <w:rFonts w:ascii="Times New Roman" w:eastAsia="Times New Roman" w:hAnsi="Times New Roman" w:cs="Times New Roman"/>
                <w:sz w:val="24"/>
                <w:szCs w:val="24"/>
              </w:rPr>
              <w:t>4</w:t>
            </w:r>
            <w:r w:rsidRPr="008F027A">
              <w:rPr>
                <w:rFonts w:ascii="Times New Roman" w:eastAsia="Times New Roman" w:hAnsi="Times New Roman" w:cs="Times New Roman"/>
                <w:sz w:val="24"/>
                <w:szCs w:val="24"/>
              </w:rPr>
              <w:t>00</w:t>
            </w:r>
          </w:p>
        </w:tc>
      </w:tr>
      <w:tr w:rsidR="00C93FE3" w:rsidRPr="008F027A" w14:paraId="3D80BEFD" w14:textId="77777777" w:rsidTr="00C93FE3">
        <w:tc>
          <w:tcPr>
            <w:tcW w:w="1830" w:type="dxa"/>
            <w:shd w:val="clear" w:color="auto" w:fill="auto"/>
            <w:vAlign w:val="bottom"/>
          </w:tcPr>
          <w:p w14:paraId="5B630312"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III</w:t>
            </w:r>
          </w:p>
        </w:tc>
        <w:tc>
          <w:tcPr>
            <w:tcW w:w="4785" w:type="dxa"/>
            <w:shd w:val="clear" w:color="auto" w:fill="auto"/>
          </w:tcPr>
          <w:p w14:paraId="0079A628"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pequeños de dos (2) ejes.</w:t>
            </w:r>
          </w:p>
        </w:tc>
        <w:tc>
          <w:tcPr>
            <w:tcW w:w="1276" w:type="dxa"/>
            <w:shd w:val="clear" w:color="auto" w:fill="auto"/>
            <w:vAlign w:val="center"/>
          </w:tcPr>
          <w:p w14:paraId="55E7ED20"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$15.</w:t>
            </w:r>
            <w:r w:rsidR="00BE588E">
              <w:rPr>
                <w:rFonts w:ascii="Times New Roman" w:eastAsia="Times New Roman" w:hAnsi="Times New Roman" w:cs="Times New Roman"/>
                <w:sz w:val="24"/>
                <w:szCs w:val="24"/>
              </w:rPr>
              <w:t>3</w:t>
            </w:r>
            <w:r w:rsidRPr="008F027A">
              <w:rPr>
                <w:rFonts w:ascii="Times New Roman" w:eastAsia="Times New Roman" w:hAnsi="Times New Roman" w:cs="Times New Roman"/>
                <w:sz w:val="24"/>
                <w:szCs w:val="24"/>
              </w:rPr>
              <w:t>00</w:t>
            </w:r>
          </w:p>
        </w:tc>
      </w:tr>
      <w:tr w:rsidR="00C93FE3" w:rsidRPr="008F027A" w14:paraId="7C738174" w14:textId="77777777" w:rsidTr="00C93FE3">
        <w:tc>
          <w:tcPr>
            <w:tcW w:w="1830" w:type="dxa"/>
            <w:shd w:val="clear" w:color="auto" w:fill="auto"/>
            <w:vAlign w:val="bottom"/>
          </w:tcPr>
          <w:p w14:paraId="0F2BD777"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IV</w:t>
            </w:r>
          </w:p>
        </w:tc>
        <w:tc>
          <w:tcPr>
            <w:tcW w:w="4785" w:type="dxa"/>
            <w:shd w:val="clear" w:color="auto" w:fill="auto"/>
          </w:tcPr>
          <w:p w14:paraId="1FF5A4C2"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grandes de dos (2) ejes.</w:t>
            </w:r>
            <w:r w:rsidRPr="008F027A" w:rsidDel="005462C5">
              <w:rPr>
                <w:rFonts w:ascii="Times New Roman" w:hAnsi="Times New Roman" w:cs="Times New Roman"/>
                <w:sz w:val="24"/>
                <w:szCs w:val="24"/>
              </w:rPr>
              <w:t xml:space="preserve"> </w:t>
            </w:r>
          </w:p>
        </w:tc>
        <w:tc>
          <w:tcPr>
            <w:tcW w:w="1276" w:type="dxa"/>
            <w:shd w:val="clear" w:color="auto" w:fill="auto"/>
            <w:vAlign w:val="center"/>
          </w:tcPr>
          <w:p w14:paraId="2DBE669E"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$19.</w:t>
            </w:r>
            <w:r w:rsidR="00BE588E">
              <w:rPr>
                <w:rFonts w:ascii="Times New Roman" w:eastAsia="Times New Roman" w:hAnsi="Times New Roman" w:cs="Times New Roman"/>
                <w:sz w:val="24"/>
                <w:szCs w:val="24"/>
              </w:rPr>
              <w:t>5</w:t>
            </w:r>
            <w:r w:rsidRPr="008F027A">
              <w:rPr>
                <w:rFonts w:ascii="Times New Roman" w:eastAsia="Times New Roman" w:hAnsi="Times New Roman" w:cs="Times New Roman"/>
                <w:sz w:val="24"/>
                <w:szCs w:val="24"/>
              </w:rPr>
              <w:t>00</w:t>
            </w:r>
          </w:p>
        </w:tc>
      </w:tr>
      <w:tr w:rsidR="00C93FE3" w:rsidRPr="008F027A" w14:paraId="408E4ABC" w14:textId="77777777" w:rsidTr="00C93FE3">
        <w:tc>
          <w:tcPr>
            <w:tcW w:w="1830" w:type="dxa"/>
            <w:shd w:val="clear" w:color="auto" w:fill="auto"/>
            <w:vAlign w:val="bottom"/>
          </w:tcPr>
          <w:p w14:paraId="763A38F9"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V</w:t>
            </w:r>
          </w:p>
        </w:tc>
        <w:tc>
          <w:tcPr>
            <w:tcW w:w="4785" w:type="dxa"/>
            <w:shd w:val="clear" w:color="auto" w:fill="auto"/>
          </w:tcPr>
          <w:p w14:paraId="32A88FC9"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de tres (3) y cuatro (4) ejes.</w:t>
            </w:r>
          </w:p>
        </w:tc>
        <w:tc>
          <w:tcPr>
            <w:tcW w:w="1276" w:type="dxa"/>
            <w:shd w:val="clear" w:color="auto" w:fill="auto"/>
            <w:vAlign w:val="center"/>
          </w:tcPr>
          <w:p w14:paraId="07A0D815"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$29.</w:t>
            </w:r>
            <w:r w:rsidR="00BE588E">
              <w:rPr>
                <w:rFonts w:ascii="Times New Roman" w:eastAsia="Times New Roman" w:hAnsi="Times New Roman" w:cs="Times New Roman"/>
                <w:sz w:val="24"/>
                <w:szCs w:val="24"/>
              </w:rPr>
              <w:t>8</w:t>
            </w:r>
            <w:r w:rsidRPr="008F027A">
              <w:rPr>
                <w:rFonts w:ascii="Times New Roman" w:eastAsia="Times New Roman" w:hAnsi="Times New Roman" w:cs="Times New Roman"/>
                <w:sz w:val="24"/>
                <w:szCs w:val="24"/>
              </w:rPr>
              <w:t>00</w:t>
            </w:r>
          </w:p>
        </w:tc>
      </w:tr>
      <w:tr w:rsidR="00C93FE3" w:rsidRPr="008F027A" w14:paraId="1C9EE061" w14:textId="77777777" w:rsidTr="00C93FE3">
        <w:tc>
          <w:tcPr>
            <w:tcW w:w="1830" w:type="dxa"/>
            <w:shd w:val="clear" w:color="auto" w:fill="auto"/>
            <w:vAlign w:val="bottom"/>
          </w:tcPr>
          <w:p w14:paraId="2DD5F579"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VI</w:t>
            </w:r>
          </w:p>
        </w:tc>
        <w:tc>
          <w:tcPr>
            <w:tcW w:w="4785" w:type="dxa"/>
            <w:shd w:val="clear" w:color="auto" w:fill="auto"/>
          </w:tcPr>
          <w:p w14:paraId="0437015F"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de cinco (5) ejes.</w:t>
            </w:r>
          </w:p>
        </w:tc>
        <w:tc>
          <w:tcPr>
            <w:tcW w:w="1276" w:type="dxa"/>
            <w:shd w:val="clear" w:color="auto" w:fill="auto"/>
            <w:vAlign w:val="center"/>
          </w:tcPr>
          <w:p w14:paraId="4D3C47E4"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$37.</w:t>
            </w:r>
            <w:r w:rsidR="00BE588E">
              <w:rPr>
                <w:rFonts w:ascii="Times New Roman" w:eastAsia="Times New Roman" w:hAnsi="Times New Roman" w:cs="Times New Roman"/>
                <w:sz w:val="24"/>
                <w:szCs w:val="24"/>
              </w:rPr>
              <w:t>4</w:t>
            </w:r>
            <w:r w:rsidRPr="008F027A">
              <w:rPr>
                <w:rFonts w:ascii="Times New Roman" w:eastAsia="Times New Roman" w:hAnsi="Times New Roman" w:cs="Times New Roman"/>
                <w:sz w:val="24"/>
                <w:szCs w:val="24"/>
              </w:rPr>
              <w:t>00</w:t>
            </w:r>
          </w:p>
        </w:tc>
      </w:tr>
      <w:tr w:rsidR="00C93FE3" w:rsidRPr="008F027A" w14:paraId="7C854196" w14:textId="77777777" w:rsidTr="00C93FE3">
        <w:tc>
          <w:tcPr>
            <w:tcW w:w="1830" w:type="dxa"/>
            <w:shd w:val="clear" w:color="auto" w:fill="auto"/>
            <w:vAlign w:val="bottom"/>
          </w:tcPr>
          <w:p w14:paraId="1612A7F5"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VII</w:t>
            </w:r>
          </w:p>
        </w:tc>
        <w:tc>
          <w:tcPr>
            <w:tcW w:w="4785" w:type="dxa"/>
            <w:shd w:val="clear" w:color="auto" w:fill="auto"/>
          </w:tcPr>
          <w:p w14:paraId="64C216C0" w14:textId="77777777" w:rsidR="00C93FE3" w:rsidRPr="008F027A" w:rsidRDefault="00C93FE3" w:rsidP="00C93FE3">
            <w:pPr>
              <w:rPr>
                <w:rFonts w:ascii="Times New Roman" w:hAnsi="Times New Roman" w:cs="Times New Roman"/>
                <w:sz w:val="24"/>
                <w:szCs w:val="24"/>
              </w:rPr>
            </w:pPr>
            <w:r w:rsidRPr="008F027A">
              <w:rPr>
                <w:rFonts w:ascii="Times New Roman" w:hAnsi="Times New Roman" w:cs="Times New Roman"/>
                <w:sz w:val="24"/>
                <w:szCs w:val="24"/>
              </w:rPr>
              <w:t>Camiones de seis (6) ejes</w:t>
            </w:r>
          </w:p>
        </w:tc>
        <w:tc>
          <w:tcPr>
            <w:tcW w:w="1276" w:type="dxa"/>
            <w:shd w:val="clear" w:color="auto" w:fill="auto"/>
            <w:vAlign w:val="center"/>
          </w:tcPr>
          <w:p w14:paraId="04EFBF29" w14:textId="77777777" w:rsidR="00C93FE3" w:rsidRPr="008F027A" w:rsidRDefault="00C93FE3" w:rsidP="00C93FE3">
            <w:pPr>
              <w:rPr>
                <w:rFonts w:ascii="Times New Roman" w:hAnsi="Times New Roman" w:cs="Times New Roman"/>
                <w:sz w:val="24"/>
                <w:szCs w:val="24"/>
              </w:rPr>
            </w:pPr>
            <w:r w:rsidRPr="008F027A">
              <w:rPr>
                <w:rFonts w:ascii="Times New Roman" w:eastAsia="Times New Roman" w:hAnsi="Times New Roman" w:cs="Times New Roman"/>
                <w:sz w:val="24"/>
                <w:szCs w:val="24"/>
              </w:rPr>
              <w:t>$43.</w:t>
            </w:r>
            <w:r w:rsidR="00BE588E">
              <w:rPr>
                <w:rFonts w:ascii="Times New Roman" w:eastAsia="Times New Roman" w:hAnsi="Times New Roman" w:cs="Times New Roman"/>
                <w:sz w:val="24"/>
                <w:szCs w:val="24"/>
              </w:rPr>
              <w:t>3</w:t>
            </w:r>
            <w:r w:rsidRPr="008F027A">
              <w:rPr>
                <w:rFonts w:ascii="Times New Roman" w:eastAsia="Times New Roman" w:hAnsi="Times New Roman" w:cs="Times New Roman"/>
                <w:sz w:val="24"/>
                <w:szCs w:val="24"/>
              </w:rPr>
              <w:t>00</w:t>
            </w:r>
          </w:p>
        </w:tc>
      </w:tr>
    </w:tbl>
    <w:p w14:paraId="1F321274" w14:textId="77777777" w:rsidR="001B17D7" w:rsidRPr="003F02D3" w:rsidRDefault="001B17D7" w:rsidP="001B17D7">
      <w:pPr>
        <w:pStyle w:val="Normal1"/>
        <w:tabs>
          <w:tab w:val="clear" w:pos="2880"/>
        </w:tabs>
        <w:ind w:left="864" w:firstLine="0"/>
        <w:rPr>
          <w:b/>
        </w:rPr>
      </w:pPr>
    </w:p>
    <w:p w14:paraId="5EFAA276" w14:textId="77777777" w:rsidR="0014260B" w:rsidRDefault="0014260B">
      <w:pPr>
        <w:pStyle w:val="Normal1"/>
        <w:tabs>
          <w:tab w:val="clear" w:pos="2880"/>
        </w:tabs>
        <w:ind w:left="0" w:firstLine="0"/>
        <w:rPr>
          <w:b/>
        </w:rPr>
      </w:pPr>
    </w:p>
    <w:p w14:paraId="50377D28" w14:textId="77777777" w:rsidR="00C306CB" w:rsidRPr="003F02D3" w:rsidRDefault="00C306CB" w:rsidP="00C306CB">
      <w:pPr>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PARÁGRAFO PRIMERO</w:t>
      </w:r>
      <w:r w:rsidRPr="003F02D3">
        <w:rPr>
          <w:rFonts w:ascii="Times New Roman" w:eastAsia="Times New Roman" w:hAnsi="Times New Roman" w:cs="Times New Roman"/>
          <w:sz w:val="24"/>
          <w:szCs w:val="24"/>
          <w:lang w:val="es-ES_tradnl" w:eastAsia="es-ES"/>
        </w:rPr>
        <w:t xml:space="preserve">: De conformidad con </w:t>
      </w:r>
      <w:r w:rsidR="00C93FE3">
        <w:rPr>
          <w:rFonts w:ascii="Times New Roman" w:eastAsia="Times New Roman" w:hAnsi="Times New Roman" w:cs="Times New Roman"/>
          <w:sz w:val="24"/>
          <w:szCs w:val="24"/>
          <w:lang w:val="es-ES_tradnl" w:eastAsia="es-ES"/>
        </w:rPr>
        <w:t xml:space="preserve">los documentos del Contrato de Concesión entregados por el Originador </w:t>
      </w:r>
      <w:r w:rsidRPr="003F02D3">
        <w:rPr>
          <w:rFonts w:ascii="Times New Roman" w:eastAsia="Times New Roman" w:hAnsi="Times New Roman" w:cs="Times New Roman"/>
          <w:sz w:val="24"/>
          <w:szCs w:val="24"/>
          <w:lang w:val="es-ES_tradnl" w:eastAsia="es-ES"/>
        </w:rPr>
        <w:t>,</w:t>
      </w:r>
      <w:r w:rsidR="004B790D" w:rsidRPr="003F02D3">
        <w:rPr>
          <w:rFonts w:ascii="Times New Roman" w:eastAsia="Times New Roman" w:hAnsi="Times New Roman" w:cs="Times New Roman"/>
          <w:sz w:val="24"/>
          <w:szCs w:val="24"/>
          <w:lang w:val="es-ES_tradnl" w:eastAsia="es-ES"/>
        </w:rPr>
        <w:t xml:space="preserve"> </w:t>
      </w:r>
      <w:r w:rsidR="00A217A9" w:rsidRPr="003F02D3">
        <w:rPr>
          <w:rFonts w:ascii="Times New Roman" w:eastAsia="Times New Roman" w:hAnsi="Times New Roman" w:cs="Times New Roman"/>
          <w:sz w:val="24"/>
          <w:szCs w:val="24"/>
          <w:lang w:val="es-ES_tradnl" w:eastAsia="es-ES"/>
        </w:rPr>
        <w:t>la entrega de la infraestructura</w:t>
      </w:r>
      <w:r w:rsidR="004B790D" w:rsidRPr="003F02D3">
        <w:rPr>
          <w:rFonts w:ascii="Times New Roman" w:eastAsia="Times New Roman" w:hAnsi="Times New Roman" w:cs="Times New Roman"/>
          <w:sz w:val="24"/>
          <w:szCs w:val="24"/>
          <w:lang w:val="es-ES_tradnl" w:eastAsia="es-ES"/>
        </w:rPr>
        <w:t xml:space="preserve"> </w:t>
      </w:r>
      <w:r w:rsidR="00E53A7E" w:rsidRPr="003F02D3">
        <w:rPr>
          <w:rFonts w:ascii="Times New Roman" w:eastAsia="Times New Roman" w:hAnsi="Times New Roman" w:cs="Times New Roman"/>
          <w:sz w:val="24"/>
          <w:szCs w:val="24"/>
          <w:lang w:val="es-ES_tradnl" w:eastAsia="es-ES"/>
        </w:rPr>
        <w:t xml:space="preserve">de las estaciones de peaje </w:t>
      </w:r>
      <w:r w:rsidR="00C93FE3">
        <w:rPr>
          <w:rFonts w:ascii="Times New Roman" w:eastAsia="Times New Roman" w:hAnsi="Times New Roman" w:cs="Times New Roman"/>
          <w:sz w:val="24"/>
          <w:szCs w:val="24"/>
          <w:lang w:val="es-ES_tradnl" w:eastAsia="es-ES"/>
        </w:rPr>
        <w:t xml:space="preserve">Gualanday y Chicoral, </w:t>
      </w:r>
      <w:r w:rsidR="00E53A7E" w:rsidRPr="003F02D3">
        <w:rPr>
          <w:rFonts w:ascii="Times New Roman" w:eastAsia="Times New Roman" w:hAnsi="Times New Roman" w:cs="Times New Roman"/>
          <w:sz w:val="24"/>
          <w:szCs w:val="24"/>
          <w:lang w:val="es-ES_tradnl" w:eastAsia="es-ES"/>
        </w:rPr>
        <w:t>antes relacionadas</w:t>
      </w:r>
      <w:r w:rsidR="00C93FE3">
        <w:rPr>
          <w:rFonts w:ascii="Times New Roman" w:eastAsia="Times New Roman" w:hAnsi="Times New Roman" w:cs="Times New Roman"/>
          <w:sz w:val="24"/>
          <w:szCs w:val="24"/>
          <w:lang w:val="es-ES_tradnl" w:eastAsia="es-ES"/>
        </w:rPr>
        <w:t>,</w:t>
      </w:r>
      <w:r w:rsidR="00E53A7E" w:rsidRPr="003F02D3">
        <w:rPr>
          <w:rFonts w:ascii="Times New Roman" w:eastAsia="Times New Roman" w:hAnsi="Times New Roman" w:cs="Times New Roman"/>
          <w:sz w:val="24"/>
          <w:szCs w:val="24"/>
          <w:lang w:val="es-ES_tradnl" w:eastAsia="es-ES"/>
        </w:rPr>
        <w:t xml:space="preserve"> </w:t>
      </w:r>
      <w:r w:rsidR="004B790D" w:rsidRPr="003F02D3">
        <w:rPr>
          <w:rFonts w:ascii="Times New Roman" w:eastAsia="Times New Roman" w:hAnsi="Times New Roman" w:cs="Times New Roman"/>
          <w:sz w:val="24"/>
          <w:szCs w:val="24"/>
          <w:lang w:val="es-ES_tradnl" w:eastAsia="es-ES"/>
        </w:rPr>
        <w:t>se realizará</w:t>
      </w:r>
      <w:r w:rsidR="007924C8">
        <w:rPr>
          <w:rFonts w:ascii="Times New Roman" w:eastAsia="Times New Roman" w:hAnsi="Times New Roman" w:cs="Times New Roman"/>
          <w:sz w:val="24"/>
          <w:szCs w:val="24"/>
          <w:lang w:val="es-ES_tradnl" w:eastAsia="es-ES"/>
        </w:rPr>
        <w:t xml:space="preserve"> una vez revertida la infraestructura vial existente Girardot – Ibagué – Cajamarca</w:t>
      </w:r>
      <w:r w:rsidR="00DC0348">
        <w:rPr>
          <w:rFonts w:ascii="Times New Roman" w:eastAsia="Times New Roman" w:hAnsi="Times New Roman" w:cs="Times New Roman"/>
          <w:sz w:val="24"/>
          <w:szCs w:val="24"/>
          <w:lang w:val="es-ES_tradnl" w:eastAsia="es-ES"/>
        </w:rPr>
        <w:t xml:space="preserve"> del contrato de concesión No. 007 de 2007</w:t>
      </w:r>
      <w:r w:rsidR="007924C8">
        <w:rPr>
          <w:rFonts w:ascii="Times New Roman" w:eastAsia="Times New Roman" w:hAnsi="Times New Roman" w:cs="Times New Roman"/>
          <w:sz w:val="24"/>
          <w:szCs w:val="24"/>
          <w:lang w:val="es-ES_tradnl" w:eastAsia="es-ES"/>
        </w:rPr>
        <w:t xml:space="preserve">. </w:t>
      </w:r>
      <w:r w:rsidR="006F3DFE" w:rsidRPr="00AA075F">
        <w:rPr>
          <w:rFonts w:ascii="Times New Roman" w:eastAsia="Times New Roman" w:hAnsi="Times New Roman" w:cs="Times New Roman"/>
          <w:sz w:val="24"/>
          <w:szCs w:val="24"/>
          <w:lang w:val="es-ES_tradnl" w:eastAsia="es-ES"/>
        </w:rPr>
        <w:t xml:space="preserve"> </w:t>
      </w:r>
      <w:r w:rsidR="003C5E0C">
        <w:rPr>
          <w:rFonts w:ascii="Times New Roman" w:eastAsia="Times New Roman" w:hAnsi="Times New Roman" w:cs="Times New Roman"/>
          <w:sz w:val="24"/>
          <w:szCs w:val="24"/>
          <w:lang w:val="es-ES_tradnl" w:eastAsia="es-ES"/>
        </w:rPr>
        <w:t>El</w:t>
      </w:r>
      <w:r w:rsidRPr="003F02D3">
        <w:rPr>
          <w:rFonts w:ascii="Times New Roman" w:eastAsia="Times New Roman" w:hAnsi="Times New Roman" w:cs="Times New Roman"/>
          <w:sz w:val="24"/>
          <w:szCs w:val="24"/>
          <w:lang w:val="es-ES_tradnl" w:eastAsia="es-ES"/>
        </w:rPr>
        <w:t xml:space="preserve"> derecho a percibir la retribución por recaudo de peajes, sólo procederá una vez se cumplan los presupuestos establecidos en el mismo documento.</w:t>
      </w:r>
    </w:p>
    <w:p w14:paraId="7BC93DC5" w14:textId="77777777" w:rsidR="00C306CB" w:rsidRPr="003F02D3" w:rsidRDefault="00C306CB" w:rsidP="00C306CB">
      <w:pPr>
        <w:spacing w:after="0" w:line="240" w:lineRule="auto"/>
        <w:jc w:val="both"/>
        <w:rPr>
          <w:rFonts w:ascii="Times New Roman" w:eastAsia="Times New Roman" w:hAnsi="Times New Roman" w:cs="Times New Roman"/>
          <w:b/>
          <w:sz w:val="24"/>
          <w:szCs w:val="24"/>
          <w:lang w:val="es-ES_tradnl" w:eastAsia="es-ES"/>
        </w:rPr>
      </w:pPr>
    </w:p>
    <w:p w14:paraId="7253B163" w14:textId="77777777" w:rsidR="00EB78FD" w:rsidRPr="003F02D3" w:rsidRDefault="00C306CB"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PARAGRAFO SEGUNDO</w:t>
      </w:r>
      <w:r w:rsidR="00EB78FD" w:rsidRPr="003F02D3">
        <w:rPr>
          <w:rFonts w:ascii="Times New Roman" w:eastAsia="Times New Roman" w:hAnsi="Times New Roman" w:cs="Times New Roman"/>
          <w:b/>
          <w:sz w:val="24"/>
          <w:szCs w:val="24"/>
          <w:lang w:val="es-ES_tradnl" w:eastAsia="es-ES"/>
        </w:rPr>
        <w:t>:</w:t>
      </w:r>
      <w:r w:rsidR="00EB78FD" w:rsidRPr="003F02D3">
        <w:rPr>
          <w:rFonts w:ascii="Times New Roman" w:eastAsia="Times New Roman" w:hAnsi="Times New Roman" w:cs="Times New Roman"/>
          <w:sz w:val="24"/>
          <w:szCs w:val="24"/>
          <w:lang w:val="es-ES_tradnl" w:eastAsia="es-ES"/>
        </w:rPr>
        <w:t xml:space="preserve"> </w:t>
      </w:r>
      <w:r w:rsidR="0015148C" w:rsidRPr="003F02D3">
        <w:rPr>
          <w:rFonts w:ascii="Times New Roman" w:eastAsia="Times New Roman" w:hAnsi="Times New Roman" w:cs="Times New Roman"/>
          <w:sz w:val="24"/>
          <w:szCs w:val="24"/>
          <w:lang w:val="es-ES_tradnl" w:eastAsia="es-ES"/>
        </w:rPr>
        <w:t>L</w:t>
      </w:r>
      <w:r w:rsidR="00EB78FD" w:rsidRPr="003F02D3">
        <w:rPr>
          <w:rFonts w:ascii="Times New Roman" w:eastAsia="Times New Roman" w:hAnsi="Times New Roman" w:cs="Times New Roman"/>
          <w:sz w:val="24"/>
          <w:szCs w:val="24"/>
          <w:lang w:val="es-ES_tradnl" w:eastAsia="es-ES"/>
        </w:rPr>
        <w:t>a</w:t>
      </w:r>
      <w:r w:rsidR="00204996">
        <w:rPr>
          <w:rFonts w:ascii="Times New Roman" w:eastAsia="Times New Roman" w:hAnsi="Times New Roman" w:cs="Times New Roman"/>
          <w:sz w:val="24"/>
          <w:szCs w:val="24"/>
          <w:lang w:val="es-ES_tradnl" w:eastAsia="es-ES"/>
        </w:rPr>
        <w:t>s</w:t>
      </w:r>
      <w:r w:rsidR="00EB78FD" w:rsidRPr="003F02D3">
        <w:rPr>
          <w:rFonts w:ascii="Times New Roman" w:eastAsia="Times New Roman" w:hAnsi="Times New Roman" w:cs="Times New Roman"/>
          <w:sz w:val="24"/>
          <w:szCs w:val="24"/>
          <w:lang w:val="es-ES_tradnl" w:eastAsia="es-ES"/>
        </w:rPr>
        <w:t xml:space="preserve"> tarifa</w:t>
      </w:r>
      <w:r w:rsidR="00204996">
        <w:rPr>
          <w:rFonts w:ascii="Times New Roman" w:eastAsia="Times New Roman" w:hAnsi="Times New Roman" w:cs="Times New Roman"/>
          <w:sz w:val="24"/>
          <w:szCs w:val="24"/>
          <w:lang w:val="es-ES_tradnl" w:eastAsia="es-ES"/>
        </w:rPr>
        <w:t>s</w:t>
      </w:r>
      <w:r w:rsidR="00EB78FD" w:rsidRPr="003F02D3">
        <w:rPr>
          <w:rFonts w:ascii="Times New Roman" w:eastAsia="Times New Roman" w:hAnsi="Times New Roman" w:cs="Times New Roman"/>
          <w:sz w:val="24"/>
          <w:szCs w:val="24"/>
          <w:lang w:val="es-ES_tradnl" w:eastAsia="es-ES"/>
        </w:rPr>
        <w:t xml:space="preserve"> de peaje de que trata el presente artículo, </w:t>
      </w:r>
      <w:r w:rsidR="0015148C" w:rsidRPr="003F02D3">
        <w:rPr>
          <w:rFonts w:ascii="Times New Roman" w:eastAsia="Times New Roman" w:hAnsi="Times New Roman" w:cs="Times New Roman"/>
          <w:sz w:val="24"/>
          <w:szCs w:val="24"/>
          <w:lang w:val="es-ES_tradnl" w:eastAsia="es-ES"/>
        </w:rPr>
        <w:t>incluye</w:t>
      </w:r>
      <w:r w:rsidR="00204996">
        <w:rPr>
          <w:rFonts w:ascii="Times New Roman" w:eastAsia="Times New Roman" w:hAnsi="Times New Roman" w:cs="Times New Roman"/>
          <w:sz w:val="24"/>
          <w:szCs w:val="24"/>
          <w:lang w:val="es-ES_tradnl" w:eastAsia="es-ES"/>
        </w:rPr>
        <w:t>n</w:t>
      </w:r>
      <w:r w:rsidR="0015148C" w:rsidRPr="003F02D3">
        <w:rPr>
          <w:rFonts w:ascii="Times New Roman" w:eastAsia="Times New Roman" w:hAnsi="Times New Roman" w:cs="Times New Roman"/>
          <w:sz w:val="24"/>
          <w:szCs w:val="24"/>
          <w:lang w:val="es-ES_tradnl" w:eastAsia="es-ES"/>
        </w:rPr>
        <w:t xml:space="preserve"> </w:t>
      </w:r>
      <w:r w:rsidR="00EB78FD" w:rsidRPr="003F02D3">
        <w:rPr>
          <w:rFonts w:ascii="Times New Roman" w:eastAsia="Times New Roman" w:hAnsi="Times New Roman" w:cs="Times New Roman"/>
          <w:sz w:val="24"/>
          <w:szCs w:val="24"/>
          <w:lang w:val="es-ES_tradnl" w:eastAsia="es-ES"/>
        </w:rPr>
        <w:t>el valor de</w:t>
      </w:r>
      <w:r w:rsidR="00DC0348">
        <w:rPr>
          <w:rFonts w:ascii="Times New Roman" w:eastAsia="Times New Roman" w:hAnsi="Times New Roman" w:cs="Times New Roman"/>
          <w:sz w:val="24"/>
          <w:szCs w:val="24"/>
          <w:lang w:val="es-ES_tradnl" w:eastAsia="es-ES"/>
        </w:rPr>
        <w:t xml:space="preserve"> </w:t>
      </w:r>
      <w:r w:rsidR="00EB78FD" w:rsidRPr="003F02D3">
        <w:rPr>
          <w:rFonts w:ascii="Times New Roman" w:eastAsia="Times New Roman" w:hAnsi="Times New Roman" w:cs="Times New Roman"/>
          <w:sz w:val="24"/>
          <w:szCs w:val="24"/>
          <w:lang w:val="es-ES_tradnl" w:eastAsia="es-ES"/>
        </w:rPr>
        <w:t xml:space="preserve">DOSCIENTOS PESOS ($200) por cada vehículo que </w:t>
      </w:r>
      <w:r w:rsidR="0015148C" w:rsidRPr="003F02D3">
        <w:rPr>
          <w:rFonts w:ascii="Times New Roman" w:eastAsia="Times New Roman" w:hAnsi="Times New Roman" w:cs="Times New Roman"/>
          <w:sz w:val="24"/>
          <w:szCs w:val="24"/>
          <w:lang w:val="es-ES_tradnl" w:eastAsia="es-ES"/>
        </w:rPr>
        <w:t xml:space="preserve">pasa </w:t>
      </w:r>
      <w:r w:rsidR="00EB78FD" w:rsidRPr="003F02D3">
        <w:rPr>
          <w:rFonts w:ascii="Times New Roman" w:eastAsia="Times New Roman" w:hAnsi="Times New Roman" w:cs="Times New Roman"/>
          <w:sz w:val="24"/>
          <w:szCs w:val="24"/>
          <w:lang w:val="es-ES_tradnl" w:eastAsia="es-ES"/>
        </w:rPr>
        <w:t xml:space="preserve">por </w:t>
      </w:r>
      <w:r w:rsidR="00DC0348">
        <w:rPr>
          <w:rFonts w:ascii="Times New Roman" w:eastAsia="Times New Roman" w:hAnsi="Times New Roman" w:cs="Times New Roman"/>
          <w:sz w:val="24"/>
          <w:szCs w:val="24"/>
          <w:lang w:val="es-ES_tradnl" w:eastAsia="es-ES"/>
        </w:rPr>
        <w:t>cada</w:t>
      </w:r>
      <w:r w:rsidR="00EB78FD" w:rsidRPr="003F02D3">
        <w:rPr>
          <w:rFonts w:ascii="Times New Roman" w:eastAsia="Times New Roman" w:hAnsi="Times New Roman" w:cs="Times New Roman"/>
          <w:sz w:val="24"/>
          <w:szCs w:val="24"/>
          <w:lang w:val="es-ES_tradnl" w:eastAsia="es-ES"/>
        </w:rPr>
        <w:t xml:space="preserve"> estación de peaje, </w:t>
      </w:r>
      <w:r w:rsidR="00A92FFA" w:rsidRPr="00A92FFA">
        <w:rPr>
          <w:rFonts w:ascii="Times New Roman" w:eastAsia="Times New Roman" w:hAnsi="Times New Roman" w:cs="Times New Roman"/>
          <w:sz w:val="24"/>
          <w:szCs w:val="24"/>
          <w:lang w:val="es-ES_tradnl" w:eastAsia="es-ES"/>
        </w:rPr>
        <w:t xml:space="preserve">con destino al Fondo de Seguridad Vial – FOSEVI -. </w:t>
      </w:r>
      <w:r w:rsidR="00EB78FD" w:rsidRPr="003F02D3">
        <w:rPr>
          <w:rFonts w:ascii="Times New Roman" w:eastAsia="Times New Roman" w:hAnsi="Times New Roman" w:cs="Times New Roman"/>
          <w:sz w:val="24"/>
          <w:szCs w:val="24"/>
          <w:lang w:val="es-ES_tradnl" w:eastAsia="es-ES"/>
        </w:rPr>
        <w:t xml:space="preserve"> </w:t>
      </w:r>
    </w:p>
    <w:p w14:paraId="0FC928DD" w14:textId="77777777" w:rsidR="00DD6313" w:rsidRPr="003F02D3" w:rsidRDefault="00DD6313" w:rsidP="00EB78FD">
      <w:pPr>
        <w:spacing w:after="0" w:line="240" w:lineRule="auto"/>
        <w:jc w:val="both"/>
        <w:rPr>
          <w:rFonts w:ascii="Times New Roman" w:eastAsia="Times New Roman" w:hAnsi="Times New Roman" w:cs="Times New Roman"/>
          <w:b/>
          <w:sz w:val="24"/>
          <w:szCs w:val="24"/>
          <w:lang w:val="es-ES_tradnl" w:eastAsia="es-ES"/>
        </w:rPr>
      </w:pPr>
    </w:p>
    <w:p w14:paraId="3331708A" w14:textId="77777777" w:rsidR="00DD6313" w:rsidRPr="003F02D3" w:rsidRDefault="00DD6313" w:rsidP="00EB78FD">
      <w:pPr>
        <w:spacing w:after="0" w:line="240" w:lineRule="auto"/>
        <w:jc w:val="both"/>
        <w:rPr>
          <w:rFonts w:ascii="Times New Roman" w:eastAsia="Times New Roman" w:hAnsi="Times New Roman" w:cs="Times New Roman"/>
          <w:b/>
          <w:sz w:val="24"/>
          <w:szCs w:val="24"/>
          <w:lang w:val="es-ES_tradnl" w:eastAsia="es-ES"/>
        </w:rPr>
      </w:pPr>
    </w:p>
    <w:p w14:paraId="0AB73833" w14:textId="77777777" w:rsidR="00A92FFA" w:rsidRDefault="006F3DFE" w:rsidP="00A92FFA">
      <w:pPr>
        <w:spacing w:after="0" w:line="240" w:lineRule="auto"/>
        <w:jc w:val="both"/>
        <w:rPr>
          <w:rFonts w:ascii="Times New Roman" w:eastAsia="Times New Roman" w:hAnsi="Times New Roman" w:cs="Times New Roman"/>
          <w:sz w:val="24"/>
          <w:szCs w:val="24"/>
          <w:lang w:val="es-ES_tradnl" w:eastAsia="es-ES"/>
        </w:rPr>
      </w:pPr>
      <w:r w:rsidRPr="00734EEF">
        <w:rPr>
          <w:rFonts w:ascii="Times New Roman" w:eastAsia="Times New Roman" w:hAnsi="Times New Roman" w:cs="Times New Roman"/>
          <w:b/>
          <w:snapToGrid w:val="0"/>
          <w:color w:val="000000"/>
          <w:sz w:val="24"/>
          <w:szCs w:val="24"/>
          <w:lang w:val="es-ES_tradnl" w:eastAsia="es-CO"/>
        </w:rPr>
        <w:t>ARTÍCULO</w:t>
      </w:r>
      <w:r w:rsidR="003F02D3" w:rsidRPr="00734EEF">
        <w:rPr>
          <w:rFonts w:ascii="Times New Roman" w:eastAsia="Times New Roman" w:hAnsi="Times New Roman" w:cs="Times New Roman"/>
          <w:b/>
          <w:snapToGrid w:val="0"/>
          <w:color w:val="000000"/>
          <w:sz w:val="24"/>
          <w:szCs w:val="24"/>
          <w:lang w:val="es-ES_tradnl" w:eastAsia="es-CO"/>
        </w:rPr>
        <w:t xml:space="preserve"> CUARTO</w:t>
      </w:r>
      <w:r w:rsidR="003F02D3" w:rsidRPr="003F02D3">
        <w:rPr>
          <w:rFonts w:ascii="Times New Roman" w:eastAsia="Times New Roman" w:hAnsi="Times New Roman" w:cs="Times New Roman"/>
          <w:snapToGrid w:val="0"/>
          <w:color w:val="000000"/>
          <w:sz w:val="24"/>
          <w:szCs w:val="24"/>
          <w:lang w:val="es-ES_tradnl" w:eastAsia="es-CO"/>
        </w:rPr>
        <w:t xml:space="preserve">: </w:t>
      </w:r>
      <w:r w:rsidR="00EB78FD" w:rsidRPr="003F02D3">
        <w:rPr>
          <w:rFonts w:ascii="Times New Roman" w:eastAsia="Times New Roman" w:hAnsi="Times New Roman" w:cs="Times New Roman"/>
          <w:snapToGrid w:val="0"/>
          <w:color w:val="000000"/>
          <w:sz w:val="24"/>
          <w:szCs w:val="24"/>
          <w:lang w:val="es-ES_tradnl" w:eastAsia="es-CO"/>
        </w:rPr>
        <w:t>Las tarifas se actualizarán cada año</w:t>
      </w:r>
      <w:r w:rsidR="00A92FFA">
        <w:rPr>
          <w:rFonts w:ascii="Times New Roman" w:eastAsia="Times New Roman" w:hAnsi="Times New Roman" w:cs="Times New Roman"/>
          <w:snapToGrid w:val="0"/>
          <w:color w:val="000000"/>
          <w:sz w:val="24"/>
          <w:szCs w:val="24"/>
          <w:lang w:val="es-ES_tradnl" w:eastAsia="es-CO"/>
        </w:rPr>
        <w:t xml:space="preserve"> </w:t>
      </w:r>
      <w:r w:rsidR="00A92FFA" w:rsidRPr="00A92FFA">
        <w:rPr>
          <w:rFonts w:ascii="Times New Roman" w:eastAsia="Times New Roman" w:hAnsi="Times New Roman" w:cs="Times New Roman"/>
          <w:sz w:val="24"/>
          <w:szCs w:val="24"/>
          <w:lang w:val="es-ES_tradnl" w:eastAsia="es-ES"/>
        </w:rPr>
        <w:t>de acuerdo con el incremento del IPC  y aplicando la siguiente fórmula de ajuste:</w:t>
      </w:r>
    </w:p>
    <w:p w14:paraId="31F3BCBE" w14:textId="77777777" w:rsidR="00A92FFA" w:rsidRDefault="00A92FFA" w:rsidP="00A92FFA">
      <w:pPr>
        <w:spacing w:after="0" w:line="240" w:lineRule="auto"/>
        <w:jc w:val="both"/>
        <w:rPr>
          <w:rFonts w:ascii="Times New Roman" w:eastAsia="Times New Roman" w:hAnsi="Times New Roman" w:cs="Times New Roman"/>
          <w:sz w:val="24"/>
          <w:szCs w:val="24"/>
          <w:lang w:val="es-ES_tradnl" w:eastAsia="es-ES"/>
        </w:rPr>
      </w:pPr>
    </w:p>
    <w:p w14:paraId="6E9C920C" w14:textId="77777777" w:rsidR="00A92FFA" w:rsidRPr="00A92FFA" w:rsidRDefault="00852598" w:rsidP="00A92FFA">
      <w:pPr>
        <w:spacing w:after="0" w:line="240" w:lineRule="auto"/>
        <w:jc w:val="both"/>
        <w:rPr>
          <w:rFonts w:ascii="Times New Roman" w:eastAsia="Times New Roman" w:hAnsi="Times New Roman" w:cs="Times New Roman"/>
          <w:sz w:val="24"/>
          <w:szCs w:val="24"/>
          <w:lang w:val="es-ES_tradnl" w:eastAsia="es-ES"/>
        </w:rP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Tarifa</m:t>
              </m:r>
              <m:r>
                <m:rPr>
                  <m:sty m:val="p"/>
                </m:rPr>
                <w:rPr>
                  <w:rFonts w:ascii="Cambria Math" w:hAnsi="Cambria Math"/>
                </w:rPr>
                <m:t xml:space="preserve"> </m:t>
              </m:r>
            </m:e>
            <m:sub>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n</m:t>
                  </m:r>
                </m:sub>
              </m:sSub>
            </m:num>
            <m:den>
              <m:sSub>
                <m:sSubPr>
                  <m:ctrlPr>
                    <w:rPr>
                      <w:rFonts w:ascii="Cambria Math" w:hAnsi="Cambria Math"/>
                    </w:rPr>
                  </m:ctrlPr>
                </m:sSubPr>
                <m:e>
                  <m:r>
                    <w:rPr>
                      <w:rFonts w:ascii="Cambria Math" w:hAnsi="Cambria Math"/>
                    </w:rPr>
                    <m:t>IPC</m:t>
                  </m:r>
                </m:e>
                <m:sub>
                  <m:r>
                    <w:rPr>
                      <w:rFonts w:ascii="Cambria Math" w:hAnsi="Cambria Math"/>
                    </w:rPr>
                    <m:t>n</m:t>
                  </m:r>
                  <m:r>
                    <m:rPr>
                      <m:sty m:val="p"/>
                    </m:rPr>
                    <w:rPr>
                      <w:rFonts w:ascii="Cambria Math" w:hAnsi="Cambria Math"/>
                    </w:rPr>
                    <m:t>-1</m:t>
                  </m:r>
                </m:sub>
              </m:sSub>
            </m:den>
          </m:f>
          <m:r>
            <m:rPr>
              <m:sty m:val="p"/>
            </m:rPr>
            <w:rPr>
              <w:rFonts w:ascii="Cambria Math" w:hAnsi="Cambria Math"/>
            </w:rPr>
            <m:t>)</m:t>
          </m:r>
          <m:r>
            <m:rPr>
              <m:sty m:val="p"/>
            </m:rPr>
            <w:rPr>
              <w:rFonts w:ascii="Cambria Math" w:hAnsi="Cambria Math"/>
              <w:position w:val="-30"/>
              <w:lang w:val="en-US"/>
            </w:rPr>
            <m:t xml:space="preserve"> </m:t>
          </m:r>
        </m:oMath>
      </m:oMathPara>
    </w:p>
    <w:p w14:paraId="079BCC13" w14:textId="77777777" w:rsidR="00A92FFA" w:rsidRDefault="00A92FFA" w:rsidP="00A92FFA">
      <w:pPr>
        <w:spacing w:after="0" w:line="240" w:lineRule="auto"/>
        <w:jc w:val="both"/>
        <w:rPr>
          <w:rFonts w:ascii="Times New Roman" w:eastAsia="Times New Roman" w:hAnsi="Times New Roman" w:cs="Times New Roman"/>
          <w:sz w:val="24"/>
          <w:szCs w:val="24"/>
          <w:lang w:val="es-ES_tradnl" w:eastAsia="es-ES"/>
        </w:rPr>
      </w:pPr>
    </w:p>
    <w:p w14:paraId="7EF0B629" w14:textId="77777777" w:rsidR="00A92FFA" w:rsidRDefault="00A92FFA" w:rsidP="00A92FFA">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Donde: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5043"/>
      </w:tblGrid>
      <w:tr w:rsidR="00A92FFA" w:rsidRPr="00F150BA" w14:paraId="0B574C84" w14:textId="77777777" w:rsidTr="00B8541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894B1D" w14:textId="77777777" w:rsidR="00A92FFA" w:rsidRPr="00A92FFA" w:rsidRDefault="00852598" w:rsidP="005E3A8D">
            <w:pPr>
              <w:autoSpaceDE w:val="0"/>
              <w:autoSpaceDN w:val="0"/>
              <w:adjustRightInd w:val="0"/>
              <w:spacing w:before="120" w:after="120"/>
              <w:ind w:left="624" w:hanging="624"/>
            </w:pPr>
            <m:oMathPara>
              <m:oMath>
                <m:sSub>
                  <m:sSubPr>
                    <m:ctrlPr>
                      <w:rPr>
                        <w:rFonts w:ascii="Cambria Math" w:hAnsi="Cambria Math"/>
                      </w:rPr>
                    </m:ctrlPr>
                  </m:sSubPr>
                  <m:e>
                    <m:r>
                      <w:rPr>
                        <w:rFonts w:ascii="Cambria Math" w:hAnsi="Cambria Math"/>
                      </w:rPr>
                      <m:t>Tarifa</m:t>
                    </m:r>
                  </m:e>
                  <m:sub>
                    <m:r>
                      <w:rPr>
                        <w:rFonts w:ascii="Cambria Math" w:hAnsi="Cambria Math"/>
                      </w:rPr>
                      <m:t>n</m:t>
                    </m:r>
                  </m:sub>
                </m:sSub>
              </m:oMath>
            </m:oMathPara>
          </w:p>
        </w:tc>
        <w:tc>
          <w:tcPr>
            <w:tcW w:w="5043" w:type="dxa"/>
            <w:tcBorders>
              <w:top w:val="single" w:sz="4" w:space="0" w:color="auto"/>
              <w:left w:val="single" w:sz="4" w:space="0" w:color="auto"/>
              <w:bottom w:val="single" w:sz="4" w:space="0" w:color="auto"/>
              <w:right w:val="single" w:sz="4" w:space="0" w:color="auto"/>
            </w:tcBorders>
            <w:vAlign w:val="center"/>
          </w:tcPr>
          <w:p w14:paraId="75137A10" w14:textId="77777777" w:rsidR="00A92FFA" w:rsidRPr="00F150BA" w:rsidRDefault="00A92FFA" w:rsidP="005E3A8D">
            <w:pPr>
              <w:autoSpaceDE w:val="0"/>
              <w:autoSpaceDN w:val="0"/>
              <w:spacing w:before="240" w:after="60"/>
              <w:ind w:left="1416" w:hanging="1416"/>
              <w:jc w:val="both"/>
              <w:outlineLvl w:val="5"/>
            </w:pPr>
            <w:r w:rsidRPr="00F150BA">
              <w:t>Tarifa actualizada para el periodo n, sin el redondeo a la centena.</w:t>
            </w:r>
          </w:p>
          <w:p w14:paraId="073EB2A0" w14:textId="77777777" w:rsidR="00A92FFA" w:rsidRPr="00F150BA" w:rsidRDefault="00A92FFA" w:rsidP="005E3A8D">
            <w:pPr>
              <w:autoSpaceDE w:val="0"/>
              <w:autoSpaceDN w:val="0"/>
              <w:adjustRightInd w:val="0"/>
              <w:spacing w:before="120" w:after="120"/>
              <w:jc w:val="both"/>
              <w:outlineLvl w:val="5"/>
              <w:rPr>
                <w:lang w:val="es-ES"/>
              </w:rPr>
            </w:pPr>
          </w:p>
        </w:tc>
      </w:tr>
      <w:tr w:rsidR="00A92FFA" w:rsidRPr="00F150BA" w14:paraId="622546D0" w14:textId="77777777" w:rsidTr="00B8541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1F13C2" w14:textId="77777777" w:rsidR="00A92FFA" w:rsidRPr="00A92FFA" w:rsidRDefault="00852598" w:rsidP="005E3A8D">
            <w:pPr>
              <w:autoSpaceDE w:val="0"/>
              <w:autoSpaceDN w:val="0"/>
              <w:adjustRightInd w:val="0"/>
              <w:spacing w:before="120" w:after="120"/>
            </w:pPr>
            <m:oMathPara>
              <m:oMath>
                <m:sSub>
                  <m:sSubPr>
                    <m:ctrlPr>
                      <w:rPr>
                        <w:rFonts w:ascii="Cambria Math" w:hAnsi="Cambria Math"/>
                      </w:rPr>
                    </m:ctrlPr>
                  </m:sSubPr>
                  <m:e>
                    <m:r>
                      <w:rPr>
                        <w:rFonts w:ascii="Cambria Math" w:hAnsi="Cambria Math"/>
                      </w:rPr>
                      <m:t>Tarifa</m:t>
                    </m:r>
                    <m:r>
                      <m:rPr>
                        <m:sty m:val="p"/>
                      </m:rPr>
                      <w:rPr>
                        <w:rFonts w:ascii="Cambria Math" w:hAnsi="Cambria Math"/>
                      </w:rPr>
                      <m:t xml:space="preserve"> </m:t>
                    </m:r>
                  </m:e>
                  <m:sub>
                    <m:r>
                      <w:rPr>
                        <w:rFonts w:ascii="Cambria Math" w:hAnsi="Cambria Math"/>
                      </w:rPr>
                      <m:t>n</m:t>
                    </m:r>
                    <m:r>
                      <m:rPr>
                        <m:sty m:val="p"/>
                      </m:rPr>
                      <w:rPr>
                        <w:rFonts w:ascii="Cambria Math" w:hAnsi="Cambria Math"/>
                      </w:rPr>
                      <m:t>-1</m:t>
                    </m:r>
                  </m:sub>
                </m:sSub>
              </m:oMath>
            </m:oMathPara>
          </w:p>
        </w:tc>
        <w:tc>
          <w:tcPr>
            <w:tcW w:w="5043" w:type="dxa"/>
            <w:tcBorders>
              <w:top w:val="single" w:sz="4" w:space="0" w:color="auto"/>
              <w:left w:val="single" w:sz="4" w:space="0" w:color="auto"/>
              <w:bottom w:val="single" w:sz="4" w:space="0" w:color="auto"/>
              <w:right w:val="single" w:sz="4" w:space="0" w:color="auto"/>
            </w:tcBorders>
            <w:vAlign w:val="center"/>
          </w:tcPr>
          <w:p w14:paraId="5645CEF8" w14:textId="77777777" w:rsidR="00A92FFA" w:rsidRPr="00F150BA" w:rsidRDefault="00A92FFA" w:rsidP="005E3A8D">
            <w:pPr>
              <w:autoSpaceDE w:val="0"/>
              <w:autoSpaceDN w:val="0"/>
              <w:spacing w:before="240" w:after="60"/>
              <w:jc w:val="both"/>
              <w:outlineLvl w:val="5"/>
            </w:pPr>
            <w:r w:rsidRPr="00F150BA">
              <w:t>Corresponde a la tarifa cobrada al usuario en el periodo inmediatamente anterior incluyendo la tarifa del Fondo de Seguridad Vial (FSV).</w:t>
            </w:r>
          </w:p>
          <w:p w14:paraId="4F21E399" w14:textId="77777777" w:rsidR="00A92FFA" w:rsidRPr="00F150BA" w:rsidRDefault="00A92FFA" w:rsidP="005E3A8D">
            <w:pPr>
              <w:autoSpaceDE w:val="0"/>
              <w:autoSpaceDN w:val="0"/>
              <w:adjustRightInd w:val="0"/>
              <w:spacing w:before="120" w:after="120"/>
              <w:jc w:val="both"/>
              <w:outlineLvl w:val="5"/>
              <w:rPr>
                <w:lang w:val="es-ES"/>
              </w:rPr>
            </w:pPr>
          </w:p>
        </w:tc>
      </w:tr>
      <w:tr w:rsidR="00A92FFA" w:rsidRPr="00F150BA" w14:paraId="4E12EA6B" w14:textId="77777777" w:rsidTr="00B85411">
        <w:trPr>
          <w:trHeight w:val="305"/>
          <w:jc w:val="center"/>
        </w:trPr>
        <w:tc>
          <w:tcPr>
            <w:tcW w:w="0" w:type="auto"/>
            <w:tcBorders>
              <w:top w:val="single" w:sz="4" w:space="0" w:color="auto"/>
              <w:left w:val="single" w:sz="4" w:space="0" w:color="auto"/>
              <w:bottom w:val="single" w:sz="4" w:space="0" w:color="auto"/>
              <w:right w:val="single" w:sz="4" w:space="0" w:color="auto"/>
            </w:tcBorders>
          </w:tcPr>
          <w:p w14:paraId="4B1A786C" w14:textId="77777777" w:rsidR="00A92FFA" w:rsidRPr="00F150BA" w:rsidRDefault="00A92FFA" w:rsidP="005E3A8D">
            <w:pPr>
              <w:autoSpaceDE w:val="0"/>
              <w:autoSpaceDN w:val="0"/>
              <w:adjustRightInd w:val="0"/>
              <w:spacing w:before="120" w:after="120"/>
              <w:rPr>
                <w:lang w:val="es-ES"/>
              </w:rPr>
            </w:pPr>
            <w:r w:rsidRPr="00F150BA">
              <w:rPr>
                <w:lang w:val="es-ES"/>
              </w:rPr>
              <w:t>IPC n-1</w:t>
            </w:r>
          </w:p>
        </w:tc>
        <w:tc>
          <w:tcPr>
            <w:tcW w:w="5043" w:type="dxa"/>
            <w:tcBorders>
              <w:top w:val="single" w:sz="4" w:space="0" w:color="auto"/>
              <w:left w:val="single" w:sz="4" w:space="0" w:color="auto"/>
              <w:bottom w:val="single" w:sz="4" w:space="0" w:color="auto"/>
              <w:right w:val="single" w:sz="4" w:space="0" w:color="auto"/>
            </w:tcBorders>
          </w:tcPr>
          <w:p w14:paraId="518A9F6D" w14:textId="77777777" w:rsidR="00A92FFA" w:rsidRPr="00F150BA" w:rsidRDefault="00A92FFA" w:rsidP="005E3A8D">
            <w:pPr>
              <w:autoSpaceDE w:val="0"/>
              <w:autoSpaceDN w:val="0"/>
              <w:adjustRightInd w:val="0"/>
              <w:spacing w:before="120" w:after="120"/>
              <w:rPr>
                <w:lang w:val="es-ES"/>
              </w:rPr>
            </w:pPr>
            <w:r w:rsidRPr="00F150BA">
              <w:rPr>
                <w:lang w:val="es-ES"/>
              </w:rPr>
              <w:t>IPC de Diciembre del año inmediatamente anterior a n</w:t>
            </w:r>
          </w:p>
        </w:tc>
      </w:tr>
      <w:tr w:rsidR="00A92FFA" w:rsidRPr="00F150BA" w14:paraId="5B5DF217" w14:textId="77777777" w:rsidTr="00B85411">
        <w:trPr>
          <w:trHeight w:val="305"/>
          <w:jc w:val="center"/>
        </w:trPr>
        <w:tc>
          <w:tcPr>
            <w:tcW w:w="0" w:type="auto"/>
            <w:tcBorders>
              <w:top w:val="single" w:sz="4" w:space="0" w:color="auto"/>
              <w:left w:val="single" w:sz="4" w:space="0" w:color="auto"/>
              <w:bottom w:val="single" w:sz="4" w:space="0" w:color="auto"/>
              <w:right w:val="single" w:sz="4" w:space="0" w:color="auto"/>
            </w:tcBorders>
          </w:tcPr>
          <w:p w14:paraId="46B7F232" w14:textId="77777777" w:rsidR="00A92FFA" w:rsidRPr="00F150BA" w:rsidRDefault="00A92FFA" w:rsidP="005E3A8D">
            <w:pPr>
              <w:autoSpaceDE w:val="0"/>
              <w:autoSpaceDN w:val="0"/>
              <w:adjustRightInd w:val="0"/>
              <w:spacing w:before="120" w:after="120"/>
              <w:rPr>
                <w:lang w:val="es-ES"/>
              </w:rPr>
            </w:pPr>
            <w:r w:rsidRPr="00F150BA">
              <w:rPr>
                <w:lang w:val="es-ES"/>
              </w:rPr>
              <w:t>IPC n</w:t>
            </w:r>
          </w:p>
        </w:tc>
        <w:tc>
          <w:tcPr>
            <w:tcW w:w="5043" w:type="dxa"/>
            <w:tcBorders>
              <w:top w:val="single" w:sz="4" w:space="0" w:color="auto"/>
              <w:left w:val="single" w:sz="4" w:space="0" w:color="auto"/>
              <w:bottom w:val="single" w:sz="4" w:space="0" w:color="auto"/>
              <w:right w:val="single" w:sz="4" w:space="0" w:color="auto"/>
            </w:tcBorders>
          </w:tcPr>
          <w:p w14:paraId="19D35483" w14:textId="77777777" w:rsidR="00A92FFA" w:rsidRPr="00F150BA" w:rsidRDefault="00A92FFA" w:rsidP="005E3A8D">
            <w:pPr>
              <w:autoSpaceDE w:val="0"/>
              <w:autoSpaceDN w:val="0"/>
              <w:adjustRightInd w:val="0"/>
              <w:spacing w:before="120" w:after="120"/>
              <w:rPr>
                <w:lang w:val="es-ES"/>
              </w:rPr>
            </w:pPr>
            <w:r w:rsidRPr="00F150BA">
              <w:rPr>
                <w:lang w:val="es-ES"/>
              </w:rPr>
              <w:t>IPC de Diciembre del año n</w:t>
            </w:r>
          </w:p>
        </w:tc>
      </w:tr>
    </w:tbl>
    <w:p w14:paraId="3E1D47A7" w14:textId="77777777" w:rsidR="00A92FFA" w:rsidRPr="00A92FFA" w:rsidRDefault="00A92FFA" w:rsidP="00A92FFA">
      <w:pPr>
        <w:spacing w:after="0" w:line="240" w:lineRule="auto"/>
        <w:jc w:val="both"/>
        <w:rPr>
          <w:rFonts w:ascii="Times New Roman" w:eastAsia="Times New Roman" w:hAnsi="Times New Roman" w:cs="Times New Roman"/>
          <w:sz w:val="24"/>
          <w:szCs w:val="24"/>
          <w:lang w:eastAsia="es-ES"/>
        </w:rPr>
      </w:pPr>
    </w:p>
    <w:p w14:paraId="0452AFB5" w14:textId="77777777" w:rsidR="00A92FFA" w:rsidRDefault="00A92FFA" w:rsidP="00A92FFA">
      <w:pPr>
        <w:spacing w:after="0" w:line="240" w:lineRule="auto"/>
        <w:jc w:val="both"/>
        <w:rPr>
          <w:rFonts w:ascii="Times New Roman" w:eastAsia="Times New Roman" w:hAnsi="Times New Roman" w:cs="Times New Roman"/>
          <w:sz w:val="24"/>
          <w:szCs w:val="24"/>
          <w:lang w:val="es-ES_tradnl" w:eastAsia="es-ES"/>
        </w:rPr>
      </w:pPr>
      <w:r w:rsidRPr="00A92FFA">
        <w:rPr>
          <w:rFonts w:ascii="Times New Roman" w:eastAsia="Times New Roman" w:hAnsi="Times New Roman" w:cs="Times New Roman"/>
          <w:sz w:val="24"/>
          <w:szCs w:val="24"/>
          <w:lang w:val="es-ES_tradnl" w:eastAsia="es-ES"/>
        </w:rPr>
        <w:t>Una vez se establezca la tarifa sin el redondeo a la centena, se ajustará a la centena más cercana de acuerdo con la siguiente fórmula:</w:t>
      </w:r>
    </w:p>
    <w:p w14:paraId="732B64A7" w14:textId="77777777" w:rsidR="00B85411" w:rsidRDefault="00B85411" w:rsidP="00A92FFA">
      <w:pPr>
        <w:spacing w:after="0" w:line="240" w:lineRule="auto"/>
        <w:jc w:val="both"/>
        <w:rPr>
          <w:rFonts w:ascii="Times New Roman" w:eastAsia="Times New Roman" w:hAnsi="Times New Roman" w:cs="Times New Roman"/>
          <w:sz w:val="24"/>
          <w:szCs w:val="24"/>
          <w:lang w:val="es-ES_tradnl" w:eastAsia="es-ES"/>
        </w:rPr>
      </w:pPr>
    </w:p>
    <w:p w14:paraId="62C159D2" w14:textId="77777777" w:rsidR="00B85411" w:rsidRPr="00B85411" w:rsidRDefault="00852598" w:rsidP="00A92FFA">
      <w:pPr>
        <w:spacing w:after="0" w:line="240" w:lineRule="auto"/>
        <w:jc w:val="both"/>
        <w:rPr>
          <w:rFonts w:ascii="Times New Roman" w:eastAsia="Times New Roman" w:hAnsi="Times New Roman" w:cs="Times New Roman"/>
          <w:sz w:val="24"/>
          <w:szCs w:val="24"/>
          <w:lang w:val="es-ES_tradnl" w:eastAsia="es-ES"/>
        </w:rPr>
      </w:pPr>
      <m:oMathPara>
        <m:oMathParaPr>
          <m:jc m:val="center"/>
        </m:oMathParaPr>
        <m:oMath>
          <m:sSub>
            <m:sSubPr>
              <m:ctrlPr>
                <w:rPr>
                  <w:rFonts w:ascii="Cambria Math" w:hAnsi="Cambria Math"/>
                </w:rPr>
              </m:ctrlPr>
            </m:sSubPr>
            <m:e>
              <m:r>
                <w:rPr>
                  <w:rFonts w:ascii="Cambria Math" w:hAnsi="Cambria Math"/>
                </w:rPr>
                <m:t>TarifaUsuario</m:t>
              </m:r>
            </m:e>
            <m:sub>
              <m:r>
                <w:rPr>
                  <w:rFonts w:ascii="Cambria Math" w:hAnsi="Cambria Math"/>
                </w:rPr>
                <m:t>n</m:t>
              </m:r>
            </m:sub>
          </m:sSub>
          <m:r>
            <m:rPr>
              <m:sty m:val="p"/>
            </m:rPr>
            <w:rPr>
              <w:rFonts w:ascii="Cambria Math" w:hAnsi="Cambria Math"/>
            </w:rPr>
            <m:t>=</m:t>
          </m:r>
          <m:r>
            <w:rPr>
              <w:rFonts w:ascii="Cambria Math" w:hAnsi="Cambria Math"/>
            </w:rPr>
            <m:t>Redondeo</m:t>
          </m:r>
          <m:r>
            <m:rPr>
              <m:sty m:val="p"/>
            </m:rPr>
            <w:rPr>
              <w:rFonts w:ascii="Cambria Math" w:hAnsi="Cambria Math"/>
            </w:rPr>
            <m:t>100*</m:t>
          </m:r>
          <m:d>
            <m:dPr>
              <m:begChr m:val="["/>
              <m:endChr m:val="]"/>
              <m:ctrlPr>
                <w:rPr>
                  <w:rFonts w:ascii="Cambria Math" w:hAnsi="Cambria Math"/>
                </w:rPr>
              </m:ctrlPr>
            </m:dPr>
            <m:e>
              <m:sSub>
                <m:sSubPr>
                  <m:ctrlPr>
                    <w:rPr>
                      <w:rFonts w:ascii="Cambria Math" w:hAnsi="Cambria Math"/>
                    </w:rPr>
                  </m:ctrlPr>
                </m:sSubPr>
                <m:e>
                  <m:r>
                    <w:rPr>
                      <w:rFonts w:ascii="Cambria Math" w:hAnsi="Cambria Math"/>
                    </w:rPr>
                    <m:t>Tarifa</m:t>
                  </m:r>
                </m:e>
                <m:sub>
                  <m:r>
                    <w:rPr>
                      <w:rFonts w:ascii="Cambria Math" w:hAnsi="Cambria Math"/>
                    </w:rPr>
                    <m:t>n</m:t>
                  </m:r>
                </m:sub>
              </m:sSub>
            </m:e>
          </m:d>
        </m:oMath>
      </m:oMathPara>
    </w:p>
    <w:p w14:paraId="2E9FB092" w14:textId="77777777" w:rsidR="00A92FFA" w:rsidRDefault="00A92FFA" w:rsidP="00A92FFA">
      <w:pPr>
        <w:spacing w:after="0" w:line="240" w:lineRule="auto"/>
        <w:jc w:val="both"/>
        <w:rPr>
          <w:rFonts w:ascii="Times New Roman" w:eastAsia="Times New Roman" w:hAnsi="Times New Roman" w:cs="Times New Roman"/>
          <w:sz w:val="24"/>
          <w:szCs w:val="24"/>
          <w:lang w:val="es-ES_tradnl" w:eastAsia="es-ES"/>
        </w:rPr>
      </w:pPr>
    </w:p>
    <w:tbl>
      <w:tblPr>
        <w:tblW w:w="66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4775"/>
      </w:tblGrid>
      <w:tr w:rsidR="00A92FFA" w:rsidRPr="00F150BA" w14:paraId="659FC0CB" w14:textId="77777777" w:rsidTr="00B85411">
        <w:tc>
          <w:tcPr>
            <w:tcW w:w="1887" w:type="dxa"/>
          </w:tcPr>
          <w:p w14:paraId="3F459E5E" w14:textId="77777777" w:rsidR="00A92FFA" w:rsidRPr="00F150BA" w:rsidRDefault="00A92FFA" w:rsidP="005E3A8D">
            <w:pPr>
              <w:autoSpaceDE w:val="0"/>
              <w:autoSpaceDN w:val="0"/>
              <w:adjustRightInd w:val="0"/>
              <w:spacing w:before="120" w:after="120"/>
            </w:pPr>
            <w:r w:rsidRPr="00F150BA">
              <w:t>TarifaUsuario</w:t>
            </w:r>
            <w:r w:rsidRPr="00F150BA">
              <w:rPr>
                <w:vertAlign w:val="subscript"/>
              </w:rPr>
              <w:t>n</w:t>
            </w:r>
          </w:p>
        </w:tc>
        <w:tc>
          <w:tcPr>
            <w:tcW w:w="4775" w:type="dxa"/>
          </w:tcPr>
          <w:p w14:paraId="6CD94101" w14:textId="77777777" w:rsidR="00A92FFA" w:rsidRPr="00F150BA" w:rsidRDefault="00A92FFA" w:rsidP="005E3A8D">
            <w:pPr>
              <w:autoSpaceDE w:val="0"/>
              <w:autoSpaceDN w:val="0"/>
              <w:adjustRightInd w:val="0"/>
              <w:spacing w:before="120" w:after="120"/>
            </w:pPr>
            <w:r w:rsidRPr="00F150BA">
              <w:t>Valor actualizado de la tarifa para el año n, incluyendo la tarifa del Fondo de Seguridad Vial (FSV).</w:t>
            </w:r>
          </w:p>
        </w:tc>
      </w:tr>
      <w:tr w:rsidR="00A92FFA" w:rsidRPr="00F150BA" w14:paraId="436BCED4" w14:textId="77777777" w:rsidTr="00B85411">
        <w:tc>
          <w:tcPr>
            <w:tcW w:w="1887" w:type="dxa"/>
          </w:tcPr>
          <w:p w14:paraId="3CB40848" w14:textId="77777777" w:rsidR="00A92FFA" w:rsidRPr="00F150BA" w:rsidRDefault="00A92FFA" w:rsidP="005E3A8D">
            <w:pPr>
              <w:autoSpaceDE w:val="0"/>
              <w:autoSpaceDN w:val="0"/>
              <w:adjustRightInd w:val="0"/>
              <w:spacing w:before="120" w:after="120"/>
            </w:pPr>
            <w:r w:rsidRPr="00F150BA">
              <w:t>Tarifa</w:t>
            </w:r>
            <w:r w:rsidRPr="00F150BA">
              <w:rPr>
                <w:vertAlign w:val="subscript"/>
              </w:rPr>
              <w:t>n</w:t>
            </w:r>
          </w:p>
        </w:tc>
        <w:tc>
          <w:tcPr>
            <w:tcW w:w="4775" w:type="dxa"/>
          </w:tcPr>
          <w:p w14:paraId="61AE9882" w14:textId="77777777" w:rsidR="00A92FFA" w:rsidRPr="00F150BA" w:rsidRDefault="00A92FFA" w:rsidP="005E3A8D">
            <w:pPr>
              <w:autoSpaceDE w:val="0"/>
              <w:autoSpaceDN w:val="0"/>
              <w:spacing w:before="240" w:after="60"/>
              <w:ind w:left="1416" w:hanging="1416"/>
              <w:jc w:val="both"/>
              <w:outlineLvl w:val="5"/>
            </w:pPr>
            <w:r w:rsidRPr="00F150BA">
              <w:t>Tarifa actualizada para el periodo n, sin el redondeo a la centena.</w:t>
            </w:r>
          </w:p>
          <w:p w14:paraId="021D91B7" w14:textId="77777777" w:rsidR="00A92FFA" w:rsidRPr="00F150BA" w:rsidRDefault="00A92FFA" w:rsidP="005E3A8D">
            <w:pPr>
              <w:autoSpaceDE w:val="0"/>
              <w:autoSpaceDN w:val="0"/>
              <w:adjustRightInd w:val="0"/>
              <w:spacing w:before="120" w:after="120"/>
            </w:pPr>
          </w:p>
        </w:tc>
      </w:tr>
      <w:tr w:rsidR="00A92FFA" w:rsidRPr="00F150BA" w14:paraId="1F3CF1C1" w14:textId="77777777" w:rsidTr="00B85411">
        <w:tc>
          <w:tcPr>
            <w:tcW w:w="1887" w:type="dxa"/>
          </w:tcPr>
          <w:p w14:paraId="19EA8173" w14:textId="77777777" w:rsidR="00A92FFA" w:rsidRPr="00F150BA" w:rsidRDefault="00A92FFA" w:rsidP="005E3A8D">
            <w:pPr>
              <w:autoSpaceDE w:val="0"/>
              <w:autoSpaceDN w:val="0"/>
              <w:adjustRightInd w:val="0"/>
              <w:spacing w:before="120" w:after="120"/>
            </w:pPr>
            <w:r w:rsidRPr="00F150BA">
              <w:t>Redondeo100</w:t>
            </w:r>
          </w:p>
        </w:tc>
        <w:tc>
          <w:tcPr>
            <w:tcW w:w="4775" w:type="dxa"/>
          </w:tcPr>
          <w:p w14:paraId="5474C881" w14:textId="77777777" w:rsidR="00A92FFA" w:rsidRPr="00F150BA" w:rsidRDefault="00A92FFA" w:rsidP="005E3A8D">
            <w:pPr>
              <w:autoSpaceDE w:val="0"/>
              <w:autoSpaceDN w:val="0"/>
              <w:adjustRightInd w:val="0"/>
              <w:spacing w:before="120" w:after="120"/>
              <w:jc w:val="both"/>
            </w:pPr>
            <w:r w:rsidRPr="00F150BA">
              <w:t>Función que redondea un número al múltiplo de cien (100) más cercano. Redondea hacia la centena superior, si el residuo de dividir el número entre cien (100) es mayor o igual a cincuenta (50). Redondea hacia la centena inferior, si el residuo de dividir el número entre cien (100) es menor que cincuenta (50).</w:t>
            </w:r>
          </w:p>
        </w:tc>
      </w:tr>
    </w:tbl>
    <w:p w14:paraId="7CB356BA"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 xml:space="preserve">ARTÍCULO </w:t>
      </w:r>
      <w:r w:rsidR="003F02D3" w:rsidRPr="003F02D3">
        <w:rPr>
          <w:rFonts w:ascii="Times New Roman" w:eastAsia="Times New Roman" w:hAnsi="Times New Roman" w:cs="Times New Roman"/>
          <w:b/>
          <w:sz w:val="24"/>
          <w:szCs w:val="24"/>
          <w:lang w:val="es-ES_tradnl" w:eastAsia="es-ES"/>
        </w:rPr>
        <w:t>QUINTO</w:t>
      </w:r>
      <w:r w:rsidRPr="003F02D3">
        <w:rPr>
          <w:rFonts w:ascii="Times New Roman" w:eastAsia="Times New Roman" w:hAnsi="Times New Roman" w:cs="Times New Roman"/>
          <w:sz w:val="24"/>
          <w:szCs w:val="24"/>
          <w:lang w:val="es-ES_tradnl" w:eastAsia="es-ES"/>
        </w:rPr>
        <w:t>: Seis</w:t>
      </w:r>
      <w:r w:rsidR="006F3DFE">
        <w:rPr>
          <w:rFonts w:ascii="Times New Roman" w:eastAsia="Times New Roman" w:hAnsi="Times New Roman" w:cs="Times New Roman"/>
          <w:sz w:val="24"/>
          <w:szCs w:val="24"/>
          <w:lang w:val="es-ES_tradnl" w:eastAsia="es-ES"/>
        </w:rPr>
        <w:t xml:space="preserve"> (6)</w:t>
      </w:r>
      <w:r w:rsidRPr="003F02D3">
        <w:rPr>
          <w:rFonts w:ascii="Times New Roman" w:eastAsia="Times New Roman" w:hAnsi="Times New Roman" w:cs="Times New Roman"/>
          <w:sz w:val="24"/>
          <w:szCs w:val="24"/>
          <w:lang w:val="es-ES_tradnl" w:eastAsia="es-ES"/>
        </w:rPr>
        <w:t xml:space="preserve"> meses antes de la instalación de las </w:t>
      </w:r>
      <w:r w:rsidR="006F3DFE">
        <w:rPr>
          <w:rFonts w:ascii="Times New Roman" w:eastAsia="Times New Roman" w:hAnsi="Times New Roman" w:cs="Times New Roman"/>
          <w:sz w:val="24"/>
          <w:szCs w:val="24"/>
          <w:lang w:val="es-ES_tradnl" w:eastAsia="es-ES"/>
        </w:rPr>
        <w:t>estaciones</w:t>
      </w:r>
      <w:r w:rsidRPr="003F02D3">
        <w:rPr>
          <w:rFonts w:ascii="Times New Roman" w:eastAsia="Times New Roman" w:hAnsi="Times New Roman" w:cs="Times New Roman"/>
          <w:sz w:val="24"/>
          <w:szCs w:val="24"/>
          <w:lang w:val="es-ES_tradnl" w:eastAsia="es-ES"/>
        </w:rPr>
        <w:t xml:space="preserve"> de peaje</w:t>
      </w:r>
      <w:r w:rsidR="006F3DFE">
        <w:rPr>
          <w:rFonts w:ascii="Times New Roman" w:eastAsia="Times New Roman" w:hAnsi="Times New Roman" w:cs="Times New Roman"/>
          <w:sz w:val="24"/>
          <w:szCs w:val="24"/>
          <w:lang w:val="es-ES_tradnl" w:eastAsia="es-ES"/>
        </w:rPr>
        <w:t xml:space="preserve"> de que trata el artículo tercero del presente acto administrativo</w:t>
      </w:r>
      <w:r w:rsidRPr="003F02D3">
        <w:rPr>
          <w:rFonts w:ascii="Times New Roman" w:eastAsia="Times New Roman" w:hAnsi="Times New Roman" w:cs="Times New Roman"/>
          <w:sz w:val="24"/>
          <w:szCs w:val="24"/>
          <w:lang w:val="es-ES_tradnl" w:eastAsia="es-ES"/>
        </w:rPr>
        <w:t xml:space="preserve">, la Agencia Nacional de Infraestructura deberá socializarlas con las comunidades del sector. </w:t>
      </w:r>
    </w:p>
    <w:p w14:paraId="07132652" w14:textId="77777777" w:rsid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04B1C593" w14:textId="77777777" w:rsidR="00F8491F" w:rsidRPr="003F02D3" w:rsidRDefault="00F8491F"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32F54B34"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 xml:space="preserve">ARTÍCULO </w:t>
      </w:r>
      <w:r w:rsidR="003F02D3" w:rsidRPr="003F02D3">
        <w:rPr>
          <w:rFonts w:ascii="Times New Roman" w:eastAsia="Times New Roman" w:hAnsi="Times New Roman" w:cs="Times New Roman"/>
          <w:b/>
          <w:sz w:val="24"/>
          <w:szCs w:val="24"/>
          <w:lang w:val="es-ES_tradnl" w:eastAsia="es-ES"/>
        </w:rPr>
        <w:t>SEXTO</w:t>
      </w:r>
      <w:r w:rsidRPr="003F02D3">
        <w:rPr>
          <w:rFonts w:ascii="Times New Roman" w:eastAsia="Times New Roman" w:hAnsi="Times New Roman" w:cs="Times New Roman"/>
          <w:b/>
          <w:sz w:val="24"/>
          <w:szCs w:val="24"/>
          <w:lang w:val="es-ES_tradnl" w:eastAsia="es-ES"/>
        </w:rPr>
        <w:t xml:space="preserve">: </w:t>
      </w:r>
      <w:r w:rsidRPr="003F02D3">
        <w:rPr>
          <w:rFonts w:ascii="Times New Roman" w:eastAsia="Times New Roman" w:hAnsi="Times New Roman" w:cs="Times New Roman"/>
          <w:sz w:val="24"/>
          <w:szCs w:val="24"/>
          <w:lang w:val="es-ES_tradnl" w:eastAsia="es-ES"/>
        </w:rPr>
        <w:t xml:space="preserve">La presente Resolución rige a partir de la fecha de su publicación. </w:t>
      </w:r>
    </w:p>
    <w:p w14:paraId="0752E994" w14:textId="77777777" w:rsidR="00EB78FD" w:rsidRPr="003F02D3" w:rsidRDefault="00EB78FD" w:rsidP="00EB78FD">
      <w:pPr>
        <w:spacing w:after="0" w:line="240" w:lineRule="auto"/>
        <w:jc w:val="both"/>
        <w:rPr>
          <w:rFonts w:ascii="Times New Roman" w:eastAsia="Times New Roman" w:hAnsi="Times New Roman" w:cs="Times New Roman"/>
          <w:sz w:val="24"/>
          <w:szCs w:val="24"/>
          <w:lang w:val="es-ES_tradnl" w:eastAsia="es-ES"/>
        </w:rPr>
      </w:pPr>
    </w:p>
    <w:p w14:paraId="12D78485" w14:textId="77777777" w:rsidR="00EB78FD" w:rsidRPr="003F02D3" w:rsidRDefault="00EB78FD" w:rsidP="00EB78FD">
      <w:pPr>
        <w:spacing w:after="0" w:line="240" w:lineRule="auto"/>
        <w:jc w:val="both"/>
        <w:rPr>
          <w:rFonts w:ascii="Times New Roman" w:eastAsia="Times New Roman" w:hAnsi="Times New Roman" w:cs="Times New Roman"/>
          <w:b/>
          <w:sz w:val="24"/>
          <w:szCs w:val="24"/>
          <w:lang w:val="es-ES_tradnl" w:eastAsia="es-ES"/>
        </w:rPr>
      </w:pPr>
    </w:p>
    <w:p w14:paraId="7103AD2B" w14:textId="77777777" w:rsidR="00EB78FD" w:rsidRPr="003F02D3" w:rsidRDefault="00EB78FD" w:rsidP="00EB78FD">
      <w:pPr>
        <w:spacing w:after="0" w:line="240" w:lineRule="auto"/>
        <w:jc w:val="both"/>
        <w:rPr>
          <w:rFonts w:ascii="Times New Roman" w:eastAsia="Times New Roman" w:hAnsi="Times New Roman" w:cs="Times New Roman"/>
          <w:sz w:val="24"/>
          <w:szCs w:val="24"/>
          <w:lang w:val="es-ES_tradnl" w:eastAsia="es-ES"/>
        </w:rPr>
      </w:pPr>
    </w:p>
    <w:p w14:paraId="35173612" w14:textId="77777777" w:rsidR="00EB78FD" w:rsidRPr="003F02D3" w:rsidRDefault="00EB78FD" w:rsidP="00EB78FD">
      <w:pPr>
        <w:tabs>
          <w:tab w:val="left" w:pos="0"/>
        </w:tabs>
        <w:spacing w:after="0" w:line="240" w:lineRule="auto"/>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sz w:val="24"/>
          <w:szCs w:val="24"/>
          <w:lang w:val="es-ES_tradnl" w:eastAsia="es-ES"/>
        </w:rPr>
        <w:t xml:space="preserve">Dada en Bogotá D.C., a los </w:t>
      </w:r>
    </w:p>
    <w:p w14:paraId="5682164C"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579E3F91"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6CF99555"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3DE2E127" w14:textId="77777777" w:rsidR="00EB78FD" w:rsidRPr="003F02D3"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43E47800" w14:textId="77777777" w:rsidR="00EB78FD" w:rsidRPr="003F02D3" w:rsidRDefault="00562CEC" w:rsidP="00EB78FD">
      <w:pPr>
        <w:tabs>
          <w:tab w:val="left" w:pos="0"/>
        </w:tabs>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NATALIA ABELLO</w:t>
      </w:r>
      <w:r w:rsidR="00EB78FD" w:rsidRPr="003F02D3">
        <w:rPr>
          <w:rFonts w:ascii="Times New Roman" w:eastAsia="Times New Roman" w:hAnsi="Times New Roman" w:cs="Times New Roman"/>
          <w:b/>
          <w:sz w:val="24"/>
          <w:szCs w:val="24"/>
          <w:lang w:val="es-ES_tradnl" w:eastAsia="es-ES"/>
        </w:rPr>
        <w:t xml:space="preserve"> </w:t>
      </w:r>
    </w:p>
    <w:p w14:paraId="2EDC61E1" w14:textId="77777777" w:rsidR="00EB78FD" w:rsidRPr="003F02D3" w:rsidRDefault="00EB78FD" w:rsidP="00EB78FD">
      <w:pPr>
        <w:tabs>
          <w:tab w:val="left" w:pos="0"/>
        </w:tabs>
        <w:spacing w:after="0" w:line="240" w:lineRule="auto"/>
        <w:jc w:val="center"/>
        <w:rPr>
          <w:rFonts w:ascii="Times New Roman" w:eastAsia="Times New Roman" w:hAnsi="Times New Roman" w:cs="Times New Roman"/>
          <w:sz w:val="24"/>
          <w:szCs w:val="24"/>
          <w:lang w:val="es-ES_tradnl" w:eastAsia="es-ES"/>
        </w:rPr>
      </w:pPr>
      <w:r w:rsidRPr="003F02D3">
        <w:rPr>
          <w:rFonts w:ascii="Times New Roman" w:eastAsia="Times New Roman" w:hAnsi="Times New Roman" w:cs="Times New Roman"/>
          <w:b/>
          <w:sz w:val="24"/>
          <w:szCs w:val="24"/>
          <w:lang w:val="es-ES_tradnl" w:eastAsia="es-ES"/>
        </w:rPr>
        <w:t>Ministra de Transporte</w:t>
      </w:r>
    </w:p>
    <w:p w14:paraId="57A3D253" w14:textId="77777777" w:rsidR="00EB78FD" w:rsidRPr="003F02D3"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14:paraId="42C88EF9" w14:textId="77777777" w:rsidR="003F02D3" w:rsidRPr="003F02D3" w:rsidRDefault="003F02D3" w:rsidP="003F02D3">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14:paraId="2321B19D"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14:paraId="5EA78EA1"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CB7E32">
        <w:rPr>
          <w:rFonts w:ascii="Times New Roman" w:eastAsia="Times New Roman" w:hAnsi="Times New Roman" w:cs="Times New Roman"/>
          <w:spacing w:val="-3"/>
          <w:sz w:val="16"/>
          <w:szCs w:val="16"/>
          <w:lang w:val="es-ES_tradnl" w:eastAsia="es-ES"/>
        </w:rPr>
        <w:t>Proyectó:</w:t>
      </w:r>
      <w:r w:rsidRPr="00CB7E32">
        <w:rPr>
          <w:rFonts w:ascii="Times New Roman" w:eastAsia="Times New Roman" w:hAnsi="Times New Roman" w:cs="Times New Roman"/>
          <w:spacing w:val="-3"/>
          <w:sz w:val="16"/>
          <w:szCs w:val="16"/>
          <w:lang w:val="es-ES_tradnl" w:eastAsia="es-ES"/>
        </w:rPr>
        <w:tab/>
        <w:t>Felipe Castro Arenas - Experto G3-07 Vicepresidencia de Estructuración</w:t>
      </w:r>
    </w:p>
    <w:p w14:paraId="5D1791F9"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CB7E32">
        <w:rPr>
          <w:rFonts w:ascii="Times New Roman" w:eastAsia="Times New Roman" w:hAnsi="Times New Roman" w:cs="Times New Roman"/>
          <w:spacing w:val="-3"/>
          <w:sz w:val="16"/>
          <w:szCs w:val="16"/>
          <w:lang w:val="es-ES_tradnl" w:eastAsia="es-ES"/>
        </w:rPr>
        <w:t xml:space="preserve">                </w:t>
      </w:r>
      <w:r w:rsidRPr="00CB7E32">
        <w:rPr>
          <w:rFonts w:ascii="Times New Roman" w:eastAsia="Times New Roman" w:hAnsi="Times New Roman" w:cs="Times New Roman"/>
          <w:spacing w:val="-3"/>
          <w:sz w:val="16"/>
          <w:szCs w:val="16"/>
          <w:lang w:val="es-ES_tradnl" w:eastAsia="es-ES"/>
        </w:rPr>
        <w:tab/>
        <w:t>Juan José Aguilar Higuera - Experto G3-0</w:t>
      </w:r>
      <w:r w:rsidR="00BF7371">
        <w:rPr>
          <w:rFonts w:ascii="Times New Roman" w:eastAsia="Times New Roman" w:hAnsi="Times New Roman" w:cs="Times New Roman"/>
          <w:spacing w:val="-3"/>
          <w:sz w:val="16"/>
          <w:szCs w:val="16"/>
          <w:lang w:val="es-ES_tradnl" w:eastAsia="es-ES"/>
        </w:rPr>
        <w:t>7</w:t>
      </w:r>
      <w:r w:rsidRPr="00CB7E32">
        <w:rPr>
          <w:rFonts w:ascii="Times New Roman" w:eastAsia="Times New Roman" w:hAnsi="Times New Roman" w:cs="Times New Roman"/>
          <w:spacing w:val="-3"/>
          <w:sz w:val="16"/>
          <w:szCs w:val="16"/>
          <w:lang w:val="es-ES_tradnl" w:eastAsia="es-ES"/>
        </w:rPr>
        <w:t xml:space="preserve"> Vicepresidencia Jurídica-GJE</w:t>
      </w:r>
    </w:p>
    <w:p w14:paraId="6C47F557"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CB7E32">
        <w:rPr>
          <w:rFonts w:ascii="Times New Roman" w:eastAsia="Times New Roman" w:hAnsi="Times New Roman" w:cs="Times New Roman"/>
          <w:spacing w:val="-3"/>
          <w:sz w:val="16"/>
          <w:szCs w:val="16"/>
          <w:lang w:val="es-ES_tradnl" w:eastAsia="es-ES"/>
        </w:rPr>
        <w:t>Revisó:</w:t>
      </w:r>
      <w:r w:rsidRPr="00CB7E32">
        <w:rPr>
          <w:rFonts w:ascii="Times New Roman" w:eastAsia="Times New Roman" w:hAnsi="Times New Roman" w:cs="Times New Roman"/>
          <w:spacing w:val="-3"/>
          <w:sz w:val="16"/>
          <w:szCs w:val="16"/>
          <w:lang w:val="es-ES_tradnl" w:eastAsia="es-ES"/>
        </w:rPr>
        <w:tab/>
        <w:t xml:space="preserve">Camilo Jaramillo Berrocal – Vicepresidente de Estructuración (E) </w:t>
      </w:r>
    </w:p>
    <w:p w14:paraId="1F9BFC6D"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CB7E32">
        <w:rPr>
          <w:rFonts w:ascii="Times New Roman" w:eastAsia="Times New Roman" w:hAnsi="Times New Roman" w:cs="Times New Roman"/>
          <w:spacing w:val="-3"/>
          <w:sz w:val="16"/>
          <w:szCs w:val="16"/>
          <w:lang w:val="es-ES_tradnl" w:eastAsia="es-ES"/>
        </w:rPr>
        <w:t xml:space="preserve">             </w:t>
      </w:r>
      <w:r w:rsidRPr="00CB7E32">
        <w:rPr>
          <w:rFonts w:ascii="Times New Roman" w:eastAsia="Times New Roman" w:hAnsi="Times New Roman" w:cs="Times New Roman"/>
          <w:spacing w:val="-3"/>
          <w:sz w:val="16"/>
          <w:szCs w:val="16"/>
          <w:lang w:val="es-ES_tradnl" w:eastAsia="es-ES"/>
        </w:rPr>
        <w:tab/>
        <w:t xml:space="preserve">Liliana Andrea Coy Cruz - Gerente Jurídica Asesoría en Estructuración- Vicepresidencia Jurídica </w:t>
      </w:r>
    </w:p>
    <w:p w14:paraId="3E2F91C7" w14:textId="77777777" w:rsidR="00CB7E32" w:rsidRPr="00CB7E32" w:rsidRDefault="00CB7E32" w:rsidP="00CB7E32">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CB7E32">
        <w:rPr>
          <w:rFonts w:ascii="Times New Roman" w:eastAsia="Times New Roman" w:hAnsi="Times New Roman" w:cs="Times New Roman"/>
          <w:spacing w:val="-3"/>
          <w:sz w:val="16"/>
          <w:szCs w:val="16"/>
          <w:lang w:val="es-ES_tradnl" w:eastAsia="es-ES"/>
        </w:rPr>
        <w:t>Aprobó:</w:t>
      </w:r>
      <w:r w:rsidRPr="00CB7E32">
        <w:rPr>
          <w:rFonts w:ascii="Times New Roman" w:eastAsia="Times New Roman" w:hAnsi="Times New Roman" w:cs="Times New Roman"/>
          <w:spacing w:val="-3"/>
          <w:sz w:val="16"/>
          <w:szCs w:val="16"/>
          <w:lang w:val="es-ES_tradnl" w:eastAsia="es-ES"/>
        </w:rPr>
        <w:tab/>
        <w:t xml:space="preserve">Camilo Jaramillo Berrocal – Vicepresidente de Estructuración (E)  </w:t>
      </w:r>
    </w:p>
    <w:p w14:paraId="41F85144" w14:textId="77777777" w:rsidR="00CB7E32" w:rsidRDefault="00CB7E32" w:rsidP="00CB7E32">
      <w:pPr>
        <w:spacing w:line="240" w:lineRule="auto"/>
        <w:contextualSpacing/>
        <w:rPr>
          <w:rFonts w:ascii="Times New Roman" w:eastAsia="Calibri" w:hAnsi="Times New Roman" w:cs="Times New Roman"/>
          <w:sz w:val="16"/>
          <w:szCs w:val="16"/>
        </w:rPr>
      </w:pPr>
      <w:r w:rsidRPr="00CB7E32">
        <w:rPr>
          <w:rFonts w:ascii="Times New Roman" w:eastAsia="Calibri" w:hAnsi="Times New Roman" w:cs="Times New Roman"/>
          <w:sz w:val="16"/>
          <w:szCs w:val="16"/>
        </w:rPr>
        <w:t xml:space="preserve">             </w:t>
      </w:r>
      <w:r w:rsidRPr="00CB7E32">
        <w:rPr>
          <w:rFonts w:ascii="Times New Roman" w:eastAsia="Calibri" w:hAnsi="Times New Roman" w:cs="Times New Roman"/>
          <w:sz w:val="16"/>
          <w:szCs w:val="16"/>
        </w:rPr>
        <w:tab/>
        <w:t>Hector Jaime Pinilla Ortiz –Vicepresidente Jurídico</w:t>
      </w:r>
    </w:p>
    <w:p w14:paraId="6E526C9A" w14:textId="77777777" w:rsidR="00CB7E32" w:rsidRDefault="00CB7E32" w:rsidP="00CB7E32">
      <w:pPr>
        <w:spacing w:line="240" w:lineRule="auto"/>
        <w:ind w:firstLine="708"/>
        <w:contextualSpacing/>
        <w:rPr>
          <w:rFonts w:ascii="Times New Roman" w:eastAsia="Calibri" w:hAnsi="Times New Roman" w:cs="Times New Roman"/>
          <w:sz w:val="16"/>
          <w:szCs w:val="16"/>
        </w:rPr>
      </w:pPr>
      <w:r>
        <w:rPr>
          <w:rFonts w:ascii="Times New Roman" w:eastAsia="Calibri" w:hAnsi="Times New Roman" w:cs="Times New Roman"/>
          <w:sz w:val="16"/>
          <w:szCs w:val="16"/>
        </w:rPr>
        <w:t>Daniel Antonio Hinestrosa</w:t>
      </w:r>
      <w:r w:rsidRPr="00CB7E32">
        <w:rPr>
          <w:rFonts w:ascii="Times New Roman" w:eastAsia="Calibri" w:hAnsi="Times New Roman" w:cs="Times New Roman"/>
          <w:sz w:val="16"/>
          <w:szCs w:val="16"/>
        </w:rPr>
        <w:t xml:space="preserve"> </w:t>
      </w:r>
      <w:r>
        <w:rPr>
          <w:rFonts w:ascii="Times New Roman" w:eastAsia="Calibri" w:hAnsi="Times New Roman" w:cs="Times New Roman"/>
          <w:sz w:val="16"/>
          <w:szCs w:val="16"/>
        </w:rPr>
        <w:t>Grisales</w:t>
      </w:r>
      <w:r w:rsidRPr="00CB7E32">
        <w:rPr>
          <w:rFonts w:ascii="Times New Roman" w:eastAsia="Calibri" w:hAnsi="Times New Roman" w:cs="Times New Roman"/>
          <w:sz w:val="16"/>
          <w:szCs w:val="16"/>
        </w:rPr>
        <w:t>–</w:t>
      </w:r>
      <w:r>
        <w:rPr>
          <w:rFonts w:ascii="Times New Roman" w:eastAsia="Calibri" w:hAnsi="Times New Roman" w:cs="Times New Roman"/>
          <w:sz w:val="16"/>
          <w:szCs w:val="16"/>
        </w:rPr>
        <w:t>Jefe Oficina Asesora  Jurídica</w:t>
      </w:r>
    </w:p>
    <w:p w14:paraId="6B1D340C" w14:textId="77777777" w:rsidR="00CB7E32" w:rsidRDefault="00CB7E32" w:rsidP="00CB7E32">
      <w:pPr>
        <w:spacing w:line="240" w:lineRule="auto"/>
        <w:ind w:firstLine="708"/>
        <w:contextualSpacing/>
        <w:rPr>
          <w:rFonts w:ascii="Times New Roman" w:eastAsia="Calibri" w:hAnsi="Times New Roman" w:cs="Times New Roman"/>
          <w:sz w:val="16"/>
          <w:szCs w:val="16"/>
        </w:rPr>
      </w:pPr>
      <w:r>
        <w:rPr>
          <w:rFonts w:ascii="Times New Roman" w:eastAsia="Calibri" w:hAnsi="Times New Roman" w:cs="Times New Roman"/>
          <w:sz w:val="16"/>
          <w:szCs w:val="16"/>
        </w:rPr>
        <w:t>Mario Franco Morales</w:t>
      </w:r>
      <w:r w:rsidRPr="00CB7E32">
        <w:rPr>
          <w:rFonts w:ascii="Times New Roman" w:eastAsia="Calibri" w:hAnsi="Times New Roman" w:cs="Times New Roman"/>
          <w:sz w:val="16"/>
          <w:szCs w:val="16"/>
        </w:rPr>
        <w:t xml:space="preserve"> –</w:t>
      </w:r>
      <w:r>
        <w:rPr>
          <w:rFonts w:ascii="Times New Roman" w:eastAsia="Calibri" w:hAnsi="Times New Roman" w:cs="Times New Roman"/>
          <w:sz w:val="16"/>
          <w:szCs w:val="16"/>
        </w:rPr>
        <w:t>Jefe Oficina de Regulación Económica (e)</w:t>
      </w:r>
    </w:p>
    <w:p w14:paraId="5A62A3F9" w14:textId="77777777" w:rsidR="00CB7E32" w:rsidRDefault="00CB7E32" w:rsidP="00CB7E32">
      <w:pPr>
        <w:spacing w:line="240" w:lineRule="auto"/>
        <w:ind w:firstLine="708"/>
        <w:rPr>
          <w:rFonts w:ascii="Times New Roman" w:eastAsia="Calibri" w:hAnsi="Times New Roman" w:cs="Times New Roman"/>
          <w:sz w:val="16"/>
          <w:szCs w:val="16"/>
        </w:rPr>
      </w:pPr>
    </w:p>
    <w:p w14:paraId="15396BCA" w14:textId="77777777" w:rsidR="00CB7E32" w:rsidRPr="00CB7E32" w:rsidRDefault="00CB7E32" w:rsidP="00CB7E32">
      <w:pPr>
        <w:rPr>
          <w:rFonts w:ascii="Times New Roman" w:eastAsia="Calibri" w:hAnsi="Times New Roman" w:cs="Times New Roman"/>
          <w:sz w:val="24"/>
          <w:szCs w:val="24"/>
        </w:rPr>
      </w:pPr>
    </w:p>
    <w:p w14:paraId="56E8E02D" w14:textId="77777777" w:rsidR="00045600" w:rsidRPr="003F02D3" w:rsidRDefault="00045600">
      <w:pPr>
        <w:rPr>
          <w:rFonts w:ascii="Times New Roman" w:hAnsi="Times New Roman" w:cs="Times New Roman"/>
          <w:sz w:val="24"/>
          <w:szCs w:val="24"/>
        </w:rPr>
      </w:pPr>
    </w:p>
    <w:sectPr w:rsidR="00045600" w:rsidRPr="003F02D3" w:rsidSect="00326D14">
      <w:headerReference w:type="default" r:id="rId11"/>
      <w:headerReference w:type="first" r:id="rId12"/>
      <w:endnotePr>
        <w:numFmt w:val="decimal"/>
      </w:endnotePr>
      <w:pgSz w:w="12240" w:h="18720" w:code="14"/>
      <w:pgMar w:top="1417" w:right="1701" w:bottom="1417" w:left="1701" w:header="1021" w:footer="567" w:gutter="0"/>
      <w:pgBorders>
        <w:top w:val="single" w:sz="4" w:space="15" w:color="auto"/>
        <w:left w:val="single" w:sz="4" w:space="15" w:color="auto"/>
        <w:bottom w:val="single" w:sz="4" w:space="15" w:color="auto"/>
        <w:right w:val="single" w:sz="4" w:space="15"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36BAC" w14:textId="77777777" w:rsidR="00852598" w:rsidRDefault="00852598" w:rsidP="005C1F22">
      <w:pPr>
        <w:spacing w:after="0" w:line="240" w:lineRule="auto"/>
      </w:pPr>
      <w:r>
        <w:separator/>
      </w:r>
    </w:p>
  </w:endnote>
  <w:endnote w:type="continuationSeparator" w:id="0">
    <w:p w14:paraId="767886F7" w14:textId="77777777" w:rsidR="00852598" w:rsidRDefault="00852598" w:rsidP="005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pple LiGothic Medium">
    <w:altName w:val="Arial Unicode MS"/>
    <w:charset w:val="51"/>
    <w:family w:val="auto"/>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6ADC" w14:textId="77777777" w:rsidR="00852598" w:rsidRDefault="00852598" w:rsidP="005C1F22">
      <w:pPr>
        <w:spacing w:after="0" w:line="240" w:lineRule="auto"/>
      </w:pPr>
      <w:r>
        <w:separator/>
      </w:r>
    </w:p>
  </w:footnote>
  <w:footnote w:type="continuationSeparator" w:id="0">
    <w:p w14:paraId="66EFDD6D" w14:textId="77777777" w:rsidR="00852598" w:rsidRDefault="00852598" w:rsidP="005C1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9A7E" w14:textId="77777777" w:rsidR="00C93FE3" w:rsidRPr="00F531A0" w:rsidRDefault="00C93FE3">
    <w:pPr>
      <w:tabs>
        <w:tab w:val="left" w:pos="-720"/>
      </w:tabs>
      <w:suppressAutoHyphens/>
      <w:jc w:val="both"/>
      <w:rPr>
        <w:rFonts w:ascii="Garamond" w:hAnsi="Garamond"/>
        <w:b/>
        <w:spacing w:val="-3"/>
      </w:rPr>
    </w:pPr>
    <w:r w:rsidRPr="00F531A0">
      <w:rPr>
        <w:rFonts w:ascii="Garamond" w:hAnsi="Garamond"/>
        <w:b/>
        <w:spacing w:val="-3"/>
      </w:rPr>
      <w:t xml:space="preserve">RESOLUCIÓN NÚMERO _                  DEL           DE             HOJA No. </w:t>
    </w:r>
    <w:r w:rsidR="003C5E0C" w:rsidRPr="00F531A0">
      <w:rPr>
        <w:rStyle w:val="Nmerodepgina"/>
        <w:rFonts w:ascii="Garamond" w:hAnsi="Garamond"/>
        <w:b/>
      </w:rPr>
      <w:fldChar w:fldCharType="begin"/>
    </w:r>
    <w:r w:rsidRPr="00F531A0">
      <w:rPr>
        <w:rStyle w:val="Nmerodepgina"/>
        <w:rFonts w:ascii="Garamond" w:hAnsi="Garamond"/>
        <w:b/>
      </w:rPr>
      <w:instrText xml:space="preserve"> PAGE </w:instrText>
    </w:r>
    <w:r w:rsidR="003C5E0C" w:rsidRPr="00F531A0">
      <w:rPr>
        <w:rStyle w:val="Nmerodepgina"/>
        <w:rFonts w:ascii="Garamond" w:hAnsi="Garamond"/>
        <w:b/>
      </w:rPr>
      <w:fldChar w:fldCharType="separate"/>
    </w:r>
    <w:r w:rsidR="00336812">
      <w:rPr>
        <w:rStyle w:val="Nmerodepgina"/>
        <w:rFonts w:ascii="Garamond" w:hAnsi="Garamond"/>
        <w:b/>
        <w:noProof/>
      </w:rPr>
      <w:t>5</w:t>
    </w:r>
    <w:r w:rsidR="003C5E0C" w:rsidRPr="00F531A0">
      <w:rPr>
        <w:rStyle w:val="Nmerodepgina"/>
        <w:rFonts w:ascii="Garamond" w:hAnsi="Garamond"/>
        <w:b/>
      </w:rPr>
      <w:fldChar w:fldCharType="end"/>
    </w:r>
  </w:p>
  <w:p w14:paraId="5882C4C4" w14:textId="77777777" w:rsidR="00C93FE3" w:rsidRPr="00F531A0" w:rsidRDefault="00C93FE3">
    <w:pPr>
      <w:ind w:right="360"/>
      <w:jc w:val="both"/>
      <w:rPr>
        <w:rFonts w:ascii="Garamond" w:hAnsi="Garamond"/>
        <w:i/>
        <w:spacing w:val="-3"/>
      </w:rPr>
    </w:pPr>
  </w:p>
  <w:p w14:paraId="2BC369BF" w14:textId="77777777" w:rsidR="00C93FE3" w:rsidRDefault="00C93FE3" w:rsidP="005C1F22">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02BC965D" w14:textId="77777777" w:rsidR="00C93FE3" w:rsidRPr="00734EEF" w:rsidRDefault="00C93FE3" w:rsidP="00326D14">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r w:rsidRPr="00734EEF">
      <w:rPr>
        <w:rFonts w:ascii="Times New Roman" w:eastAsia="Times New Roman" w:hAnsi="Times New Roman" w:cs="Times New Roman"/>
        <w:color w:val="000000"/>
        <w:sz w:val="24"/>
        <w:szCs w:val="24"/>
        <w:lang w:val="es-ES" w:eastAsia="es-ES"/>
      </w:rPr>
      <w:t xml:space="preserve">“Por la cual se emite Concepto vinculante previo al establecimiento de una estación de peaje denominada “Peaje </w:t>
    </w:r>
    <w:r>
      <w:rPr>
        <w:rFonts w:ascii="Times New Roman" w:eastAsia="Times New Roman" w:hAnsi="Times New Roman" w:cs="Times New Roman"/>
        <w:color w:val="000000"/>
        <w:sz w:val="24"/>
        <w:szCs w:val="24"/>
        <w:lang w:val="es-ES" w:eastAsia="es-ES"/>
      </w:rPr>
      <w:t>Cocora</w:t>
    </w:r>
    <w:r w:rsidRPr="00734EEF">
      <w:rPr>
        <w:rFonts w:ascii="Times New Roman" w:eastAsia="Times New Roman" w:hAnsi="Times New Roman" w:cs="Times New Roman"/>
        <w:color w:val="000000"/>
        <w:sz w:val="24"/>
        <w:szCs w:val="24"/>
        <w:lang w:val="es-ES" w:eastAsia="es-ES"/>
      </w:rPr>
      <w:t xml:space="preserve">” y se establecen las tarifas a cobrar en la anterior y en las estaciones de peaje denominadas </w:t>
    </w:r>
    <w:r w:rsidR="008162F8">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Gualanday</w:t>
    </w:r>
    <w:r w:rsidR="002A5FF1">
      <w:rPr>
        <w:rFonts w:ascii="Times New Roman" w:eastAsia="Times New Roman" w:hAnsi="Times New Roman" w:cs="Times New Roman"/>
        <w:color w:val="000000"/>
        <w:sz w:val="24"/>
        <w:szCs w:val="24"/>
        <w:lang w:val="es-ES" w:eastAsia="es-ES"/>
      </w:rPr>
      <w:t>”</w:t>
    </w:r>
    <w:r w:rsidRPr="00734EEF">
      <w:rPr>
        <w:rFonts w:ascii="Times New Roman" w:eastAsia="Times New Roman" w:hAnsi="Times New Roman" w:cs="Times New Roman"/>
        <w:color w:val="000000"/>
        <w:sz w:val="24"/>
        <w:szCs w:val="24"/>
        <w:lang w:val="es-ES" w:eastAsia="es-ES"/>
      </w:rPr>
      <w:t xml:space="preserve"> y </w:t>
    </w:r>
    <w:r w:rsidR="002A5FF1">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Chicoral</w:t>
    </w:r>
    <w:r w:rsidR="008162F8">
      <w:rPr>
        <w:rFonts w:ascii="Times New Roman" w:eastAsia="Times New Roman" w:hAnsi="Times New Roman" w:cs="Times New Roman"/>
        <w:color w:val="000000"/>
        <w:sz w:val="24"/>
        <w:szCs w:val="24"/>
        <w:lang w:val="es-ES" w:eastAsia="es-ES"/>
      </w:rPr>
      <w:t>”</w:t>
    </w:r>
    <w:r w:rsidRPr="00734EEF">
      <w:rPr>
        <w:rFonts w:ascii="Times New Roman" w:eastAsia="Times New Roman" w:hAnsi="Times New Roman" w:cs="Times New Roman"/>
        <w:color w:val="000000"/>
        <w:sz w:val="24"/>
        <w:szCs w:val="24"/>
        <w:lang w:val="es-ES" w:eastAsia="es-ES"/>
      </w:rPr>
      <w:t xml:space="preserve">  existentes en el trayecto </w:t>
    </w:r>
    <w:r>
      <w:rPr>
        <w:rFonts w:ascii="Times New Roman" w:eastAsia="Times New Roman" w:hAnsi="Times New Roman" w:cs="Times New Roman"/>
        <w:color w:val="000000"/>
        <w:sz w:val="24"/>
        <w:szCs w:val="24"/>
        <w:lang w:val="es-ES" w:eastAsia="es-ES"/>
      </w:rPr>
      <w:t>Gira</w:t>
    </w:r>
    <w:r w:rsidR="002A5FF1">
      <w:rPr>
        <w:rFonts w:ascii="Times New Roman" w:eastAsia="Times New Roman" w:hAnsi="Times New Roman" w:cs="Times New Roman"/>
        <w:color w:val="000000"/>
        <w:sz w:val="24"/>
        <w:szCs w:val="24"/>
        <w:lang w:val="es-ES" w:eastAsia="es-ES"/>
      </w:rPr>
      <w:t>r</w:t>
    </w:r>
    <w:r>
      <w:rPr>
        <w:rFonts w:ascii="Times New Roman" w:eastAsia="Times New Roman" w:hAnsi="Times New Roman" w:cs="Times New Roman"/>
        <w:color w:val="000000"/>
        <w:sz w:val="24"/>
        <w:szCs w:val="24"/>
        <w:lang w:val="es-ES" w:eastAsia="es-ES"/>
      </w:rPr>
      <w:t>dot</w:t>
    </w:r>
    <w:r w:rsidRPr="00734EEF">
      <w:rPr>
        <w:rFonts w:ascii="Times New Roman" w:eastAsia="Times New Roman" w:hAnsi="Times New Roman" w:cs="Times New Roman"/>
        <w:color w:val="000000"/>
        <w:sz w:val="24"/>
        <w:szCs w:val="24"/>
        <w:lang w:val="es-ES" w:eastAsia="es-ES"/>
      </w:rPr>
      <w:t>-</w:t>
    </w:r>
    <w:r w:rsidR="00C20736">
      <w:rPr>
        <w:rFonts w:ascii="Times New Roman" w:eastAsia="Times New Roman" w:hAnsi="Times New Roman" w:cs="Times New Roman"/>
        <w:color w:val="000000"/>
        <w:sz w:val="24"/>
        <w:szCs w:val="24"/>
        <w:lang w:val="es-ES" w:eastAsia="es-ES"/>
      </w:rPr>
      <w:t>Ibagué</w:t>
    </w:r>
    <w:r w:rsidRPr="00734EEF">
      <w:rPr>
        <w:rFonts w:ascii="Times New Roman" w:eastAsia="Times New Roman" w:hAnsi="Times New Roman" w:cs="Times New Roman"/>
        <w:color w:val="000000"/>
        <w:sz w:val="24"/>
        <w:szCs w:val="24"/>
        <w:lang w:val="es-ES" w:eastAsia="es-ES"/>
      </w:rPr>
      <w:t xml:space="preserve"> pertenecientes al Proyecto vial </w:t>
    </w:r>
    <w:r>
      <w:rPr>
        <w:rFonts w:ascii="Times New Roman" w:eastAsia="Times New Roman" w:hAnsi="Times New Roman" w:cs="Times New Roman"/>
        <w:color w:val="000000"/>
        <w:sz w:val="24"/>
        <w:szCs w:val="24"/>
        <w:lang w:val="es-ES" w:eastAsia="es-ES"/>
      </w:rPr>
      <w:t>Girardot</w:t>
    </w:r>
    <w:r w:rsidRPr="00734EEF">
      <w:rPr>
        <w:rFonts w:ascii="Times New Roman" w:eastAsia="Times New Roman" w:hAnsi="Times New Roman" w:cs="Times New Roman"/>
        <w:color w:val="000000"/>
        <w:sz w:val="24"/>
        <w:szCs w:val="24"/>
        <w:lang w:val="es-ES" w:eastAsia="es-ES"/>
      </w:rPr>
      <w:t xml:space="preserve"> – </w:t>
    </w:r>
    <w:r>
      <w:rPr>
        <w:rFonts w:ascii="Times New Roman" w:eastAsia="Times New Roman" w:hAnsi="Times New Roman" w:cs="Times New Roman"/>
        <w:color w:val="000000"/>
        <w:sz w:val="24"/>
        <w:szCs w:val="24"/>
        <w:lang w:val="es-ES" w:eastAsia="es-ES"/>
      </w:rPr>
      <w:t>Ibagué - Cajamarca</w:t>
    </w:r>
    <w:r w:rsidRPr="00734EEF">
      <w:rPr>
        <w:rFonts w:ascii="Times New Roman" w:eastAsia="Times New Roman" w:hAnsi="Times New Roman" w:cs="Times New Roman"/>
        <w:color w:val="000000"/>
        <w:sz w:val="24"/>
        <w:szCs w:val="24"/>
        <w:lang w:val="es-ES" w:eastAsia="es-ES"/>
      </w:rPr>
      <w:t>”</w:t>
    </w:r>
  </w:p>
  <w:p w14:paraId="17E11653" w14:textId="77777777" w:rsidR="00C93FE3" w:rsidRDefault="00C93FE3" w:rsidP="005C1F22">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31222BE6" w14:textId="77777777" w:rsidR="00C93FE3" w:rsidRPr="00CB3BC0" w:rsidRDefault="00C93FE3" w:rsidP="00326D14">
    <w:pPr>
      <w:pBdr>
        <w:bottom w:val="single" w:sz="12" w:space="1" w:color="auto"/>
      </w:pBdr>
      <w:tabs>
        <w:tab w:val="left" w:pos="4320"/>
      </w:tabs>
      <w:ind w:right="215"/>
      <w:jc w:val="center"/>
      <w:rPr>
        <w:rFonts w:ascii="Futura Bk BT" w:hAnsi="Futura Bk BT"/>
        <w:bCs/>
        <w:i/>
        <w:lang w:val="es-ES"/>
      </w:rPr>
    </w:pPr>
  </w:p>
  <w:p w14:paraId="06FAD473" w14:textId="77777777" w:rsidR="00C93FE3" w:rsidRPr="00FB5E81" w:rsidRDefault="00C93FE3" w:rsidP="00326D14">
    <w:pPr>
      <w:tabs>
        <w:tab w:val="left" w:pos="4320"/>
      </w:tabs>
      <w:ind w:right="215"/>
      <w:jc w:val="center"/>
      <w:rPr>
        <w:rFonts w:ascii="Futura Bk BT" w:hAnsi="Futura Bk BT" w:cs="Arial"/>
        <w:i/>
        <w:sz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93F5" w14:textId="77777777" w:rsidR="00C93FE3" w:rsidRDefault="00C93FE3">
    <w:pPr>
      <w:pStyle w:val="Encabezado"/>
    </w:pPr>
  </w:p>
  <w:p w14:paraId="15F0F9F2" w14:textId="77777777" w:rsidR="00C93FE3" w:rsidRDefault="00C93FE3">
    <w:pPr>
      <w:pStyle w:val="Encabezado"/>
    </w:pPr>
  </w:p>
  <w:p w14:paraId="58B16785" w14:textId="77777777" w:rsidR="00C93FE3" w:rsidRDefault="00C93FE3">
    <w:pPr>
      <w:pStyle w:val="Encabezado"/>
    </w:pPr>
  </w:p>
  <w:p w14:paraId="28DD3268" w14:textId="77777777" w:rsidR="00C93FE3" w:rsidRPr="00A92D63" w:rsidRDefault="00C93FE3" w:rsidP="00326D14">
    <w:pPr>
      <w:pStyle w:val="Encabezado"/>
      <w:tabs>
        <w:tab w:val="left" w:pos="4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E2D84"/>
    <w:multiLevelType w:val="hybridMultilevel"/>
    <w:tmpl w:val="4BD495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59F2529A"/>
    <w:multiLevelType w:val="multilevel"/>
    <w:tmpl w:val="63EA5F92"/>
    <w:lvl w:ilvl="0">
      <w:start w:val="1"/>
      <w:numFmt w:val="upperRoman"/>
      <w:lvlText w:val="CAPÍTULO %1"/>
      <w:lvlJc w:val="left"/>
      <w:pPr>
        <w:ind w:left="3410" w:hanging="432"/>
      </w:pPr>
      <w:rPr>
        <w:rFonts w:hint="default"/>
        <w:b/>
        <w:bCs/>
        <w:caps/>
        <w:sz w:val="28"/>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ascii="Times New Roman" w:hAnsi="Times New Roman" w:cs="Times New Roman"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787"/>
        </w:tabs>
        <w:ind w:left="1787"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53F3187"/>
    <w:multiLevelType w:val="hybridMultilevel"/>
    <w:tmpl w:val="8A7AE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D"/>
    <w:rsid w:val="000155BF"/>
    <w:rsid w:val="00020815"/>
    <w:rsid w:val="00037189"/>
    <w:rsid w:val="000379C8"/>
    <w:rsid w:val="00045600"/>
    <w:rsid w:val="00055C70"/>
    <w:rsid w:val="00096285"/>
    <w:rsid w:val="000F1E19"/>
    <w:rsid w:val="000F5CF1"/>
    <w:rsid w:val="00102B16"/>
    <w:rsid w:val="00116F29"/>
    <w:rsid w:val="00130851"/>
    <w:rsid w:val="00141626"/>
    <w:rsid w:val="0014260B"/>
    <w:rsid w:val="00150552"/>
    <w:rsid w:val="0015148C"/>
    <w:rsid w:val="0015312A"/>
    <w:rsid w:val="00154367"/>
    <w:rsid w:val="001975C4"/>
    <w:rsid w:val="001A5832"/>
    <w:rsid w:val="001B17D7"/>
    <w:rsid w:val="001D3068"/>
    <w:rsid w:val="00204996"/>
    <w:rsid w:val="00217DFB"/>
    <w:rsid w:val="002250EA"/>
    <w:rsid w:val="00232BC8"/>
    <w:rsid w:val="0024479D"/>
    <w:rsid w:val="0027403E"/>
    <w:rsid w:val="00277FAC"/>
    <w:rsid w:val="00292B6E"/>
    <w:rsid w:val="002A4AA6"/>
    <w:rsid w:val="002A5FF1"/>
    <w:rsid w:val="002C7A22"/>
    <w:rsid w:val="00326D14"/>
    <w:rsid w:val="003306A4"/>
    <w:rsid w:val="00334A20"/>
    <w:rsid w:val="00336812"/>
    <w:rsid w:val="0036334F"/>
    <w:rsid w:val="00372B32"/>
    <w:rsid w:val="003A4681"/>
    <w:rsid w:val="003C5E0C"/>
    <w:rsid w:val="003D6BC6"/>
    <w:rsid w:val="003F02D3"/>
    <w:rsid w:val="004379CA"/>
    <w:rsid w:val="00457926"/>
    <w:rsid w:val="00490BEB"/>
    <w:rsid w:val="004B790D"/>
    <w:rsid w:val="004D5C15"/>
    <w:rsid w:val="00502753"/>
    <w:rsid w:val="00521DBF"/>
    <w:rsid w:val="005221BC"/>
    <w:rsid w:val="0052757C"/>
    <w:rsid w:val="00535EE3"/>
    <w:rsid w:val="00562CEC"/>
    <w:rsid w:val="00570608"/>
    <w:rsid w:val="00591602"/>
    <w:rsid w:val="005A0104"/>
    <w:rsid w:val="005A47DC"/>
    <w:rsid w:val="005C1F22"/>
    <w:rsid w:val="005E123C"/>
    <w:rsid w:val="00602821"/>
    <w:rsid w:val="00617753"/>
    <w:rsid w:val="00630681"/>
    <w:rsid w:val="0068343E"/>
    <w:rsid w:val="006B0727"/>
    <w:rsid w:val="006F3DFE"/>
    <w:rsid w:val="00734EEF"/>
    <w:rsid w:val="00747986"/>
    <w:rsid w:val="0076027B"/>
    <w:rsid w:val="007924C8"/>
    <w:rsid w:val="007A1A4B"/>
    <w:rsid w:val="007B08DA"/>
    <w:rsid w:val="007B7AC6"/>
    <w:rsid w:val="007C2EB1"/>
    <w:rsid w:val="008162F8"/>
    <w:rsid w:val="008331EA"/>
    <w:rsid w:val="008446A4"/>
    <w:rsid w:val="00852598"/>
    <w:rsid w:val="008613C8"/>
    <w:rsid w:val="008F5FF3"/>
    <w:rsid w:val="0093144B"/>
    <w:rsid w:val="009538F4"/>
    <w:rsid w:val="009A431E"/>
    <w:rsid w:val="009B29E5"/>
    <w:rsid w:val="009C4634"/>
    <w:rsid w:val="009D6E3A"/>
    <w:rsid w:val="009E63E0"/>
    <w:rsid w:val="009F7B9C"/>
    <w:rsid w:val="00A04BF5"/>
    <w:rsid w:val="00A213B1"/>
    <w:rsid w:val="00A217A9"/>
    <w:rsid w:val="00A36D5B"/>
    <w:rsid w:val="00A4302C"/>
    <w:rsid w:val="00A87FBA"/>
    <w:rsid w:val="00A901E8"/>
    <w:rsid w:val="00A92FFA"/>
    <w:rsid w:val="00A94090"/>
    <w:rsid w:val="00A9720D"/>
    <w:rsid w:val="00AA075F"/>
    <w:rsid w:val="00AA4D6A"/>
    <w:rsid w:val="00AB2550"/>
    <w:rsid w:val="00AD5EFD"/>
    <w:rsid w:val="00AF6E9D"/>
    <w:rsid w:val="00B071C2"/>
    <w:rsid w:val="00B72853"/>
    <w:rsid w:val="00B85411"/>
    <w:rsid w:val="00BB2FFE"/>
    <w:rsid w:val="00BC4C6A"/>
    <w:rsid w:val="00BE04E8"/>
    <w:rsid w:val="00BE588E"/>
    <w:rsid w:val="00BF7371"/>
    <w:rsid w:val="00C062A1"/>
    <w:rsid w:val="00C20736"/>
    <w:rsid w:val="00C306CB"/>
    <w:rsid w:val="00C3194A"/>
    <w:rsid w:val="00C5095D"/>
    <w:rsid w:val="00C61FDE"/>
    <w:rsid w:val="00C62D63"/>
    <w:rsid w:val="00C92E42"/>
    <w:rsid w:val="00C93FE3"/>
    <w:rsid w:val="00CB7E32"/>
    <w:rsid w:val="00D14DB2"/>
    <w:rsid w:val="00D21371"/>
    <w:rsid w:val="00D22E16"/>
    <w:rsid w:val="00D23C35"/>
    <w:rsid w:val="00D25526"/>
    <w:rsid w:val="00D40ED6"/>
    <w:rsid w:val="00D43551"/>
    <w:rsid w:val="00D6689F"/>
    <w:rsid w:val="00DB43D3"/>
    <w:rsid w:val="00DC0348"/>
    <w:rsid w:val="00DD6313"/>
    <w:rsid w:val="00E11A2F"/>
    <w:rsid w:val="00E20905"/>
    <w:rsid w:val="00E53A7E"/>
    <w:rsid w:val="00EA6A62"/>
    <w:rsid w:val="00EB78FD"/>
    <w:rsid w:val="00F02DEF"/>
    <w:rsid w:val="00F304BF"/>
    <w:rsid w:val="00F337FA"/>
    <w:rsid w:val="00F8491F"/>
    <w:rsid w:val="00FB3107"/>
    <w:rsid w:val="00FB6204"/>
    <w:rsid w:val="00FD67C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6059C"/>
  <w15:docId w15:val="{2AEA3E47-6ACC-4D1B-AAB3-55631BAA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EA"/>
  </w:style>
  <w:style w:type="paragraph" w:styleId="Ttulo1">
    <w:name w:val="heading 1"/>
    <w:aliases w:val="INFITULUA-T2,BONUS-T1,MT1,título 1"/>
    <w:basedOn w:val="Normal"/>
    <w:next w:val="Normal"/>
    <w:link w:val="Ttulo1Car"/>
    <w:qFormat/>
    <w:rsid w:val="006B0727"/>
    <w:pPr>
      <w:keepNext/>
      <w:spacing w:before="240" w:after="60" w:line="240" w:lineRule="auto"/>
      <w:ind w:left="3410" w:hanging="432"/>
      <w:jc w:val="center"/>
      <w:outlineLvl w:val="0"/>
    </w:pPr>
    <w:rPr>
      <w:rFonts w:ascii="Calibri" w:eastAsia="Cambria" w:hAnsi="Calibri" w:cs="Arial"/>
      <w:b/>
      <w:bCs/>
      <w:kern w:val="32"/>
      <w:sz w:val="26"/>
      <w:szCs w:val="26"/>
      <w:u w:val="single"/>
      <w:lang w:val="es-ES" w:eastAsia="es-ES"/>
    </w:rPr>
  </w:style>
  <w:style w:type="paragraph" w:styleId="Ttulo2">
    <w:name w:val="heading 2"/>
    <w:aliases w:val="BONUS-T2"/>
    <w:basedOn w:val="Normal"/>
    <w:next w:val="Normal"/>
    <w:link w:val="Ttulo2Car"/>
    <w:qFormat/>
    <w:rsid w:val="006B0727"/>
    <w:pPr>
      <w:keepNext/>
      <w:spacing w:before="240" w:after="60" w:line="240" w:lineRule="auto"/>
      <w:ind w:left="576" w:hanging="576"/>
      <w:jc w:val="both"/>
      <w:outlineLvl w:val="1"/>
    </w:pPr>
    <w:rPr>
      <w:rFonts w:ascii="Times New Roman" w:eastAsia="Cambria" w:hAnsi="Times New Roman" w:cs="Arial"/>
      <w:sz w:val="24"/>
      <w:szCs w:val="24"/>
      <w:u w:val="single"/>
      <w:lang w:val="es-ES" w:eastAsia="es-ES"/>
    </w:rPr>
  </w:style>
  <w:style w:type="paragraph" w:styleId="Ttulo3">
    <w:name w:val="heading 3"/>
    <w:aliases w:val="BONUS-T3 Final,Edgar 3,1.1.1Título 3,Título 3-BCN,3 bullet,2,H3,1,1Título 3"/>
    <w:basedOn w:val="Normal"/>
    <w:next w:val="Normal"/>
    <w:link w:val="Ttulo3Car"/>
    <w:qFormat/>
    <w:rsid w:val="006B0727"/>
    <w:pPr>
      <w:keepNext/>
      <w:spacing w:before="240" w:after="60" w:line="240" w:lineRule="auto"/>
      <w:ind w:left="720" w:hanging="720"/>
      <w:jc w:val="both"/>
      <w:outlineLvl w:val="2"/>
    </w:pPr>
    <w:rPr>
      <w:rFonts w:ascii="Book Antiqua" w:eastAsia="Cambria" w:hAnsi="Book Antiqua" w:cs="Book Antiqua"/>
      <w:i/>
      <w:iCs/>
      <w:sz w:val="24"/>
      <w:szCs w:val="24"/>
      <w:u w:val="single"/>
      <w:lang w:val="es-ES" w:eastAsia="es-ES"/>
    </w:rPr>
  </w:style>
  <w:style w:type="paragraph" w:styleId="Ttulo7">
    <w:name w:val="heading 7"/>
    <w:basedOn w:val="Normal"/>
    <w:next w:val="Normal"/>
    <w:link w:val="Ttulo7Car"/>
    <w:uiPriority w:val="9"/>
    <w:qFormat/>
    <w:rsid w:val="006B0727"/>
    <w:pPr>
      <w:keepNext/>
      <w:keepLines/>
      <w:spacing w:before="200" w:after="0" w:line="240" w:lineRule="auto"/>
      <w:ind w:left="1296" w:hanging="1296"/>
      <w:jc w:val="both"/>
      <w:outlineLvl w:val="6"/>
    </w:pPr>
    <w:rPr>
      <w:rFonts w:ascii="Calibri" w:eastAsia="MS Gothic" w:hAnsi="Calibri" w:cs="Times New Roman"/>
      <w:i/>
      <w:iCs/>
      <w:color w:val="404040"/>
      <w:sz w:val="24"/>
      <w:szCs w:val="24"/>
      <w:lang w:val="es-ES_tradnl" w:eastAsia="es-ES"/>
    </w:rPr>
  </w:style>
  <w:style w:type="paragraph" w:styleId="Ttulo8">
    <w:name w:val="heading 8"/>
    <w:basedOn w:val="Normal"/>
    <w:next w:val="Normal"/>
    <w:link w:val="Ttulo8Car"/>
    <w:uiPriority w:val="9"/>
    <w:qFormat/>
    <w:rsid w:val="006B0727"/>
    <w:pPr>
      <w:keepNext/>
      <w:keepLines/>
      <w:spacing w:before="200" w:after="0" w:line="240" w:lineRule="auto"/>
      <w:ind w:left="1440" w:hanging="1440"/>
      <w:jc w:val="both"/>
      <w:outlineLvl w:val="7"/>
    </w:pPr>
    <w:rPr>
      <w:rFonts w:ascii="Calibri" w:eastAsia="MS Gothic" w:hAnsi="Calibri" w:cs="Times New Roman"/>
      <w:color w:val="404040"/>
      <w:sz w:val="20"/>
      <w:szCs w:val="20"/>
      <w:lang w:val="es-ES_tradnl" w:eastAsia="es-ES"/>
    </w:rPr>
  </w:style>
  <w:style w:type="paragraph" w:styleId="Ttulo9">
    <w:name w:val="heading 9"/>
    <w:basedOn w:val="Normal"/>
    <w:next w:val="Normal"/>
    <w:link w:val="Ttulo9Car"/>
    <w:uiPriority w:val="9"/>
    <w:qFormat/>
    <w:rsid w:val="006B0727"/>
    <w:pPr>
      <w:keepNext/>
      <w:keepLines/>
      <w:spacing w:before="200" w:after="0" w:line="240" w:lineRule="auto"/>
      <w:ind w:left="1584" w:hanging="1584"/>
      <w:jc w:val="both"/>
      <w:outlineLvl w:val="8"/>
    </w:pPr>
    <w:rPr>
      <w:rFonts w:ascii="Calibri" w:eastAsia="MS Gothic" w:hAnsi="Calibri" w:cs="Times New Roman"/>
      <w:i/>
      <w:iCs/>
      <w:color w:val="4040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8FD"/>
  </w:style>
  <w:style w:type="character" w:styleId="Nmerodepgina">
    <w:name w:val="page number"/>
    <w:basedOn w:val="Fuentedeprrafopredeter"/>
    <w:semiHidden/>
    <w:rsid w:val="00EB78FD"/>
  </w:style>
  <w:style w:type="paragraph" w:customStyle="1" w:styleId="Default">
    <w:name w:val="Default"/>
    <w:rsid w:val="00EB78F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Piedepgina">
    <w:name w:val="footer"/>
    <w:basedOn w:val="Normal"/>
    <w:link w:val="PiedepginaCar"/>
    <w:uiPriority w:val="99"/>
    <w:unhideWhenUsed/>
    <w:rsid w:val="005C1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F22"/>
  </w:style>
  <w:style w:type="paragraph" w:styleId="Prrafodelista">
    <w:name w:val="List Paragraph"/>
    <w:aliases w:val="HOJA,Colorful List - Accent 11,Colorful List - Accent 111,Párrafo de lista (analisis predial),Lista vistosa - Énfasis 11,figura"/>
    <w:basedOn w:val="Normal"/>
    <w:link w:val="PrrafodelistaCar"/>
    <w:uiPriority w:val="99"/>
    <w:qFormat/>
    <w:rsid w:val="009B29E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HOJA Car,Colorful List - Accent 11 Car,Colorful List - Accent 111 Car,Párrafo de lista (analisis predial) Car,Lista vistosa - Énfasis 11 Car,figura Car"/>
    <w:link w:val="Prrafodelista"/>
    <w:uiPriority w:val="34"/>
    <w:locked/>
    <w:rsid w:val="009B29E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43551"/>
    <w:rPr>
      <w:sz w:val="16"/>
      <w:szCs w:val="16"/>
    </w:rPr>
  </w:style>
  <w:style w:type="paragraph" w:styleId="Textocomentario">
    <w:name w:val="annotation text"/>
    <w:basedOn w:val="Normal"/>
    <w:link w:val="TextocomentarioCar"/>
    <w:uiPriority w:val="99"/>
    <w:semiHidden/>
    <w:unhideWhenUsed/>
    <w:rsid w:val="00D435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551"/>
    <w:rPr>
      <w:sz w:val="20"/>
      <w:szCs w:val="20"/>
    </w:rPr>
  </w:style>
  <w:style w:type="paragraph" w:styleId="Asuntodelcomentario">
    <w:name w:val="annotation subject"/>
    <w:basedOn w:val="Textocomentario"/>
    <w:next w:val="Textocomentario"/>
    <w:link w:val="AsuntodelcomentarioCar"/>
    <w:uiPriority w:val="99"/>
    <w:semiHidden/>
    <w:unhideWhenUsed/>
    <w:rsid w:val="00D43551"/>
    <w:rPr>
      <w:b/>
      <w:bCs/>
    </w:rPr>
  </w:style>
  <w:style w:type="character" w:customStyle="1" w:styleId="AsuntodelcomentarioCar">
    <w:name w:val="Asunto del comentario Car"/>
    <w:basedOn w:val="TextocomentarioCar"/>
    <w:link w:val="Asuntodelcomentario"/>
    <w:uiPriority w:val="99"/>
    <w:semiHidden/>
    <w:rsid w:val="00D43551"/>
    <w:rPr>
      <w:b/>
      <w:bCs/>
      <w:sz w:val="20"/>
      <w:szCs w:val="20"/>
    </w:rPr>
  </w:style>
  <w:style w:type="paragraph" w:styleId="Textodeglobo">
    <w:name w:val="Balloon Text"/>
    <w:basedOn w:val="Normal"/>
    <w:link w:val="TextodegloboCar"/>
    <w:uiPriority w:val="99"/>
    <w:semiHidden/>
    <w:unhideWhenUsed/>
    <w:rsid w:val="00D43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551"/>
    <w:rPr>
      <w:rFonts w:ascii="Segoe UI" w:hAnsi="Segoe UI" w:cs="Segoe UI"/>
      <w:sz w:val="18"/>
      <w:szCs w:val="18"/>
    </w:rPr>
  </w:style>
  <w:style w:type="paragraph" w:customStyle="1" w:styleId="Normal1">
    <w:name w:val="Normal 1"/>
    <w:basedOn w:val="Sangranormal"/>
    <w:qFormat/>
    <w:rsid w:val="000F1E19"/>
    <w:pPr>
      <w:tabs>
        <w:tab w:val="num" w:pos="2880"/>
      </w:tabs>
      <w:spacing w:after="0" w:line="240" w:lineRule="auto"/>
      <w:ind w:left="2880" w:hanging="360"/>
      <w:jc w:val="both"/>
    </w:pPr>
    <w:rPr>
      <w:rFonts w:ascii="Times New Roman" w:eastAsia="MS Mincho" w:hAnsi="Times New Roman" w:cs="Times New Roman"/>
      <w:sz w:val="24"/>
      <w:szCs w:val="24"/>
      <w:lang w:val="es-ES_tradnl" w:eastAsia="es-ES"/>
    </w:rPr>
  </w:style>
  <w:style w:type="table" w:styleId="Tablaconcuadrcula">
    <w:name w:val="Table Grid"/>
    <w:basedOn w:val="Tablanormal"/>
    <w:uiPriority w:val="59"/>
    <w:rsid w:val="000F1E1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0F1E19"/>
    <w:pPr>
      <w:ind w:left="708"/>
    </w:pPr>
  </w:style>
  <w:style w:type="paragraph" w:styleId="Revisin">
    <w:name w:val="Revision"/>
    <w:hidden/>
    <w:uiPriority w:val="99"/>
    <w:semiHidden/>
    <w:rsid w:val="009D6E3A"/>
    <w:pPr>
      <w:spacing w:after="0" w:line="240" w:lineRule="auto"/>
    </w:pPr>
  </w:style>
  <w:style w:type="paragraph" w:styleId="NormalWeb">
    <w:name w:val="Normal (Web)"/>
    <w:basedOn w:val="Normal"/>
    <w:uiPriority w:val="99"/>
    <w:semiHidden/>
    <w:unhideWhenUsed/>
    <w:rsid w:val="00326D14"/>
    <w:pPr>
      <w:spacing w:before="100" w:beforeAutospacing="1" w:after="100" w:afterAutospacing="1" w:line="240" w:lineRule="auto"/>
    </w:pPr>
    <w:rPr>
      <w:rFonts w:ascii="Times" w:hAnsi="Times" w:cs="Times New Roman"/>
      <w:sz w:val="20"/>
      <w:szCs w:val="20"/>
      <w:lang w:val="en-US" w:eastAsia="es-ES"/>
    </w:rPr>
  </w:style>
  <w:style w:type="character" w:customStyle="1" w:styleId="Ttulo1Car">
    <w:name w:val="Título 1 Car"/>
    <w:aliases w:val="INFITULUA-T2 Car,BONUS-T1 Car,MT1 Car,título 1 Car"/>
    <w:basedOn w:val="Fuentedeprrafopredeter"/>
    <w:link w:val="Ttulo1"/>
    <w:rsid w:val="006B0727"/>
    <w:rPr>
      <w:rFonts w:ascii="Calibri" w:eastAsia="Cambria" w:hAnsi="Calibri" w:cs="Arial"/>
      <w:b/>
      <w:bCs/>
      <w:kern w:val="32"/>
      <w:sz w:val="26"/>
      <w:szCs w:val="26"/>
      <w:u w:val="single"/>
      <w:lang w:val="es-ES" w:eastAsia="es-ES"/>
    </w:rPr>
  </w:style>
  <w:style w:type="character" w:customStyle="1" w:styleId="Ttulo2Car">
    <w:name w:val="Título 2 Car"/>
    <w:aliases w:val="BONUS-T2 Car"/>
    <w:basedOn w:val="Fuentedeprrafopredeter"/>
    <w:link w:val="Ttulo2"/>
    <w:rsid w:val="006B0727"/>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rsid w:val="006B0727"/>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uiPriority w:val="9"/>
    <w:rsid w:val="006B0727"/>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6B0727"/>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6B0727"/>
    <w:rPr>
      <w:rFonts w:ascii="Calibri" w:eastAsia="MS Gothic" w:hAnsi="Calibri" w:cs="Times New Roman"/>
      <w:i/>
      <w:iCs/>
      <w:color w:val="40404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29DB-FF33-4B57-8886-431219E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Felipe Castro Arenas</cp:lastModifiedBy>
  <cp:revision>2</cp:revision>
  <cp:lastPrinted>2015-01-09T19:25:00Z</cp:lastPrinted>
  <dcterms:created xsi:type="dcterms:W3CDTF">2015-01-27T18:23:00Z</dcterms:created>
  <dcterms:modified xsi:type="dcterms:W3CDTF">2015-01-27T18:23:00Z</dcterms:modified>
</cp:coreProperties>
</file>