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8"/>
        <w:gridCol w:w="1866"/>
        <w:gridCol w:w="1965"/>
        <w:gridCol w:w="1829"/>
      </w:tblGrid>
      <w:tr w:rsidR="00150E89" w:rsidRPr="002A1906" w:rsidTr="007C3855">
        <w:trPr>
          <w:trHeight w:val="32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50E89" w:rsidRPr="002A1906" w:rsidRDefault="00150E89" w:rsidP="007C385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2A1906">
              <w:rPr>
                <w:rFonts w:cstheme="minorHAnsi"/>
                <w:b/>
                <w:sz w:val="20"/>
                <w:szCs w:val="20"/>
              </w:rPr>
              <w:t>TIPO DE REUNIÓN:</w:t>
            </w:r>
          </w:p>
        </w:tc>
        <w:tc>
          <w:tcPr>
            <w:tcW w:w="5751" w:type="dxa"/>
            <w:gridSpan w:val="3"/>
            <w:vAlign w:val="center"/>
          </w:tcPr>
          <w:p w:rsidR="00150E89" w:rsidRPr="002A1906" w:rsidRDefault="003D630B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Seguimiento Plan Anticorrupción</w:t>
            </w:r>
          </w:p>
        </w:tc>
      </w:tr>
      <w:tr w:rsidR="00150E89" w:rsidRPr="002A1906" w:rsidTr="007C3855">
        <w:trPr>
          <w:trHeight w:val="4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50E89" w:rsidRPr="002A1906" w:rsidRDefault="00150E89" w:rsidP="007C385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FECHA Y HORA DE LA REUNIÓN: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150E89" w:rsidRPr="002A1906" w:rsidRDefault="00150E89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Fecha:</w:t>
            </w:r>
            <w:r w:rsidR="003D630B">
              <w:rPr>
                <w:rFonts w:cstheme="minorHAnsi"/>
                <w:b/>
                <w:sz w:val="20"/>
                <w:szCs w:val="20"/>
              </w:rPr>
              <w:t xml:space="preserve"> 29/11/16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89" w:rsidRPr="002A1906" w:rsidRDefault="00150E89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Hora Inicio:</w:t>
            </w:r>
            <w:r w:rsidR="003D630B">
              <w:rPr>
                <w:rFonts w:cstheme="minorHAnsi"/>
                <w:b/>
                <w:sz w:val="20"/>
                <w:szCs w:val="20"/>
              </w:rPr>
              <w:t xml:space="preserve"> 9:30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150E89" w:rsidRPr="002A1906" w:rsidRDefault="00150E89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Hora Fin:</w:t>
            </w:r>
            <w:r w:rsidR="003D630B">
              <w:rPr>
                <w:rFonts w:cstheme="minorHAnsi"/>
                <w:b/>
                <w:sz w:val="20"/>
                <w:szCs w:val="20"/>
              </w:rPr>
              <w:t xml:space="preserve"> 10:30</w:t>
            </w:r>
          </w:p>
        </w:tc>
      </w:tr>
      <w:tr w:rsidR="00150E89" w:rsidRPr="002A1906" w:rsidTr="007C3855">
        <w:trPr>
          <w:trHeight w:val="41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50E89" w:rsidRPr="002A1906" w:rsidRDefault="00150E89" w:rsidP="007C385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LUGAR DE LA REUNIÓN:</w:t>
            </w:r>
          </w:p>
        </w:tc>
        <w:tc>
          <w:tcPr>
            <w:tcW w:w="5751" w:type="dxa"/>
            <w:gridSpan w:val="3"/>
            <w:vAlign w:val="center"/>
          </w:tcPr>
          <w:p w:rsidR="00150E89" w:rsidRPr="002A1906" w:rsidRDefault="003D630B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Presidencia ANI – of. Camilo Mendoza</w:t>
            </w:r>
          </w:p>
        </w:tc>
      </w:tr>
    </w:tbl>
    <w:p w:rsidR="00F97492" w:rsidRPr="002A1906" w:rsidRDefault="00F97492" w:rsidP="00B435D0">
      <w:pPr>
        <w:spacing w:line="240" w:lineRule="auto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0E89" w:rsidRPr="002A1906" w:rsidTr="006D137E">
        <w:trPr>
          <w:trHeight w:val="456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150E89" w:rsidRPr="002A1906" w:rsidRDefault="00150E89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ASISTENTES A LA REUNIÓN</w:t>
            </w:r>
          </w:p>
        </w:tc>
      </w:tr>
      <w:tr w:rsidR="00150E89" w:rsidRPr="002A1906" w:rsidTr="006D137E">
        <w:trPr>
          <w:trHeight w:val="419"/>
        </w:trPr>
        <w:tc>
          <w:tcPr>
            <w:tcW w:w="8828" w:type="dxa"/>
            <w:vAlign w:val="center"/>
          </w:tcPr>
          <w:p w:rsidR="00150E89" w:rsidRPr="002A1906" w:rsidRDefault="003D630B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Nubia Toro Castañeda – Asesora Vicepresidencia Ejecutiva</w:t>
            </w:r>
          </w:p>
        </w:tc>
      </w:tr>
      <w:tr w:rsidR="00150E89" w:rsidRPr="002A1906" w:rsidTr="006D137E">
        <w:trPr>
          <w:trHeight w:val="412"/>
        </w:trPr>
        <w:tc>
          <w:tcPr>
            <w:tcW w:w="8828" w:type="dxa"/>
            <w:vAlign w:val="center"/>
          </w:tcPr>
          <w:p w:rsidR="00150E89" w:rsidRPr="002A1906" w:rsidRDefault="003D630B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Alfredo Camacho Salas – Líder supervisión proyecto MVVCC</w:t>
            </w:r>
          </w:p>
        </w:tc>
      </w:tr>
      <w:tr w:rsidR="00150E89" w:rsidRPr="002A1906" w:rsidTr="006D137E">
        <w:trPr>
          <w:trHeight w:val="418"/>
        </w:trPr>
        <w:tc>
          <w:tcPr>
            <w:tcW w:w="8828" w:type="dxa"/>
            <w:vAlign w:val="center"/>
          </w:tcPr>
          <w:p w:rsidR="00150E89" w:rsidRPr="002A1906" w:rsidRDefault="003D630B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Camilo Mendoza Rozo – Asesor Presidencia ANI.</w:t>
            </w:r>
          </w:p>
        </w:tc>
      </w:tr>
    </w:tbl>
    <w:p w:rsidR="00150E89" w:rsidRPr="002A1906" w:rsidRDefault="00150E89" w:rsidP="00B435D0">
      <w:pPr>
        <w:spacing w:line="240" w:lineRule="auto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8"/>
        <w:gridCol w:w="5780"/>
      </w:tblGrid>
      <w:tr w:rsidR="00150E89" w:rsidRPr="002A1906" w:rsidTr="007C3855">
        <w:trPr>
          <w:trHeight w:val="43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150E89" w:rsidRPr="002A1906" w:rsidRDefault="00150E89" w:rsidP="00F2246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RESPON</w:t>
            </w:r>
            <w:r w:rsidR="00F22468">
              <w:rPr>
                <w:rFonts w:cstheme="minorHAnsi"/>
                <w:b/>
                <w:sz w:val="20"/>
                <w:szCs w:val="20"/>
              </w:rPr>
              <w:t>S</w:t>
            </w:r>
            <w:r w:rsidRPr="002A1906">
              <w:rPr>
                <w:rFonts w:cstheme="minorHAnsi"/>
                <w:b/>
                <w:sz w:val="20"/>
                <w:szCs w:val="20"/>
              </w:rPr>
              <w:t>ABLE SEGUIMIENTO:</w:t>
            </w:r>
          </w:p>
        </w:tc>
        <w:tc>
          <w:tcPr>
            <w:tcW w:w="5893" w:type="dxa"/>
            <w:vAlign w:val="center"/>
          </w:tcPr>
          <w:p w:rsidR="00150E89" w:rsidRPr="002A1906" w:rsidRDefault="003D630B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Camilo Mendoza Rozo - Asesor</w:t>
            </w:r>
          </w:p>
        </w:tc>
      </w:tr>
    </w:tbl>
    <w:p w:rsidR="00150E89" w:rsidRPr="002A1906" w:rsidRDefault="00150E89" w:rsidP="00B435D0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0E89" w:rsidRPr="002A1906" w:rsidTr="007C3855">
        <w:trPr>
          <w:trHeight w:val="415"/>
        </w:trPr>
        <w:tc>
          <w:tcPr>
            <w:tcW w:w="8978" w:type="dxa"/>
            <w:shd w:val="clear" w:color="auto" w:fill="D9D9D9" w:themeFill="background1" w:themeFillShade="D9"/>
            <w:vAlign w:val="center"/>
          </w:tcPr>
          <w:p w:rsidR="00150E89" w:rsidRPr="002A1906" w:rsidRDefault="00150E89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OBJETIVOS DE REUNIÓN</w:t>
            </w:r>
            <w:r w:rsidR="00551129" w:rsidRPr="002A1906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150E89" w:rsidRPr="002A1906" w:rsidTr="007C3855">
        <w:trPr>
          <w:trHeight w:val="752"/>
        </w:trPr>
        <w:tc>
          <w:tcPr>
            <w:tcW w:w="8978" w:type="dxa"/>
            <w:vAlign w:val="center"/>
          </w:tcPr>
          <w:p w:rsidR="00150E89" w:rsidRPr="002A1906" w:rsidRDefault="003D630B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Evaluar otros espacios de rendición de cuentas y participación ciudadana empleados por la ANI.</w:t>
            </w:r>
          </w:p>
        </w:tc>
      </w:tr>
    </w:tbl>
    <w:p w:rsidR="00150E89" w:rsidRPr="002A1906" w:rsidRDefault="00150E89" w:rsidP="00B435D0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138A" w:rsidRPr="002A1906" w:rsidTr="007C3855">
        <w:trPr>
          <w:trHeight w:val="352"/>
        </w:trPr>
        <w:tc>
          <w:tcPr>
            <w:tcW w:w="8978" w:type="dxa"/>
            <w:shd w:val="clear" w:color="auto" w:fill="D9D9D9" w:themeFill="background1" w:themeFillShade="D9"/>
            <w:vAlign w:val="center"/>
          </w:tcPr>
          <w:p w:rsidR="002E138A" w:rsidRPr="002A1906" w:rsidRDefault="00551129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ORDEN DEL DÍA:</w:t>
            </w:r>
          </w:p>
        </w:tc>
      </w:tr>
      <w:tr w:rsidR="002E138A" w:rsidRPr="002A1906" w:rsidTr="007C3855">
        <w:trPr>
          <w:trHeight w:val="743"/>
        </w:trPr>
        <w:tc>
          <w:tcPr>
            <w:tcW w:w="8978" w:type="dxa"/>
            <w:vAlign w:val="center"/>
          </w:tcPr>
          <w:p w:rsidR="002E138A" w:rsidRPr="003D630B" w:rsidRDefault="003D630B" w:rsidP="003D630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Revisión del caso de las reuniones sobre las variantes de Tocancipá y Gachancipá (proyecto BTS)</w:t>
            </w:r>
          </w:p>
        </w:tc>
      </w:tr>
      <w:tr w:rsidR="003D630B" w:rsidRPr="002A1906" w:rsidTr="007C3855">
        <w:trPr>
          <w:trHeight w:val="743"/>
        </w:trPr>
        <w:tc>
          <w:tcPr>
            <w:tcW w:w="8978" w:type="dxa"/>
            <w:vAlign w:val="center"/>
          </w:tcPr>
          <w:p w:rsidR="003D630B" w:rsidRDefault="003D630B" w:rsidP="003D630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Revisión del caso de las reuniones sobre el cierre de la vía Buga – Loboguerrero (proyecto MVVCC)</w:t>
            </w:r>
          </w:p>
        </w:tc>
      </w:tr>
      <w:tr w:rsidR="00CE446C" w:rsidRPr="002A1906" w:rsidTr="007C3855">
        <w:trPr>
          <w:trHeight w:val="743"/>
        </w:trPr>
        <w:tc>
          <w:tcPr>
            <w:tcW w:w="8978" w:type="dxa"/>
            <w:vAlign w:val="center"/>
          </w:tcPr>
          <w:p w:rsidR="00CE446C" w:rsidRDefault="00CE446C" w:rsidP="003D630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Conclusiones y evaluación de ambos casos.</w:t>
            </w:r>
          </w:p>
        </w:tc>
      </w:tr>
    </w:tbl>
    <w:p w:rsidR="002E138A" w:rsidRPr="002A1906" w:rsidRDefault="002E138A" w:rsidP="00B435D0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1129" w:rsidRPr="002A1906" w:rsidTr="007C3855">
        <w:trPr>
          <w:trHeight w:val="372"/>
        </w:trPr>
        <w:tc>
          <w:tcPr>
            <w:tcW w:w="8978" w:type="dxa"/>
            <w:shd w:val="clear" w:color="auto" w:fill="D9D9D9" w:themeFill="background1" w:themeFillShade="D9"/>
            <w:vAlign w:val="center"/>
          </w:tcPr>
          <w:p w:rsidR="00551129" w:rsidRPr="002A1906" w:rsidRDefault="00551129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ESTADO DE APROBACIÓN DEL ACTA</w:t>
            </w:r>
            <w:r w:rsidR="00AD34E2" w:rsidRPr="002A1906">
              <w:rPr>
                <w:rFonts w:cstheme="minorHAnsi"/>
                <w:b/>
                <w:sz w:val="20"/>
                <w:szCs w:val="20"/>
              </w:rPr>
              <w:t xml:space="preserve"> POR ASISTENTES</w:t>
            </w:r>
            <w:r w:rsidRPr="002A1906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51129" w:rsidRPr="002A1906" w:rsidTr="007C3855">
        <w:trPr>
          <w:trHeight w:val="743"/>
        </w:trPr>
        <w:tc>
          <w:tcPr>
            <w:tcW w:w="8978" w:type="dxa"/>
            <w:vAlign w:val="center"/>
          </w:tcPr>
          <w:p w:rsidR="00551129" w:rsidRPr="002A1906" w:rsidRDefault="00551129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551129" w:rsidRPr="002A1906" w:rsidRDefault="00551129" w:rsidP="00B435D0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3340"/>
        <w:gridCol w:w="3150"/>
      </w:tblGrid>
      <w:tr w:rsidR="00AD34E2" w:rsidRPr="002A1906" w:rsidTr="003D630B">
        <w:trPr>
          <w:trHeight w:val="344"/>
        </w:trPr>
        <w:tc>
          <w:tcPr>
            <w:tcW w:w="8828" w:type="dxa"/>
            <w:gridSpan w:val="3"/>
            <w:shd w:val="clear" w:color="auto" w:fill="D9D9D9" w:themeFill="background1" w:themeFillShade="D9"/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INVITADOS EXTERNOS A LA REUNIÓN:</w:t>
            </w:r>
          </w:p>
        </w:tc>
      </w:tr>
      <w:tr w:rsidR="00AD34E2" w:rsidRPr="002A1906" w:rsidTr="003D630B">
        <w:trPr>
          <w:trHeight w:val="420"/>
        </w:trPr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ENTIDAD</w:t>
            </w:r>
          </w:p>
        </w:tc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NOMBRE</w:t>
            </w:r>
            <w:r w:rsidR="00B435D0">
              <w:rPr>
                <w:rFonts w:cstheme="minorHAnsi"/>
                <w:b/>
                <w:sz w:val="20"/>
                <w:szCs w:val="20"/>
              </w:rPr>
              <w:t>S</w:t>
            </w:r>
            <w:r w:rsidRPr="002A1906">
              <w:rPr>
                <w:rFonts w:cstheme="minorHAnsi"/>
                <w:b/>
                <w:sz w:val="20"/>
                <w:szCs w:val="20"/>
              </w:rPr>
              <w:t xml:space="preserve"> - APELLIDOS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CORREO ELECTRÓNICO</w:t>
            </w:r>
          </w:p>
        </w:tc>
      </w:tr>
      <w:tr w:rsidR="00AD34E2" w:rsidRPr="002A1906" w:rsidTr="003D630B">
        <w:trPr>
          <w:trHeight w:val="412"/>
        </w:trPr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4E2" w:rsidRPr="002A1906" w:rsidRDefault="003D630B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n.a.</w:t>
            </w:r>
          </w:p>
        </w:tc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2" w:rsidRPr="002A1906" w:rsidRDefault="003D630B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n.a.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4E2" w:rsidRPr="002A1906" w:rsidRDefault="003D630B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n.a.</w:t>
            </w:r>
          </w:p>
        </w:tc>
      </w:tr>
    </w:tbl>
    <w:p w:rsidR="00AD34E2" w:rsidRDefault="00AD34E2" w:rsidP="00B435D0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6D137E" w:rsidRPr="002A1906" w:rsidRDefault="006D137E" w:rsidP="00B435D0">
      <w:pPr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5"/>
        <w:gridCol w:w="6343"/>
      </w:tblGrid>
      <w:tr w:rsidR="00AD34E2" w:rsidRPr="002A1906" w:rsidTr="00753E17">
        <w:trPr>
          <w:trHeight w:val="400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DESARROLLO DEL ORDEN DEL DÍA</w:t>
            </w:r>
          </w:p>
        </w:tc>
      </w:tr>
      <w:tr w:rsidR="00AD34E2" w:rsidRPr="002A1906" w:rsidTr="00753E17">
        <w:trPr>
          <w:trHeight w:val="342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ORDEN DEL DÍA</w:t>
            </w:r>
          </w:p>
        </w:tc>
        <w:tc>
          <w:tcPr>
            <w:tcW w:w="6343" w:type="dxa"/>
            <w:tcBorders>
              <w:left w:val="single" w:sz="4" w:space="0" w:color="auto"/>
            </w:tcBorders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ANÁLISIS Y CONCLUSIONES</w:t>
            </w:r>
          </w:p>
        </w:tc>
      </w:tr>
      <w:tr w:rsidR="00753E17" w:rsidRPr="002A1906" w:rsidTr="00753E17">
        <w:trPr>
          <w:trHeight w:val="417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:rsidR="00753E17" w:rsidRPr="002A1906" w:rsidRDefault="00753E17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Revisión del caso de las reu</w:t>
            </w:r>
            <w:r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softHyphen/>
              <w:t>niones sobre las va</w:t>
            </w:r>
            <w:r>
              <w:rPr>
                <w:rFonts w:cstheme="minorHAnsi"/>
                <w:sz w:val="20"/>
                <w:szCs w:val="20"/>
              </w:rPr>
              <w:softHyphen/>
              <w:t>rian</w:t>
            </w:r>
            <w:r>
              <w:rPr>
                <w:rFonts w:cstheme="minorHAnsi"/>
                <w:sz w:val="20"/>
                <w:szCs w:val="20"/>
              </w:rPr>
              <w:softHyphen/>
              <w:t>tes de Tocancipá y Ga</w:t>
            </w:r>
            <w:r>
              <w:rPr>
                <w:rFonts w:cstheme="minorHAnsi"/>
                <w:sz w:val="20"/>
                <w:szCs w:val="20"/>
              </w:rPr>
              <w:softHyphen/>
              <w:t>chan</w:t>
            </w:r>
            <w:r>
              <w:rPr>
                <w:rFonts w:cstheme="minorHAnsi"/>
                <w:sz w:val="20"/>
                <w:szCs w:val="20"/>
              </w:rPr>
              <w:softHyphen/>
              <w:t>ci</w:t>
            </w:r>
            <w:r>
              <w:rPr>
                <w:rFonts w:cstheme="minorHAnsi"/>
                <w:sz w:val="20"/>
                <w:szCs w:val="20"/>
              </w:rPr>
              <w:softHyphen/>
              <w:t>pá (proyecto BTS)</w:t>
            </w:r>
          </w:p>
        </w:tc>
        <w:tc>
          <w:tcPr>
            <w:tcW w:w="6343" w:type="dxa"/>
            <w:tcBorders>
              <w:left w:val="single" w:sz="4" w:space="0" w:color="auto"/>
            </w:tcBorders>
            <w:vAlign w:val="center"/>
          </w:tcPr>
          <w:p w:rsidR="00753E17" w:rsidRDefault="00753E17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objeto principal de las reuniones fue atender las objeciones de la co</w:t>
            </w:r>
            <w:r w:rsidR="006D137E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mu</w:t>
            </w:r>
            <w:r w:rsidR="006D137E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ni</w:t>
            </w:r>
            <w:r w:rsidR="006D137E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dad y la Alcaldía sobre la entrega de la variante de Tocancipá por parte del con</w:t>
            </w:r>
            <w:r w:rsidR="006D137E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cesionario.</w:t>
            </w:r>
          </w:p>
          <w:p w:rsidR="00753E17" w:rsidRDefault="006D137E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Inicialmente se buscó que la Alcaldía identificara y priorizara las inquietudes de la comunidad.</w:t>
            </w:r>
          </w:p>
          <w:p w:rsidR="006D137E" w:rsidRDefault="006D137E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las primeras reuniones</w:t>
            </w:r>
            <w:r w:rsidR="005758FB">
              <w:rPr>
                <w:rFonts w:cstheme="minorHAnsi"/>
                <w:sz w:val="20"/>
                <w:szCs w:val="20"/>
              </w:rPr>
              <w:t xml:space="preserve"> en 2015</w:t>
            </w:r>
            <w:r>
              <w:rPr>
                <w:rFonts w:cstheme="minorHAnsi"/>
                <w:sz w:val="20"/>
                <w:szCs w:val="20"/>
              </w:rPr>
              <w:t xml:space="preserve"> se socializó el proyecto y sus beneficios; el pro</w:t>
            </w:r>
            <w:r>
              <w:rPr>
                <w:rFonts w:cstheme="minorHAnsi"/>
                <w:sz w:val="20"/>
                <w:szCs w:val="20"/>
              </w:rPr>
              <w:softHyphen/>
              <w:t>ce</w:t>
            </w:r>
            <w:r>
              <w:rPr>
                <w:rFonts w:cstheme="minorHAnsi"/>
                <w:sz w:val="20"/>
                <w:szCs w:val="20"/>
              </w:rPr>
              <w:softHyphen/>
              <w:t>so parte sin contar con recursos económicos que permitan respaldar la asun</w:t>
            </w:r>
            <w:r>
              <w:rPr>
                <w:rFonts w:cstheme="minorHAnsi"/>
                <w:sz w:val="20"/>
                <w:szCs w:val="20"/>
              </w:rPr>
              <w:softHyphen/>
              <w:t>ción de algún tipo de compromiso.</w:t>
            </w:r>
          </w:p>
          <w:p w:rsidR="006D137E" w:rsidRDefault="006D137E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comunidad no estaba interesada en conocer informaci</w:t>
            </w:r>
            <w:r w:rsidR="00D72E24">
              <w:rPr>
                <w:rFonts w:cstheme="minorHAnsi"/>
                <w:sz w:val="20"/>
                <w:szCs w:val="20"/>
              </w:rPr>
              <w:t>ón general del proyecto, ni de la ANI, por lo que no se encontraba oportunidad para entrega de información de ese tipo.</w:t>
            </w:r>
          </w:p>
          <w:p w:rsidR="00D72E24" w:rsidRDefault="00D72E24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comunidad llevaba documentos y conocía bastante bien los antecedentes de la situación y compromisos adquiridos por el concesionario y la ANI. La entidad no tenía el mismo nivel de preparación.</w:t>
            </w:r>
          </w:p>
          <w:p w:rsidR="00D72E24" w:rsidRDefault="00D72E24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logró concertar soluciones a algunas de las inquietudes en la medida que se involucró a la Alcaldía y esta asumió algunas responsabilidades derivadas de sus funciones. Hubo unión de esfuerzos Alcaldía – ANI – Concesionario.</w:t>
            </w:r>
          </w:p>
          <w:p w:rsidR="00D72E24" w:rsidRDefault="00D72E24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Hubo compromisos de la ANI de gestionar el apoyo de la nueva Agencia</w:t>
            </w:r>
            <w:r w:rsidR="005758FB">
              <w:rPr>
                <w:rFonts w:cstheme="minorHAnsi"/>
                <w:sz w:val="20"/>
                <w:szCs w:val="20"/>
              </w:rPr>
              <w:t xml:space="preserve"> de Seguridad Vial al municipio, se hizo reunión de evaluación en marzo de 2016.</w:t>
            </w:r>
          </w:p>
          <w:p w:rsidR="00D72E24" w:rsidRPr="002A1906" w:rsidRDefault="00D72E24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Habrá reunión de seguimiento en diciembre. </w:t>
            </w:r>
          </w:p>
        </w:tc>
      </w:tr>
      <w:tr w:rsidR="00753E17" w:rsidRPr="002A1906" w:rsidTr="00753E17">
        <w:trPr>
          <w:trHeight w:val="410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:rsidR="00753E17" w:rsidRPr="002A1906" w:rsidRDefault="00753E17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Revisión del caso de las reu</w:t>
            </w:r>
            <w:r>
              <w:rPr>
                <w:rFonts w:cstheme="minorHAnsi"/>
                <w:sz w:val="20"/>
                <w:szCs w:val="20"/>
              </w:rPr>
              <w:softHyphen/>
              <w:t>niones sobre el cierre de la vía Buga – Lo</w:t>
            </w:r>
            <w:r>
              <w:rPr>
                <w:rFonts w:cstheme="minorHAnsi"/>
                <w:sz w:val="20"/>
                <w:szCs w:val="20"/>
              </w:rPr>
              <w:softHyphen/>
              <w:t>bo</w:t>
            </w:r>
            <w:r>
              <w:rPr>
                <w:rFonts w:cstheme="minorHAnsi"/>
                <w:sz w:val="20"/>
                <w:szCs w:val="20"/>
              </w:rPr>
              <w:softHyphen/>
              <w:t>gue</w:t>
            </w:r>
            <w:r>
              <w:rPr>
                <w:rFonts w:cstheme="minorHAnsi"/>
                <w:sz w:val="20"/>
                <w:szCs w:val="20"/>
              </w:rPr>
              <w:softHyphen/>
              <w:t>rre</w:t>
            </w:r>
            <w:r>
              <w:rPr>
                <w:rFonts w:cstheme="minorHAnsi"/>
                <w:sz w:val="20"/>
                <w:szCs w:val="20"/>
              </w:rPr>
              <w:softHyphen/>
              <w:t>ro (proyecto MVVCC)</w:t>
            </w:r>
          </w:p>
        </w:tc>
        <w:tc>
          <w:tcPr>
            <w:tcW w:w="6343" w:type="dxa"/>
            <w:tcBorders>
              <w:left w:val="single" w:sz="4" w:space="0" w:color="auto"/>
            </w:tcBorders>
            <w:vAlign w:val="center"/>
          </w:tcPr>
          <w:p w:rsidR="00753E17" w:rsidRDefault="00D72E24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objeto principal de las reuniones fue atender la inconformidad de la co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mu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nidad sobre el cierre total de la vía Buga – Buenaventura para culminar la doble calzada entre Buga y Loboguerrero. El cierre era necesario para cul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mi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nar las obras en tiempo y por cuanto el puerto de Buenaventura no tra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ba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ja de noche, y la licencia ambiental de la construcción de la vía restringe los trabajos nocturnos.</w:t>
            </w:r>
          </w:p>
          <w:p w:rsidR="00D72E24" w:rsidRDefault="00D72E24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el marco de las reuniones con gremios, transportadores, el puerto y la co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 xml:space="preserve">munidad se concertó un </w:t>
            </w:r>
            <w:r w:rsidR="00CE446C">
              <w:rPr>
                <w:rFonts w:cstheme="minorHAnsi"/>
                <w:sz w:val="20"/>
                <w:szCs w:val="20"/>
              </w:rPr>
              <w:t>cierre parcial y la contratación de un gerente lo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 w:rsidR="00CE446C">
              <w:rPr>
                <w:rFonts w:cstheme="minorHAnsi"/>
                <w:sz w:val="20"/>
                <w:szCs w:val="20"/>
              </w:rPr>
              <w:t>gís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 w:rsidR="00CE446C">
              <w:rPr>
                <w:rFonts w:cstheme="minorHAnsi"/>
                <w:sz w:val="20"/>
                <w:szCs w:val="20"/>
              </w:rPr>
              <w:t>tico que administrara el cierre y sirviera de enlace efectivo con los in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 w:rsidR="00CE446C">
              <w:rPr>
                <w:rFonts w:cstheme="minorHAnsi"/>
                <w:sz w:val="20"/>
                <w:szCs w:val="20"/>
              </w:rPr>
              <w:t>te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 w:rsidR="00CE446C">
              <w:rPr>
                <w:rFonts w:cstheme="minorHAnsi"/>
                <w:sz w:val="20"/>
                <w:szCs w:val="20"/>
              </w:rPr>
              <w:t>re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 w:rsidR="00CE446C">
              <w:rPr>
                <w:rFonts w:cstheme="minorHAnsi"/>
                <w:sz w:val="20"/>
                <w:szCs w:val="20"/>
              </w:rPr>
              <w:t>sa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 w:rsidR="00CE446C">
              <w:rPr>
                <w:rFonts w:cstheme="minorHAnsi"/>
                <w:sz w:val="20"/>
                <w:szCs w:val="20"/>
              </w:rPr>
              <w:t>dos</w:t>
            </w:r>
            <w:r w:rsidR="005758FB">
              <w:rPr>
                <w:rFonts w:cstheme="minorHAnsi"/>
                <w:sz w:val="20"/>
                <w:szCs w:val="20"/>
              </w:rPr>
              <w:t xml:space="preserve"> (se exigió que fuera una persona que residiera en el Valle del Cauca)</w:t>
            </w:r>
            <w:r w:rsidR="00CE446C">
              <w:rPr>
                <w:rFonts w:cstheme="minorHAnsi"/>
                <w:sz w:val="20"/>
                <w:szCs w:val="20"/>
              </w:rPr>
              <w:t xml:space="preserve">. Así mismo, se establecieron zonas de parqueo a lo largo de la vía. </w:t>
            </w:r>
          </w:p>
          <w:p w:rsidR="00CE446C" w:rsidRDefault="00CE446C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 el apoyo del Ministerio de Transporte se logró además un cambio en la operación del puerto que facilitara el proceso.</w:t>
            </w:r>
          </w:p>
          <w:p w:rsidR="00D72E24" w:rsidRDefault="00CE446C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afectación económica de la comunidad se atendió apoyando que a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ten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die</w:t>
            </w:r>
            <w:r w:rsidR="005758FB"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t>ran los camiones en las zonas de parqueo; la afectación social por temas de movilidad se solucionó prestando caravanas en horarios específicos.</w:t>
            </w:r>
          </w:p>
          <w:p w:rsidR="005758FB" w:rsidRPr="002A1906" w:rsidRDefault="005758FB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cierre se inició en 2015 y continúa hasta la fecha con seguimientos perió</w:t>
            </w:r>
            <w:r>
              <w:rPr>
                <w:rFonts w:cstheme="minorHAnsi"/>
                <w:sz w:val="20"/>
                <w:szCs w:val="20"/>
              </w:rPr>
              <w:softHyphen/>
              <w:t>di</w:t>
            </w:r>
            <w:r>
              <w:rPr>
                <w:rFonts w:cstheme="minorHAnsi"/>
                <w:sz w:val="20"/>
                <w:szCs w:val="20"/>
              </w:rPr>
              <w:softHyphen/>
              <w:t>cos en 2016.</w:t>
            </w:r>
          </w:p>
        </w:tc>
      </w:tr>
      <w:tr w:rsidR="00CE446C" w:rsidRPr="002A1906" w:rsidTr="00753E17">
        <w:trPr>
          <w:trHeight w:val="410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:rsidR="00CE446C" w:rsidRDefault="00CE446C" w:rsidP="00753E1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Conclusiones y evaluación de ambos casos.</w:t>
            </w:r>
          </w:p>
        </w:tc>
        <w:tc>
          <w:tcPr>
            <w:tcW w:w="6343" w:type="dxa"/>
            <w:tcBorders>
              <w:left w:val="single" w:sz="4" w:space="0" w:color="auto"/>
            </w:tcBorders>
            <w:vAlign w:val="center"/>
          </w:tcPr>
          <w:p w:rsidR="00155886" w:rsidRDefault="00CE446C" w:rsidP="00155886">
            <w:pPr>
              <w:pStyle w:val="Prrafodelista"/>
              <w:numPr>
                <w:ilvl w:val="0"/>
                <w:numId w:val="2"/>
              </w:numPr>
              <w:tabs>
                <w:tab w:val="left" w:pos="383"/>
              </w:tabs>
              <w:ind w:left="100" w:firstLine="0"/>
              <w:jc w:val="both"/>
              <w:rPr>
                <w:rFonts w:cstheme="minorHAnsi"/>
                <w:sz w:val="20"/>
                <w:szCs w:val="20"/>
              </w:rPr>
            </w:pPr>
            <w:r w:rsidRPr="00155886">
              <w:rPr>
                <w:rFonts w:cstheme="minorHAnsi"/>
                <w:sz w:val="20"/>
                <w:szCs w:val="20"/>
              </w:rPr>
              <w:t>Los casos se consideran como “otros espacios de rendición de cuentas” en la medida que en ellos se da una interlocución entre la A</w:t>
            </w:r>
            <w:r w:rsidR="00155886"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gen</w:t>
            </w:r>
            <w:r w:rsidR="00155886"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cia/concesionario con la comunidad en la que la entidad presenta el estado de avance de su gestión en temas específicos, normalmente propuestos por la comunidad.</w:t>
            </w:r>
          </w:p>
          <w:p w:rsidR="00155886" w:rsidRDefault="00CE446C" w:rsidP="00155886">
            <w:pPr>
              <w:pStyle w:val="Prrafodelista"/>
              <w:numPr>
                <w:ilvl w:val="0"/>
                <w:numId w:val="2"/>
              </w:numPr>
              <w:tabs>
                <w:tab w:val="left" w:pos="383"/>
              </w:tabs>
              <w:ind w:left="100" w:firstLine="0"/>
              <w:jc w:val="both"/>
              <w:rPr>
                <w:rFonts w:cstheme="minorHAnsi"/>
                <w:sz w:val="20"/>
                <w:szCs w:val="20"/>
              </w:rPr>
            </w:pPr>
            <w:r w:rsidRPr="00155886">
              <w:rPr>
                <w:rFonts w:cstheme="minorHAnsi"/>
                <w:sz w:val="20"/>
                <w:szCs w:val="20"/>
              </w:rPr>
              <w:t>Así mismo, es un espacio de participación ciudadana por cuanto se ha</w:t>
            </w:r>
            <w:r w:rsidR="00155886"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cen propuestas que son analizadas y en la medida de lo posible atendidas.</w:t>
            </w:r>
          </w:p>
          <w:p w:rsidR="00155886" w:rsidRDefault="00CE446C" w:rsidP="00155886">
            <w:pPr>
              <w:pStyle w:val="Prrafodelista"/>
              <w:numPr>
                <w:ilvl w:val="0"/>
                <w:numId w:val="2"/>
              </w:numPr>
              <w:tabs>
                <w:tab w:val="left" w:pos="383"/>
              </w:tabs>
              <w:ind w:left="100" w:firstLine="0"/>
              <w:jc w:val="both"/>
              <w:rPr>
                <w:rFonts w:cstheme="minorHAnsi"/>
                <w:sz w:val="20"/>
                <w:szCs w:val="20"/>
              </w:rPr>
            </w:pPr>
            <w:r w:rsidRPr="00155886">
              <w:rPr>
                <w:rFonts w:cstheme="minorHAnsi"/>
                <w:sz w:val="20"/>
                <w:szCs w:val="20"/>
              </w:rPr>
              <w:t>Es importante documentar mejor estos espacios de rendición de cuen</w:t>
            </w:r>
            <w:r w:rsidR="00155886"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tas y participación ciudadana. A la fecha este tipo de actuaciones se do</w:t>
            </w:r>
            <w:r w:rsidR="00155886"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cu</w:t>
            </w:r>
            <w:r w:rsidR="00155886"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men</w:t>
            </w:r>
            <w:r w:rsidR="00155886"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tan para efectos de los documentos del proyecto</w:t>
            </w:r>
            <w:r w:rsidR="00155886">
              <w:rPr>
                <w:rFonts w:cstheme="minorHAnsi"/>
                <w:sz w:val="20"/>
                <w:szCs w:val="20"/>
              </w:rPr>
              <w:t>,</w:t>
            </w:r>
            <w:r w:rsidRPr="00155886">
              <w:rPr>
                <w:rFonts w:cstheme="minorHAnsi"/>
                <w:sz w:val="20"/>
                <w:szCs w:val="20"/>
              </w:rPr>
              <w:t xml:space="preserve"> pero no estamos sien</w:t>
            </w:r>
            <w:r w:rsidR="00155886"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do sistemáticos en su publicidad a través de la página Web.</w:t>
            </w:r>
          </w:p>
          <w:p w:rsidR="00155886" w:rsidRDefault="00155886" w:rsidP="00155886">
            <w:pPr>
              <w:pStyle w:val="Prrafodelista"/>
              <w:numPr>
                <w:ilvl w:val="0"/>
                <w:numId w:val="2"/>
              </w:numPr>
              <w:tabs>
                <w:tab w:val="left" w:pos="383"/>
              </w:tabs>
              <w:ind w:left="100" w:firstLine="0"/>
              <w:jc w:val="both"/>
              <w:rPr>
                <w:rFonts w:cstheme="minorHAnsi"/>
                <w:sz w:val="20"/>
                <w:szCs w:val="20"/>
              </w:rPr>
            </w:pPr>
            <w:r w:rsidRPr="00155886">
              <w:rPr>
                <w:rFonts w:cstheme="minorHAnsi"/>
                <w:sz w:val="20"/>
                <w:szCs w:val="20"/>
              </w:rPr>
              <w:t>Un factor de éxito o fracaso de estos espacios, con miras a lograr so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lu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cio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nes, es el grado de involucramiento de las autoridades locales. Sin su coo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peración se hace más difícil lograr acuerdos razonables y eficaces.</w:t>
            </w:r>
            <w:r w:rsidR="00CE446C" w:rsidRPr="0015588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55886" w:rsidRDefault="00155886" w:rsidP="00155886">
            <w:pPr>
              <w:pStyle w:val="Prrafodelista"/>
              <w:numPr>
                <w:ilvl w:val="0"/>
                <w:numId w:val="2"/>
              </w:numPr>
              <w:tabs>
                <w:tab w:val="left" w:pos="383"/>
              </w:tabs>
              <w:ind w:left="100" w:firstLine="0"/>
              <w:jc w:val="both"/>
              <w:rPr>
                <w:rFonts w:cstheme="minorHAnsi"/>
                <w:sz w:val="20"/>
                <w:szCs w:val="20"/>
              </w:rPr>
            </w:pPr>
            <w:r w:rsidRPr="00155886">
              <w:rPr>
                <w:rFonts w:cstheme="minorHAnsi"/>
                <w:sz w:val="20"/>
                <w:szCs w:val="20"/>
              </w:rPr>
              <w:t>Otro factor de éxito o fracaso es el conocimiento que se tenga de la zo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na y de los antecedentes de la situación específica por parte del equipo de la ANI que atienda la reunión.</w:t>
            </w:r>
          </w:p>
          <w:p w:rsidR="00155886" w:rsidRPr="00155886" w:rsidRDefault="00155886" w:rsidP="00155886">
            <w:pPr>
              <w:pStyle w:val="Prrafodelista"/>
              <w:numPr>
                <w:ilvl w:val="0"/>
                <w:numId w:val="2"/>
              </w:numPr>
              <w:tabs>
                <w:tab w:val="left" w:pos="383"/>
              </w:tabs>
              <w:ind w:left="100" w:firstLine="0"/>
              <w:jc w:val="both"/>
              <w:rPr>
                <w:rFonts w:cstheme="minorHAnsi"/>
                <w:sz w:val="20"/>
                <w:szCs w:val="20"/>
              </w:rPr>
            </w:pPr>
            <w:r w:rsidRPr="00155886">
              <w:rPr>
                <w:rFonts w:cstheme="minorHAnsi"/>
                <w:sz w:val="20"/>
                <w:szCs w:val="20"/>
              </w:rPr>
              <w:t>Si bien la comunidad no tiene interés en temas generales del pro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yec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to o la entidad cabe la opción de compartir una mínima in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for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ma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ción, en todo caso ligada al proyecto. Esta información debe ser an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te todo gráfica pues los niveles de alfabetismo varían con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si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de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ra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ble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mente. Entre los aspectos que se pueden incorporar están:</w:t>
            </w:r>
          </w:p>
          <w:p w:rsidR="00155886" w:rsidRDefault="00155886" w:rsidP="00155886">
            <w:pPr>
              <w:pStyle w:val="Prrafodelista"/>
              <w:numPr>
                <w:ilvl w:val="0"/>
                <w:numId w:val="3"/>
              </w:numPr>
              <w:tabs>
                <w:tab w:val="left" w:pos="80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55886">
              <w:rPr>
                <w:rFonts w:cstheme="minorHAnsi"/>
                <w:sz w:val="20"/>
                <w:szCs w:val="20"/>
              </w:rPr>
              <w:t>Explicar qué es y qué no es la ANI, especialmente para diferenciarla del concesionario y el constructor.</w:t>
            </w:r>
          </w:p>
          <w:p w:rsidR="00155886" w:rsidRDefault="00155886" w:rsidP="00155886">
            <w:pPr>
              <w:pStyle w:val="Prrafodelista"/>
              <w:numPr>
                <w:ilvl w:val="0"/>
                <w:numId w:val="3"/>
              </w:numPr>
              <w:tabs>
                <w:tab w:val="left" w:pos="80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55886">
              <w:rPr>
                <w:rFonts w:cstheme="minorHAnsi"/>
                <w:sz w:val="20"/>
                <w:szCs w:val="20"/>
              </w:rPr>
              <w:t>Contactos de la ANI-interventoría-concesionario para tratar las in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155886">
              <w:rPr>
                <w:rFonts w:cstheme="minorHAnsi"/>
                <w:sz w:val="20"/>
                <w:szCs w:val="20"/>
              </w:rPr>
              <w:t>quie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="002A7CBC">
              <w:rPr>
                <w:rFonts w:cstheme="minorHAnsi"/>
                <w:sz w:val="20"/>
                <w:szCs w:val="20"/>
              </w:rPr>
              <w:t>tudes de la comunidad, y línea “Contactenos”.</w:t>
            </w:r>
          </w:p>
          <w:p w:rsidR="002A7CBC" w:rsidRDefault="00155886" w:rsidP="002A7CBC">
            <w:pPr>
              <w:pStyle w:val="Prrafodelista"/>
              <w:numPr>
                <w:ilvl w:val="0"/>
                <w:numId w:val="3"/>
              </w:numPr>
              <w:tabs>
                <w:tab w:val="left" w:pos="80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55886">
              <w:rPr>
                <w:rFonts w:cstheme="minorHAnsi"/>
                <w:sz w:val="20"/>
                <w:szCs w:val="20"/>
              </w:rPr>
              <w:t>Contactos de los entes que controlan la entidad o al concesionario (PGN, CGR, FGN, Ministerio de Transporte, Supertransporte, Vee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du</w:t>
            </w:r>
            <w:r w:rsidRPr="00155886">
              <w:rPr>
                <w:rFonts w:cstheme="minorHAnsi"/>
                <w:sz w:val="20"/>
                <w:szCs w:val="20"/>
              </w:rPr>
              <w:softHyphen/>
              <w:t>ría ciudadana de la zona, Congreso de la República,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A7CBC">
              <w:rPr>
                <w:rFonts w:cstheme="minorHAnsi"/>
                <w:sz w:val="20"/>
                <w:szCs w:val="20"/>
              </w:rPr>
              <w:t xml:space="preserve">Secretaría de Transparencia de la Presidencia de la República, </w:t>
            </w:r>
            <w:r>
              <w:rPr>
                <w:rFonts w:cstheme="minorHAnsi"/>
                <w:sz w:val="20"/>
                <w:szCs w:val="20"/>
              </w:rPr>
              <w:t>Control Interno ANI, Con</w:t>
            </w:r>
            <w:r w:rsidR="002A7CBC">
              <w:rPr>
                <w:rFonts w:cstheme="minorHAnsi"/>
                <w:sz w:val="20"/>
                <w:szCs w:val="20"/>
              </w:rPr>
              <w:t>trol Disciplinario ANI)</w:t>
            </w:r>
          </w:p>
          <w:p w:rsidR="002A7CBC" w:rsidRDefault="00155886" w:rsidP="002A7CBC">
            <w:pPr>
              <w:pStyle w:val="Prrafodelista"/>
              <w:numPr>
                <w:ilvl w:val="0"/>
                <w:numId w:val="3"/>
              </w:numPr>
              <w:tabs>
                <w:tab w:val="left" w:pos="80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A7CBC">
              <w:rPr>
                <w:rFonts w:cstheme="minorHAnsi"/>
                <w:sz w:val="20"/>
                <w:szCs w:val="20"/>
              </w:rPr>
              <w:t>Beneficios del proyecto.</w:t>
            </w:r>
          </w:p>
          <w:p w:rsidR="002A7CBC" w:rsidRDefault="00155886" w:rsidP="002A7CBC">
            <w:pPr>
              <w:pStyle w:val="Prrafodelista"/>
              <w:numPr>
                <w:ilvl w:val="0"/>
                <w:numId w:val="3"/>
              </w:numPr>
              <w:tabs>
                <w:tab w:val="left" w:pos="80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A7CBC">
              <w:rPr>
                <w:rFonts w:cstheme="minorHAnsi"/>
                <w:sz w:val="20"/>
                <w:szCs w:val="20"/>
              </w:rPr>
              <w:t>Fechas de terminación de actividades relevantes (obras, el cierre de la vía, estudios)</w:t>
            </w:r>
          </w:p>
          <w:p w:rsidR="00155886" w:rsidRDefault="00155886" w:rsidP="002A7CBC">
            <w:pPr>
              <w:pStyle w:val="Prrafodelista"/>
              <w:numPr>
                <w:ilvl w:val="0"/>
                <w:numId w:val="3"/>
              </w:numPr>
              <w:tabs>
                <w:tab w:val="left" w:pos="80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A7CBC">
              <w:rPr>
                <w:rFonts w:cstheme="minorHAnsi"/>
                <w:sz w:val="20"/>
                <w:szCs w:val="20"/>
              </w:rPr>
              <w:t>Derechos de los ciudadanos frente a la</w:t>
            </w:r>
            <w:r w:rsidR="002A7CBC">
              <w:rPr>
                <w:rFonts w:cstheme="minorHAnsi"/>
                <w:sz w:val="20"/>
                <w:szCs w:val="20"/>
              </w:rPr>
              <w:t xml:space="preserve"> ANI y el proyecto.</w:t>
            </w:r>
          </w:p>
          <w:p w:rsidR="002A7CBC" w:rsidRPr="002A7CBC" w:rsidRDefault="002A7CBC" w:rsidP="002A7CBC">
            <w:pPr>
              <w:pStyle w:val="Prrafodelista"/>
              <w:numPr>
                <w:ilvl w:val="0"/>
                <w:numId w:val="3"/>
              </w:numPr>
              <w:tabs>
                <w:tab w:val="left" w:pos="808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Deberes de los ciudadanos frente a la ANI y el proyecto.</w:t>
            </w:r>
          </w:p>
        </w:tc>
      </w:tr>
    </w:tbl>
    <w:p w:rsidR="00AD34E2" w:rsidRPr="002A1906" w:rsidRDefault="00AD34E2" w:rsidP="00B435D0">
      <w:pPr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1"/>
        <w:gridCol w:w="2883"/>
        <w:gridCol w:w="1810"/>
        <w:gridCol w:w="1074"/>
      </w:tblGrid>
      <w:tr w:rsidR="00AD34E2" w:rsidRPr="002A1906" w:rsidTr="002A7CBC">
        <w:trPr>
          <w:trHeight w:val="411"/>
        </w:trPr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COMPROMISOS</w:t>
            </w:r>
          </w:p>
        </w:tc>
      </w:tr>
      <w:tr w:rsidR="00AD34E2" w:rsidRPr="002A1906" w:rsidTr="002A7CBC">
        <w:trPr>
          <w:trHeight w:val="418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COMPROMISO</w:t>
            </w:r>
          </w:p>
        </w:tc>
        <w:tc>
          <w:tcPr>
            <w:tcW w:w="2883" w:type="dxa"/>
            <w:tcBorders>
              <w:right w:val="single" w:sz="4" w:space="0" w:color="auto"/>
            </w:tcBorders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RESPONSABLE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FECHA ENTREGA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AD34E2" w:rsidRPr="002A1906" w:rsidRDefault="00AD34E2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%AVANCE</w:t>
            </w:r>
          </w:p>
        </w:tc>
      </w:tr>
      <w:tr w:rsidR="002A1906" w:rsidRPr="002A1906" w:rsidTr="002A7CBC">
        <w:trPr>
          <w:trHeight w:val="424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2A1906" w:rsidRPr="002A1906" w:rsidRDefault="002A7CBC" w:rsidP="002A7CBC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Informar las conclusiones al Comité MPIG para que sean tenidas en cuen</w:t>
            </w:r>
            <w:r>
              <w:rPr>
                <w:rFonts w:cstheme="minorHAnsi"/>
                <w:sz w:val="20"/>
                <w:szCs w:val="20"/>
              </w:rPr>
              <w:softHyphen/>
              <w:t>ta dentro de la formulación del Plan Anticorrupción 2017.</w:t>
            </w:r>
          </w:p>
        </w:tc>
        <w:tc>
          <w:tcPr>
            <w:tcW w:w="2883" w:type="dxa"/>
            <w:tcBorders>
              <w:right w:val="single" w:sz="4" w:space="0" w:color="auto"/>
            </w:tcBorders>
            <w:vAlign w:val="center"/>
          </w:tcPr>
          <w:p w:rsidR="002A1906" w:rsidRPr="002A1906" w:rsidRDefault="002A7CBC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Camilo Mendoza R.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:rsidR="002A1906" w:rsidRPr="002A1906" w:rsidRDefault="002A7CBC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31-12-16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2A1906" w:rsidRPr="002A1906" w:rsidRDefault="002A7CBC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A1906" w:rsidRPr="002A1906" w:rsidTr="002A7CBC">
        <w:trPr>
          <w:trHeight w:val="402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2A1906" w:rsidRPr="002A1906" w:rsidRDefault="002A7CBC" w:rsidP="002A7CBC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Informar a la Gerencia Social de la VPRE y la Oficina de Co</w:t>
            </w:r>
            <w:r>
              <w:rPr>
                <w:rFonts w:cstheme="minorHAnsi"/>
                <w:sz w:val="20"/>
                <w:szCs w:val="20"/>
              </w:rPr>
              <w:softHyphen/>
              <w:t>mu</w:t>
            </w:r>
            <w:r>
              <w:rPr>
                <w:rFonts w:cstheme="minorHAnsi"/>
                <w:sz w:val="20"/>
                <w:szCs w:val="20"/>
              </w:rPr>
              <w:softHyphen/>
              <w:t>ni</w:t>
            </w:r>
            <w:r>
              <w:rPr>
                <w:rFonts w:cstheme="minorHAnsi"/>
                <w:sz w:val="20"/>
                <w:szCs w:val="20"/>
              </w:rPr>
              <w:softHyphen/>
              <w:t>ca</w:t>
            </w:r>
            <w:r>
              <w:rPr>
                <w:rFonts w:cstheme="minorHAnsi"/>
                <w:sz w:val="20"/>
                <w:szCs w:val="20"/>
              </w:rPr>
              <w:softHyphen/>
              <w:t>cio</w:t>
            </w:r>
            <w:r>
              <w:rPr>
                <w:rFonts w:cstheme="minorHAnsi"/>
                <w:sz w:val="20"/>
                <w:szCs w:val="20"/>
              </w:rPr>
              <w:softHyphen/>
              <w:t>nes las conclusiones para que sean te</w:t>
            </w:r>
            <w:r>
              <w:rPr>
                <w:rFonts w:cstheme="minorHAnsi"/>
                <w:sz w:val="20"/>
                <w:szCs w:val="20"/>
              </w:rPr>
              <w:softHyphen/>
              <w:t>nidas en cuenta para la for</w:t>
            </w:r>
            <w:r>
              <w:rPr>
                <w:rFonts w:cstheme="minorHAnsi"/>
                <w:sz w:val="20"/>
                <w:szCs w:val="20"/>
              </w:rPr>
              <w:softHyphen/>
              <w:t>mu</w:t>
            </w:r>
            <w:r>
              <w:rPr>
                <w:rFonts w:cstheme="minorHAnsi"/>
                <w:sz w:val="20"/>
                <w:szCs w:val="20"/>
              </w:rPr>
              <w:softHyphen/>
              <w:t>la</w:t>
            </w:r>
            <w:r>
              <w:rPr>
                <w:rFonts w:cstheme="minorHAnsi"/>
                <w:sz w:val="20"/>
                <w:szCs w:val="20"/>
              </w:rPr>
              <w:softHyphen/>
              <w:t>ción de su Plan de Acción 2017.</w:t>
            </w:r>
          </w:p>
        </w:tc>
        <w:tc>
          <w:tcPr>
            <w:tcW w:w="2883" w:type="dxa"/>
            <w:tcBorders>
              <w:right w:val="single" w:sz="4" w:space="0" w:color="auto"/>
            </w:tcBorders>
            <w:vAlign w:val="center"/>
          </w:tcPr>
          <w:p w:rsidR="002A1906" w:rsidRPr="002A1906" w:rsidRDefault="005758FB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Camilo Mendoza R</w:t>
            </w:r>
            <w:r w:rsidR="002A7C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:rsidR="002A1906" w:rsidRPr="002A1906" w:rsidRDefault="002A7CBC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31-12-16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2A1906" w:rsidRPr="002A1906" w:rsidRDefault="002A7CBC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A7CBC" w:rsidRPr="002A1906" w:rsidTr="002A7CBC">
        <w:trPr>
          <w:trHeight w:val="402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2A7CBC" w:rsidRDefault="002A7CBC" w:rsidP="002A7CBC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Enviar copia del acta de la</w:t>
            </w:r>
            <w:r w:rsidR="005758FB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reuni</w:t>
            </w:r>
            <w:r w:rsidR="005758FB">
              <w:rPr>
                <w:rFonts w:cstheme="minorHAnsi"/>
                <w:sz w:val="20"/>
                <w:szCs w:val="20"/>
              </w:rPr>
              <w:t>o</w:t>
            </w:r>
            <w:r w:rsidR="005758FB">
              <w:rPr>
                <w:rFonts w:cstheme="minorHAnsi"/>
                <w:sz w:val="20"/>
                <w:szCs w:val="20"/>
              </w:rPr>
              <w:softHyphen/>
              <w:t>nes</w:t>
            </w:r>
            <w:r>
              <w:rPr>
                <w:rFonts w:cstheme="minorHAnsi"/>
                <w:sz w:val="20"/>
                <w:szCs w:val="20"/>
              </w:rPr>
              <w:t xml:space="preserve"> de BTS</w:t>
            </w:r>
          </w:p>
        </w:tc>
        <w:tc>
          <w:tcPr>
            <w:tcW w:w="2883" w:type="dxa"/>
            <w:tcBorders>
              <w:right w:val="single" w:sz="4" w:space="0" w:color="auto"/>
            </w:tcBorders>
            <w:vAlign w:val="center"/>
          </w:tcPr>
          <w:p w:rsidR="002A7CBC" w:rsidRDefault="002A7CBC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Nubia Toro Castañeda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:rsidR="002A7CBC" w:rsidRDefault="002A7CBC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2A7CBC" w:rsidRDefault="005758FB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</w:tr>
    </w:tbl>
    <w:p w:rsidR="00AD34E2" w:rsidRPr="002A1906" w:rsidRDefault="00AD34E2" w:rsidP="00B435D0">
      <w:pPr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7"/>
        <w:gridCol w:w="4401"/>
      </w:tblGrid>
      <w:tr w:rsidR="002A1906" w:rsidRPr="002A1906" w:rsidTr="007C3855">
        <w:trPr>
          <w:trHeight w:val="417"/>
        </w:trPr>
        <w:tc>
          <w:tcPr>
            <w:tcW w:w="4489" w:type="dxa"/>
            <w:shd w:val="clear" w:color="auto" w:fill="D9D9D9" w:themeFill="background1" w:themeFillShade="D9"/>
            <w:vAlign w:val="center"/>
          </w:tcPr>
          <w:p w:rsidR="002A1906" w:rsidRPr="002A1906" w:rsidRDefault="002A1906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COMENTARIO FINAL DEL SEGUIMIENTO:</w:t>
            </w:r>
          </w:p>
        </w:tc>
        <w:tc>
          <w:tcPr>
            <w:tcW w:w="4489" w:type="dxa"/>
            <w:vAlign w:val="center"/>
          </w:tcPr>
          <w:p w:rsidR="002A1906" w:rsidRPr="002A1906" w:rsidRDefault="002A1906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A1906" w:rsidRDefault="002A1906" w:rsidP="00B435D0">
      <w:pPr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3"/>
        <w:gridCol w:w="2789"/>
        <w:gridCol w:w="2586"/>
      </w:tblGrid>
      <w:tr w:rsidR="00B435D0" w:rsidTr="005758FB">
        <w:trPr>
          <w:trHeight w:val="400"/>
        </w:trPr>
        <w:tc>
          <w:tcPr>
            <w:tcW w:w="8828" w:type="dxa"/>
            <w:gridSpan w:val="3"/>
            <w:shd w:val="clear" w:color="auto" w:fill="D9D9D9" w:themeFill="background1" w:themeFillShade="D9"/>
            <w:vAlign w:val="center"/>
          </w:tcPr>
          <w:p w:rsidR="00B435D0" w:rsidRDefault="00B435D0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FIRMA DE ASISTENTES</w:t>
            </w:r>
          </w:p>
        </w:tc>
      </w:tr>
      <w:tr w:rsidR="00B435D0" w:rsidTr="005758FB">
        <w:trPr>
          <w:trHeight w:val="433"/>
        </w:trPr>
        <w:tc>
          <w:tcPr>
            <w:tcW w:w="3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5D0" w:rsidRDefault="00B435D0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NOMBRE-APELLIDOS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D0" w:rsidRDefault="00B435D0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35D0" w:rsidRDefault="00B435D0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FIRMA</w:t>
            </w:r>
          </w:p>
        </w:tc>
      </w:tr>
      <w:tr w:rsidR="005758FB" w:rsidTr="005758FB">
        <w:trPr>
          <w:trHeight w:val="397"/>
        </w:trPr>
        <w:tc>
          <w:tcPr>
            <w:tcW w:w="3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8FB" w:rsidRDefault="005758FB" w:rsidP="005758FB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Nubia Toro Castañeda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FB" w:rsidRDefault="005758FB" w:rsidP="005758FB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Asesora Vicepresidencia Ejecutiva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8FB" w:rsidRDefault="005758FB" w:rsidP="005758FB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758FB" w:rsidTr="005758FB">
        <w:trPr>
          <w:trHeight w:val="418"/>
        </w:trPr>
        <w:tc>
          <w:tcPr>
            <w:tcW w:w="3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8FB" w:rsidRDefault="005758FB" w:rsidP="005758FB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Alfredo Camacho Salas 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FB" w:rsidRDefault="005758FB" w:rsidP="005758FB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Líder supervisión proyecto MVVCC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8FB" w:rsidRDefault="005758FB" w:rsidP="005758FB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758FB" w:rsidTr="005758FB">
        <w:trPr>
          <w:trHeight w:val="418"/>
        </w:trPr>
        <w:tc>
          <w:tcPr>
            <w:tcW w:w="3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8FB" w:rsidRDefault="005758FB" w:rsidP="005758FB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Camilo Mendoza Rozo 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FB" w:rsidRDefault="005758FB" w:rsidP="005758FB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Asesor Presidencia ANI.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8FB" w:rsidRDefault="005758FB" w:rsidP="005758FB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435D0" w:rsidRPr="002A1906" w:rsidRDefault="00B435D0" w:rsidP="00AD34E2">
      <w:pPr>
        <w:jc w:val="center"/>
        <w:rPr>
          <w:rFonts w:cstheme="minorHAnsi"/>
          <w:b/>
          <w:sz w:val="20"/>
          <w:szCs w:val="20"/>
        </w:rPr>
      </w:pPr>
    </w:p>
    <w:sectPr w:rsidR="00B435D0" w:rsidRPr="002A1906" w:rsidSect="00F974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AA" w:rsidRDefault="005144AA" w:rsidP="00150E89">
      <w:pPr>
        <w:spacing w:after="0" w:line="240" w:lineRule="auto"/>
      </w:pPr>
      <w:r>
        <w:separator/>
      </w:r>
    </w:p>
  </w:endnote>
  <w:endnote w:type="continuationSeparator" w:id="0">
    <w:p w:rsidR="005144AA" w:rsidRDefault="005144AA" w:rsidP="0015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09439452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C3855" w:rsidRPr="007C3855" w:rsidRDefault="007C3855">
            <w:pPr>
              <w:pStyle w:val="Piedepgina"/>
              <w:jc w:val="center"/>
              <w:rPr>
                <w:sz w:val="20"/>
                <w:szCs w:val="20"/>
              </w:rPr>
            </w:pPr>
            <w:r w:rsidRPr="007C3855">
              <w:rPr>
                <w:sz w:val="20"/>
                <w:szCs w:val="20"/>
                <w:lang w:val="es-ES"/>
              </w:rPr>
              <w:t xml:space="preserve">Página </w:t>
            </w:r>
            <w:r w:rsidRPr="007C3855">
              <w:rPr>
                <w:b/>
                <w:bCs/>
                <w:sz w:val="20"/>
                <w:szCs w:val="20"/>
              </w:rPr>
              <w:fldChar w:fldCharType="begin"/>
            </w:r>
            <w:r w:rsidRPr="007C3855">
              <w:rPr>
                <w:b/>
                <w:bCs/>
                <w:sz w:val="20"/>
                <w:szCs w:val="20"/>
              </w:rPr>
              <w:instrText>PAGE</w:instrText>
            </w:r>
            <w:r w:rsidRPr="007C3855">
              <w:rPr>
                <w:b/>
                <w:bCs/>
                <w:sz w:val="20"/>
                <w:szCs w:val="20"/>
              </w:rPr>
              <w:fldChar w:fldCharType="separate"/>
            </w:r>
            <w:r w:rsidR="005144AA">
              <w:rPr>
                <w:b/>
                <w:bCs/>
                <w:noProof/>
                <w:sz w:val="20"/>
                <w:szCs w:val="20"/>
              </w:rPr>
              <w:t>1</w:t>
            </w:r>
            <w:r w:rsidRPr="007C3855">
              <w:rPr>
                <w:b/>
                <w:bCs/>
                <w:sz w:val="20"/>
                <w:szCs w:val="20"/>
              </w:rPr>
              <w:fldChar w:fldCharType="end"/>
            </w:r>
            <w:r w:rsidRPr="007C3855">
              <w:rPr>
                <w:sz w:val="20"/>
                <w:szCs w:val="20"/>
                <w:lang w:val="es-ES"/>
              </w:rPr>
              <w:t xml:space="preserve"> de </w:t>
            </w:r>
            <w:r w:rsidRPr="007C3855">
              <w:rPr>
                <w:b/>
                <w:bCs/>
                <w:sz w:val="20"/>
                <w:szCs w:val="20"/>
              </w:rPr>
              <w:fldChar w:fldCharType="begin"/>
            </w:r>
            <w:r w:rsidRPr="007C3855">
              <w:rPr>
                <w:b/>
                <w:bCs/>
                <w:sz w:val="20"/>
                <w:szCs w:val="20"/>
              </w:rPr>
              <w:instrText>NUMPAGES</w:instrText>
            </w:r>
            <w:r w:rsidRPr="007C3855">
              <w:rPr>
                <w:b/>
                <w:bCs/>
                <w:sz w:val="20"/>
                <w:szCs w:val="20"/>
              </w:rPr>
              <w:fldChar w:fldCharType="separate"/>
            </w:r>
            <w:r w:rsidR="005144AA">
              <w:rPr>
                <w:b/>
                <w:bCs/>
                <w:noProof/>
                <w:sz w:val="20"/>
                <w:szCs w:val="20"/>
              </w:rPr>
              <w:t>1</w:t>
            </w:r>
            <w:r w:rsidRPr="007C385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C3855" w:rsidRDefault="007C38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AA" w:rsidRDefault="005144AA" w:rsidP="00150E89">
      <w:pPr>
        <w:spacing w:after="0" w:line="240" w:lineRule="auto"/>
      </w:pPr>
      <w:r>
        <w:separator/>
      </w:r>
    </w:p>
  </w:footnote>
  <w:footnote w:type="continuationSeparator" w:id="0">
    <w:p w:rsidR="005144AA" w:rsidRDefault="005144AA" w:rsidP="0015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12"/>
      <w:gridCol w:w="1316"/>
      <w:gridCol w:w="3543"/>
      <w:gridCol w:w="2268"/>
    </w:tblGrid>
    <w:tr w:rsidR="00150E89" w:rsidRPr="00E66D96" w:rsidTr="003E7740">
      <w:trPr>
        <w:trHeight w:val="493"/>
        <w:jc w:val="center"/>
      </w:trPr>
      <w:tc>
        <w:tcPr>
          <w:tcW w:w="25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50E89" w:rsidRPr="00E66D96" w:rsidRDefault="00150E89" w:rsidP="003E7740">
          <w:pPr>
            <w:jc w:val="center"/>
            <w:rPr>
              <w:rFonts w:cs="Tahoma"/>
              <w:b/>
              <w:sz w:val="24"/>
              <w:szCs w:val="24"/>
              <w:lang w:val="es-ES_tradnl" w:eastAsia="es-ES"/>
            </w:rPr>
          </w:pPr>
          <w:r>
            <w:rPr>
              <w:rFonts w:cs="Tahoma"/>
              <w:noProof/>
              <w:sz w:val="24"/>
              <w:szCs w:val="24"/>
              <w:lang w:eastAsia="es-CO"/>
            </w:rPr>
            <w:drawing>
              <wp:inline distT="0" distB="0" distL="0" distR="0" wp14:anchorId="4AB334B2" wp14:editId="4AB334B3">
                <wp:extent cx="1285875" cy="857250"/>
                <wp:effectExtent l="19050" t="0" r="9525" b="0"/>
                <wp:docPr id="1" name="89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50E89" w:rsidRPr="00E66D96" w:rsidRDefault="00150E89" w:rsidP="003E7740">
          <w:pPr>
            <w:jc w:val="center"/>
            <w:rPr>
              <w:rFonts w:cs="Tahoma"/>
              <w:b/>
              <w:sz w:val="24"/>
              <w:szCs w:val="24"/>
              <w:lang w:val="es-ES_tradnl" w:eastAsia="es-ES"/>
            </w:rPr>
          </w:pPr>
          <w:r w:rsidRPr="00E66D96">
            <w:rPr>
              <w:rFonts w:cs="Tahoma"/>
              <w:b/>
              <w:sz w:val="24"/>
              <w:szCs w:val="24"/>
              <w:lang w:val="es-ES_tradnl" w:eastAsia="es-ES"/>
            </w:rPr>
            <w:t>SISTEMA INTEGRADO DE GESTIÓN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50E89" w:rsidRPr="00201D46" w:rsidRDefault="00150E89" w:rsidP="003E7740">
          <w:pPr>
            <w:rPr>
              <w:rFonts w:cs="Tahoma"/>
              <w:sz w:val="24"/>
              <w:szCs w:val="24"/>
              <w:lang w:val="es-ES_tradnl" w:eastAsia="es-ES"/>
            </w:rPr>
          </w:pPr>
          <w:r w:rsidRPr="00E66D96">
            <w:rPr>
              <w:rFonts w:cs="Tahoma"/>
              <w:b/>
              <w:sz w:val="24"/>
              <w:szCs w:val="24"/>
              <w:lang w:val="es-ES_tradnl" w:eastAsia="es-ES"/>
            </w:rPr>
            <w:t xml:space="preserve">Código:   </w:t>
          </w:r>
          <w:r>
            <w:rPr>
              <w:rFonts w:cs="Tahoma"/>
              <w:sz w:val="24"/>
              <w:szCs w:val="24"/>
              <w:lang w:val="es-ES_tradnl" w:eastAsia="es-ES"/>
            </w:rPr>
            <w:t>SEPG-F-027</w:t>
          </w:r>
        </w:p>
      </w:tc>
    </w:tr>
    <w:tr w:rsidR="00150E89" w:rsidRPr="00E66D96" w:rsidTr="003E7740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50E89" w:rsidRPr="00E66D96" w:rsidRDefault="00150E89" w:rsidP="003E7740">
          <w:pPr>
            <w:rPr>
              <w:rFonts w:cs="Tahoma"/>
              <w:b/>
              <w:sz w:val="24"/>
              <w:szCs w:val="24"/>
              <w:lang w:val="es-ES_tradnl" w:eastAsia="es-ES"/>
            </w:rPr>
          </w:pPr>
        </w:p>
      </w:tc>
      <w:tc>
        <w:tcPr>
          <w:tcW w:w="1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50E89" w:rsidRPr="00E66D96" w:rsidRDefault="00150E89" w:rsidP="003E7740">
          <w:pPr>
            <w:rPr>
              <w:rFonts w:cs="Tahoma"/>
              <w:b/>
              <w:sz w:val="24"/>
              <w:szCs w:val="24"/>
              <w:lang w:val="es-ES_tradnl" w:eastAsia="es-ES"/>
            </w:rPr>
          </w:pPr>
          <w:r w:rsidRPr="00E66D96">
            <w:rPr>
              <w:rFonts w:cs="Tahoma"/>
              <w:b/>
              <w:sz w:val="24"/>
              <w:szCs w:val="24"/>
              <w:lang w:val="es-ES_tradnl" w:eastAsia="es-ES"/>
            </w:rPr>
            <w:t>PROCESO</w:t>
          </w:r>
        </w:p>
      </w:tc>
      <w:tc>
        <w:tcPr>
          <w:tcW w:w="3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50E89" w:rsidRPr="00E66D96" w:rsidRDefault="00150E89" w:rsidP="003E7740">
          <w:pPr>
            <w:jc w:val="center"/>
            <w:rPr>
              <w:rFonts w:cs="Tahoma"/>
              <w:sz w:val="24"/>
              <w:szCs w:val="24"/>
              <w:lang w:val="es-ES_tradnl" w:eastAsia="es-ES"/>
            </w:rPr>
          </w:pPr>
          <w:r w:rsidRPr="00E66D96">
            <w:rPr>
              <w:rFonts w:eastAsia="Times New Roman"/>
              <w:color w:val="000000"/>
              <w:sz w:val="24"/>
              <w:szCs w:val="24"/>
              <w:lang w:eastAsia="es-CO"/>
            </w:rPr>
            <w:t>SISTEMA ESTRATÉGICO DE PLANEACIÓN Y  GESTIÓN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50E89" w:rsidRPr="007C3855" w:rsidRDefault="00150E89" w:rsidP="003E7740">
          <w:pPr>
            <w:rPr>
              <w:rFonts w:cs="Tahoma"/>
              <w:b/>
              <w:sz w:val="24"/>
              <w:szCs w:val="24"/>
              <w:lang w:val="es-ES_tradnl" w:eastAsia="es-ES"/>
            </w:rPr>
          </w:pPr>
          <w:r w:rsidRPr="007C3855">
            <w:rPr>
              <w:rFonts w:cs="Tahoma"/>
              <w:b/>
              <w:sz w:val="24"/>
              <w:szCs w:val="24"/>
              <w:lang w:val="es-ES_tradnl" w:eastAsia="es-ES"/>
            </w:rPr>
            <w:t xml:space="preserve">Versión: </w:t>
          </w:r>
          <w:r w:rsidR="007C3855" w:rsidRPr="007C3855">
            <w:rPr>
              <w:rFonts w:cs="Tahoma"/>
              <w:sz w:val="24"/>
              <w:szCs w:val="24"/>
              <w:lang w:val="es-ES_tradnl" w:eastAsia="es-ES"/>
            </w:rPr>
            <w:t xml:space="preserve"> 003</w:t>
          </w:r>
        </w:p>
      </w:tc>
    </w:tr>
    <w:tr w:rsidR="00150E89" w:rsidRPr="00E66D96" w:rsidTr="003E7740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50E89" w:rsidRPr="00E66D96" w:rsidRDefault="00150E89" w:rsidP="003E7740">
          <w:pPr>
            <w:rPr>
              <w:rFonts w:cs="Tahoma"/>
              <w:b/>
              <w:sz w:val="24"/>
              <w:szCs w:val="24"/>
              <w:lang w:val="es-ES_tradnl" w:eastAsia="es-ES"/>
            </w:rPr>
          </w:pPr>
        </w:p>
      </w:tc>
      <w:tc>
        <w:tcPr>
          <w:tcW w:w="1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50E89" w:rsidRPr="00E66D96" w:rsidRDefault="00150E89" w:rsidP="003E7740">
          <w:pPr>
            <w:rPr>
              <w:rFonts w:cs="Tahoma"/>
              <w:b/>
              <w:sz w:val="24"/>
              <w:szCs w:val="24"/>
              <w:lang w:val="es-ES_tradnl" w:eastAsia="es-ES"/>
            </w:rPr>
          </w:pPr>
          <w:r w:rsidRPr="00E66D96">
            <w:rPr>
              <w:rFonts w:cs="Tahoma"/>
              <w:b/>
              <w:sz w:val="24"/>
              <w:szCs w:val="24"/>
              <w:lang w:val="es-ES_tradnl" w:eastAsia="es-ES"/>
            </w:rPr>
            <w:t>FORMATO</w:t>
          </w:r>
        </w:p>
      </w:tc>
      <w:tc>
        <w:tcPr>
          <w:tcW w:w="3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50E89" w:rsidRPr="00E66D96" w:rsidRDefault="00150E89" w:rsidP="003E7740">
          <w:pPr>
            <w:jc w:val="center"/>
            <w:rPr>
              <w:rFonts w:cs="Tahoma"/>
              <w:sz w:val="24"/>
              <w:szCs w:val="24"/>
              <w:lang w:val="es-ES_tradnl" w:eastAsia="es-ES"/>
            </w:rPr>
          </w:pPr>
          <w:r w:rsidRPr="00E66D96">
            <w:rPr>
              <w:rFonts w:eastAsia="Times New Roman"/>
              <w:color w:val="000000"/>
              <w:sz w:val="24"/>
              <w:szCs w:val="24"/>
              <w:lang w:eastAsia="es-CO"/>
            </w:rPr>
            <w:t>ACTA DE REUNIÓN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50E89" w:rsidRPr="00201D46" w:rsidRDefault="00150E89" w:rsidP="007C3855">
          <w:pPr>
            <w:rPr>
              <w:rFonts w:cs="Tahoma"/>
              <w:sz w:val="24"/>
              <w:szCs w:val="24"/>
              <w:lang w:val="es-ES_tradnl" w:eastAsia="es-ES"/>
            </w:rPr>
          </w:pPr>
          <w:r w:rsidRPr="00E66D96">
            <w:rPr>
              <w:rFonts w:cs="Tahoma"/>
              <w:b/>
              <w:sz w:val="24"/>
              <w:szCs w:val="24"/>
              <w:lang w:val="es-ES_tradnl" w:eastAsia="es-ES"/>
            </w:rPr>
            <w:t xml:space="preserve">Fecha:  </w:t>
          </w:r>
          <w:r>
            <w:rPr>
              <w:rFonts w:cs="Tahoma"/>
              <w:sz w:val="24"/>
              <w:szCs w:val="24"/>
              <w:lang w:val="es-ES_tradnl" w:eastAsia="es-ES"/>
            </w:rPr>
            <w:t>2</w:t>
          </w:r>
          <w:r w:rsidR="007C3855">
            <w:rPr>
              <w:rFonts w:cs="Tahoma"/>
              <w:sz w:val="24"/>
              <w:szCs w:val="24"/>
              <w:lang w:val="es-ES_tradnl" w:eastAsia="es-ES"/>
            </w:rPr>
            <w:t>1</w:t>
          </w:r>
          <w:r>
            <w:rPr>
              <w:rFonts w:cs="Tahoma"/>
              <w:sz w:val="24"/>
              <w:szCs w:val="24"/>
              <w:lang w:val="es-ES_tradnl" w:eastAsia="es-ES"/>
            </w:rPr>
            <w:t>/</w:t>
          </w:r>
          <w:r w:rsidR="007C3855">
            <w:rPr>
              <w:rFonts w:cs="Tahoma"/>
              <w:sz w:val="24"/>
              <w:szCs w:val="24"/>
              <w:lang w:val="es-ES_tradnl" w:eastAsia="es-ES"/>
            </w:rPr>
            <w:t>10</w:t>
          </w:r>
          <w:r>
            <w:rPr>
              <w:rFonts w:cs="Tahoma"/>
              <w:sz w:val="24"/>
              <w:szCs w:val="24"/>
              <w:lang w:val="es-ES_tradnl" w:eastAsia="es-ES"/>
            </w:rPr>
            <w:t>/2014</w:t>
          </w:r>
        </w:p>
      </w:tc>
    </w:tr>
  </w:tbl>
  <w:p w:rsidR="00150E89" w:rsidRDefault="00150E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67D6D"/>
    <w:multiLevelType w:val="hybridMultilevel"/>
    <w:tmpl w:val="82988DA0"/>
    <w:lvl w:ilvl="0" w:tplc="DE924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640F"/>
    <w:multiLevelType w:val="hybridMultilevel"/>
    <w:tmpl w:val="A1E0A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B3F76"/>
    <w:multiLevelType w:val="hybridMultilevel"/>
    <w:tmpl w:val="E48EBB4E"/>
    <w:lvl w:ilvl="0" w:tplc="43AA38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89"/>
    <w:rsid w:val="00150E89"/>
    <w:rsid w:val="00155886"/>
    <w:rsid w:val="00270107"/>
    <w:rsid w:val="002A1906"/>
    <w:rsid w:val="002A7CBC"/>
    <w:rsid w:val="002E138A"/>
    <w:rsid w:val="00306B3B"/>
    <w:rsid w:val="003D630B"/>
    <w:rsid w:val="005144AA"/>
    <w:rsid w:val="00551129"/>
    <w:rsid w:val="005758FB"/>
    <w:rsid w:val="006D137E"/>
    <w:rsid w:val="00753E17"/>
    <w:rsid w:val="007C3855"/>
    <w:rsid w:val="008C600E"/>
    <w:rsid w:val="009E6973"/>
    <w:rsid w:val="00AD34E2"/>
    <w:rsid w:val="00B435D0"/>
    <w:rsid w:val="00BF63DC"/>
    <w:rsid w:val="00C44FAD"/>
    <w:rsid w:val="00CD2625"/>
    <w:rsid w:val="00CE446C"/>
    <w:rsid w:val="00D639F8"/>
    <w:rsid w:val="00D72E24"/>
    <w:rsid w:val="00F22468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AB2781-E371-4F9A-B067-94BAB53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74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0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3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4E2"/>
  </w:style>
  <w:style w:type="paragraph" w:styleId="Piedepgina">
    <w:name w:val="footer"/>
    <w:basedOn w:val="Normal"/>
    <w:link w:val="PiedepginaCar"/>
    <w:uiPriority w:val="99"/>
    <w:unhideWhenUsed/>
    <w:rsid w:val="00AD3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4E2"/>
  </w:style>
  <w:style w:type="paragraph" w:styleId="Prrafodelista">
    <w:name w:val="List Paragraph"/>
    <w:basedOn w:val="Normal"/>
    <w:uiPriority w:val="34"/>
    <w:qFormat/>
    <w:rsid w:val="003D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jcsanabria</dc:creator>
  <cp:lastModifiedBy>Ricardo Aguilera Wilches</cp:lastModifiedBy>
  <cp:revision>2</cp:revision>
  <dcterms:created xsi:type="dcterms:W3CDTF">2017-01-20T14:43:00Z</dcterms:created>
  <dcterms:modified xsi:type="dcterms:W3CDTF">2017-01-20T14:43:00Z</dcterms:modified>
</cp:coreProperties>
</file>