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168"/>
        <w:gridCol w:w="1866"/>
        <w:gridCol w:w="1965"/>
        <w:gridCol w:w="1829"/>
      </w:tblGrid>
      <w:tr w:rsidR="00150E89" w:rsidRPr="00700993" w14:paraId="361ECBE5" w14:textId="77777777" w:rsidTr="007C3855">
        <w:trPr>
          <w:trHeight w:val="322"/>
        </w:trPr>
        <w:tc>
          <w:tcPr>
            <w:tcW w:w="3227" w:type="dxa"/>
            <w:shd w:val="clear" w:color="auto" w:fill="D9D9D9" w:themeFill="background1" w:themeFillShade="D9"/>
            <w:vAlign w:val="center"/>
          </w:tcPr>
          <w:p w14:paraId="46401258" w14:textId="77777777" w:rsidR="00150E89" w:rsidRPr="00700993" w:rsidRDefault="00150E89" w:rsidP="007C3855">
            <w:pPr>
              <w:contextualSpacing/>
              <w:rPr>
                <w:rFonts w:cstheme="minorHAnsi"/>
                <w:b/>
                <w:sz w:val="20"/>
                <w:szCs w:val="20"/>
              </w:rPr>
            </w:pPr>
            <w:r w:rsidRPr="00700993">
              <w:rPr>
                <w:rFonts w:cstheme="minorHAnsi"/>
                <w:b/>
                <w:sz w:val="20"/>
                <w:szCs w:val="20"/>
              </w:rPr>
              <w:t>TIPO DE REUNIÓN:</w:t>
            </w:r>
          </w:p>
        </w:tc>
        <w:tc>
          <w:tcPr>
            <w:tcW w:w="5751" w:type="dxa"/>
            <w:gridSpan w:val="3"/>
            <w:vAlign w:val="center"/>
          </w:tcPr>
          <w:p w14:paraId="230C9E3A" w14:textId="664AD96E" w:rsidR="00150E89" w:rsidRPr="00700993" w:rsidRDefault="00D1223D" w:rsidP="007C3855">
            <w:pPr>
              <w:contextualSpacing/>
              <w:rPr>
                <w:rFonts w:cstheme="minorHAnsi"/>
                <w:sz w:val="20"/>
                <w:szCs w:val="20"/>
              </w:rPr>
            </w:pPr>
            <w:r>
              <w:rPr>
                <w:rFonts w:cstheme="minorHAnsi"/>
                <w:sz w:val="20"/>
                <w:szCs w:val="20"/>
              </w:rPr>
              <w:t xml:space="preserve">Evaluación </w:t>
            </w:r>
            <w:r w:rsidR="00325FD1">
              <w:rPr>
                <w:rFonts w:cstheme="minorHAnsi"/>
                <w:sz w:val="20"/>
                <w:szCs w:val="20"/>
              </w:rPr>
              <w:t>Estrategia Rendición de Cuentas 2017</w:t>
            </w:r>
          </w:p>
        </w:tc>
      </w:tr>
      <w:tr w:rsidR="00150E89" w:rsidRPr="00700993" w14:paraId="62F4FCEE" w14:textId="77777777" w:rsidTr="007C3855">
        <w:trPr>
          <w:trHeight w:val="412"/>
        </w:trPr>
        <w:tc>
          <w:tcPr>
            <w:tcW w:w="3227" w:type="dxa"/>
            <w:shd w:val="clear" w:color="auto" w:fill="D9D9D9" w:themeFill="background1" w:themeFillShade="D9"/>
            <w:vAlign w:val="center"/>
          </w:tcPr>
          <w:p w14:paraId="5680EC34" w14:textId="77777777" w:rsidR="00150E89" w:rsidRPr="00700993" w:rsidRDefault="00150E89" w:rsidP="007C3855">
            <w:pPr>
              <w:contextualSpacing/>
              <w:rPr>
                <w:rFonts w:cstheme="minorHAnsi"/>
                <w:b/>
                <w:sz w:val="20"/>
                <w:szCs w:val="20"/>
              </w:rPr>
            </w:pPr>
            <w:r w:rsidRPr="00700993">
              <w:rPr>
                <w:rFonts w:cstheme="minorHAnsi"/>
                <w:b/>
                <w:sz w:val="20"/>
                <w:szCs w:val="20"/>
              </w:rPr>
              <w:t>FECHA Y HORA DE LA REUNIÓN:</w:t>
            </w:r>
          </w:p>
        </w:tc>
        <w:tc>
          <w:tcPr>
            <w:tcW w:w="1890" w:type="dxa"/>
            <w:tcBorders>
              <w:right w:val="single" w:sz="4" w:space="0" w:color="auto"/>
            </w:tcBorders>
            <w:vAlign w:val="center"/>
          </w:tcPr>
          <w:p w14:paraId="2AF262D4" w14:textId="59A027A8" w:rsidR="00150E89" w:rsidRPr="00700993" w:rsidRDefault="00150E89" w:rsidP="007C3855">
            <w:pPr>
              <w:contextualSpacing/>
              <w:rPr>
                <w:rFonts w:cstheme="minorHAnsi"/>
                <w:sz w:val="20"/>
                <w:szCs w:val="20"/>
              </w:rPr>
            </w:pPr>
            <w:r w:rsidRPr="00700993">
              <w:rPr>
                <w:rFonts w:cstheme="minorHAnsi"/>
                <w:b/>
                <w:sz w:val="20"/>
                <w:szCs w:val="20"/>
              </w:rPr>
              <w:t>Fecha:</w:t>
            </w:r>
            <w:r w:rsidR="003D630B" w:rsidRPr="00700993">
              <w:rPr>
                <w:rFonts w:cstheme="minorHAnsi"/>
                <w:b/>
                <w:sz w:val="20"/>
                <w:szCs w:val="20"/>
              </w:rPr>
              <w:t xml:space="preserve"> </w:t>
            </w:r>
            <w:r w:rsidR="007662D5">
              <w:rPr>
                <w:rFonts w:cstheme="minorHAnsi"/>
                <w:b/>
                <w:sz w:val="20"/>
                <w:szCs w:val="20"/>
              </w:rPr>
              <w:t>14/01/19</w:t>
            </w:r>
          </w:p>
        </w:tc>
        <w:tc>
          <w:tcPr>
            <w:tcW w:w="2000" w:type="dxa"/>
            <w:tcBorders>
              <w:left w:val="single" w:sz="4" w:space="0" w:color="auto"/>
              <w:right w:val="single" w:sz="4" w:space="0" w:color="auto"/>
            </w:tcBorders>
            <w:vAlign w:val="center"/>
          </w:tcPr>
          <w:p w14:paraId="2FC633FC" w14:textId="1ADEBAE8" w:rsidR="00150E89" w:rsidRPr="00700993" w:rsidRDefault="00150E89" w:rsidP="007C3855">
            <w:pPr>
              <w:contextualSpacing/>
              <w:rPr>
                <w:rFonts w:cstheme="minorHAnsi"/>
                <w:sz w:val="20"/>
                <w:szCs w:val="20"/>
              </w:rPr>
            </w:pPr>
            <w:r w:rsidRPr="00700993">
              <w:rPr>
                <w:rFonts w:cstheme="minorHAnsi"/>
                <w:b/>
                <w:sz w:val="20"/>
                <w:szCs w:val="20"/>
              </w:rPr>
              <w:t>Hora Inicio:</w:t>
            </w:r>
            <w:r w:rsidR="007662D5">
              <w:rPr>
                <w:rFonts w:cstheme="minorHAnsi"/>
                <w:b/>
                <w:sz w:val="20"/>
                <w:szCs w:val="20"/>
              </w:rPr>
              <w:t xml:space="preserve"> 9:3</w:t>
            </w:r>
            <w:r w:rsidR="00FE3209" w:rsidRPr="00700993">
              <w:rPr>
                <w:rFonts w:cstheme="minorHAnsi"/>
                <w:b/>
                <w:sz w:val="20"/>
                <w:szCs w:val="20"/>
              </w:rPr>
              <w:t>0</w:t>
            </w:r>
          </w:p>
        </w:tc>
        <w:tc>
          <w:tcPr>
            <w:tcW w:w="1861" w:type="dxa"/>
            <w:tcBorders>
              <w:left w:val="single" w:sz="4" w:space="0" w:color="auto"/>
            </w:tcBorders>
            <w:vAlign w:val="center"/>
          </w:tcPr>
          <w:p w14:paraId="61C523A3" w14:textId="5BB5F15B" w:rsidR="00150E89" w:rsidRPr="00700993" w:rsidRDefault="00150E89" w:rsidP="007C3855">
            <w:pPr>
              <w:contextualSpacing/>
              <w:rPr>
                <w:rFonts w:cstheme="minorHAnsi"/>
                <w:sz w:val="20"/>
                <w:szCs w:val="20"/>
              </w:rPr>
            </w:pPr>
            <w:r w:rsidRPr="00700993">
              <w:rPr>
                <w:rFonts w:cstheme="minorHAnsi"/>
                <w:b/>
                <w:sz w:val="20"/>
                <w:szCs w:val="20"/>
              </w:rPr>
              <w:t>Hora Fin:</w:t>
            </w:r>
            <w:r w:rsidR="007662D5">
              <w:rPr>
                <w:rFonts w:cstheme="minorHAnsi"/>
                <w:b/>
                <w:sz w:val="20"/>
                <w:szCs w:val="20"/>
              </w:rPr>
              <w:t xml:space="preserve"> 11</w:t>
            </w:r>
            <w:r w:rsidR="00FE3209" w:rsidRPr="00700993">
              <w:rPr>
                <w:rFonts w:cstheme="minorHAnsi"/>
                <w:b/>
                <w:sz w:val="20"/>
                <w:szCs w:val="20"/>
              </w:rPr>
              <w:t>:00</w:t>
            </w:r>
          </w:p>
        </w:tc>
      </w:tr>
      <w:tr w:rsidR="00150E89" w:rsidRPr="00700993" w14:paraId="07826EFC" w14:textId="77777777" w:rsidTr="007C3855">
        <w:trPr>
          <w:trHeight w:val="417"/>
        </w:trPr>
        <w:tc>
          <w:tcPr>
            <w:tcW w:w="3227" w:type="dxa"/>
            <w:shd w:val="clear" w:color="auto" w:fill="D9D9D9" w:themeFill="background1" w:themeFillShade="D9"/>
            <w:vAlign w:val="center"/>
          </w:tcPr>
          <w:p w14:paraId="6B9812B2" w14:textId="77777777" w:rsidR="00150E89" w:rsidRPr="00700993" w:rsidRDefault="00150E89" w:rsidP="007C3855">
            <w:pPr>
              <w:contextualSpacing/>
              <w:rPr>
                <w:rFonts w:cstheme="minorHAnsi"/>
                <w:b/>
                <w:sz w:val="20"/>
                <w:szCs w:val="20"/>
              </w:rPr>
            </w:pPr>
            <w:r w:rsidRPr="00700993">
              <w:rPr>
                <w:rFonts w:cstheme="minorHAnsi"/>
                <w:b/>
                <w:sz w:val="20"/>
                <w:szCs w:val="20"/>
              </w:rPr>
              <w:t>LUGAR DE LA REUNIÓN:</w:t>
            </w:r>
          </w:p>
        </w:tc>
        <w:tc>
          <w:tcPr>
            <w:tcW w:w="5751" w:type="dxa"/>
            <w:gridSpan w:val="3"/>
            <w:vAlign w:val="center"/>
          </w:tcPr>
          <w:p w14:paraId="44122782" w14:textId="77777777" w:rsidR="00150E89" w:rsidRPr="00700993" w:rsidRDefault="00FE3209" w:rsidP="007C3855">
            <w:pPr>
              <w:contextualSpacing/>
              <w:rPr>
                <w:rFonts w:cstheme="minorHAnsi"/>
                <w:sz w:val="20"/>
                <w:szCs w:val="20"/>
              </w:rPr>
            </w:pPr>
            <w:r w:rsidRPr="00700993">
              <w:rPr>
                <w:rFonts w:cstheme="minorHAnsi"/>
                <w:sz w:val="20"/>
                <w:szCs w:val="20"/>
              </w:rPr>
              <w:t>Sala reunión piso 7</w:t>
            </w:r>
          </w:p>
        </w:tc>
      </w:tr>
    </w:tbl>
    <w:p w14:paraId="31E87B56" w14:textId="77777777" w:rsidR="00F97492" w:rsidRPr="00700993" w:rsidRDefault="00F97492"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700993" w14:paraId="59D295B3" w14:textId="77777777" w:rsidTr="006D137E">
        <w:trPr>
          <w:trHeight w:val="456"/>
        </w:trPr>
        <w:tc>
          <w:tcPr>
            <w:tcW w:w="8828" w:type="dxa"/>
            <w:shd w:val="clear" w:color="auto" w:fill="D9D9D9" w:themeFill="background1" w:themeFillShade="D9"/>
            <w:vAlign w:val="center"/>
          </w:tcPr>
          <w:p w14:paraId="3ED05827" w14:textId="77777777" w:rsidR="00150E89" w:rsidRPr="00700993" w:rsidRDefault="00150E89" w:rsidP="007C3855">
            <w:pPr>
              <w:contextualSpacing/>
              <w:jc w:val="center"/>
              <w:rPr>
                <w:rFonts w:cstheme="minorHAnsi"/>
                <w:b/>
                <w:sz w:val="20"/>
                <w:szCs w:val="20"/>
              </w:rPr>
            </w:pPr>
            <w:r w:rsidRPr="00700993">
              <w:rPr>
                <w:rFonts w:cstheme="minorHAnsi"/>
                <w:b/>
                <w:sz w:val="20"/>
                <w:szCs w:val="20"/>
              </w:rPr>
              <w:t>ASISTENTES A LA REUNIÓN</w:t>
            </w:r>
          </w:p>
        </w:tc>
      </w:tr>
      <w:tr w:rsidR="00150E89" w:rsidRPr="00700993" w14:paraId="08B36A14" w14:textId="77777777" w:rsidTr="006D137E">
        <w:trPr>
          <w:trHeight w:val="419"/>
        </w:trPr>
        <w:tc>
          <w:tcPr>
            <w:tcW w:w="8828" w:type="dxa"/>
            <w:vAlign w:val="center"/>
          </w:tcPr>
          <w:p w14:paraId="7EC5E371" w14:textId="332ED8F0" w:rsidR="00150E89" w:rsidRPr="00700993" w:rsidRDefault="007662D5" w:rsidP="007C3855">
            <w:pPr>
              <w:contextualSpacing/>
              <w:rPr>
                <w:rFonts w:cstheme="minorHAnsi"/>
                <w:sz w:val="20"/>
                <w:szCs w:val="20"/>
              </w:rPr>
            </w:pPr>
            <w:r w:rsidRPr="00700993">
              <w:rPr>
                <w:rFonts w:cstheme="minorHAnsi"/>
                <w:sz w:val="20"/>
                <w:szCs w:val="20"/>
              </w:rPr>
              <w:t>Mónica Patricia Franco - GIT Atención al Ciudadano</w:t>
            </w:r>
          </w:p>
        </w:tc>
      </w:tr>
      <w:tr w:rsidR="00150E89" w:rsidRPr="00700993" w14:paraId="24B9AB13" w14:textId="77777777" w:rsidTr="006D137E">
        <w:trPr>
          <w:trHeight w:val="412"/>
        </w:trPr>
        <w:tc>
          <w:tcPr>
            <w:tcW w:w="8828" w:type="dxa"/>
            <w:vAlign w:val="center"/>
          </w:tcPr>
          <w:p w14:paraId="65F936D6" w14:textId="7455440D" w:rsidR="00150E89" w:rsidRPr="00700993" w:rsidRDefault="007662D5" w:rsidP="007C3855">
            <w:pPr>
              <w:contextualSpacing/>
              <w:rPr>
                <w:rFonts w:cstheme="minorHAnsi"/>
                <w:sz w:val="20"/>
                <w:szCs w:val="20"/>
              </w:rPr>
            </w:pPr>
            <w:r w:rsidRPr="00700993">
              <w:rPr>
                <w:rFonts w:cstheme="minorHAnsi"/>
                <w:sz w:val="20"/>
                <w:szCs w:val="20"/>
              </w:rPr>
              <w:t>Héctor E. Vanegas – GIT de Planeación</w:t>
            </w:r>
          </w:p>
        </w:tc>
      </w:tr>
      <w:tr w:rsidR="00150E89" w:rsidRPr="00700993" w14:paraId="423278FD" w14:textId="77777777" w:rsidTr="006D137E">
        <w:trPr>
          <w:trHeight w:val="418"/>
        </w:trPr>
        <w:tc>
          <w:tcPr>
            <w:tcW w:w="8828" w:type="dxa"/>
            <w:vAlign w:val="center"/>
          </w:tcPr>
          <w:p w14:paraId="01E4D0FF" w14:textId="08F3B1C1" w:rsidR="00150E89" w:rsidRPr="00700993" w:rsidRDefault="007662D5" w:rsidP="007C3855">
            <w:pPr>
              <w:contextualSpacing/>
              <w:rPr>
                <w:rFonts w:cstheme="minorHAnsi"/>
                <w:sz w:val="20"/>
                <w:szCs w:val="20"/>
              </w:rPr>
            </w:pPr>
            <w:r w:rsidRPr="00700993">
              <w:rPr>
                <w:rFonts w:cstheme="minorHAnsi"/>
                <w:sz w:val="20"/>
                <w:szCs w:val="20"/>
              </w:rPr>
              <w:t>Ricardo Aguilera W. – GIT de Planeación</w:t>
            </w:r>
          </w:p>
        </w:tc>
      </w:tr>
      <w:tr w:rsidR="00700993" w:rsidRPr="00700993" w14:paraId="3464D278" w14:textId="77777777" w:rsidTr="006D137E">
        <w:trPr>
          <w:trHeight w:val="418"/>
        </w:trPr>
        <w:tc>
          <w:tcPr>
            <w:tcW w:w="8828" w:type="dxa"/>
            <w:vAlign w:val="center"/>
          </w:tcPr>
          <w:p w14:paraId="752F588B" w14:textId="01B431BD" w:rsidR="00700993" w:rsidRPr="00700993" w:rsidRDefault="007662D5" w:rsidP="007C3855">
            <w:pPr>
              <w:contextualSpacing/>
              <w:rPr>
                <w:rFonts w:cstheme="minorHAnsi"/>
                <w:sz w:val="20"/>
                <w:szCs w:val="20"/>
              </w:rPr>
            </w:pPr>
            <w:r>
              <w:rPr>
                <w:rFonts w:cstheme="minorHAnsi"/>
                <w:sz w:val="20"/>
                <w:szCs w:val="20"/>
              </w:rPr>
              <w:t>Jhonatan A. Hernandez – Oficina de Comunicaciones</w:t>
            </w:r>
          </w:p>
        </w:tc>
      </w:tr>
      <w:tr w:rsidR="00FE3209" w:rsidRPr="00700993" w14:paraId="4A20B949" w14:textId="77777777" w:rsidTr="006D137E">
        <w:trPr>
          <w:trHeight w:val="418"/>
        </w:trPr>
        <w:tc>
          <w:tcPr>
            <w:tcW w:w="8828" w:type="dxa"/>
            <w:vAlign w:val="center"/>
          </w:tcPr>
          <w:p w14:paraId="25585E27" w14:textId="0620A043" w:rsidR="00FE3209" w:rsidRPr="00700993" w:rsidRDefault="00FE3209" w:rsidP="007C3855">
            <w:pPr>
              <w:contextualSpacing/>
              <w:rPr>
                <w:rFonts w:cstheme="minorHAnsi"/>
                <w:sz w:val="20"/>
                <w:szCs w:val="20"/>
              </w:rPr>
            </w:pPr>
          </w:p>
        </w:tc>
      </w:tr>
      <w:tr w:rsidR="00FE3209" w:rsidRPr="00700993" w14:paraId="5FD00945" w14:textId="77777777" w:rsidTr="006D137E">
        <w:trPr>
          <w:trHeight w:val="418"/>
        </w:trPr>
        <w:tc>
          <w:tcPr>
            <w:tcW w:w="8828" w:type="dxa"/>
            <w:vAlign w:val="center"/>
          </w:tcPr>
          <w:p w14:paraId="64710B6C" w14:textId="5F9597F6" w:rsidR="00FE3209" w:rsidRPr="00700993" w:rsidRDefault="00FE3209" w:rsidP="007C3855">
            <w:pPr>
              <w:contextualSpacing/>
              <w:rPr>
                <w:rFonts w:cstheme="minorHAnsi"/>
                <w:sz w:val="20"/>
                <w:szCs w:val="20"/>
              </w:rPr>
            </w:pPr>
          </w:p>
        </w:tc>
      </w:tr>
    </w:tbl>
    <w:p w14:paraId="4B009081" w14:textId="77777777" w:rsidR="00150E89" w:rsidRPr="00700993" w:rsidRDefault="00150E89"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3047"/>
        <w:gridCol w:w="5781"/>
      </w:tblGrid>
      <w:tr w:rsidR="00150E89" w:rsidRPr="00700993" w14:paraId="4A58011D" w14:textId="77777777" w:rsidTr="007C3855">
        <w:trPr>
          <w:trHeight w:val="434"/>
        </w:trPr>
        <w:tc>
          <w:tcPr>
            <w:tcW w:w="3085" w:type="dxa"/>
            <w:shd w:val="clear" w:color="auto" w:fill="D9D9D9" w:themeFill="background1" w:themeFillShade="D9"/>
            <w:vAlign w:val="center"/>
          </w:tcPr>
          <w:p w14:paraId="6FB4890A" w14:textId="77777777" w:rsidR="00150E89" w:rsidRPr="00700993" w:rsidRDefault="00150E89" w:rsidP="00F22468">
            <w:pPr>
              <w:contextualSpacing/>
              <w:rPr>
                <w:rFonts w:cstheme="minorHAnsi"/>
                <w:b/>
                <w:sz w:val="20"/>
                <w:szCs w:val="20"/>
              </w:rPr>
            </w:pPr>
            <w:r w:rsidRPr="00700993">
              <w:rPr>
                <w:rFonts w:cstheme="minorHAnsi"/>
                <w:b/>
                <w:sz w:val="20"/>
                <w:szCs w:val="20"/>
              </w:rPr>
              <w:t>RESPON</w:t>
            </w:r>
            <w:r w:rsidR="00F22468" w:rsidRPr="00700993">
              <w:rPr>
                <w:rFonts w:cstheme="minorHAnsi"/>
                <w:b/>
                <w:sz w:val="20"/>
                <w:szCs w:val="20"/>
              </w:rPr>
              <w:t>S</w:t>
            </w:r>
            <w:r w:rsidRPr="00700993">
              <w:rPr>
                <w:rFonts w:cstheme="minorHAnsi"/>
                <w:b/>
                <w:sz w:val="20"/>
                <w:szCs w:val="20"/>
              </w:rPr>
              <w:t>ABLE SEGUIMIENTO:</w:t>
            </w:r>
          </w:p>
        </w:tc>
        <w:tc>
          <w:tcPr>
            <w:tcW w:w="5893" w:type="dxa"/>
            <w:vAlign w:val="center"/>
          </w:tcPr>
          <w:p w14:paraId="7BFA3F36" w14:textId="77777777" w:rsidR="00150E89" w:rsidRPr="00700993" w:rsidRDefault="00C67B2D" w:rsidP="007C3855">
            <w:pPr>
              <w:contextualSpacing/>
              <w:rPr>
                <w:rFonts w:cstheme="minorHAnsi"/>
                <w:sz w:val="20"/>
                <w:szCs w:val="20"/>
              </w:rPr>
            </w:pPr>
            <w:r w:rsidRPr="00700993">
              <w:rPr>
                <w:rFonts w:cstheme="minorHAnsi"/>
                <w:sz w:val="20"/>
                <w:szCs w:val="20"/>
              </w:rPr>
              <w:t>Ricardo Aguilera W – GIT de Planeación</w:t>
            </w:r>
          </w:p>
        </w:tc>
      </w:tr>
    </w:tbl>
    <w:p w14:paraId="2D2F912D" w14:textId="77777777" w:rsidR="00150E89" w:rsidRPr="00700993"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700993" w14:paraId="1C3FECA1" w14:textId="77777777" w:rsidTr="007C3855">
        <w:trPr>
          <w:trHeight w:val="415"/>
        </w:trPr>
        <w:tc>
          <w:tcPr>
            <w:tcW w:w="8978" w:type="dxa"/>
            <w:shd w:val="clear" w:color="auto" w:fill="D9D9D9" w:themeFill="background1" w:themeFillShade="D9"/>
            <w:vAlign w:val="center"/>
          </w:tcPr>
          <w:p w14:paraId="14E12472" w14:textId="77777777" w:rsidR="00150E89" w:rsidRPr="00700993" w:rsidRDefault="00150E89" w:rsidP="007C3855">
            <w:pPr>
              <w:contextualSpacing/>
              <w:jc w:val="center"/>
              <w:rPr>
                <w:rFonts w:cstheme="minorHAnsi"/>
                <w:b/>
                <w:sz w:val="20"/>
                <w:szCs w:val="20"/>
              </w:rPr>
            </w:pPr>
            <w:r w:rsidRPr="00700993">
              <w:rPr>
                <w:rFonts w:cstheme="minorHAnsi"/>
                <w:b/>
                <w:sz w:val="20"/>
                <w:szCs w:val="20"/>
              </w:rPr>
              <w:t>OBJETIVOS DE REUNIÓN</w:t>
            </w:r>
            <w:r w:rsidR="00551129" w:rsidRPr="00700993">
              <w:rPr>
                <w:rFonts w:cstheme="minorHAnsi"/>
                <w:b/>
                <w:sz w:val="20"/>
                <w:szCs w:val="20"/>
              </w:rPr>
              <w:t>:</w:t>
            </w:r>
          </w:p>
        </w:tc>
      </w:tr>
      <w:tr w:rsidR="00150E89" w:rsidRPr="00700993" w14:paraId="61EC2CED" w14:textId="77777777" w:rsidTr="007C3855">
        <w:trPr>
          <w:trHeight w:val="752"/>
        </w:trPr>
        <w:tc>
          <w:tcPr>
            <w:tcW w:w="8978" w:type="dxa"/>
            <w:vAlign w:val="center"/>
          </w:tcPr>
          <w:p w14:paraId="5B658D57" w14:textId="51978BE0" w:rsidR="00150E89" w:rsidRPr="00700993" w:rsidRDefault="00C67B2D" w:rsidP="007C3855">
            <w:pPr>
              <w:contextualSpacing/>
              <w:rPr>
                <w:rFonts w:cstheme="minorHAnsi"/>
                <w:sz w:val="20"/>
                <w:szCs w:val="20"/>
              </w:rPr>
            </w:pPr>
            <w:r w:rsidRPr="00700993">
              <w:rPr>
                <w:rFonts w:cstheme="minorHAnsi"/>
                <w:sz w:val="20"/>
                <w:szCs w:val="20"/>
              </w:rPr>
              <w:t>Evaluar la estrate</w:t>
            </w:r>
            <w:r w:rsidR="007662D5">
              <w:rPr>
                <w:rFonts w:cstheme="minorHAnsi"/>
                <w:sz w:val="20"/>
                <w:szCs w:val="20"/>
              </w:rPr>
              <w:t>gia de Rendición de Cuentas 2018</w:t>
            </w:r>
          </w:p>
        </w:tc>
      </w:tr>
    </w:tbl>
    <w:p w14:paraId="3C8476A2" w14:textId="77777777" w:rsidR="00150E89" w:rsidRPr="00700993"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2E138A" w:rsidRPr="00700993" w14:paraId="558DC66F" w14:textId="77777777" w:rsidTr="00C67B2D">
        <w:trPr>
          <w:trHeight w:val="352"/>
        </w:trPr>
        <w:tc>
          <w:tcPr>
            <w:tcW w:w="8828" w:type="dxa"/>
            <w:shd w:val="clear" w:color="auto" w:fill="D9D9D9" w:themeFill="background1" w:themeFillShade="D9"/>
            <w:vAlign w:val="center"/>
          </w:tcPr>
          <w:p w14:paraId="40C80C54" w14:textId="77777777" w:rsidR="002E138A" w:rsidRPr="00700993" w:rsidRDefault="00551129" w:rsidP="007C3855">
            <w:pPr>
              <w:contextualSpacing/>
              <w:jc w:val="center"/>
              <w:rPr>
                <w:rFonts w:cstheme="minorHAnsi"/>
                <w:b/>
                <w:sz w:val="20"/>
                <w:szCs w:val="20"/>
              </w:rPr>
            </w:pPr>
            <w:r w:rsidRPr="00700993">
              <w:rPr>
                <w:rFonts w:cstheme="minorHAnsi"/>
                <w:b/>
                <w:sz w:val="20"/>
                <w:szCs w:val="20"/>
              </w:rPr>
              <w:t>ORDEN DEL DÍA:</w:t>
            </w:r>
          </w:p>
        </w:tc>
      </w:tr>
      <w:tr w:rsidR="002E138A" w:rsidRPr="00700993" w14:paraId="693381F5" w14:textId="77777777" w:rsidTr="00C67B2D">
        <w:trPr>
          <w:trHeight w:val="743"/>
        </w:trPr>
        <w:tc>
          <w:tcPr>
            <w:tcW w:w="8828" w:type="dxa"/>
            <w:vAlign w:val="center"/>
          </w:tcPr>
          <w:p w14:paraId="3B027AF3" w14:textId="30AA7126" w:rsidR="002E138A" w:rsidRPr="00700993" w:rsidRDefault="00C67B2D" w:rsidP="003D630B">
            <w:pPr>
              <w:pStyle w:val="Prrafodelista"/>
              <w:numPr>
                <w:ilvl w:val="0"/>
                <w:numId w:val="1"/>
              </w:numPr>
              <w:rPr>
                <w:rFonts w:cstheme="minorHAnsi"/>
                <w:sz w:val="20"/>
                <w:szCs w:val="20"/>
              </w:rPr>
            </w:pPr>
            <w:r w:rsidRPr="00700993">
              <w:rPr>
                <w:rFonts w:cstheme="minorHAnsi"/>
                <w:sz w:val="20"/>
                <w:szCs w:val="20"/>
              </w:rPr>
              <w:t>Revisión de las actividades realizadas en desarrollo de la estrate</w:t>
            </w:r>
            <w:r w:rsidR="007662D5">
              <w:rPr>
                <w:rFonts w:cstheme="minorHAnsi"/>
                <w:sz w:val="20"/>
                <w:szCs w:val="20"/>
              </w:rPr>
              <w:t>gia de Rendición de Cuentas 2018</w:t>
            </w:r>
          </w:p>
        </w:tc>
      </w:tr>
      <w:tr w:rsidR="003D630B" w:rsidRPr="00700993" w14:paraId="3B8E4BD7" w14:textId="77777777" w:rsidTr="00C67B2D">
        <w:trPr>
          <w:trHeight w:val="743"/>
        </w:trPr>
        <w:tc>
          <w:tcPr>
            <w:tcW w:w="8828" w:type="dxa"/>
            <w:vAlign w:val="center"/>
          </w:tcPr>
          <w:p w14:paraId="780D915B" w14:textId="77777777" w:rsidR="003D630B" w:rsidRPr="00700993" w:rsidRDefault="00C67B2D" w:rsidP="003D630B">
            <w:pPr>
              <w:pStyle w:val="Prrafodelista"/>
              <w:numPr>
                <w:ilvl w:val="0"/>
                <w:numId w:val="1"/>
              </w:numPr>
              <w:rPr>
                <w:rFonts w:cstheme="minorHAnsi"/>
                <w:sz w:val="20"/>
                <w:szCs w:val="20"/>
              </w:rPr>
            </w:pPr>
            <w:r w:rsidRPr="00700993">
              <w:rPr>
                <w:rFonts w:cstheme="minorHAnsi"/>
                <w:sz w:val="20"/>
                <w:szCs w:val="20"/>
              </w:rPr>
              <w:t>Conclusiones y recomendaciones.</w:t>
            </w:r>
          </w:p>
        </w:tc>
      </w:tr>
    </w:tbl>
    <w:p w14:paraId="5D0053A4" w14:textId="77777777" w:rsidR="002E138A" w:rsidRPr="00700993" w:rsidRDefault="002E138A"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551129" w:rsidRPr="00700993" w14:paraId="374BA8F2" w14:textId="77777777" w:rsidTr="007C3855">
        <w:trPr>
          <w:trHeight w:val="372"/>
        </w:trPr>
        <w:tc>
          <w:tcPr>
            <w:tcW w:w="8978" w:type="dxa"/>
            <w:shd w:val="clear" w:color="auto" w:fill="D9D9D9" w:themeFill="background1" w:themeFillShade="D9"/>
            <w:vAlign w:val="center"/>
          </w:tcPr>
          <w:p w14:paraId="7095A0ED" w14:textId="77777777" w:rsidR="00551129" w:rsidRPr="00700993" w:rsidRDefault="00551129" w:rsidP="007C3855">
            <w:pPr>
              <w:contextualSpacing/>
              <w:jc w:val="center"/>
              <w:rPr>
                <w:rFonts w:cstheme="minorHAnsi"/>
                <w:b/>
                <w:sz w:val="20"/>
                <w:szCs w:val="20"/>
              </w:rPr>
            </w:pPr>
            <w:r w:rsidRPr="00700993">
              <w:rPr>
                <w:rFonts w:cstheme="minorHAnsi"/>
                <w:b/>
                <w:sz w:val="20"/>
                <w:szCs w:val="20"/>
              </w:rPr>
              <w:t>ESTADO DE APROBACIÓN DEL ACTA</w:t>
            </w:r>
            <w:r w:rsidR="00AD34E2" w:rsidRPr="00700993">
              <w:rPr>
                <w:rFonts w:cstheme="minorHAnsi"/>
                <w:b/>
                <w:sz w:val="20"/>
                <w:szCs w:val="20"/>
              </w:rPr>
              <w:t xml:space="preserve"> POR ASISTENTES</w:t>
            </w:r>
            <w:r w:rsidRPr="00700993">
              <w:rPr>
                <w:rFonts w:cstheme="minorHAnsi"/>
                <w:b/>
                <w:sz w:val="20"/>
                <w:szCs w:val="20"/>
              </w:rPr>
              <w:t>:</w:t>
            </w:r>
          </w:p>
        </w:tc>
      </w:tr>
      <w:tr w:rsidR="00551129" w:rsidRPr="00700993" w14:paraId="6408EB6C" w14:textId="77777777" w:rsidTr="007C3855">
        <w:trPr>
          <w:trHeight w:val="743"/>
        </w:trPr>
        <w:tc>
          <w:tcPr>
            <w:tcW w:w="8978" w:type="dxa"/>
            <w:vAlign w:val="center"/>
          </w:tcPr>
          <w:p w14:paraId="6C9D27B3" w14:textId="77777777" w:rsidR="00551129" w:rsidRPr="00700993" w:rsidRDefault="00C67B2D" w:rsidP="007C3855">
            <w:pPr>
              <w:contextualSpacing/>
              <w:rPr>
                <w:rFonts w:cstheme="minorHAnsi"/>
                <w:sz w:val="20"/>
                <w:szCs w:val="20"/>
              </w:rPr>
            </w:pPr>
            <w:r w:rsidRPr="00700993">
              <w:rPr>
                <w:rFonts w:cstheme="minorHAnsi"/>
                <w:sz w:val="20"/>
                <w:szCs w:val="20"/>
              </w:rPr>
              <w:t>Se aprueba con la publicación en página WEB</w:t>
            </w:r>
          </w:p>
        </w:tc>
      </w:tr>
    </w:tbl>
    <w:p w14:paraId="453C6F91" w14:textId="77777777" w:rsidR="00551129" w:rsidRPr="00700993" w:rsidRDefault="0055112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338"/>
        <w:gridCol w:w="3340"/>
        <w:gridCol w:w="3150"/>
      </w:tblGrid>
      <w:tr w:rsidR="00AD34E2" w:rsidRPr="00700993" w14:paraId="63C6A7DB" w14:textId="77777777" w:rsidTr="003D630B">
        <w:trPr>
          <w:trHeight w:val="344"/>
        </w:trPr>
        <w:tc>
          <w:tcPr>
            <w:tcW w:w="8828" w:type="dxa"/>
            <w:gridSpan w:val="3"/>
            <w:shd w:val="clear" w:color="auto" w:fill="D9D9D9" w:themeFill="background1" w:themeFillShade="D9"/>
            <w:vAlign w:val="center"/>
          </w:tcPr>
          <w:p w14:paraId="3A90E5A4"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INVITADOS EXTERNOS A LA REUNIÓN:</w:t>
            </w:r>
          </w:p>
        </w:tc>
      </w:tr>
      <w:tr w:rsidR="00AD34E2" w:rsidRPr="00700993" w14:paraId="4D42B18C" w14:textId="77777777" w:rsidTr="003D630B">
        <w:trPr>
          <w:trHeight w:val="420"/>
        </w:trPr>
        <w:tc>
          <w:tcPr>
            <w:tcW w:w="2338" w:type="dxa"/>
            <w:tcBorders>
              <w:right w:val="single" w:sz="4" w:space="0" w:color="auto"/>
            </w:tcBorders>
            <w:shd w:val="clear" w:color="auto" w:fill="auto"/>
            <w:vAlign w:val="center"/>
          </w:tcPr>
          <w:p w14:paraId="5722703F"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lastRenderedPageBreak/>
              <w:t>ENTIDAD</w:t>
            </w:r>
          </w:p>
        </w:tc>
        <w:tc>
          <w:tcPr>
            <w:tcW w:w="3340" w:type="dxa"/>
            <w:tcBorders>
              <w:left w:val="single" w:sz="4" w:space="0" w:color="auto"/>
              <w:right w:val="single" w:sz="4" w:space="0" w:color="auto"/>
            </w:tcBorders>
            <w:shd w:val="clear" w:color="auto" w:fill="auto"/>
            <w:vAlign w:val="center"/>
          </w:tcPr>
          <w:p w14:paraId="5F390C1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NOMBRE</w:t>
            </w:r>
            <w:r w:rsidR="00B435D0" w:rsidRPr="00700993">
              <w:rPr>
                <w:rFonts w:cstheme="minorHAnsi"/>
                <w:b/>
                <w:sz w:val="20"/>
                <w:szCs w:val="20"/>
              </w:rPr>
              <w:t>S</w:t>
            </w:r>
            <w:r w:rsidRPr="00700993">
              <w:rPr>
                <w:rFonts w:cstheme="minorHAnsi"/>
                <w:b/>
                <w:sz w:val="20"/>
                <w:szCs w:val="20"/>
              </w:rPr>
              <w:t xml:space="preserve"> - APELLIDOS</w:t>
            </w:r>
          </w:p>
        </w:tc>
        <w:tc>
          <w:tcPr>
            <w:tcW w:w="3150" w:type="dxa"/>
            <w:tcBorders>
              <w:left w:val="single" w:sz="4" w:space="0" w:color="auto"/>
            </w:tcBorders>
            <w:shd w:val="clear" w:color="auto" w:fill="auto"/>
            <w:vAlign w:val="center"/>
          </w:tcPr>
          <w:p w14:paraId="2A92653D"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CORREO ELECTRÓNICO</w:t>
            </w:r>
          </w:p>
        </w:tc>
      </w:tr>
      <w:tr w:rsidR="00AD34E2" w:rsidRPr="00700993" w14:paraId="498AC865" w14:textId="77777777" w:rsidTr="003D630B">
        <w:trPr>
          <w:trHeight w:val="412"/>
        </w:trPr>
        <w:tc>
          <w:tcPr>
            <w:tcW w:w="2338" w:type="dxa"/>
            <w:tcBorders>
              <w:right w:val="single" w:sz="4" w:space="0" w:color="auto"/>
            </w:tcBorders>
            <w:shd w:val="clear" w:color="auto" w:fill="auto"/>
            <w:vAlign w:val="center"/>
          </w:tcPr>
          <w:p w14:paraId="12A22047"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c>
          <w:tcPr>
            <w:tcW w:w="3340" w:type="dxa"/>
            <w:tcBorders>
              <w:left w:val="single" w:sz="4" w:space="0" w:color="auto"/>
              <w:right w:val="single" w:sz="4" w:space="0" w:color="auto"/>
            </w:tcBorders>
            <w:shd w:val="clear" w:color="auto" w:fill="auto"/>
            <w:vAlign w:val="center"/>
          </w:tcPr>
          <w:p w14:paraId="70BD0427"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c>
          <w:tcPr>
            <w:tcW w:w="3150" w:type="dxa"/>
            <w:tcBorders>
              <w:left w:val="single" w:sz="4" w:space="0" w:color="auto"/>
            </w:tcBorders>
            <w:shd w:val="clear" w:color="auto" w:fill="auto"/>
            <w:vAlign w:val="center"/>
          </w:tcPr>
          <w:p w14:paraId="1E554D7F"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r>
    </w:tbl>
    <w:p w14:paraId="6C369A90" w14:textId="77777777" w:rsidR="00AD34E2" w:rsidRPr="00700993" w:rsidRDefault="00AD34E2" w:rsidP="00B435D0">
      <w:pPr>
        <w:contextualSpacing/>
        <w:jc w:val="center"/>
        <w:rPr>
          <w:rFonts w:cstheme="minorHAnsi"/>
          <w:b/>
          <w:sz w:val="20"/>
          <w:szCs w:val="20"/>
        </w:rPr>
      </w:pPr>
    </w:p>
    <w:p w14:paraId="05D47848" w14:textId="77777777" w:rsidR="006D137E" w:rsidRPr="00700993" w:rsidRDefault="006D137E"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2485"/>
        <w:gridCol w:w="6343"/>
      </w:tblGrid>
      <w:tr w:rsidR="00AD34E2" w:rsidRPr="00700993" w14:paraId="693DE728" w14:textId="77777777" w:rsidTr="00753E17">
        <w:trPr>
          <w:trHeight w:val="400"/>
        </w:trPr>
        <w:tc>
          <w:tcPr>
            <w:tcW w:w="8828" w:type="dxa"/>
            <w:gridSpan w:val="2"/>
            <w:shd w:val="clear" w:color="auto" w:fill="D9D9D9" w:themeFill="background1" w:themeFillShade="D9"/>
            <w:vAlign w:val="center"/>
          </w:tcPr>
          <w:p w14:paraId="43172046"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DESARROLLO DEL ORDEN DEL DÍA</w:t>
            </w:r>
          </w:p>
        </w:tc>
      </w:tr>
      <w:tr w:rsidR="00AD34E2" w:rsidRPr="00700993" w14:paraId="12589C5B" w14:textId="77777777" w:rsidTr="00753E17">
        <w:trPr>
          <w:trHeight w:val="342"/>
        </w:trPr>
        <w:tc>
          <w:tcPr>
            <w:tcW w:w="2485" w:type="dxa"/>
            <w:tcBorders>
              <w:right w:val="single" w:sz="4" w:space="0" w:color="auto"/>
            </w:tcBorders>
            <w:vAlign w:val="center"/>
          </w:tcPr>
          <w:p w14:paraId="06D9DF8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ORDEN DEL DÍA</w:t>
            </w:r>
          </w:p>
        </w:tc>
        <w:tc>
          <w:tcPr>
            <w:tcW w:w="6343" w:type="dxa"/>
            <w:tcBorders>
              <w:left w:val="single" w:sz="4" w:space="0" w:color="auto"/>
            </w:tcBorders>
            <w:vAlign w:val="center"/>
          </w:tcPr>
          <w:p w14:paraId="6F61B48E"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ANÁLISIS Y CONCLUSIONES</w:t>
            </w:r>
          </w:p>
        </w:tc>
      </w:tr>
      <w:tr w:rsidR="00753E17" w:rsidRPr="00700993" w14:paraId="2F48A1AF" w14:textId="77777777" w:rsidTr="00753E17">
        <w:trPr>
          <w:trHeight w:val="417"/>
        </w:trPr>
        <w:tc>
          <w:tcPr>
            <w:tcW w:w="2485" w:type="dxa"/>
            <w:tcBorders>
              <w:right w:val="single" w:sz="4" w:space="0" w:color="auto"/>
            </w:tcBorders>
            <w:vAlign w:val="center"/>
          </w:tcPr>
          <w:p w14:paraId="6C7310C5" w14:textId="56A0D6D8" w:rsidR="00753E17" w:rsidRPr="00700993" w:rsidRDefault="000E62A0" w:rsidP="00753E17">
            <w:pPr>
              <w:contextualSpacing/>
              <w:jc w:val="both"/>
              <w:rPr>
                <w:rFonts w:cstheme="minorHAnsi"/>
                <w:sz w:val="20"/>
                <w:szCs w:val="20"/>
              </w:rPr>
            </w:pPr>
            <w:r w:rsidRPr="00700993">
              <w:rPr>
                <w:rFonts w:cstheme="minorHAnsi"/>
                <w:sz w:val="20"/>
                <w:szCs w:val="20"/>
              </w:rPr>
              <w:t>Revisión de las actividades realizadas en desarrollo de la estrate</w:t>
            </w:r>
            <w:r w:rsidR="007662D5">
              <w:rPr>
                <w:rFonts w:cstheme="minorHAnsi"/>
                <w:sz w:val="20"/>
                <w:szCs w:val="20"/>
              </w:rPr>
              <w:t>gia de Rendición de Cuentas 2018</w:t>
            </w:r>
          </w:p>
        </w:tc>
        <w:tc>
          <w:tcPr>
            <w:tcW w:w="6343" w:type="dxa"/>
            <w:tcBorders>
              <w:left w:val="single" w:sz="4" w:space="0" w:color="auto"/>
            </w:tcBorders>
            <w:vAlign w:val="center"/>
          </w:tcPr>
          <w:p w14:paraId="15573ADF" w14:textId="77777777" w:rsidR="00D72E24" w:rsidRPr="00700993" w:rsidRDefault="00EB2D19" w:rsidP="00753E17">
            <w:pPr>
              <w:contextualSpacing/>
              <w:jc w:val="both"/>
              <w:rPr>
                <w:rFonts w:cstheme="minorHAnsi"/>
                <w:sz w:val="20"/>
                <w:szCs w:val="20"/>
              </w:rPr>
            </w:pPr>
            <w:r w:rsidRPr="00700993">
              <w:rPr>
                <w:rFonts w:cstheme="minorHAnsi"/>
                <w:sz w:val="20"/>
                <w:szCs w:val="20"/>
              </w:rPr>
              <w:t>La estrategia formulada en la vigencia se desarrolló a través de l</w:t>
            </w:r>
            <w:r w:rsidR="00D66286" w:rsidRPr="00700993">
              <w:rPr>
                <w:rFonts w:cstheme="minorHAnsi"/>
                <w:sz w:val="20"/>
                <w:szCs w:val="20"/>
              </w:rPr>
              <w:t>a</w:t>
            </w:r>
            <w:r w:rsidRPr="00700993">
              <w:rPr>
                <w:rFonts w:cstheme="minorHAnsi"/>
                <w:sz w:val="20"/>
                <w:szCs w:val="20"/>
              </w:rPr>
              <w:t>s siguiente</w:t>
            </w:r>
            <w:r w:rsidR="00D66286" w:rsidRPr="00700993">
              <w:rPr>
                <w:rFonts w:cstheme="minorHAnsi"/>
                <w:sz w:val="20"/>
                <w:szCs w:val="20"/>
              </w:rPr>
              <w:t>s actividades</w:t>
            </w:r>
            <w:r w:rsidRPr="00700993">
              <w:rPr>
                <w:rFonts w:cstheme="minorHAnsi"/>
                <w:sz w:val="20"/>
                <w:szCs w:val="20"/>
              </w:rPr>
              <w:t>:</w:t>
            </w:r>
          </w:p>
          <w:p w14:paraId="5E539C8D" w14:textId="456D537B" w:rsidR="00C8293D" w:rsidRDefault="00D66286" w:rsidP="00D66286">
            <w:pPr>
              <w:pStyle w:val="Prrafodelista"/>
              <w:numPr>
                <w:ilvl w:val="0"/>
                <w:numId w:val="5"/>
              </w:numPr>
              <w:jc w:val="both"/>
              <w:rPr>
                <w:rFonts w:cstheme="minorHAnsi"/>
                <w:sz w:val="20"/>
                <w:szCs w:val="20"/>
              </w:rPr>
            </w:pPr>
            <w:r w:rsidRPr="00700993">
              <w:rPr>
                <w:rFonts w:cstheme="minorHAnsi"/>
                <w:i/>
                <w:sz w:val="20"/>
                <w:szCs w:val="20"/>
                <w:u w:val="single"/>
              </w:rPr>
              <w:t>Realización de Audiencias Públicas Virtuales de Rendición de Cuentas</w:t>
            </w:r>
            <w:r w:rsidR="007662D5">
              <w:rPr>
                <w:rFonts w:cstheme="minorHAnsi"/>
                <w:sz w:val="20"/>
                <w:szCs w:val="20"/>
              </w:rPr>
              <w:t>. En la vigencia 2018</w:t>
            </w:r>
            <w:r w:rsidRPr="00700993">
              <w:rPr>
                <w:rFonts w:cstheme="minorHAnsi"/>
                <w:sz w:val="20"/>
                <w:szCs w:val="20"/>
              </w:rPr>
              <w:t xml:space="preserve"> se programó la realización de 1 audiencia, la cual se realizó en el mes de </w:t>
            </w:r>
            <w:r w:rsidR="007662D5">
              <w:rPr>
                <w:rFonts w:cstheme="minorHAnsi"/>
                <w:sz w:val="20"/>
                <w:szCs w:val="20"/>
              </w:rPr>
              <w:t>noviembre</w:t>
            </w:r>
            <w:r w:rsidRPr="00700993">
              <w:rPr>
                <w:rFonts w:cstheme="minorHAnsi"/>
                <w:sz w:val="20"/>
                <w:szCs w:val="20"/>
              </w:rPr>
              <w:t xml:space="preserve">, en desarrollo de </w:t>
            </w:r>
            <w:r w:rsidR="00C8293D">
              <w:rPr>
                <w:rFonts w:cstheme="minorHAnsi"/>
                <w:sz w:val="20"/>
                <w:szCs w:val="20"/>
              </w:rPr>
              <w:t>esta</w:t>
            </w:r>
            <w:r w:rsidRPr="00700993">
              <w:rPr>
                <w:rFonts w:cstheme="minorHAnsi"/>
                <w:sz w:val="20"/>
                <w:szCs w:val="20"/>
              </w:rPr>
              <w:t xml:space="preserve">, se tuvo la oportunidad de presentar ante la ciudadanía </w:t>
            </w:r>
            <w:r w:rsidR="00C8293D">
              <w:rPr>
                <w:rFonts w:cstheme="minorHAnsi"/>
                <w:sz w:val="20"/>
                <w:szCs w:val="20"/>
              </w:rPr>
              <w:t>las actividades realizadas por el nuevo gobierno en los primeros 100 días, se mostraron las acciones para la reactivación de los proyectos 4G y de los otros modos.</w:t>
            </w:r>
          </w:p>
          <w:p w14:paraId="43F5D6CD" w14:textId="77777777" w:rsidR="00E50B2F" w:rsidRPr="00700993" w:rsidRDefault="003034B6" w:rsidP="00E50B2F">
            <w:pPr>
              <w:pStyle w:val="Prrafodelista"/>
              <w:jc w:val="both"/>
              <w:rPr>
                <w:rFonts w:cstheme="minorHAnsi"/>
                <w:sz w:val="20"/>
                <w:szCs w:val="20"/>
              </w:rPr>
            </w:pPr>
            <w:r w:rsidRPr="00700993">
              <w:rPr>
                <w:rFonts w:cstheme="minorHAnsi"/>
                <w:sz w:val="20"/>
                <w:szCs w:val="20"/>
              </w:rPr>
              <w:t xml:space="preserve">Como es costumbre en estos espacios, la ciudadanía tuvo la oportunidad de interactuar con los directivos y presentar sus inquietudes, las cuales fueron respondidas </w:t>
            </w:r>
            <w:r w:rsidR="008252DD" w:rsidRPr="00700993">
              <w:rPr>
                <w:rFonts w:cstheme="minorHAnsi"/>
                <w:sz w:val="20"/>
                <w:szCs w:val="20"/>
              </w:rPr>
              <w:t>oportunamente, copia de las mismas reposan en el respectivo link de nuestra página WEB.</w:t>
            </w:r>
          </w:p>
          <w:p w14:paraId="493E57A8" w14:textId="7DA9E320" w:rsidR="008252DD" w:rsidRPr="00700993" w:rsidRDefault="00C8293D" w:rsidP="00E50B2F">
            <w:pPr>
              <w:pStyle w:val="Prrafodelista"/>
              <w:jc w:val="both"/>
              <w:rPr>
                <w:rFonts w:cstheme="minorHAnsi"/>
                <w:sz w:val="20"/>
                <w:szCs w:val="20"/>
              </w:rPr>
            </w:pPr>
            <w:r>
              <w:rPr>
                <w:rFonts w:cstheme="minorHAnsi"/>
                <w:sz w:val="20"/>
                <w:szCs w:val="20"/>
              </w:rPr>
              <w:t>Para esta audiencia se recibió una participación de un ciudadano el cual expresó que el evento había carecido de profundidad, presentando información somera y sin un análisis detallado, al respecto el equipo de rendición de cuentas analiza que al estar la nueva administración tan cerca de su fecha de su fecha de posesión no tiene muchas ejecutorias que presentar, y teniendo en cuenta que el objeto de estos eventos es comunicar la gestión de la entidad con el fin de empoderar a la ciudadanía el equipo estima necesario que este sea el aspecto sobre el cual se realizará las acciones de mejora en la vigencia 2019, se aclara que en caso de presentarse una situación similar es preferible cancelar el evento y no exponer a la entidad innecesariamente a una desmejora en su imagen.</w:t>
            </w:r>
          </w:p>
          <w:p w14:paraId="77B5920F" w14:textId="77777777" w:rsidR="008252DD" w:rsidRPr="00700993" w:rsidRDefault="008252DD" w:rsidP="00E50B2F">
            <w:pPr>
              <w:pStyle w:val="Prrafodelista"/>
              <w:jc w:val="both"/>
              <w:rPr>
                <w:rFonts w:cstheme="minorHAnsi"/>
                <w:sz w:val="20"/>
                <w:szCs w:val="20"/>
              </w:rPr>
            </w:pPr>
          </w:p>
          <w:p w14:paraId="0BB134FA" w14:textId="566EDBBB" w:rsidR="00BE4222" w:rsidRPr="00700993" w:rsidRDefault="00BE4222" w:rsidP="00BE4222">
            <w:pPr>
              <w:pStyle w:val="Prrafodelista"/>
              <w:numPr>
                <w:ilvl w:val="0"/>
                <w:numId w:val="5"/>
              </w:numPr>
              <w:jc w:val="both"/>
              <w:rPr>
                <w:rFonts w:cstheme="minorHAnsi"/>
                <w:sz w:val="20"/>
                <w:szCs w:val="20"/>
              </w:rPr>
            </w:pPr>
            <w:r w:rsidRPr="00700993">
              <w:rPr>
                <w:rFonts w:cstheme="minorHAnsi"/>
                <w:i/>
                <w:sz w:val="20"/>
                <w:szCs w:val="20"/>
                <w:u w:val="single"/>
              </w:rPr>
              <w:t>Participación en la Audiencia Pública Sectorial</w:t>
            </w:r>
            <w:r w:rsidRPr="00700993">
              <w:rPr>
                <w:rFonts w:cstheme="minorHAnsi"/>
                <w:sz w:val="20"/>
                <w:szCs w:val="20"/>
              </w:rPr>
              <w:t xml:space="preserve">. </w:t>
            </w:r>
            <w:r w:rsidR="0002122E" w:rsidRPr="00700993">
              <w:rPr>
                <w:rFonts w:cstheme="minorHAnsi"/>
                <w:sz w:val="20"/>
                <w:szCs w:val="20"/>
              </w:rPr>
              <w:t>Este evento corresponde a la Audiencia Sectorial</w:t>
            </w:r>
            <w:r w:rsidR="00877503" w:rsidRPr="00700993">
              <w:rPr>
                <w:rFonts w:cstheme="minorHAnsi"/>
                <w:sz w:val="20"/>
                <w:szCs w:val="20"/>
              </w:rPr>
              <w:t xml:space="preserve"> que realiza el Ministerio de Transporte</w:t>
            </w:r>
            <w:r w:rsidR="00310D9C" w:rsidRPr="00700993">
              <w:rPr>
                <w:rFonts w:cstheme="minorHAnsi"/>
                <w:sz w:val="20"/>
                <w:szCs w:val="20"/>
              </w:rPr>
              <w:t xml:space="preserve">. Dicho evento se realizó el </w:t>
            </w:r>
            <w:r w:rsidR="000034DB">
              <w:rPr>
                <w:rFonts w:cstheme="minorHAnsi"/>
                <w:sz w:val="20"/>
                <w:szCs w:val="20"/>
              </w:rPr>
              <w:t>7</w:t>
            </w:r>
            <w:r w:rsidR="00310D9C" w:rsidRPr="00700993">
              <w:rPr>
                <w:rFonts w:cstheme="minorHAnsi"/>
                <w:sz w:val="20"/>
                <w:szCs w:val="20"/>
              </w:rPr>
              <w:t xml:space="preserve"> de diciembre, este fue coordinado y realizado por la Oficina de Planeación del Ministerio y en desarrollo </w:t>
            </w:r>
            <w:proofErr w:type="gramStart"/>
            <w:r w:rsidR="00310D9C" w:rsidRPr="00700993">
              <w:rPr>
                <w:rFonts w:cstheme="minorHAnsi"/>
                <w:sz w:val="20"/>
                <w:szCs w:val="20"/>
              </w:rPr>
              <w:t>del mismo</w:t>
            </w:r>
            <w:proofErr w:type="gramEnd"/>
            <w:r w:rsidR="00310D9C" w:rsidRPr="00700993">
              <w:rPr>
                <w:rFonts w:cstheme="minorHAnsi"/>
                <w:sz w:val="20"/>
                <w:szCs w:val="20"/>
              </w:rPr>
              <w:t>, la Agencia presentó su gestión en la vigencia.</w:t>
            </w:r>
          </w:p>
          <w:p w14:paraId="284A011C" w14:textId="3A5ECBD5" w:rsidR="00310D9C" w:rsidRPr="00700993" w:rsidRDefault="003E76BE" w:rsidP="00310D9C">
            <w:pPr>
              <w:pStyle w:val="Prrafodelista"/>
              <w:jc w:val="both"/>
              <w:rPr>
                <w:rFonts w:cstheme="minorHAnsi"/>
                <w:sz w:val="20"/>
                <w:szCs w:val="20"/>
              </w:rPr>
            </w:pPr>
            <w:r w:rsidRPr="00700993">
              <w:rPr>
                <w:rFonts w:cstheme="minorHAnsi"/>
                <w:sz w:val="20"/>
                <w:szCs w:val="20"/>
              </w:rPr>
              <w:t xml:space="preserve">Para la realización del evento, se cumplieron los pasos establecidos en el Manual para la realización de las Audiencias, en cuanto a la convocatoria a ciudadanos y partes interesadas, la divulgación </w:t>
            </w:r>
            <w:r w:rsidRPr="00700993">
              <w:rPr>
                <w:rFonts w:cstheme="minorHAnsi"/>
                <w:sz w:val="20"/>
                <w:szCs w:val="20"/>
              </w:rPr>
              <w:lastRenderedPageBreak/>
              <w:t>oportuna de la información, el otorgamiento de incentivos a la participación de las ciudadanía y servidores de las entidades del sector y la recepción y contestación a las inquietudes presentadas por la ciudadanía.</w:t>
            </w:r>
            <w:r w:rsidR="000034DB">
              <w:rPr>
                <w:rFonts w:cstheme="minorHAnsi"/>
                <w:sz w:val="20"/>
                <w:szCs w:val="20"/>
              </w:rPr>
              <w:t xml:space="preserve"> Es de resaltar que en este evento se logró una participación de ciudadanía interesada, sin precedentes, de la evaluación realizada por el equipo designado en las diferentes entidades, se recalcó la necesidad de lograr la integración de las oficina de planeación y comunicaciones con el fin de coordinar las diferentes actividades que se deben realizar, de igual manera se estimó que este tipo de eventos son demasiado costosos y que en la vigencia 2019 la estrategia se debe estar orientada a la presencia en las regiones y al fortalecimiento del dialogo con las partes interesadas.</w:t>
            </w:r>
          </w:p>
          <w:p w14:paraId="3A19620B" w14:textId="77777777" w:rsidR="005B3ED2" w:rsidRPr="00700993" w:rsidRDefault="005B3ED2" w:rsidP="00802E9B">
            <w:pPr>
              <w:pStyle w:val="Prrafodelista"/>
              <w:numPr>
                <w:ilvl w:val="0"/>
                <w:numId w:val="5"/>
              </w:numPr>
              <w:jc w:val="both"/>
              <w:rPr>
                <w:rFonts w:cstheme="minorHAnsi"/>
                <w:sz w:val="20"/>
                <w:szCs w:val="20"/>
              </w:rPr>
            </w:pPr>
            <w:r w:rsidRPr="00700993">
              <w:rPr>
                <w:rFonts w:cstheme="minorHAnsi"/>
                <w:i/>
                <w:sz w:val="20"/>
                <w:szCs w:val="20"/>
                <w:u w:val="single"/>
              </w:rPr>
              <w:t>Publicar en la Página WEB de la Agencia la información relevante y pertinente.</w:t>
            </w:r>
            <w:r w:rsidRPr="00700993">
              <w:rPr>
                <w:rFonts w:cstheme="minorHAnsi"/>
                <w:sz w:val="20"/>
                <w:szCs w:val="20"/>
              </w:rPr>
              <w:t xml:space="preserve"> Para el desarrollo de esta actividad, se trabajó a través de un equipo interdisciplinario, el cual identificó los principales elementos y los responsables de publicar la información en la página WEB, dicha información corresponde al esquema de publicación de la Agencia. Posteriormente, cada uno de los responsables de la información de acuerdo con la periodicidad establecida procedió a la actualización de las secciones de la página. </w:t>
            </w:r>
          </w:p>
          <w:p w14:paraId="0EF7BF67" w14:textId="244C2C06" w:rsidR="00786907" w:rsidRPr="00700993" w:rsidRDefault="00786907" w:rsidP="005B3ED2">
            <w:pPr>
              <w:pStyle w:val="Prrafodelista"/>
              <w:jc w:val="both"/>
              <w:rPr>
                <w:rFonts w:cstheme="minorHAnsi"/>
                <w:sz w:val="20"/>
                <w:szCs w:val="20"/>
              </w:rPr>
            </w:pPr>
            <w:r w:rsidRPr="00700993">
              <w:rPr>
                <w:rFonts w:cstheme="minorHAnsi"/>
                <w:sz w:val="20"/>
                <w:szCs w:val="20"/>
              </w:rPr>
              <w:t>Por otra parte, durante el segundo semestre de 201</w:t>
            </w:r>
            <w:r w:rsidR="000034DB">
              <w:rPr>
                <w:rFonts w:cstheme="minorHAnsi"/>
                <w:sz w:val="20"/>
                <w:szCs w:val="20"/>
              </w:rPr>
              <w:t>8</w:t>
            </w:r>
            <w:r w:rsidRPr="00700993">
              <w:rPr>
                <w:rFonts w:cstheme="minorHAnsi"/>
                <w:sz w:val="20"/>
                <w:szCs w:val="20"/>
              </w:rPr>
              <w:t>, se realizaron mesas de trabajo entre el GIT de Planeación y la Oficina de Comunicaciones, en las cuales se identificaron posibles mejoras que se pueden implementar en la página web de la Agencia</w:t>
            </w:r>
            <w:r w:rsidR="000034DB">
              <w:rPr>
                <w:rFonts w:cstheme="minorHAnsi"/>
                <w:sz w:val="20"/>
                <w:szCs w:val="20"/>
              </w:rPr>
              <w:t>, con el fin de implementar estas modificaciones se estableció un plan de trabajo</w:t>
            </w:r>
            <w:r w:rsidR="00667A4A">
              <w:rPr>
                <w:rFonts w:cstheme="minorHAnsi"/>
                <w:sz w:val="20"/>
                <w:szCs w:val="20"/>
              </w:rPr>
              <w:t>, el cual no fue posible cumplir en su totalidad debido a la falta de contratación del WEBMASTER. Se Estima que en la vigencia 2019 se finalizará el desarrollo de las acciones propuestas.</w:t>
            </w:r>
          </w:p>
          <w:p w14:paraId="51767DCD" w14:textId="77777777" w:rsidR="00786907" w:rsidRPr="00700993" w:rsidRDefault="00786907" w:rsidP="005B3ED2">
            <w:pPr>
              <w:pStyle w:val="Prrafodelista"/>
              <w:jc w:val="both"/>
              <w:rPr>
                <w:rFonts w:cstheme="minorHAnsi"/>
                <w:sz w:val="20"/>
                <w:szCs w:val="20"/>
              </w:rPr>
            </w:pPr>
          </w:p>
          <w:p w14:paraId="49C501D5" w14:textId="77777777" w:rsidR="00786907" w:rsidRPr="00700993" w:rsidRDefault="00786907" w:rsidP="00786907">
            <w:pPr>
              <w:pStyle w:val="Prrafodelista"/>
              <w:numPr>
                <w:ilvl w:val="0"/>
                <w:numId w:val="5"/>
              </w:numPr>
              <w:jc w:val="both"/>
              <w:rPr>
                <w:rFonts w:cstheme="minorHAnsi"/>
                <w:i/>
                <w:sz w:val="20"/>
                <w:szCs w:val="20"/>
                <w:u w:val="single"/>
              </w:rPr>
            </w:pPr>
            <w:r w:rsidRPr="00700993">
              <w:rPr>
                <w:rFonts w:eastAsia="Times New Roman" w:cstheme="minorHAnsi"/>
                <w:i/>
                <w:color w:val="000000"/>
                <w:sz w:val="24"/>
                <w:szCs w:val="24"/>
                <w:u w:val="single"/>
                <w:lang w:eastAsia="es-CO"/>
              </w:rPr>
              <w:t>Fortalecimiento de las Veedurías Ciudadanas en los proyectos a cargo de la Agencia</w:t>
            </w:r>
            <w:r w:rsidRPr="00700993">
              <w:rPr>
                <w:rFonts w:eastAsia="Times New Roman" w:cstheme="minorHAnsi"/>
                <w:color w:val="000000"/>
                <w:sz w:val="24"/>
                <w:szCs w:val="24"/>
                <w:lang w:eastAsia="es-CO"/>
              </w:rPr>
              <w:t xml:space="preserve">. </w:t>
            </w:r>
            <w:r w:rsidR="00123A9E" w:rsidRPr="00700993">
              <w:rPr>
                <w:rFonts w:eastAsia="Times New Roman" w:cstheme="minorHAnsi"/>
                <w:color w:val="000000"/>
                <w:sz w:val="24"/>
                <w:szCs w:val="24"/>
                <w:lang w:eastAsia="es-CO"/>
              </w:rPr>
              <w:t>A través de esta actividad de la estrategia la Agencia, fortalece la capacidad de interlocución de las comunidades, para tal fin durante toda la vigencia se realizaron reuniones de trabajo, en desarrollo de las cuales el equipo de trabajo social, concertó, apoyo y capacitó a las veedurías es los aspectos clave para realizar su labor.</w:t>
            </w:r>
          </w:p>
          <w:p w14:paraId="25E4127C" w14:textId="77777777" w:rsidR="00123A9E" w:rsidRPr="00700993" w:rsidRDefault="00123A9E" w:rsidP="00123A9E">
            <w:pPr>
              <w:pStyle w:val="Prrafodelista"/>
              <w:jc w:val="both"/>
              <w:rPr>
                <w:rFonts w:eastAsia="Times New Roman" w:cstheme="minorHAnsi"/>
                <w:color w:val="000000"/>
                <w:sz w:val="24"/>
                <w:szCs w:val="24"/>
                <w:lang w:eastAsia="es-CO"/>
              </w:rPr>
            </w:pPr>
            <w:r w:rsidRPr="00700993">
              <w:rPr>
                <w:rFonts w:eastAsia="Times New Roman" w:cstheme="minorHAnsi"/>
                <w:color w:val="000000"/>
                <w:sz w:val="24"/>
                <w:szCs w:val="24"/>
                <w:lang w:eastAsia="es-CO"/>
              </w:rPr>
              <w:t xml:space="preserve">El fortalecimiento de las veedurías ha permitido, una interlocución fluida con las comunidades beneficiarias de la infraestructura y se han generado mecanismos de </w:t>
            </w:r>
            <w:r w:rsidRPr="00700993">
              <w:rPr>
                <w:rFonts w:eastAsia="Times New Roman" w:cstheme="minorHAnsi"/>
                <w:color w:val="000000"/>
                <w:sz w:val="24"/>
                <w:szCs w:val="24"/>
                <w:lang w:eastAsia="es-CO"/>
              </w:rPr>
              <w:lastRenderedPageBreak/>
              <w:t>diálogo para solucionar las problemáticas que surgen en el desarrollo de los proyectos.</w:t>
            </w:r>
          </w:p>
          <w:p w14:paraId="39A5EB2D" w14:textId="77777777" w:rsidR="00123A9E" w:rsidRPr="00700993" w:rsidRDefault="00123A9E" w:rsidP="00123A9E">
            <w:pPr>
              <w:pStyle w:val="Prrafodelista"/>
              <w:jc w:val="both"/>
              <w:rPr>
                <w:rFonts w:eastAsia="Times New Roman" w:cstheme="minorHAnsi"/>
                <w:color w:val="000000"/>
                <w:sz w:val="24"/>
                <w:szCs w:val="24"/>
                <w:lang w:eastAsia="es-CO"/>
              </w:rPr>
            </w:pPr>
          </w:p>
          <w:p w14:paraId="2D3BE5CE" w14:textId="77777777" w:rsidR="00123A9E" w:rsidRPr="00700993" w:rsidRDefault="00123A9E" w:rsidP="00123A9E">
            <w:pPr>
              <w:pStyle w:val="Prrafodelista"/>
              <w:numPr>
                <w:ilvl w:val="0"/>
                <w:numId w:val="5"/>
              </w:numPr>
              <w:jc w:val="both"/>
              <w:rPr>
                <w:rFonts w:cstheme="minorHAnsi"/>
                <w:sz w:val="20"/>
                <w:szCs w:val="20"/>
              </w:rPr>
            </w:pPr>
            <w:r w:rsidRPr="00700993">
              <w:rPr>
                <w:rFonts w:eastAsia="Times New Roman" w:cstheme="minorHAnsi"/>
                <w:i/>
                <w:color w:val="000000"/>
                <w:sz w:val="24"/>
                <w:szCs w:val="24"/>
                <w:u w:val="single"/>
                <w:lang w:eastAsia="es-CO"/>
              </w:rPr>
              <w:t>Participar en otros espacios de rendición de cuentas</w:t>
            </w:r>
            <w:r w:rsidRPr="00700993">
              <w:rPr>
                <w:rFonts w:eastAsia="Times New Roman" w:cstheme="minorHAnsi"/>
                <w:color w:val="000000"/>
                <w:sz w:val="24"/>
                <w:szCs w:val="24"/>
                <w:lang w:eastAsia="es-CO"/>
              </w:rPr>
              <w:t xml:space="preserve">. En desarrollo de esta actividad, el equipo técnico y directivo de la Agencia tuvo la oportunidad de asistir a eventos en los cuales se tuvo la oportunidad de presentar ante las comunidades y partes interesadas los avances de la gestión y la coordinación de actividades para el desarrollo de proyectos, algunos de los eventos en los cuales se participó fueron: </w:t>
            </w:r>
          </w:p>
          <w:p w14:paraId="6DEBDC1C" w14:textId="7C0D7AF3" w:rsidR="00123A9E" w:rsidRPr="00700993" w:rsidRDefault="00A427F1" w:rsidP="00123A9E">
            <w:pPr>
              <w:pStyle w:val="Prrafodelista"/>
              <w:numPr>
                <w:ilvl w:val="0"/>
                <w:numId w:val="6"/>
              </w:numPr>
              <w:jc w:val="both"/>
              <w:rPr>
                <w:rFonts w:eastAsia="Times New Roman" w:cstheme="minorHAnsi"/>
                <w:color w:val="000000"/>
                <w:sz w:val="24"/>
                <w:szCs w:val="24"/>
                <w:lang w:eastAsia="es-CO"/>
              </w:rPr>
            </w:pPr>
            <w:r>
              <w:rPr>
                <w:rFonts w:eastAsia="Times New Roman" w:cstheme="minorHAnsi"/>
                <w:color w:val="000000"/>
                <w:sz w:val="24"/>
                <w:szCs w:val="24"/>
                <w:lang w:eastAsia="es-CO"/>
              </w:rPr>
              <w:t>Taller</w:t>
            </w:r>
            <w:r w:rsidR="00661C05">
              <w:rPr>
                <w:rFonts w:eastAsia="Times New Roman" w:cstheme="minorHAnsi"/>
                <w:color w:val="000000"/>
                <w:sz w:val="24"/>
                <w:szCs w:val="24"/>
                <w:lang w:eastAsia="es-CO"/>
              </w:rPr>
              <w:t>es</w:t>
            </w:r>
            <w:r>
              <w:rPr>
                <w:rFonts w:eastAsia="Times New Roman" w:cstheme="minorHAnsi"/>
                <w:color w:val="000000"/>
                <w:sz w:val="24"/>
                <w:szCs w:val="24"/>
                <w:lang w:eastAsia="es-CO"/>
              </w:rPr>
              <w:t xml:space="preserve"> construyendo país en </w:t>
            </w:r>
            <w:r w:rsidR="00DA2B47">
              <w:rPr>
                <w:rFonts w:eastAsia="Times New Roman" w:cstheme="minorHAnsi"/>
                <w:color w:val="000000"/>
                <w:sz w:val="24"/>
                <w:szCs w:val="24"/>
                <w:lang w:eastAsia="es-CO"/>
              </w:rPr>
              <w:t>Yopal</w:t>
            </w:r>
            <w:r w:rsidR="00661C05">
              <w:rPr>
                <w:rFonts w:eastAsia="Times New Roman" w:cstheme="minorHAnsi"/>
                <w:color w:val="000000"/>
                <w:sz w:val="24"/>
                <w:szCs w:val="24"/>
                <w:lang w:eastAsia="es-CO"/>
              </w:rPr>
              <w:t xml:space="preserve"> y Malambo</w:t>
            </w:r>
          </w:p>
          <w:p w14:paraId="0C681AEE" w14:textId="211CA371" w:rsidR="00123A9E" w:rsidRPr="00700993" w:rsidRDefault="00DA2B47" w:rsidP="00123A9E">
            <w:pPr>
              <w:pStyle w:val="Prrafodelista"/>
              <w:numPr>
                <w:ilvl w:val="0"/>
                <w:numId w:val="6"/>
              </w:numPr>
              <w:jc w:val="both"/>
              <w:rPr>
                <w:rFonts w:cstheme="minorHAnsi"/>
                <w:sz w:val="20"/>
                <w:szCs w:val="20"/>
              </w:rPr>
            </w:pPr>
            <w:r>
              <w:rPr>
                <w:rFonts w:eastAsia="Times New Roman" w:cstheme="minorHAnsi"/>
                <w:color w:val="000000"/>
                <w:sz w:val="24"/>
                <w:szCs w:val="24"/>
                <w:lang w:eastAsia="es-CO"/>
              </w:rPr>
              <w:t>Reunión Concertación en Montería para el traslado del peaje Purgatorio</w:t>
            </w:r>
          </w:p>
          <w:p w14:paraId="10DDE093" w14:textId="19CF2600" w:rsidR="0053313F" w:rsidRPr="00700993" w:rsidRDefault="00DF0E94" w:rsidP="00123A9E">
            <w:pPr>
              <w:pStyle w:val="Prrafodelista"/>
              <w:numPr>
                <w:ilvl w:val="0"/>
                <w:numId w:val="6"/>
              </w:numPr>
              <w:jc w:val="both"/>
              <w:rPr>
                <w:rFonts w:eastAsia="Times New Roman" w:cstheme="minorHAnsi"/>
                <w:color w:val="000000"/>
                <w:sz w:val="24"/>
                <w:szCs w:val="24"/>
                <w:lang w:eastAsia="es-CO"/>
              </w:rPr>
            </w:pPr>
            <w:r>
              <w:rPr>
                <w:rFonts w:eastAsia="Times New Roman" w:cstheme="minorHAnsi"/>
                <w:color w:val="000000"/>
                <w:sz w:val="24"/>
                <w:szCs w:val="24"/>
                <w:lang w:eastAsia="es-CO"/>
              </w:rPr>
              <w:t>Foro del Gran Caribe en Cartagena</w:t>
            </w:r>
          </w:p>
          <w:p w14:paraId="2AFD1F27" w14:textId="0B664A5C" w:rsidR="00BF5794" w:rsidRDefault="00E8511A" w:rsidP="00BF5794">
            <w:pPr>
              <w:pStyle w:val="Prrafodelista"/>
              <w:numPr>
                <w:ilvl w:val="0"/>
                <w:numId w:val="6"/>
              </w:numPr>
              <w:jc w:val="both"/>
              <w:rPr>
                <w:rFonts w:eastAsia="Times New Roman" w:cstheme="minorHAnsi"/>
                <w:color w:val="000000"/>
                <w:sz w:val="24"/>
                <w:szCs w:val="24"/>
                <w:lang w:eastAsia="es-CO"/>
              </w:rPr>
            </w:pPr>
            <w:r>
              <w:rPr>
                <w:rFonts w:eastAsia="Times New Roman" w:cstheme="minorHAnsi"/>
                <w:color w:val="000000"/>
                <w:sz w:val="24"/>
                <w:szCs w:val="24"/>
                <w:lang w:eastAsia="es-CO"/>
              </w:rPr>
              <w:t>Conformación del Comité de veeduría para la construcción de la vía a Villavicencio.</w:t>
            </w:r>
          </w:p>
          <w:p w14:paraId="6E3F72E7" w14:textId="77777777" w:rsidR="00281158" w:rsidRPr="00700993" w:rsidRDefault="00281158" w:rsidP="00281158">
            <w:pPr>
              <w:pStyle w:val="Prrafodelista"/>
              <w:jc w:val="both"/>
              <w:rPr>
                <w:rFonts w:eastAsia="Times New Roman" w:cstheme="minorHAnsi"/>
                <w:color w:val="000000"/>
                <w:sz w:val="24"/>
                <w:szCs w:val="24"/>
                <w:lang w:eastAsia="es-CO"/>
              </w:rPr>
            </w:pPr>
          </w:p>
          <w:p w14:paraId="0E20D8D9" w14:textId="77777777" w:rsidR="001D5FD6" w:rsidRPr="00700993" w:rsidRDefault="001D5FD6" w:rsidP="00057433">
            <w:pPr>
              <w:pStyle w:val="Prrafodelista"/>
              <w:jc w:val="both"/>
              <w:rPr>
                <w:rFonts w:eastAsia="Times New Roman" w:cstheme="minorHAnsi"/>
                <w:color w:val="000000"/>
                <w:sz w:val="24"/>
                <w:szCs w:val="24"/>
                <w:lang w:eastAsia="es-CO"/>
              </w:rPr>
            </w:pPr>
            <w:r w:rsidRPr="00700993">
              <w:rPr>
                <w:rFonts w:eastAsia="Times New Roman" w:cstheme="minorHAnsi"/>
                <w:color w:val="000000"/>
                <w:sz w:val="24"/>
                <w:szCs w:val="24"/>
                <w:lang w:eastAsia="es-CO"/>
              </w:rPr>
              <w:t>Estos espacios se han constituido en un mecanismo para que la Agencia, se acerque a la ciudadanía, reciba sus inquietudes, presente sus propuestas y haga concertación con las comunidades.</w:t>
            </w:r>
          </w:p>
          <w:p w14:paraId="1D2BAAEA" w14:textId="77777777" w:rsidR="001D5FD6" w:rsidRPr="00700993" w:rsidRDefault="001D5FD6" w:rsidP="001D5FD6">
            <w:pPr>
              <w:ind w:left="360"/>
              <w:jc w:val="both"/>
              <w:rPr>
                <w:rFonts w:cstheme="minorHAnsi"/>
                <w:sz w:val="20"/>
                <w:szCs w:val="20"/>
              </w:rPr>
            </w:pPr>
          </w:p>
        </w:tc>
      </w:tr>
      <w:tr w:rsidR="00753E17" w:rsidRPr="00700993" w14:paraId="25A08C9D" w14:textId="77777777" w:rsidTr="00753E17">
        <w:trPr>
          <w:trHeight w:val="410"/>
        </w:trPr>
        <w:tc>
          <w:tcPr>
            <w:tcW w:w="2485" w:type="dxa"/>
            <w:tcBorders>
              <w:right w:val="single" w:sz="4" w:space="0" w:color="auto"/>
            </w:tcBorders>
            <w:vAlign w:val="center"/>
          </w:tcPr>
          <w:p w14:paraId="106F85C7" w14:textId="77777777" w:rsidR="00753E17" w:rsidRPr="00700993" w:rsidRDefault="00622F3C" w:rsidP="00753E17">
            <w:pPr>
              <w:contextualSpacing/>
              <w:jc w:val="both"/>
              <w:rPr>
                <w:rFonts w:cstheme="minorHAnsi"/>
                <w:sz w:val="20"/>
                <w:szCs w:val="20"/>
              </w:rPr>
            </w:pPr>
            <w:r w:rsidRPr="00700993">
              <w:rPr>
                <w:rFonts w:cstheme="minorHAnsi"/>
                <w:sz w:val="20"/>
                <w:szCs w:val="20"/>
              </w:rPr>
              <w:lastRenderedPageBreak/>
              <w:t>Conclusiones y recomendaciones.</w:t>
            </w:r>
          </w:p>
        </w:tc>
        <w:tc>
          <w:tcPr>
            <w:tcW w:w="6343" w:type="dxa"/>
            <w:tcBorders>
              <w:left w:val="single" w:sz="4" w:space="0" w:color="auto"/>
            </w:tcBorders>
            <w:vAlign w:val="center"/>
          </w:tcPr>
          <w:p w14:paraId="140C8AD4" w14:textId="77777777" w:rsidR="00782515" w:rsidRDefault="0097216D" w:rsidP="00753E17">
            <w:pPr>
              <w:contextualSpacing/>
              <w:jc w:val="both"/>
              <w:rPr>
                <w:rFonts w:eastAsia="Times New Roman" w:cstheme="minorHAnsi"/>
                <w:color w:val="000000"/>
                <w:sz w:val="24"/>
                <w:szCs w:val="24"/>
                <w:lang w:eastAsia="es-CO"/>
              </w:rPr>
            </w:pPr>
            <w:r w:rsidRPr="005455BF">
              <w:rPr>
                <w:rFonts w:eastAsia="Times New Roman" w:cstheme="minorHAnsi"/>
                <w:color w:val="000000"/>
                <w:sz w:val="24"/>
                <w:szCs w:val="24"/>
                <w:lang w:eastAsia="es-CO"/>
              </w:rPr>
              <w:t>Una vez revisados los avances en el desarrollo de las actividades propuestas en la estrategia de rendición de cuentas, se observó que estas cumplieron con el objetivo para el cual fueron programadas, es decir, se logró acercar la Agencia a la ciudadanía y partes interesa</w:t>
            </w:r>
            <w:r w:rsidR="00281648" w:rsidRPr="005455BF">
              <w:rPr>
                <w:rFonts w:eastAsia="Times New Roman" w:cstheme="minorHAnsi"/>
                <w:color w:val="000000"/>
                <w:sz w:val="24"/>
                <w:szCs w:val="24"/>
                <w:lang w:eastAsia="es-CO"/>
              </w:rPr>
              <w:t xml:space="preserve">das, y en desarrollo de ese encuentro lograr la interlocución entre las partes con el fin de recibir de primera mano las expectativas y necesidades de la población. </w:t>
            </w:r>
          </w:p>
          <w:p w14:paraId="09A96742" w14:textId="77777777" w:rsidR="00782515" w:rsidRDefault="00782515" w:rsidP="00753E17">
            <w:pPr>
              <w:contextualSpacing/>
              <w:jc w:val="both"/>
              <w:rPr>
                <w:rFonts w:eastAsia="Times New Roman" w:cstheme="minorHAnsi"/>
                <w:color w:val="000000"/>
                <w:sz w:val="24"/>
                <w:szCs w:val="24"/>
                <w:lang w:eastAsia="es-CO"/>
              </w:rPr>
            </w:pPr>
          </w:p>
          <w:p w14:paraId="4F9E4D39" w14:textId="5B8F31AC" w:rsidR="00782515" w:rsidRDefault="00782515" w:rsidP="00753E17">
            <w:pPr>
              <w:contextualSpacing/>
              <w:jc w:val="both"/>
              <w:rPr>
                <w:rFonts w:eastAsia="Times New Roman" w:cstheme="minorHAnsi"/>
                <w:color w:val="000000"/>
                <w:sz w:val="24"/>
                <w:szCs w:val="24"/>
                <w:lang w:eastAsia="es-CO"/>
              </w:rPr>
            </w:pPr>
            <w:r>
              <w:rPr>
                <w:rFonts w:eastAsia="Times New Roman" w:cstheme="minorHAnsi"/>
                <w:color w:val="000000"/>
                <w:sz w:val="24"/>
                <w:szCs w:val="24"/>
                <w:lang w:eastAsia="es-CO"/>
              </w:rPr>
              <w:t xml:space="preserve">De igual manera, se al realizar la evaluación de la audiencia virtual del mes de noviembre y ante la evaluación realizada por la ciudadanía se tomó la decisión de o realizar este tipo de eventos sin la suficiente preparación y profundidad en los temas, ya que una mala preparación influye negativamente en la percepción por parte de la ciudadanía. Este aspecto se </w:t>
            </w:r>
            <w:r>
              <w:rPr>
                <w:rFonts w:eastAsia="Times New Roman" w:cstheme="minorHAnsi"/>
                <w:color w:val="000000"/>
                <w:sz w:val="24"/>
                <w:szCs w:val="24"/>
                <w:lang w:eastAsia="es-CO"/>
              </w:rPr>
              <w:lastRenderedPageBreak/>
              <w:t>escogió para que en la vigencia 2019 sea monitoreado y evaluado como parte del proceso de mejora continua.</w:t>
            </w:r>
          </w:p>
          <w:p w14:paraId="1F718C32" w14:textId="77777777" w:rsidR="00782515" w:rsidRDefault="00782515" w:rsidP="00753E17">
            <w:pPr>
              <w:contextualSpacing/>
              <w:jc w:val="both"/>
              <w:rPr>
                <w:rFonts w:eastAsia="Times New Roman" w:cstheme="minorHAnsi"/>
                <w:color w:val="000000"/>
                <w:sz w:val="24"/>
                <w:szCs w:val="24"/>
                <w:lang w:eastAsia="es-CO"/>
              </w:rPr>
            </w:pPr>
          </w:p>
          <w:p w14:paraId="216BD68C" w14:textId="2470C312" w:rsidR="005758FB" w:rsidRPr="005455BF" w:rsidRDefault="00782515" w:rsidP="00753E17">
            <w:pPr>
              <w:contextualSpacing/>
              <w:jc w:val="both"/>
              <w:rPr>
                <w:rFonts w:eastAsia="Times New Roman" w:cstheme="minorHAnsi"/>
                <w:color w:val="000000"/>
                <w:sz w:val="24"/>
                <w:szCs w:val="24"/>
                <w:lang w:eastAsia="es-CO"/>
              </w:rPr>
            </w:pPr>
            <w:r>
              <w:rPr>
                <w:rFonts w:eastAsia="Times New Roman" w:cstheme="minorHAnsi"/>
                <w:color w:val="000000"/>
                <w:sz w:val="24"/>
                <w:szCs w:val="24"/>
                <w:lang w:eastAsia="es-CO"/>
              </w:rPr>
              <w:t>P</w:t>
            </w:r>
            <w:r w:rsidR="00281648" w:rsidRPr="005455BF">
              <w:rPr>
                <w:rFonts w:eastAsia="Times New Roman" w:cstheme="minorHAnsi"/>
                <w:color w:val="000000"/>
                <w:sz w:val="24"/>
                <w:szCs w:val="24"/>
                <w:lang w:eastAsia="es-CO"/>
              </w:rPr>
              <w:t>ara la vigencia 201</w:t>
            </w:r>
            <w:r>
              <w:rPr>
                <w:rFonts w:eastAsia="Times New Roman" w:cstheme="minorHAnsi"/>
                <w:color w:val="000000"/>
                <w:sz w:val="24"/>
                <w:szCs w:val="24"/>
                <w:lang w:eastAsia="es-CO"/>
              </w:rPr>
              <w:t>9</w:t>
            </w:r>
            <w:r w:rsidR="00281648" w:rsidRPr="005455BF">
              <w:rPr>
                <w:rFonts w:eastAsia="Times New Roman" w:cstheme="minorHAnsi"/>
                <w:color w:val="000000"/>
                <w:sz w:val="24"/>
                <w:szCs w:val="24"/>
                <w:lang w:eastAsia="es-CO"/>
              </w:rPr>
              <w:t xml:space="preserve">, </w:t>
            </w:r>
            <w:r>
              <w:rPr>
                <w:rFonts w:eastAsia="Times New Roman" w:cstheme="minorHAnsi"/>
                <w:color w:val="000000"/>
                <w:sz w:val="24"/>
                <w:szCs w:val="24"/>
                <w:lang w:eastAsia="es-CO"/>
              </w:rPr>
              <w:t xml:space="preserve">la estrategia estará enfocada en </w:t>
            </w:r>
            <w:r w:rsidR="00281648" w:rsidRPr="005455BF">
              <w:rPr>
                <w:rFonts w:eastAsia="Times New Roman" w:cstheme="minorHAnsi"/>
                <w:color w:val="000000"/>
                <w:sz w:val="24"/>
                <w:szCs w:val="24"/>
                <w:lang w:eastAsia="es-CO"/>
              </w:rPr>
              <w:t>profundiza</w:t>
            </w:r>
            <w:r>
              <w:rPr>
                <w:rFonts w:eastAsia="Times New Roman" w:cstheme="minorHAnsi"/>
                <w:color w:val="000000"/>
                <w:sz w:val="24"/>
                <w:szCs w:val="24"/>
                <w:lang w:eastAsia="es-CO"/>
              </w:rPr>
              <w:t>r</w:t>
            </w:r>
            <w:r w:rsidR="00281648" w:rsidRPr="005455BF">
              <w:rPr>
                <w:rFonts w:eastAsia="Times New Roman" w:cstheme="minorHAnsi"/>
                <w:color w:val="000000"/>
                <w:sz w:val="24"/>
                <w:szCs w:val="24"/>
                <w:lang w:eastAsia="es-CO"/>
              </w:rPr>
              <w:t xml:space="preserve"> </w:t>
            </w:r>
            <w:r>
              <w:rPr>
                <w:rFonts w:eastAsia="Times New Roman" w:cstheme="minorHAnsi"/>
                <w:color w:val="000000"/>
                <w:sz w:val="24"/>
                <w:szCs w:val="24"/>
                <w:lang w:eastAsia="es-CO"/>
              </w:rPr>
              <w:t xml:space="preserve">el diálogo directo en las regiones </w:t>
            </w:r>
            <w:r w:rsidR="00281648" w:rsidRPr="005455BF">
              <w:rPr>
                <w:rFonts w:eastAsia="Times New Roman" w:cstheme="minorHAnsi"/>
                <w:color w:val="000000"/>
                <w:sz w:val="24"/>
                <w:szCs w:val="24"/>
                <w:lang w:eastAsia="es-CO"/>
              </w:rPr>
              <w:t>en este aspecto, mediante la realización de eventos a nivel local los cuales sirvan de espacio para la identificación de necesidades de las comunidades, la identificación de nuevos espacios de participación y de necesidades de información particulares.</w:t>
            </w:r>
          </w:p>
          <w:p w14:paraId="411275A0" w14:textId="77777777" w:rsidR="00281648" w:rsidRPr="00700993" w:rsidRDefault="00281648" w:rsidP="00753E17">
            <w:pPr>
              <w:contextualSpacing/>
              <w:jc w:val="both"/>
              <w:rPr>
                <w:rFonts w:cstheme="minorHAnsi"/>
                <w:sz w:val="20"/>
                <w:szCs w:val="20"/>
              </w:rPr>
            </w:pPr>
          </w:p>
          <w:p w14:paraId="6C05627F" w14:textId="1C645753" w:rsidR="00775A5D" w:rsidRPr="00700993" w:rsidRDefault="00775A5D" w:rsidP="00753E17">
            <w:pPr>
              <w:contextualSpacing/>
              <w:jc w:val="both"/>
              <w:rPr>
                <w:rFonts w:cstheme="minorHAnsi"/>
                <w:sz w:val="20"/>
                <w:szCs w:val="20"/>
              </w:rPr>
            </w:pPr>
            <w:r w:rsidRPr="005455BF">
              <w:rPr>
                <w:rFonts w:cstheme="minorHAnsi"/>
                <w:sz w:val="24"/>
                <w:szCs w:val="24"/>
              </w:rPr>
              <w:t>En cuanto a las rendiciones</w:t>
            </w:r>
            <w:r w:rsidR="00782515">
              <w:rPr>
                <w:rFonts w:cstheme="minorHAnsi"/>
                <w:sz w:val="24"/>
                <w:szCs w:val="24"/>
              </w:rPr>
              <w:t xml:space="preserve"> de cuentas, en la vigencia 2019</w:t>
            </w:r>
            <w:r w:rsidRPr="005455BF">
              <w:rPr>
                <w:rFonts w:cstheme="minorHAnsi"/>
                <w:sz w:val="24"/>
                <w:szCs w:val="24"/>
              </w:rPr>
              <w:t xml:space="preserve">, se </w:t>
            </w:r>
            <w:r w:rsidR="00782515">
              <w:rPr>
                <w:rFonts w:cstheme="minorHAnsi"/>
                <w:sz w:val="24"/>
                <w:szCs w:val="24"/>
              </w:rPr>
              <w:t xml:space="preserve">profundizarán y privilegiarán </w:t>
            </w:r>
            <w:r w:rsidRPr="005455BF">
              <w:rPr>
                <w:rFonts w:cstheme="minorHAnsi"/>
                <w:sz w:val="24"/>
                <w:szCs w:val="24"/>
              </w:rPr>
              <w:t>las actividades que privilegien las reuniones presenciales del equipo directivo con la ciudadanía.</w:t>
            </w:r>
          </w:p>
        </w:tc>
      </w:tr>
    </w:tbl>
    <w:p w14:paraId="1B3F1ADC" w14:textId="77777777" w:rsidR="00AD34E2" w:rsidRPr="00700993"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061"/>
        <w:gridCol w:w="2883"/>
        <w:gridCol w:w="1810"/>
        <w:gridCol w:w="1074"/>
      </w:tblGrid>
      <w:tr w:rsidR="00AD34E2" w:rsidRPr="00700993" w14:paraId="24ACEE64" w14:textId="77777777" w:rsidTr="002A7CBC">
        <w:trPr>
          <w:trHeight w:val="411"/>
        </w:trPr>
        <w:tc>
          <w:tcPr>
            <w:tcW w:w="8828" w:type="dxa"/>
            <w:gridSpan w:val="4"/>
            <w:shd w:val="clear" w:color="auto" w:fill="D9D9D9" w:themeFill="background1" w:themeFillShade="D9"/>
            <w:vAlign w:val="center"/>
          </w:tcPr>
          <w:p w14:paraId="5EF629C2"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COMPROMISOS</w:t>
            </w:r>
          </w:p>
        </w:tc>
      </w:tr>
      <w:tr w:rsidR="00AD34E2" w:rsidRPr="00700993" w14:paraId="4C1CA0B1" w14:textId="77777777" w:rsidTr="002A7CBC">
        <w:trPr>
          <w:trHeight w:val="418"/>
        </w:trPr>
        <w:tc>
          <w:tcPr>
            <w:tcW w:w="3061" w:type="dxa"/>
            <w:tcBorders>
              <w:right w:val="single" w:sz="4" w:space="0" w:color="auto"/>
            </w:tcBorders>
            <w:vAlign w:val="center"/>
          </w:tcPr>
          <w:p w14:paraId="19422FE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COMPROMISO</w:t>
            </w:r>
          </w:p>
        </w:tc>
        <w:tc>
          <w:tcPr>
            <w:tcW w:w="2883" w:type="dxa"/>
            <w:tcBorders>
              <w:right w:val="single" w:sz="4" w:space="0" w:color="auto"/>
            </w:tcBorders>
            <w:vAlign w:val="center"/>
          </w:tcPr>
          <w:p w14:paraId="1B35300D"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RESPONSABLE</w:t>
            </w:r>
          </w:p>
        </w:tc>
        <w:tc>
          <w:tcPr>
            <w:tcW w:w="1810" w:type="dxa"/>
            <w:tcBorders>
              <w:right w:val="single" w:sz="4" w:space="0" w:color="auto"/>
            </w:tcBorders>
            <w:vAlign w:val="center"/>
          </w:tcPr>
          <w:p w14:paraId="628128DB"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FECHA ENTREGA</w:t>
            </w:r>
          </w:p>
        </w:tc>
        <w:tc>
          <w:tcPr>
            <w:tcW w:w="1074" w:type="dxa"/>
            <w:tcBorders>
              <w:left w:val="single" w:sz="4" w:space="0" w:color="auto"/>
            </w:tcBorders>
            <w:vAlign w:val="center"/>
          </w:tcPr>
          <w:p w14:paraId="10093400"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%AVANCE</w:t>
            </w:r>
          </w:p>
        </w:tc>
      </w:tr>
      <w:tr w:rsidR="002A1906" w:rsidRPr="00700993" w14:paraId="0CD92A8E" w14:textId="77777777" w:rsidTr="002A7CBC">
        <w:trPr>
          <w:trHeight w:val="424"/>
        </w:trPr>
        <w:tc>
          <w:tcPr>
            <w:tcW w:w="3061" w:type="dxa"/>
            <w:tcBorders>
              <w:right w:val="single" w:sz="4" w:space="0" w:color="auto"/>
            </w:tcBorders>
            <w:vAlign w:val="center"/>
          </w:tcPr>
          <w:p w14:paraId="014D8517" w14:textId="77777777" w:rsidR="002A1906" w:rsidRPr="00700993" w:rsidRDefault="002A1906" w:rsidP="002A7CBC">
            <w:pPr>
              <w:contextualSpacing/>
              <w:jc w:val="both"/>
              <w:rPr>
                <w:rFonts w:cstheme="minorHAnsi"/>
                <w:sz w:val="20"/>
                <w:szCs w:val="20"/>
              </w:rPr>
            </w:pPr>
          </w:p>
        </w:tc>
        <w:tc>
          <w:tcPr>
            <w:tcW w:w="2883" w:type="dxa"/>
            <w:tcBorders>
              <w:right w:val="single" w:sz="4" w:space="0" w:color="auto"/>
            </w:tcBorders>
            <w:vAlign w:val="center"/>
          </w:tcPr>
          <w:p w14:paraId="15F76E38" w14:textId="77777777" w:rsidR="002A1906" w:rsidRPr="00700993" w:rsidRDefault="002A1906" w:rsidP="007C3855">
            <w:pPr>
              <w:contextualSpacing/>
              <w:jc w:val="center"/>
              <w:rPr>
                <w:rFonts w:cstheme="minorHAnsi"/>
                <w:sz w:val="20"/>
                <w:szCs w:val="20"/>
              </w:rPr>
            </w:pPr>
          </w:p>
        </w:tc>
        <w:tc>
          <w:tcPr>
            <w:tcW w:w="1810" w:type="dxa"/>
            <w:tcBorders>
              <w:right w:val="single" w:sz="4" w:space="0" w:color="auto"/>
            </w:tcBorders>
            <w:vAlign w:val="center"/>
          </w:tcPr>
          <w:p w14:paraId="504C09EC" w14:textId="77777777" w:rsidR="002A1906" w:rsidRPr="00700993" w:rsidRDefault="002A1906" w:rsidP="007C3855">
            <w:pPr>
              <w:contextualSpacing/>
              <w:jc w:val="center"/>
              <w:rPr>
                <w:rFonts w:cstheme="minorHAnsi"/>
                <w:sz w:val="20"/>
                <w:szCs w:val="20"/>
              </w:rPr>
            </w:pPr>
          </w:p>
        </w:tc>
        <w:tc>
          <w:tcPr>
            <w:tcW w:w="1074" w:type="dxa"/>
            <w:tcBorders>
              <w:left w:val="single" w:sz="4" w:space="0" w:color="auto"/>
            </w:tcBorders>
            <w:vAlign w:val="center"/>
          </w:tcPr>
          <w:p w14:paraId="10259531" w14:textId="77777777" w:rsidR="002A1906" w:rsidRPr="00700993" w:rsidRDefault="002A1906" w:rsidP="007C3855">
            <w:pPr>
              <w:contextualSpacing/>
              <w:jc w:val="center"/>
              <w:rPr>
                <w:rFonts w:cstheme="minorHAnsi"/>
                <w:sz w:val="20"/>
                <w:szCs w:val="20"/>
              </w:rPr>
            </w:pPr>
          </w:p>
        </w:tc>
      </w:tr>
      <w:tr w:rsidR="002A1906" w:rsidRPr="00700993" w14:paraId="60728C2F" w14:textId="77777777" w:rsidTr="002A7CBC">
        <w:trPr>
          <w:trHeight w:val="402"/>
        </w:trPr>
        <w:tc>
          <w:tcPr>
            <w:tcW w:w="3061" w:type="dxa"/>
            <w:tcBorders>
              <w:right w:val="single" w:sz="4" w:space="0" w:color="auto"/>
            </w:tcBorders>
            <w:vAlign w:val="center"/>
          </w:tcPr>
          <w:p w14:paraId="02425472" w14:textId="77777777" w:rsidR="002A1906" w:rsidRPr="00700993" w:rsidRDefault="002A1906" w:rsidP="002A7CBC">
            <w:pPr>
              <w:contextualSpacing/>
              <w:jc w:val="both"/>
              <w:rPr>
                <w:rFonts w:cstheme="minorHAnsi"/>
                <w:sz w:val="20"/>
                <w:szCs w:val="20"/>
              </w:rPr>
            </w:pPr>
          </w:p>
        </w:tc>
        <w:tc>
          <w:tcPr>
            <w:tcW w:w="2883" w:type="dxa"/>
            <w:tcBorders>
              <w:right w:val="single" w:sz="4" w:space="0" w:color="auto"/>
            </w:tcBorders>
            <w:vAlign w:val="center"/>
          </w:tcPr>
          <w:p w14:paraId="45AE3822" w14:textId="77777777" w:rsidR="002A1906" w:rsidRPr="00700993" w:rsidRDefault="002A1906" w:rsidP="007C3855">
            <w:pPr>
              <w:contextualSpacing/>
              <w:jc w:val="center"/>
              <w:rPr>
                <w:rFonts w:cstheme="minorHAnsi"/>
                <w:sz w:val="20"/>
                <w:szCs w:val="20"/>
              </w:rPr>
            </w:pPr>
          </w:p>
        </w:tc>
        <w:tc>
          <w:tcPr>
            <w:tcW w:w="1810" w:type="dxa"/>
            <w:tcBorders>
              <w:right w:val="single" w:sz="4" w:space="0" w:color="auto"/>
            </w:tcBorders>
            <w:vAlign w:val="center"/>
          </w:tcPr>
          <w:p w14:paraId="47AC5C53" w14:textId="77777777" w:rsidR="002A1906" w:rsidRPr="00700993" w:rsidRDefault="002A1906" w:rsidP="007C3855">
            <w:pPr>
              <w:contextualSpacing/>
              <w:jc w:val="center"/>
              <w:rPr>
                <w:rFonts w:cstheme="minorHAnsi"/>
                <w:sz w:val="20"/>
                <w:szCs w:val="20"/>
              </w:rPr>
            </w:pPr>
          </w:p>
        </w:tc>
        <w:tc>
          <w:tcPr>
            <w:tcW w:w="1074" w:type="dxa"/>
            <w:tcBorders>
              <w:left w:val="single" w:sz="4" w:space="0" w:color="auto"/>
            </w:tcBorders>
            <w:vAlign w:val="center"/>
          </w:tcPr>
          <w:p w14:paraId="3A5EC32E" w14:textId="77777777" w:rsidR="002A1906" w:rsidRPr="00700993" w:rsidRDefault="002A1906" w:rsidP="007C3855">
            <w:pPr>
              <w:contextualSpacing/>
              <w:jc w:val="center"/>
              <w:rPr>
                <w:rFonts w:cstheme="minorHAnsi"/>
                <w:sz w:val="20"/>
                <w:szCs w:val="20"/>
              </w:rPr>
            </w:pPr>
          </w:p>
        </w:tc>
      </w:tr>
      <w:tr w:rsidR="002A7CBC" w:rsidRPr="00700993" w14:paraId="662B493C" w14:textId="77777777" w:rsidTr="002A7CBC">
        <w:trPr>
          <w:trHeight w:val="402"/>
        </w:trPr>
        <w:tc>
          <w:tcPr>
            <w:tcW w:w="3061" w:type="dxa"/>
            <w:tcBorders>
              <w:right w:val="single" w:sz="4" w:space="0" w:color="auto"/>
            </w:tcBorders>
            <w:vAlign w:val="center"/>
          </w:tcPr>
          <w:p w14:paraId="2578C410" w14:textId="77777777" w:rsidR="002A7CBC" w:rsidRPr="00700993" w:rsidRDefault="002A7CBC" w:rsidP="002A7CBC">
            <w:pPr>
              <w:contextualSpacing/>
              <w:jc w:val="both"/>
              <w:rPr>
                <w:rFonts w:cstheme="minorHAnsi"/>
                <w:sz w:val="20"/>
                <w:szCs w:val="20"/>
              </w:rPr>
            </w:pPr>
          </w:p>
        </w:tc>
        <w:tc>
          <w:tcPr>
            <w:tcW w:w="2883" w:type="dxa"/>
            <w:tcBorders>
              <w:right w:val="single" w:sz="4" w:space="0" w:color="auto"/>
            </w:tcBorders>
            <w:vAlign w:val="center"/>
          </w:tcPr>
          <w:p w14:paraId="25065D40" w14:textId="77777777" w:rsidR="002A7CBC" w:rsidRPr="00700993" w:rsidRDefault="002A7CBC" w:rsidP="007C3855">
            <w:pPr>
              <w:contextualSpacing/>
              <w:jc w:val="center"/>
              <w:rPr>
                <w:rFonts w:cstheme="minorHAnsi"/>
                <w:sz w:val="20"/>
                <w:szCs w:val="20"/>
              </w:rPr>
            </w:pPr>
          </w:p>
        </w:tc>
        <w:tc>
          <w:tcPr>
            <w:tcW w:w="1810" w:type="dxa"/>
            <w:tcBorders>
              <w:right w:val="single" w:sz="4" w:space="0" w:color="auto"/>
            </w:tcBorders>
            <w:vAlign w:val="center"/>
          </w:tcPr>
          <w:p w14:paraId="00342603" w14:textId="77777777" w:rsidR="002A7CBC" w:rsidRPr="00700993" w:rsidRDefault="002A7CBC" w:rsidP="007C3855">
            <w:pPr>
              <w:contextualSpacing/>
              <w:jc w:val="center"/>
              <w:rPr>
                <w:rFonts w:cstheme="minorHAnsi"/>
                <w:sz w:val="20"/>
                <w:szCs w:val="20"/>
              </w:rPr>
            </w:pPr>
          </w:p>
        </w:tc>
        <w:tc>
          <w:tcPr>
            <w:tcW w:w="1074" w:type="dxa"/>
            <w:tcBorders>
              <w:left w:val="single" w:sz="4" w:space="0" w:color="auto"/>
            </w:tcBorders>
            <w:vAlign w:val="center"/>
          </w:tcPr>
          <w:p w14:paraId="6BA2F8AF" w14:textId="77777777" w:rsidR="002A7CBC" w:rsidRPr="00700993" w:rsidRDefault="002A7CBC" w:rsidP="007C3855">
            <w:pPr>
              <w:contextualSpacing/>
              <w:jc w:val="center"/>
              <w:rPr>
                <w:rFonts w:cstheme="minorHAnsi"/>
                <w:sz w:val="20"/>
                <w:szCs w:val="20"/>
              </w:rPr>
            </w:pPr>
          </w:p>
        </w:tc>
      </w:tr>
    </w:tbl>
    <w:p w14:paraId="25A56E2C" w14:textId="77777777" w:rsidR="00AD34E2" w:rsidRPr="00700993"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4427"/>
        <w:gridCol w:w="4401"/>
      </w:tblGrid>
      <w:tr w:rsidR="002A1906" w:rsidRPr="00700993" w14:paraId="44E1B23B" w14:textId="77777777" w:rsidTr="007C3855">
        <w:trPr>
          <w:trHeight w:val="417"/>
        </w:trPr>
        <w:tc>
          <w:tcPr>
            <w:tcW w:w="4489" w:type="dxa"/>
            <w:shd w:val="clear" w:color="auto" w:fill="D9D9D9" w:themeFill="background1" w:themeFillShade="D9"/>
            <w:vAlign w:val="center"/>
          </w:tcPr>
          <w:p w14:paraId="56804CA0" w14:textId="77777777" w:rsidR="002A1906" w:rsidRPr="00700993" w:rsidRDefault="002A1906" w:rsidP="007C3855">
            <w:pPr>
              <w:contextualSpacing/>
              <w:jc w:val="center"/>
              <w:rPr>
                <w:rFonts w:cstheme="minorHAnsi"/>
                <w:b/>
                <w:sz w:val="20"/>
                <w:szCs w:val="20"/>
              </w:rPr>
            </w:pPr>
            <w:r w:rsidRPr="00700993">
              <w:rPr>
                <w:rFonts w:cstheme="minorHAnsi"/>
                <w:b/>
                <w:sz w:val="20"/>
                <w:szCs w:val="20"/>
              </w:rPr>
              <w:t>COMENTARIO FINAL DEL SEGUIMIENTO:</w:t>
            </w:r>
          </w:p>
        </w:tc>
        <w:tc>
          <w:tcPr>
            <w:tcW w:w="4489" w:type="dxa"/>
            <w:vAlign w:val="center"/>
          </w:tcPr>
          <w:p w14:paraId="13086A46" w14:textId="77777777" w:rsidR="002A1906" w:rsidRPr="00700993" w:rsidRDefault="002A1906" w:rsidP="007C3855">
            <w:pPr>
              <w:contextualSpacing/>
              <w:jc w:val="center"/>
              <w:rPr>
                <w:rFonts w:cstheme="minorHAnsi"/>
                <w:sz w:val="20"/>
                <w:szCs w:val="20"/>
              </w:rPr>
            </w:pPr>
          </w:p>
        </w:tc>
      </w:tr>
    </w:tbl>
    <w:p w14:paraId="217F611F" w14:textId="77777777" w:rsidR="002A1906" w:rsidRPr="00700993" w:rsidRDefault="002A1906" w:rsidP="00B435D0">
      <w:pPr>
        <w:contextualSpacing/>
        <w:jc w:val="center"/>
        <w:rPr>
          <w:rFonts w:cstheme="minorHAnsi"/>
          <w:b/>
          <w:sz w:val="20"/>
          <w:szCs w:val="20"/>
        </w:rPr>
      </w:pPr>
    </w:p>
    <w:p w14:paraId="20B84819" w14:textId="77777777" w:rsidR="00B435D0" w:rsidRPr="00700993" w:rsidRDefault="00B435D0" w:rsidP="00AD34E2">
      <w:pPr>
        <w:jc w:val="center"/>
        <w:rPr>
          <w:rFonts w:cstheme="minorHAnsi"/>
          <w:b/>
          <w:sz w:val="20"/>
          <w:szCs w:val="20"/>
        </w:rPr>
      </w:pPr>
      <w:bookmarkStart w:id="0" w:name="_GoBack"/>
      <w:bookmarkEnd w:id="0"/>
    </w:p>
    <w:sectPr w:rsidR="00B435D0" w:rsidRPr="00700993" w:rsidSect="00F974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29D6" w14:textId="77777777" w:rsidR="00EB6B05" w:rsidRDefault="00EB6B05" w:rsidP="00150E89">
      <w:pPr>
        <w:spacing w:after="0" w:line="240" w:lineRule="auto"/>
      </w:pPr>
      <w:r>
        <w:separator/>
      </w:r>
    </w:p>
  </w:endnote>
  <w:endnote w:type="continuationSeparator" w:id="0">
    <w:p w14:paraId="4D30395D" w14:textId="77777777" w:rsidR="00EB6B05" w:rsidRDefault="00EB6B05"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FA9967B" w14:textId="4D1D2F5E" w:rsidR="0002122E" w:rsidRPr="007C3855" w:rsidRDefault="0002122E">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A26C3E">
              <w:rPr>
                <w:b/>
                <w:bCs/>
                <w:noProof/>
                <w:sz w:val="20"/>
                <w:szCs w:val="20"/>
              </w:rPr>
              <w:t>4</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A26C3E">
              <w:rPr>
                <w:b/>
                <w:bCs/>
                <w:noProof/>
                <w:sz w:val="20"/>
                <w:szCs w:val="20"/>
              </w:rPr>
              <w:t>5</w:t>
            </w:r>
            <w:r w:rsidRPr="007C3855">
              <w:rPr>
                <w:b/>
                <w:bCs/>
                <w:sz w:val="20"/>
                <w:szCs w:val="20"/>
              </w:rPr>
              <w:fldChar w:fldCharType="end"/>
            </w:r>
          </w:p>
        </w:sdtContent>
      </w:sdt>
    </w:sdtContent>
  </w:sdt>
  <w:p w14:paraId="27FEF6A1" w14:textId="77777777" w:rsidR="0002122E" w:rsidRDefault="00021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7E7D" w14:textId="77777777" w:rsidR="00EB6B05" w:rsidRDefault="00EB6B05" w:rsidP="00150E89">
      <w:pPr>
        <w:spacing w:after="0" w:line="240" w:lineRule="auto"/>
      </w:pPr>
      <w:r>
        <w:separator/>
      </w:r>
    </w:p>
  </w:footnote>
  <w:footnote w:type="continuationSeparator" w:id="0">
    <w:p w14:paraId="5A3CA8D9" w14:textId="77777777" w:rsidR="00EB6B05" w:rsidRDefault="00EB6B05"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02122E" w:rsidRPr="00E66D96" w14:paraId="01AE78BD" w14:textId="77777777" w:rsidTr="00D66286">
      <w:trPr>
        <w:trHeight w:val="493"/>
        <w:jc w:val="center"/>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813F2" w14:textId="77777777" w:rsidR="0002122E" w:rsidRPr="00E66D96" w:rsidRDefault="0002122E" w:rsidP="00D66286">
          <w:pPr>
            <w:jc w:val="center"/>
            <w:rPr>
              <w:rFonts w:cs="Tahoma"/>
              <w:b/>
              <w:sz w:val="24"/>
              <w:szCs w:val="24"/>
              <w:lang w:val="es-ES_tradnl" w:eastAsia="es-ES"/>
            </w:rPr>
          </w:pPr>
          <w:r>
            <w:rPr>
              <w:rFonts w:cs="Tahoma"/>
              <w:noProof/>
              <w:sz w:val="24"/>
              <w:szCs w:val="24"/>
              <w:lang w:eastAsia="es-CO"/>
            </w:rPr>
            <w:drawing>
              <wp:inline distT="0" distB="0" distL="0" distR="0" wp14:anchorId="45595849" wp14:editId="0F9CB733">
                <wp:extent cx="1285875" cy="857250"/>
                <wp:effectExtent l="19050" t="0" r="9525"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p>
      </w:tc>
      <w:tc>
        <w:tcPr>
          <w:tcW w:w="4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1DED6" w14:textId="77777777" w:rsidR="0002122E" w:rsidRPr="00E66D96" w:rsidRDefault="0002122E" w:rsidP="00D66286">
          <w:pPr>
            <w:jc w:val="center"/>
            <w:rPr>
              <w:rFonts w:cs="Tahoma"/>
              <w:b/>
              <w:sz w:val="24"/>
              <w:szCs w:val="24"/>
              <w:lang w:val="es-ES_tradnl" w:eastAsia="es-ES"/>
            </w:rPr>
          </w:pPr>
          <w:r w:rsidRPr="00E66D96">
            <w:rPr>
              <w:rFonts w:cs="Tahoma"/>
              <w:b/>
              <w:sz w:val="24"/>
              <w:szCs w:val="24"/>
              <w:lang w:val="es-ES_tradnl" w:eastAsia="es-ES"/>
            </w:rPr>
            <w:t>SISTEMA INTEGRADO DE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B339" w14:textId="77777777" w:rsidR="0002122E" w:rsidRPr="00201D46" w:rsidRDefault="0002122E" w:rsidP="00D66286">
          <w:pPr>
            <w:rPr>
              <w:rFonts w:cs="Tahoma"/>
              <w:sz w:val="24"/>
              <w:szCs w:val="24"/>
              <w:lang w:val="es-ES_tradnl" w:eastAsia="es-ES"/>
            </w:rPr>
          </w:pPr>
          <w:r w:rsidRPr="00E66D96">
            <w:rPr>
              <w:rFonts w:cs="Tahoma"/>
              <w:b/>
              <w:sz w:val="24"/>
              <w:szCs w:val="24"/>
              <w:lang w:val="es-ES_tradnl" w:eastAsia="es-ES"/>
            </w:rPr>
            <w:t xml:space="preserve">Código:   </w:t>
          </w:r>
          <w:r>
            <w:rPr>
              <w:rFonts w:cs="Tahoma"/>
              <w:sz w:val="24"/>
              <w:szCs w:val="24"/>
              <w:lang w:val="es-ES_tradnl" w:eastAsia="es-ES"/>
            </w:rPr>
            <w:t>SEPG-F-027</w:t>
          </w:r>
        </w:p>
      </w:tc>
    </w:tr>
    <w:tr w:rsidR="0002122E" w:rsidRPr="00E66D96" w14:paraId="335828F4" w14:textId="77777777" w:rsidTr="00D6628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A94D9" w14:textId="77777777" w:rsidR="0002122E" w:rsidRPr="00E66D96" w:rsidRDefault="0002122E" w:rsidP="00D66286">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066D" w14:textId="77777777" w:rsidR="0002122E" w:rsidRPr="00E66D96" w:rsidRDefault="0002122E" w:rsidP="00D66286">
          <w:pPr>
            <w:rPr>
              <w:rFonts w:cs="Tahoma"/>
              <w:b/>
              <w:sz w:val="24"/>
              <w:szCs w:val="24"/>
              <w:lang w:val="es-ES_tradnl" w:eastAsia="es-ES"/>
            </w:rPr>
          </w:pPr>
          <w:r w:rsidRPr="00E66D96">
            <w:rPr>
              <w:rFonts w:cs="Tahoma"/>
              <w:b/>
              <w:sz w:val="24"/>
              <w:szCs w:val="24"/>
              <w:lang w:val="es-ES_tradnl" w:eastAsia="es-ES"/>
            </w:rPr>
            <w:t>PROCESO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59EB" w14:textId="77777777" w:rsidR="0002122E" w:rsidRPr="00E66D96" w:rsidRDefault="0002122E" w:rsidP="00D66286">
          <w:pPr>
            <w:jc w:val="center"/>
            <w:rPr>
              <w:rFonts w:cs="Tahoma"/>
              <w:sz w:val="24"/>
              <w:szCs w:val="24"/>
              <w:lang w:val="es-ES_tradnl" w:eastAsia="es-ES"/>
            </w:rPr>
          </w:pPr>
          <w:r w:rsidRPr="00E66D96">
            <w:rPr>
              <w:rFonts w:eastAsia="Times New Roman"/>
              <w:color w:val="000000"/>
              <w:sz w:val="24"/>
              <w:szCs w:val="24"/>
              <w:lang w:eastAsia="es-CO"/>
            </w:rPr>
            <w:t>SISTE</w:t>
          </w:r>
          <w:r w:rsidR="003E76BE">
            <w:rPr>
              <w:rFonts w:eastAsia="Times New Roman"/>
              <w:color w:val="000000"/>
              <w:sz w:val="24"/>
              <w:szCs w:val="24"/>
              <w:lang w:eastAsia="es-CO"/>
            </w:rPr>
            <w:t xml:space="preserve">MA ESTRATÉGICO DE PLANEACIÓN Y </w:t>
          </w:r>
          <w:r w:rsidRPr="00E66D96">
            <w:rPr>
              <w:rFonts w:eastAsia="Times New Roman"/>
              <w:color w:val="000000"/>
              <w:sz w:val="24"/>
              <w:szCs w:val="24"/>
              <w:lang w:eastAsia="es-CO"/>
            </w:rPr>
            <w:t>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4971" w14:textId="77777777" w:rsidR="0002122E" w:rsidRPr="007C3855" w:rsidRDefault="0002122E" w:rsidP="00D66286">
          <w:pPr>
            <w:rPr>
              <w:rFonts w:cs="Tahoma"/>
              <w:b/>
              <w:sz w:val="24"/>
              <w:szCs w:val="24"/>
              <w:lang w:val="es-ES_tradnl" w:eastAsia="es-ES"/>
            </w:rPr>
          </w:pPr>
          <w:r w:rsidRPr="007C3855">
            <w:rPr>
              <w:rFonts w:cs="Tahoma"/>
              <w:b/>
              <w:sz w:val="24"/>
              <w:szCs w:val="24"/>
              <w:lang w:val="es-ES_tradnl" w:eastAsia="es-ES"/>
            </w:rPr>
            <w:t xml:space="preserve">Versión: </w:t>
          </w:r>
          <w:r w:rsidRPr="007C3855">
            <w:rPr>
              <w:rFonts w:cs="Tahoma"/>
              <w:sz w:val="24"/>
              <w:szCs w:val="24"/>
              <w:lang w:val="es-ES_tradnl" w:eastAsia="es-ES"/>
            </w:rPr>
            <w:t xml:space="preserve"> 003</w:t>
          </w:r>
        </w:p>
      </w:tc>
    </w:tr>
    <w:tr w:rsidR="0002122E" w:rsidRPr="00E66D96" w14:paraId="2758A836" w14:textId="77777777" w:rsidTr="00D6628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7D542" w14:textId="77777777" w:rsidR="0002122E" w:rsidRPr="00E66D96" w:rsidRDefault="0002122E" w:rsidP="00D66286">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D1CCC" w14:textId="77777777" w:rsidR="0002122E" w:rsidRPr="00E66D96" w:rsidRDefault="0002122E" w:rsidP="00D66286">
          <w:pPr>
            <w:rPr>
              <w:rFonts w:cs="Tahoma"/>
              <w:b/>
              <w:sz w:val="24"/>
              <w:szCs w:val="24"/>
              <w:lang w:val="es-ES_tradnl" w:eastAsia="es-ES"/>
            </w:rPr>
          </w:pPr>
          <w:r w:rsidRPr="00E66D96">
            <w:rPr>
              <w:rFonts w:cs="Tahoma"/>
              <w:b/>
              <w:sz w:val="24"/>
              <w:szCs w:val="24"/>
              <w:lang w:val="es-ES_tradnl" w:eastAsia="es-ES"/>
            </w:rPr>
            <w:t>FORMATO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CB66D17" w14:textId="77777777" w:rsidR="0002122E" w:rsidRPr="00E66D96" w:rsidRDefault="0002122E" w:rsidP="00D66286">
          <w:pPr>
            <w:jc w:val="center"/>
            <w:rPr>
              <w:rFonts w:cs="Tahoma"/>
              <w:sz w:val="24"/>
              <w:szCs w:val="24"/>
              <w:lang w:val="es-ES_tradnl" w:eastAsia="es-ES"/>
            </w:rPr>
          </w:pPr>
          <w:r w:rsidRPr="00E66D96">
            <w:rPr>
              <w:rFonts w:eastAsia="Times New Roman"/>
              <w:color w:val="000000"/>
              <w:sz w:val="24"/>
              <w:szCs w:val="24"/>
              <w:lang w:eastAsia="es-CO"/>
            </w:rPr>
            <w:t>ACTA DE REUNIÓN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E0EC" w14:textId="77777777" w:rsidR="0002122E" w:rsidRPr="00201D46" w:rsidRDefault="0002122E" w:rsidP="007C3855">
          <w:pPr>
            <w:rPr>
              <w:rFonts w:cs="Tahoma"/>
              <w:sz w:val="24"/>
              <w:szCs w:val="24"/>
              <w:lang w:val="es-ES_tradnl" w:eastAsia="es-ES"/>
            </w:rPr>
          </w:pPr>
          <w:r w:rsidRPr="00E66D96">
            <w:rPr>
              <w:rFonts w:cs="Tahoma"/>
              <w:b/>
              <w:sz w:val="24"/>
              <w:szCs w:val="24"/>
              <w:lang w:val="es-ES_tradnl" w:eastAsia="es-ES"/>
            </w:rPr>
            <w:t xml:space="preserve">Fecha:  </w:t>
          </w:r>
          <w:r>
            <w:rPr>
              <w:rFonts w:cs="Tahoma"/>
              <w:sz w:val="24"/>
              <w:szCs w:val="24"/>
              <w:lang w:val="es-ES_tradnl" w:eastAsia="es-ES"/>
            </w:rPr>
            <w:t>21/10/2014</w:t>
          </w:r>
        </w:p>
      </w:tc>
    </w:tr>
  </w:tbl>
  <w:p w14:paraId="0F39D75E" w14:textId="77777777" w:rsidR="0002122E" w:rsidRDefault="00021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302"/>
    <w:multiLevelType w:val="hybridMultilevel"/>
    <w:tmpl w:val="43C4464C"/>
    <w:lvl w:ilvl="0" w:tplc="39B67F18">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A74719"/>
    <w:multiLevelType w:val="hybridMultilevel"/>
    <w:tmpl w:val="346C7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967D6D"/>
    <w:multiLevelType w:val="hybridMultilevel"/>
    <w:tmpl w:val="82988DA0"/>
    <w:lvl w:ilvl="0" w:tplc="DE9246C0">
      <w:start w:val="1"/>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7A640F"/>
    <w:multiLevelType w:val="hybridMultilevel"/>
    <w:tmpl w:val="A1E0A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1529A6"/>
    <w:multiLevelType w:val="hybridMultilevel"/>
    <w:tmpl w:val="DDE2A982"/>
    <w:lvl w:ilvl="0" w:tplc="8E1C37A0">
      <w:start w:val="1"/>
      <w:numFmt w:val="decimal"/>
      <w:lvlText w:val="%1."/>
      <w:lvlJc w:val="left"/>
      <w:pPr>
        <w:ind w:left="720" w:hanging="360"/>
      </w:pPr>
      <w:rPr>
        <w:rFonts w:asciiTheme="minorHAnsi" w:eastAsiaTheme="minorHAnsi"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8FB3F76"/>
    <w:multiLevelType w:val="hybridMultilevel"/>
    <w:tmpl w:val="E48EBB4E"/>
    <w:lvl w:ilvl="0" w:tplc="43AA38F0">
      <w:start w:val="1"/>
      <w:numFmt w:val="decimal"/>
      <w:lvlText w:val="%1."/>
      <w:lvlJc w:val="left"/>
      <w:pPr>
        <w:ind w:left="720" w:hanging="36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034DB"/>
    <w:rsid w:val="0002122E"/>
    <w:rsid w:val="00052ECF"/>
    <w:rsid w:val="00057433"/>
    <w:rsid w:val="000E62A0"/>
    <w:rsid w:val="00123A9E"/>
    <w:rsid w:val="0013054A"/>
    <w:rsid w:val="00150E89"/>
    <w:rsid w:val="00155886"/>
    <w:rsid w:val="00163095"/>
    <w:rsid w:val="00172328"/>
    <w:rsid w:val="001D5FD6"/>
    <w:rsid w:val="001F34E0"/>
    <w:rsid w:val="00270107"/>
    <w:rsid w:val="00281158"/>
    <w:rsid w:val="00281648"/>
    <w:rsid w:val="002A1906"/>
    <w:rsid w:val="002A7CBC"/>
    <w:rsid w:val="002E138A"/>
    <w:rsid w:val="002F2ACC"/>
    <w:rsid w:val="002F4E04"/>
    <w:rsid w:val="003034B6"/>
    <w:rsid w:val="00306B3B"/>
    <w:rsid w:val="00310D9C"/>
    <w:rsid w:val="00325FD1"/>
    <w:rsid w:val="003D630B"/>
    <w:rsid w:val="003E76BE"/>
    <w:rsid w:val="004737B0"/>
    <w:rsid w:val="004E73EE"/>
    <w:rsid w:val="005144AA"/>
    <w:rsid w:val="0053313F"/>
    <w:rsid w:val="005455BF"/>
    <w:rsid w:val="00551129"/>
    <w:rsid w:val="0055195D"/>
    <w:rsid w:val="005758FB"/>
    <w:rsid w:val="005B3ED2"/>
    <w:rsid w:val="005F2E3A"/>
    <w:rsid w:val="00601CCE"/>
    <w:rsid w:val="00622F3C"/>
    <w:rsid w:val="006351DE"/>
    <w:rsid w:val="00661C05"/>
    <w:rsid w:val="00667A4A"/>
    <w:rsid w:val="006D137E"/>
    <w:rsid w:val="00700993"/>
    <w:rsid w:val="00753C98"/>
    <w:rsid w:val="00753E17"/>
    <w:rsid w:val="007662D5"/>
    <w:rsid w:val="00775A5D"/>
    <w:rsid w:val="00782515"/>
    <w:rsid w:val="00786907"/>
    <w:rsid w:val="007B653D"/>
    <w:rsid w:val="007C3855"/>
    <w:rsid w:val="00802E9B"/>
    <w:rsid w:val="008252DD"/>
    <w:rsid w:val="00877503"/>
    <w:rsid w:val="008C600E"/>
    <w:rsid w:val="0097216D"/>
    <w:rsid w:val="00991715"/>
    <w:rsid w:val="009E6973"/>
    <w:rsid w:val="00A26C3E"/>
    <w:rsid w:val="00A3439D"/>
    <w:rsid w:val="00A427F1"/>
    <w:rsid w:val="00AD34E2"/>
    <w:rsid w:val="00B435D0"/>
    <w:rsid w:val="00B632A5"/>
    <w:rsid w:val="00BE4222"/>
    <w:rsid w:val="00BF5794"/>
    <w:rsid w:val="00BF63DC"/>
    <w:rsid w:val="00C44FAD"/>
    <w:rsid w:val="00C67B2D"/>
    <w:rsid w:val="00C8293D"/>
    <w:rsid w:val="00CD2625"/>
    <w:rsid w:val="00CE446C"/>
    <w:rsid w:val="00CF6B47"/>
    <w:rsid w:val="00D1223D"/>
    <w:rsid w:val="00D639F8"/>
    <w:rsid w:val="00D66286"/>
    <w:rsid w:val="00D72E24"/>
    <w:rsid w:val="00DA2B47"/>
    <w:rsid w:val="00DC3B06"/>
    <w:rsid w:val="00DD3807"/>
    <w:rsid w:val="00DF0E94"/>
    <w:rsid w:val="00E50B2F"/>
    <w:rsid w:val="00E8511A"/>
    <w:rsid w:val="00EB2D19"/>
    <w:rsid w:val="00EB6B05"/>
    <w:rsid w:val="00F22468"/>
    <w:rsid w:val="00F81C0C"/>
    <w:rsid w:val="00F97492"/>
    <w:rsid w:val="00FE3209"/>
    <w:rsid w:val="00FE4F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A5E7"/>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3D630B"/>
    <w:pPr>
      <w:ind w:left="720"/>
      <w:contextualSpacing/>
    </w:pPr>
  </w:style>
  <w:style w:type="character" w:styleId="Refdecomentario">
    <w:name w:val="annotation reference"/>
    <w:basedOn w:val="Fuentedeprrafopredeter"/>
    <w:uiPriority w:val="99"/>
    <w:semiHidden/>
    <w:unhideWhenUsed/>
    <w:rsid w:val="00601CCE"/>
    <w:rPr>
      <w:sz w:val="16"/>
      <w:szCs w:val="16"/>
    </w:rPr>
  </w:style>
  <w:style w:type="paragraph" w:styleId="Textocomentario">
    <w:name w:val="annotation text"/>
    <w:basedOn w:val="Normal"/>
    <w:link w:val="TextocomentarioCar"/>
    <w:uiPriority w:val="99"/>
    <w:semiHidden/>
    <w:unhideWhenUsed/>
    <w:rsid w:val="00601C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CE"/>
    <w:rPr>
      <w:sz w:val="20"/>
      <w:szCs w:val="20"/>
    </w:rPr>
  </w:style>
  <w:style w:type="paragraph" w:styleId="Asuntodelcomentario">
    <w:name w:val="annotation subject"/>
    <w:basedOn w:val="Textocomentario"/>
    <w:next w:val="Textocomentario"/>
    <w:link w:val="AsuntodelcomentarioCar"/>
    <w:uiPriority w:val="99"/>
    <w:semiHidden/>
    <w:unhideWhenUsed/>
    <w:rsid w:val="00601CCE"/>
    <w:rPr>
      <w:b/>
      <w:bCs/>
    </w:rPr>
  </w:style>
  <w:style w:type="character" w:customStyle="1" w:styleId="AsuntodelcomentarioCar">
    <w:name w:val="Asunto del comentario Car"/>
    <w:basedOn w:val="TextocomentarioCar"/>
    <w:link w:val="Asuntodelcomentario"/>
    <w:uiPriority w:val="99"/>
    <w:semiHidden/>
    <w:rsid w:val="00601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FB36-3645-40AC-B60D-7722A064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9</cp:revision>
  <cp:lastPrinted>2018-01-22T16:23:00Z</cp:lastPrinted>
  <dcterms:created xsi:type="dcterms:W3CDTF">2019-01-18T13:25:00Z</dcterms:created>
  <dcterms:modified xsi:type="dcterms:W3CDTF">2019-01-18T19:13:00Z</dcterms:modified>
</cp:coreProperties>
</file>