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3EF1" w14:textId="77777777" w:rsidR="006E6F49" w:rsidRDefault="006E6F49" w:rsidP="006E6F49">
      <w:pPr>
        <w:spacing w:after="0" w:line="240" w:lineRule="auto"/>
        <w:jc w:val="both"/>
        <w:rPr>
          <w:rFonts w:ascii="Calibri" w:eastAsia="Times New Roman" w:hAnsi="Calibri" w:cs="Calibri"/>
          <w:sz w:val="28"/>
          <w:szCs w:val="24"/>
          <w:lang w:val="es-ES" w:eastAsia="es-ES"/>
        </w:rPr>
      </w:pPr>
      <w:bookmarkStart w:id="0" w:name="_GoBack"/>
      <w:bookmarkEnd w:id="0"/>
    </w:p>
    <w:p w14:paraId="4ED25EAB" w14:textId="77777777" w:rsidR="00B1116D" w:rsidRPr="006E6F49" w:rsidRDefault="00B1116D" w:rsidP="006E6F49">
      <w:pPr>
        <w:spacing w:after="0" w:line="240" w:lineRule="auto"/>
        <w:jc w:val="both"/>
        <w:rPr>
          <w:rFonts w:ascii="Calibri" w:eastAsia="Times New Roman" w:hAnsi="Calibri" w:cs="Calibri"/>
          <w:sz w:val="28"/>
          <w:szCs w:val="24"/>
          <w:lang w:val="es-ES" w:eastAsia="es-ES"/>
        </w:rPr>
      </w:pPr>
    </w:p>
    <w:p w14:paraId="7786AC05"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r w:rsidRPr="006E6F49">
        <w:rPr>
          <w:rFonts w:ascii="Calibri" w:eastAsia="Times New Roman" w:hAnsi="Calibri" w:cs="Calibri"/>
          <w:noProof/>
          <w:sz w:val="28"/>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0A1AB3"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m6MLEAAAA2gAAAA8AAABkcnMvZG93bnJldi54bWxEj09rAjEUxO+FfofwCl5KzVbqH1ajtEpB&#10;b7r14u2RvG4WNy/LJurqpzdCocdhZn7DzBadq8WZ2lB5VvDez0AQa28qLhXsf77fJiBCRDZYeyYF&#10;VwqwmD8/zTA3/sI7OhexFAnCIUcFNsYmlzJoSw5D3zfEyfv1rcOYZFtK0+IlwV0tB1k2kg4rTgsW&#10;G1pa0sfi5BQMt+PqsLH1ePT6Nej0rcj0anVUqvfSfU5BROrif/ivvTYKPuBxJd0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m6MLEAAAA2gAAAA8AAAAAAAAAAAAAAAAA&#10;nwIAAGRycy9kb3ducmV2LnhtbFBLBQYAAAAABAAEAPcAAACQAwAAAAA=&#10;">
                    <v:imagedata r:id="rId10" o:title="LOGO_INFORME WORD"/>
                  </v:shape>
                  <v:rect id="Rectángulo 5" o:spid="_x0000_s1029" style="position:absolute;left:21129;top:1587;width:14351;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pScMA&#10;AADaAAAADwAAAGRycy9kb3ducmV2LnhtbESPX2vCMBTF3wW/Q7jCXmSmCpPSGYtY5jZfRN3Ax0tz&#10;bYvNTdZE7b79Mhjs8XD+/DiLvDetuFHnG8sKppMEBHFpdcOVgo/jy2MKwgdkja1lUvBNHvLlcLDA&#10;TNs77+l2CJWII+wzVFCH4DIpfVmTQT+xjjh6Z9sZDFF2ldQd3uO4aeUsSebSYMORUKOjdU3l5XA1&#10;EZLuCvdavKeb3dbp6+f4i04pKvUw6lfPIAL14T/8137TCp7g90q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vpScMAAADaAAAADwAAAAAAAAAAAAAAAACYAgAAZHJzL2Rv&#10;d25yZXYueG1sUEsFBgAAAAAEAAQA9QAAAIgDAAAAAA==&#10;" fillcolor="window" stroked="f" strokeweight="1pt"/>
                </v:group>
                <v:shape id="Picture 2" o:spid="_x0000_s1030" type="#_x0000_t75" alt="Presidencia de la República de Colombia" style="position:absolute;left:20358;top:1587;width:15217;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sBzEAAAA2gAAAA8AAABkcnMvZG93bnJldi54bWxEj0FrwkAUhO+F/oflCd7qRgtF02ykFoxC&#10;8dCoPT+yr0kw+zZkt0nsr+8KQo/DzHzDJOvRNKKnztWWFcxnEQjiwuqaSwWn4/ZpCcJ5ZI2NZVJw&#10;JQfr9PEhwVjbgT+pz30pAoRdjAoq79tYSldUZNDNbEscvG/bGfRBdqXUHQ4Bbhq5iKIXabDmsFBh&#10;S+8VFZf8xygoNva8+d19rC7ZV3kaesoOzSpTajoZ315BeBr9f/je3msFz3C7Em6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csBzEAAAA2gAAAA8AAAAAAAAAAAAAAAAA&#10;nwIAAGRycy9kb3ducmV2LnhtbFBLBQYAAAAABAAEAPcAAACQAwAAAAA=&#10;">
                  <v:imagedata r:id="rId11" o:title="Presidencia de la República de Colombia" cropleft="43217f"/>
                </v:shape>
              </v:group>
            </w:pict>
          </mc:Fallback>
        </mc:AlternateContent>
      </w:r>
    </w:p>
    <w:p w14:paraId="04823D39"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3735B7F"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4B89DBEC"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02C6BCD6"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D4717E4"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4B6C3782"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119A511E" w14:textId="77777777" w:rsidR="006E6F49" w:rsidRPr="006E6F49" w:rsidRDefault="006E6F49" w:rsidP="006E6F49">
      <w:pPr>
        <w:spacing w:after="0" w:line="240" w:lineRule="auto"/>
        <w:jc w:val="both"/>
        <w:rPr>
          <w:rFonts w:ascii="Calibri" w:eastAsia="Times New Roman" w:hAnsi="Calibri" w:cs="Calibri"/>
          <w:sz w:val="28"/>
          <w:szCs w:val="24"/>
          <w:lang w:val="es-ES" w:eastAsia="es-ES"/>
        </w:rPr>
      </w:pPr>
    </w:p>
    <w:p w14:paraId="6826AC09"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6E6F49" w14:paraId="34ED76C6" w14:textId="77777777" w:rsidTr="00594908">
        <w:tc>
          <w:tcPr>
            <w:tcW w:w="7709" w:type="dxa"/>
            <w:tcMar>
              <w:top w:w="216" w:type="dxa"/>
              <w:left w:w="115" w:type="dxa"/>
              <w:bottom w:w="216" w:type="dxa"/>
              <w:right w:w="115" w:type="dxa"/>
            </w:tcMar>
          </w:tcPr>
          <w:p w14:paraId="2EA2C1B1" w14:textId="77777777" w:rsidR="006E6F49" w:rsidRPr="006E6F49" w:rsidRDefault="006E6F49" w:rsidP="006E6F49">
            <w:pPr>
              <w:spacing w:after="0" w:line="240" w:lineRule="auto"/>
              <w:jc w:val="both"/>
              <w:rPr>
                <w:rFonts w:ascii="Calibri" w:eastAsia="Times New Roman" w:hAnsi="Calibri" w:cs="Calibri"/>
                <w:sz w:val="52"/>
                <w:lang w:val="es-ES"/>
              </w:rPr>
            </w:pPr>
            <w:r w:rsidRPr="006E6F49">
              <w:rPr>
                <w:rFonts w:ascii="Calibri" w:eastAsia="Times New Roman" w:hAnsi="Calibri" w:cs="Calibri"/>
                <w:sz w:val="52"/>
                <w:szCs w:val="24"/>
                <w:lang w:eastAsia="es-ES"/>
              </w:rPr>
              <w:t>PLAN ANTICORRUPCIÓN Y DE ATENCIÓN AL CIUDADANO</w:t>
            </w:r>
          </w:p>
        </w:tc>
      </w:tr>
      <w:tr w:rsidR="006E6F49" w:rsidRPr="006E6F49" w14:paraId="2E2A396F" w14:textId="77777777" w:rsidTr="00594908">
        <w:tc>
          <w:tcPr>
            <w:tcW w:w="7709" w:type="dxa"/>
          </w:tcPr>
          <w:p w14:paraId="14F24ABF" w14:textId="77777777" w:rsidR="006E6F49" w:rsidRPr="006E6F49" w:rsidRDefault="006E6F49" w:rsidP="006E6F49">
            <w:pPr>
              <w:spacing w:after="0" w:line="240" w:lineRule="auto"/>
              <w:jc w:val="both"/>
              <w:rPr>
                <w:rFonts w:ascii="Calibri" w:eastAsia="Times New Roman" w:hAnsi="Calibri" w:cs="Calibri"/>
                <w:color w:val="4F81BD"/>
                <w:sz w:val="52"/>
                <w:szCs w:val="80"/>
                <w:lang w:val="es-ES"/>
              </w:rPr>
            </w:pPr>
          </w:p>
        </w:tc>
      </w:tr>
      <w:tr w:rsidR="006E6F49" w:rsidRPr="006E6F49" w14:paraId="46A972B9" w14:textId="77777777" w:rsidTr="00594908">
        <w:tc>
          <w:tcPr>
            <w:tcW w:w="7709" w:type="dxa"/>
            <w:tcMar>
              <w:top w:w="216" w:type="dxa"/>
              <w:left w:w="115" w:type="dxa"/>
              <w:bottom w:w="216" w:type="dxa"/>
              <w:right w:w="115" w:type="dxa"/>
            </w:tcMar>
          </w:tcPr>
          <w:p w14:paraId="24EA2C12" w14:textId="77777777" w:rsidR="006E6F49" w:rsidRPr="006E6F49" w:rsidRDefault="0091380D" w:rsidP="0091380D">
            <w:pPr>
              <w:spacing w:after="0" w:line="240" w:lineRule="auto"/>
              <w:jc w:val="both"/>
              <w:rPr>
                <w:rFonts w:ascii="Calibri" w:eastAsia="Times New Roman" w:hAnsi="Calibri" w:cs="Calibri"/>
                <w:sz w:val="52"/>
                <w:lang w:val="es-ES"/>
              </w:rPr>
            </w:pPr>
            <w:r w:rsidRPr="002F0753">
              <w:rPr>
                <w:rFonts w:ascii="Calibri" w:eastAsia="Times New Roman" w:hAnsi="Calibri" w:cs="Calibri"/>
                <w:sz w:val="52"/>
                <w:lang w:val="es-ES"/>
              </w:rPr>
              <w:t>Abril</w:t>
            </w:r>
            <w:r w:rsidR="006E6F49" w:rsidRPr="002F0753">
              <w:rPr>
                <w:rFonts w:ascii="Calibri" w:eastAsia="Times New Roman" w:hAnsi="Calibri" w:cs="Calibri"/>
                <w:sz w:val="52"/>
                <w:lang w:val="es-ES"/>
              </w:rPr>
              <w:t xml:space="preserve"> de 2017 </w:t>
            </w:r>
            <w:r w:rsidR="00A47874" w:rsidRPr="002F0753">
              <w:rPr>
                <w:rFonts w:ascii="Calibri" w:eastAsia="Times New Roman" w:hAnsi="Calibri" w:cs="Calibri"/>
                <w:sz w:val="52"/>
                <w:lang w:val="es-ES"/>
              </w:rPr>
              <w:t>– V</w:t>
            </w:r>
            <w:r w:rsidR="007316C3" w:rsidRPr="002F0753">
              <w:rPr>
                <w:rFonts w:ascii="Calibri" w:eastAsia="Times New Roman" w:hAnsi="Calibri" w:cs="Calibri"/>
                <w:sz w:val="52"/>
                <w:lang w:val="es-ES"/>
              </w:rPr>
              <w:t>2</w:t>
            </w:r>
          </w:p>
        </w:tc>
      </w:tr>
    </w:tbl>
    <w:p w14:paraId="6DA30848"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rPr>
      </w:pPr>
    </w:p>
    <w:p w14:paraId="2281B3A2" w14:textId="77777777" w:rsidR="006E6F49" w:rsidRPr="006E6F49" w:rsidRDefault="006E6F49" w:rsidP="006E6F49">
      <w:pPr>
        <w:spacing w:after="0" w:line="240" w:lineRule="auto"/>
        <w:jc w:val="center"/>
        <w:rPr>
          <w:rFonts w:ascii="Calibri" w:eastAsia="Times New Roman" w:hAnsi="Calibri" w:cs="Calibri"/>
          <w:b/>
          <w:color w:val="4F81BD"/>
          <w:sz w:val="44"/>
          <w:szCs w:val="40"/>
          <w:lang w:val="es-ES"/>
        </w:rPr>
      </w:pPr>
    </w:p>
    <w:p w14:paraId="64D522E5" w14:textId="77777777" w:rsidR="006E6F49" w:rsidRPr="006E6F49" w:rsidRDefault="006E6F49" w:rsidP="006E6F49">
      <w:pPr>
        <w:spacing w:after="0" w:line="240" w:lineRule="auto"/>
        <w:rPr>
          <w:rFonts w:ascii="Calibri" w:eastAsia="Times New Roman" w:hAnsi="Calibri" w:cs="Calibri"/>
          <w:sz w:val="44"/>
          <w:szCs w:val="40"/>
          <w:lang w:val="es-ES"/>
        </w:rPr>
      </w:pPr>
    </w:p>
    <w:p w14:paraId="5FA88B3F" w14:textId="77777777" w:rsidR="006E6F49" w:rsidRPr="006E6F49" w:rsidRDefault="006E6F49" w:rsidP="006E6F49">
      <w:pPr>
        <w:spacing w:after="0" w:line="240" w:lineRule="auto"/>
        <w:rPr>
          <w:rFonts w:ascii="Calibri" w:eastAsia="Times New Roman" w:hAnsi="Calibri" w:cs="Calibri"/>
          <w:sz w:val="44"/>
          <w:szCs w:val="40"/>
          <w:lang w:val="es-ES"/>
        </w:rPr>
      </w:pPr>
    </w:p>
    <w:p w14:paraId="5FF2EAD8" w14:textId="77777777" w:rsidR="006E6F49" w:rsidRPr="006E6F49" w:rsidRDefault="006E6F49" w:rsidP="006E6F49">
      <w:pPr>
        <w:spacing w:after="0" w:line="240" w:lineRule="auto"/>
        <w:rPr>
          <w:rFonts w:ascii="Calibri" w:eastAsia="Times New Roman" w:hAnsi="Calibri" w:cs="Calibri"/>
          <w:sz w:val="44"/>
          <w:szCs w:val="40"/>
          <w:lang w:val="es-ES"/>
        </w:rPr>
      </w:pPr>
    </w:p>
    <w:p w14:paraId="05283D16" w14:textId="77777777" w:rsidR="006E6F49" w:rsidRPr="006E6F49" w:rsidRDefault="006E6F49" w:rsidP="006E6F49">
      <w:pPr>
        <w:spacing w:after="0" w:line="240" w:lineRule="auto"/>
        <w:rPr>
          <w:rFonts w:ascii="Calibri" w:eastAsia="Times New Roman" w:hAnsi="Calibri" w:cs="Calibri"/>
          <w:sz w:val="44"/>
          <w:szCs w:val="40"/>
          <w:lang w:val="es-ES"/>
        </w:rPr>
      </w:pPr>
    </w:p>
    <w:p w14:paraId="73BC1595" w14:textId="77777777" w:rsidR="006E6F49" w:rsidRPr="006E6F49" w:rsidRDefault="006E6F49" w:rsidP="006E6F49">
      <w:pPr>
        <w:spacing w:after="0" w:line="240" w:lineRule="auto"/>
        <w:rPr>
          <w:rFonts w:ascii="Calibri" w:eastAsia="Times New Roman" w:hAnsi="Calibri" w:cs="Calibri"/>
          <w:sz w:val="44"/>
          <w:szCs w:val="40"/>
          <w:lang w:val="es-ES"/>
        </w:rPr>
      </w:pPr>
    </w:p>
    <w:p w14:paraId="1194F5DC" w14:textId="77777777" w:rsidR="006E6F49" w:rsidRPr="006E6F49" w:rsidRDefault="006E6F49" w:rsidP="006E6F49">
      <w:pPr>
        <w:spacing w:after="0" w:line="240" w:lineRule="auto"/>
        <w:rPr>
          <w:rFonts w:ascii="Calibri" w:eastAsia="Times New Roman" w:hAnsi="Calibri" w:cs="Calibri"/>
          <w:sz w:val="44"/>
          <w:szCs w:val="40"/>
          <w:lang w:val="es-ES"/>
        </w:rPr>
      </w:pPr>
    </w:p>
    <w:p w14:paraId="1AA8AECC" w14:textId="77777777" w:rsidR="006E6F49" w:rsidRPr="006E6F49" w:rsidRDefault="006E6F49" w:rsidP="006E6F49">
      <w:pPr>
        <w:spacing w:after="0" w:line="240" w:lineRule="auto"/>
        <w:rPr>
          <w:rFonts w:ascii="Calibri" w:eastAsia="Times New Roman" w:hAnsi="Calibri" w:cs="Calibri"/>
          <w:sz w:val="44"/>
          <w:szCs w:val="40"/>
          <w:lang w:val="es-ES"/>
        </w:rPr>
      </w:pPr>
    </w:p>
    <w:p w14:paraId="54469296" w14:textId="77777777" w:rsidR="006E6F49" w:rsidRPr="006E6F49" w:rsidRDefault="006E6F49" w:rsidP="006E6F49">
      <w:pPr>
        <w:spacing w:after="0" w:line="240" w:lineRule="auto"/>
        <w:rPr>
          <w:rFonts w:ascii="Calibri" w:eastAsia="Times New Roman" w:hAnsi="Calibri" w:cs="Calibri"/>
          <w:sz w:val="44"/>
          <w:szCs w:val="40"/>
          <w:lang w:val="es-ES"/>
        </w:rPr>
      </w:pPr>
    </w:p>
    <w:p w14:paraId="32727376" w14:textId="77777777" w:rsidR="006E6F49" w:rsidRPr="006E6F49" w:rsidRDefault="006E6F49" w:rsidP="006E6F49">
      <w:pPr>
        <w:tabs>
          <w:tab w:val="left" w:pos="2805"/>
        </w:tabs>
        <w:spacing w:after="0" w:line="240" w:lineRule="auto"/>
        <w:rPr>
          <w:rFonts w:ascii="Calibri" w:eastAsia="Times New Roman" w:hAnsi="Calibri" w:cs="Calibri"/>
          <w:sz w:val="44"/>
          <w:szCs w:val="40"/>
          <w:lang w:val="es-ES"/>
        </w:rPr>
      </w:pPr>
      <w:r w:rsidRPr="006E6F49">
        <w:rPr>
          <w:rFonts w:ascii="Calibri" w:eastAsia="Times New Roman" w:hAnsi="Calibri" w:cs="Calibri"/>
          <w:sz w:val="44"/>
          <w:szCs w:val="40"/>
          <w:lang w:val="es-ES"/>
        </w:rPr>
        <w:tab/>
      </w:r>
    </w:p>
    <w:p w14:paraId="6BC45014" w14:textId="77777777" w:rsidR="006E6F49" w:rsidRPr="006E6F49" w:rsidRDefault="006E6F49" w:rsidP="006E6F49">
      <w:pPr>
        <w:spacing w:after="0" w:line="240" w:lineRule="auto"/>
        <w:jc w:val="center"/>
        <w:rPr>
          <w:rFonts w:ascii="Calibri" w:eastAsia="Times New Roman" w:hAnsi="Calibri" w:cs="Calibri"/>
          <w:b/>
          <w:color w:val="000000"/>
          <w:sz w:val="40"/>
          <w:szCs w:val="40"/>
          <w:lang w:val="es-ES"/>
        </w:rPr>
      </w:pPr>
      <w:r w:rsidRPr="006E6F49">
        <w:rPr>
          <w:rFonts w:ascii="Calibri" w:eastAsia="Times New Roman" w:hAnsi="Calibri" w:cs="Calibri"/>
          <w:sz w:val="44"/>
          <w:szCs w:val="40"/>
          <w:lang w:val="es-ES"/>
        </w:rPr>
        <w:br w:type="page"/>
      </w:r>
      <w:r w:rsidRPr="006E6F49">
        <w:rPr>
          <w:rFonts w:ascii="Calibri" w:eastAsia="Times New Roman" w:hAnsi="Calibri" w:cs="Calibri"/>
          <w:b/>
          <w:color w:val="000000"/>
          <w:sz w:val="40"/>
          <w:szCs w:val="40"/>
          <w:lang w:val="es-ES"/>
        </w:rPr>
        <w:lastRenderedPageBreak/>
        <w:t>Plan Anticorrupción y de Atención al Ciudadano</w:t>
      </w:r>
    </w:p>
    <w:p w14:paraId="654103C7" w14:textId="77777777" w:rsidR="006E6F49" w:rsidRPr="006E6F49" w:rsidRDefault="006E6F49" w:rsidP="006E6F49">
      <w:pPr>
        <w:spacing w:after="0" w:line="240" w:lineRule="auto"/>
        <w:rPr>
          <w:rFonts w:ascii="Calibri" w:eastAsia="Times New Roman" w:hAnsi="Calibri" w:cs="Calibri"/>
          <w:b/>
          <w:color w:val="000000"/>
          <w:sz w:val="32"/>
          <w:szCs w:val="40"/>
          <w:lang w:val="es-ES"/>
        </w:rPr>
      </w:pPr>
    </w:p>
    <w:p w14:paraId="0A3AD485"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r w:rsidRPr="006E6F49">
        <w:rPr>
          <w:rFonts w:ascii="Calibri" w:eastAsia="Times New Roman" w:hAnsi="Calibri" w:cs="Calibri"/>
          <w:b/>
          <w:color w:val="000000"/>
          <w:sz w:val="32"/>
          <w:szCs w:val="40"/>
          <w:lang w:val="es-ES"/>
        </w:rPr>
        <w:t>Luis Fernando Andrade Moreno</w:t>
      </w:r>
    </w:p>
    <w:p w14:paraId="0DF7A306"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r w:rsidRPr="006E6F49">
        <w:rPr>
          <w:rFonts w:ascii="Calibri" w:eastAsia="Times New Roman" w:hAnsi="Calibri" w:cs="Calibri"/>
          <w:b/>
          <w:color w:val="000000"/>
          <w:sz w:val="32"/>
          <w:szCs w:val="40"/>
          <w:lang w:val="es-ES"/>
        </w:rPr>
        <w:t>Presidente</w:t>
      </w:r>
    </w:p>
    <w:p w14:paraId="7035D333"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5BF44A4E" w14:textId="77777777" w:rsidR="006E6F49" w:rsidRPr="006E6F49" w:rsidRDefault="006E6F49" w:rsidP="006E6F49">
      <w:pPr>
        <w:spacing w:after="0" w:line="240" w:lineRule="auto"/>
        <w:jc w:val="right"/>
        <w:rPr>
          <w:rFonts w:ascii="Calibri" w:eastAsia="Times New Roman" w:hAnsi="Calibri" w:cs="Calibri"/>
          <w:b/>
          <w:color w:val="000000"/>
          <w:sz w:val="32"/>
          <w:szCs w:val="40"/>
          <w:u w:val="single"/>
          <w:lang w:val="es-ES"/>
        </w:rPr>
      </w:pPr>
      <w:r w:rsidRPr="006E6F49">
        <w:rPr>
          <w:rFonts w:ascii="Calibri" w:eastAsia="Times New Roman" w:hAnsi="Calibri" w:cs="Calibri"/>
          <w:b/>
          <w:color w:val="000000"/>
          <w:sz w:val="32"/>
          <w:szCs w:val="40"/>
          <w:u w:val="single"/>
          <w:lang w:val="es-ES"/>
        </w:rPr>
        <w:t>Equipo Plan Anticorrupción y de Atención al Ciudadano</w:t>
      </w:r>
    </w:p>
    <w:p w14:paraId="45D37910"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5CD835C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Camilo Mendoza Rozo – Asesor de Presidencia</w:t>
      </w:r>
    </w:p>
    <w:p w14:paraId="6D93DA66" w14:textId="77777777" w:rsidR="006E6F49" w:rsidRPr="006E6F49" w:rsidRDefault="006E6F49" w:rsidP="006E6F49">
      <w:pPr>
        <w:spacing w:after="0" w:line="240" w:lineRule="auto"/>
        <w:jc w:val="right"/>
        <w:rPr>
          <w:rFonts w:ascii="Calibri" w:eastAsia="Times New Roman" w:hAnsi="Calibri" w:cs="Calibri"/>
          <w:color w:val="000000"/>
          <w:sz w:val="32"/>
          <w:szCs w:val="40"/>
          <w:lang w:val="es-ES"/>
        </w:rPr>
      </w:pPr>
    </w:p>
    <w:p w14:paraId="5C2E635A"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 xml:space="preserve">Grupo Interno de Trabajo de Control Interno Disciplinario y Atención al Ciudadano </w:t>
      </w:r>
    </w:p>
    <w:p w14:paraId="7AA66DE6"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5DD31A92"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Nazly Janne Delgado Villamil – Coordinadora</w:t>
      </w:r>
    </w:p>
    <w:p w14:paraId="06AF435C" w14:textId="77777777" w:rsidR="006E6F49" w:rsidRPr="006E6F49" w:rsidRDefault="006E6F49" w:rsidP="006E6F49">
      <w:pPr>
        <w:spacing w:after="0" w:line="240" w:lineRule="auto"/>
        <w:jc w:val="right"/>
        <w:rPr>
          <w:rFonts w:ascii="Calibri" w:eastAsia="Times New Roman" w:hAnsi="Calibri" w:cs="Calibri"/>
          <w:color w:val="000000"/>
          <w:sz w:val="24"/>
          <w:szCs w:val="32"/>
          <w:lang w:val="es-ES"/>
        </w:rPr>
      </w:pPr>
      <w:r w:rsidRPr="006E6F49">
        <w:rPr>
          <w:rFonts w:ascii="Calibri" w:eastAsia="Times New Roman" w:hAnsi="Calibri" w:cs="Calibri"/>
          <w:color w:val="000000"/>
          <w:sz w:val="24"/>
          <w:szCs w:val="32"/>
          <w:lang w:val="es-ES"/>
        </w:rPr>
        <w:t>Mónica Patricia Franco Toro – Atención al Ciudadano</w:t>
      </w:r>
    </w:p>
    <w:p w14:paraId="0CB7DE9E" w14:textId="77777777" w:rsidR="006E6F49" w:rsidRPr="006E6F49" w:rsidRDefault="006E6F49" w:rsidP="006E6F49">
      <w:pPr>
        <w:spacing w:after="0" w:line="240" w:lineRule="auto"/>
        <w:jc w:val="right"/>
        <w:rPr>
          <w:rFonts w:ascii="Calibri" w:eastAsia="Times New Roman" w:hAnsi="Calibri" w:cs="Calibri"/>
          <w:b/>
          <w:color w:val="000000"/>
          <w:sz w:val="32"/>
          <w:szCs w:val="32"/>
          <w:lang w:val="es-ES"/>
        </w:rPr>
      </w:pPr>
    </w:p>
    <w:p w14:paraId="04E3FDBD"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Planeación</w:t>
      </w:r>
    </w:p>
    <w:p w14:paraId="3989E0D3"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7982DC1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Adriana Estupiñán Jaramillo – Coordinadora</w:t>
      </w:r>
    </w:p>
    <w:p w14:paraId="2C42253D"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Ricardo Aguilera Wilches – Estrategia Rendición de Cuentas</w:t>
      </w:r>
    </w:p>
    <w:p w14:paraId="009B68B6"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Héctor Eduardo Vanegas Gámez – Estrategia Transparencia y Acceso a la Información</w:t>
      </w:r>
    </w:p>
    <w:p w14:paraId="650CAF89" w14:textId="77777777" w:rsidR="006E6F49" w:rsidRPr="006E6F49" w:rsidRDefault="006E6F49" w:rsidP="006E6F49">
      <w:pPr>
        <w:spacing w:after="0" w:line="240" w:lineRule="auto"/>
        <w:jc w:val="right"/>
        <w:rPr>
          <w:rFonts w:ascii="Calibri" w:eastAsia="Times New Roman" w:hAnsi="Calibri" w:cs="Calibri"/>
          <w:b/>
          <w:color w:val="000000"/>
          <w:sz w:val="32"/>
          <w:szCs w:val="40"/>
          <w:lang w:val="es-ES"/>
        </w:rPr>
      </w:pPr>
    </w:p>
    <w:p w14:paraId="32B6F50F"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Riesgos</w:t>
      </w:r>
    </w:p>
    <w:p w14:paraId="2FE42108"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5DD40EEA"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Poldy Paola Osorio Álvarez – Coordinadora</w:t>
      </w:r>
    </w:p>
    <w:p w14:paraId="2B4D0D23"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Mónica Viviana Parra Segura – Mapa de Riesgos de Corrupción</w:t>
      </w:r>
    </w:p>
    <w:p w14:paraId="45FDC14B"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32ED4253"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Contratación</w:t>
      </w:r>
    </w:p>
    <w:p w14:paraId="53162917"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p>
    <w:p w14:paraId="14334760" w14:textId="77777777" w:rsidR="0091380D" w:rsidRPr="006E6F49" w:rsidRDefault="0091380D" w:rsidP="0091380D">
      <w:pPr>
        <w:spacing w:after="0" w:line="240" w:lineRule="auto"/>
        <w:jc w:val="right"/>
        <w:rPr>
          <w:rFonts w:ascii="Calibri" w:eastAsia="Times New Roman" w:hAnsi="Calibri" w:cs="Calibri"/>
          <w:color w:val="000000"/>
          <w:sz w:val="24"/>
          <w:szCs w:val="40"/>
          <w:lang w:val="es-ES"/>
        </w:rPr>
      </w:pPr>
      <w:r w:rsidRPr="002F0753">
        <w:rPr>
          <w:rFonts w:ascii="Calibri" w:eastAsia="Times New Roman" w:hAnsi="Calibri" w:cs="Calibri"/>
          <w:color w:val="000000"/>
          <w:sz w:val="24"/>
          <w:szCs w:val="40"/>
          <w:lang w:val="es-ES"/>
        </w:rPr>
        <w:t>Gabriel Vélez Calderón – Coordinador ( E )</w:t>
      </w:r>
    </w:p>
    <w:p w14:paraId="0E45F68F"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César Augusto García Montoya – Estrategia Contratación Pública</w:t>
      </w:r>
    </w:p>
    <w:p w14:paraId="2D1086C5"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6E0EFD98" w14:textId="77777777" w:rsidR="006E6F49" w:rsidRPr="006E6F49" w:rsidRDefault="006E6F49" w:rsidP="006E6F49">
      <w:pPr>
        <w:spacing w:after="0" w:line="240" w:lineRule="auto"/>
        <w:jc w:val="right"/>
        <w:rPr>
          <w:rFonts w:ascii="Calibri" w:eastAsia="Times New Roman" w:hAnsi="Calibri" w:cs="Calibri"/>
          <w:b/>
          <w:color w:val="000000"/>
          <w:sz w:val="28"/>
          <w:szCs w:val="40"/>
          <w:lang w:val="es-ES"/>
        </w:rPr>
      </w:pPr>
      <w:r w:rsidRPr="006E6F49">
        <w:rPr>
          <w:rFonts w:ascii="Calibri" w:eastAsia="Times New Roman" w:hAnsi="Calibri" w:cs="Calibri"/>
          <w:b/>
          <w:color w:val="000000"/>
          <w:sz w:val="28"/>
          <w:szCs w:val="40"/>
          <w:lang w:val="es-ES"/>
        </w:rPr>
        <w:t>Grupo Interno de Trabajo de Sistemas</w:t>
      </w:r>
    </w:p>
    <w:p w14:paraId="50239BBD"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p>
    <w:p w14:paraId="011A94AE" w14:textId="77777777" w:rsidR="006E6F49" w:rsidRP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 xml:space="preserve">Jorge Bernardo Gómez </w:t>
      </w:r>
      <w:r w:rsidR="00945D16" w:rsidRPr="006E6F49">
        <w:rPr>
          <w:rFonts w:ascii="Calibri" w:eastAsia="Times New Roman" w:hAnsi="Calibri" w:cs="Calibri"/>
          <w:color w:val="000000"/>
          <w:sz w:val="24"/>
          <w:szCs w:val="40"/>
          <w:lang w:val="es-ES"/>
        </w:rPr>
        <w:t>Rodríguez</w:t>
      </w:r>
      <w:r w:rsidRPr="006E6F49">
        <w:rPr>
          <w:rFonts w:ascii="Calibri" w:eastAsia="Times New Roman" w:hAnsi="Calibri" w:cs="Calibri"/>
          <w:color w:val="000000"/>
          <w:sz w:val="24"/>
          <w:szCs w:val="40"/>
          <w:lang w:val="es-ES"/>
        </w:rPr>
        <w:t xml:space="preserve"> – Coordinador</w:t>
      </w:r>
    </w:p>
    <w:p w14:paraId="73C683B7" w14:textId="77777777" w:rsidR="006E6F49" w:rsidRDefault="006E6F49" w:rsidP="006E6F49">
      <w:pPr>
        <w:spacing w:after="0" w:line="240" w:lineRule="auto"/>
        <w:jc w:val="right"/>
        <w:rPr>
          <w:rFonts w:ascii="Calibri" w:eastAsia="Times New Roman" w:hAnsi="Calibri" w:cs="Calibri"/>
          <w:color w:val="000000"/>
          <w:sz w:val="24"/>
          <w:szCs w:val="40"/>
          <w:lang w:val="es-ES"/>
        </w:rPr>
      </w:pPr>
      <w:r w:rsidRPr="006E6F49">
        <w:rPr>
          <w:rFonts w:ascii="Calibri" w:eastAsia="Times New Roman" w:hAnsi="Calibri" w:cs="Calibri"/>
          <w:color w:val="000000"/>
          <w:sz w:val="24"/>
          <w:szCs w:val="40"/>
          <w:lang w:val="es-ES"/>
        </w:rPr>
        <w:t>Oscar Fernando Ramos Benavides- Sistemas</w:t>
      </w:r>
    </w:p>
    <w:p w14:paraId="21B7FFA4" w14:textId="77777777" w:rsidR="00351AA4" w:rsidRPr="006E6F49" w:rsidRDefault="00351AA4" w:rsidP="006E6F49">
      <w:pPr>
        <w:spacing w:after="0" w:line="240" w:lineRule="auto"/>
        <w:jc w:val="right"/>
        <w:rPr>
          <w:rFonts w:ascii="Calibri" w:eastAsia="Times New Roman" w:hAnsi="Calibri" w:cs="Calibri"/>
          <w:color w:val="000000"/>
          <w:sz w:val="24"/>
          <w:szCs w:val="40"/>
          <w:lang w:val="es-ES"/>
        </w:rPr>
      </w:pPr>
    </w:p>
    <w:p w14:paraId="2AD6F4D8" w14:textId="77777777" w:rsidR="006E6F49" w:rsidRPr="00351AA4" w:rsidRDefault="00351AA4" w:rsidP="006E6F49">
      <w:pPr>
        <w:spacing w:after="0" w:line="240" w:lineRule="auto"/>
        <w:rPr>
          <w:rFonts w:ascii="Calibri" w:eastAsia="Times New Roman" w:hAnsi="Calibri" w:cs="Calibri"/>
          <w:b/>
          <w:color w:val="000000"/>
          <w:sz w:val="32"/>
          <w:szCs w:val="40"/>
          <w:lang w:val="es-ES"/>
        </w:rPr>
      </w:pPr>
      <w:r w:rsidRPr="00351AA4">
        <w:rPr>
          <w:rFonts w:ascii="Calibri" w:eastAsia="Times New Roman" w:hAnsi="Calibri" w:cs="Calibri"/>
          <w:b/>
          <w:color w:val="000000"/>
          <w:sz w:val="32"/>
          <w:szCs w:val="40"/>
          <w:lang w:val="es-ES"/>
        </w:rPr>
        <w:t>Tabla de Contenido</w:t>
      </w:r>
    </w:p>
    <w:p w14:paraId="137BDA23" w14:textId="77777777" w:rsidR="00351AA4" w:rsidRPr="00D8171D" w:rsidRDefault="00351AA4" w:rsidP="006E6F49">
      <w:pPr>
        <w:spacing w:after="0" w:line="240" w:lineRule="auto"/>
        <w:rPr>
          <w:rFonts w:ascii="Calibri" w:eastAsia="Times New Roman" w:hAnsi="Calibri" w:cs="Calibri"/>
          <w:color w:val="000000"/>
          <w:sz w:val="24"/>
          <w:szCs w:val="24"/>
          <w:lang w:val="es-ES"/>
        </w:rPr>
      </w:pPr>
    </w:p>
    <w:p w14:paraId="718FC818" w14:textId="2BFCE818" w:rsidR="00D8171D" w:rsidRPr="00D8171D" w:rsidRDefault="006E6F49">
      <w:pPr>
        <w:pStyle w:val="TDC1"/>
        <w:tabs>
          <w:tab w:val="left" w:pos="480"/>
          <w:tab w:val="right" w:leader="dot" w:pos="9396"/>
        </w:tabs>
        <w:rPr>
          <w:rFonts w:asciiTheme="minorHAnsi" w:eastAsiaTheme="minorEastAsia" w:hAnsiTheme="minorHAnsi" w:cstheme="minorHAnsi"/>
          <w:noProof/>
          <w:lang w:val="es-CO" w:eastAsia="es-CO"/>
        </w:rPr>
      </w:pPr>
      <w:r w:rsidRPr="00D8171D">
        <w:rPr>
          <w:rFonts w:asciiTheme="minorHAnsi" w:hAnsiTheme="minorHAnsi" w:cstheme="minorHAnsi"/>
        </w:rPr>
        <w:fldChar w:fldCharType="begin"/>
      </w:r>
      <w:r w:rsidRPr="00D8171D">
        <w:rPr>
          <w:rFonts w:asciiTheme="minorHAnsi" w:hAnsiTheme="minorHAnsi" w:cstheme="minorHAnsi"/>
        </w:rPr>
        <w:instrText xml:space="preserve"> TOC \o "1-2" \h \z \u </w:instrText>
      </w:r>
      <w:r w:rsidRPr="00D8171D">
        <w:rPr>
          <w:rFonts w:asciiTheme="minorHAnsi" w:hAnsiTheme="minorHAnsi" w:cstheme="minorHAnsi"/>
        </w:rPr>
        <w:fldChar w:fldCharType="separate"/>
      </w:r>
      <w:hyperlink w:anchor="_Toc480982381" w:history="1">
        <w:r w:rsidR="00D8171D" w:rsidRPr="00D8171D">
          <w:rPr>
            <w:rStyle w:val="Hipervnculo"/>
            <w:rFonts w:asciiTheme="minorHAnsi" w:hAnsiTheme="minorHAnsi" w:cstheme="minorHAnsi"/>
            <w:noProof/>
            <w:lang w:val="es-ES_tradnl"/>
          </w:rPr>
          <w:t>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ANTECEDENTES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4</w:t>
        </w:r>
        <w:r w:rsidR="00D8171D" w:rsidRPr="00D8171D">
          <w:rPr>
            <w:rFonts w:asciiTheme="minorHAnsi" w:hAnsiTheme="minorHAnsi" w:cstheme="minorHAnsi"/>
            <w:noProof/>
            <w:webHidden/>
          </w:rPr>
          <w:fldChar w:fldCharType="end"/>
        </w:r>
      </w:hyperlink>
    </w:p>
    <w:p w14:paraId="33FC2D84" w14:textId="78CA8BA6"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382" w:history="1">
        <w:r w:rsidR="00D8171D" w:rsidRPr="00D8171D">
          <w:rPr>
            <w:rStyle w:val="Hipervnculo"/>
            <w:rFonts w:asciiTheme="minorHAnsi" w:hAnsiTheme="minorHAnsi" w:cstheme="minorHAnsi"/>
            <w:noProof/>
            <w:lang w:val="es-ES_tradnl"/>
          </w:rPr>
          <w:t>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NORMATIVIDAD</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5</w:t>
        </w:r>
        <w:r w:rsidR="00D8171D" w:rsidRPr="00D8171D">
          <w:rPr>
            <w:rFonts w:asciiTheme="minorHAnsi" w:hAnsiTheme="minorHAnsi" w:cstheme="minorHAnsi"/>
            <w:noProof/>
            <w:webHidden/>
          </w:rPr>
          <w:fldChar w:fldCharType="end"/>
        </w:r>
      </w:hyperlink>
    </w:p>
    <w:p w14:paraId="6C6AF0E6" w14:textId="1F872A97"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383" w:history="1">
        <w:r w:rsidR="00D8171D" w:rsidRPr="00D8171D">
          <w:rPr>
            <w:rStyle w:val="Hipervnculo"/>
            <w:rFonts w:asciiTheme="minorHAnsi" w:hAnsiTheme="minorHAnsi" w:cstheme="minorHAnsi"/>
            <w:noProof/>
            <w:lang w:val="es-ES_tradnl"/>
          </w:rPr>
          <w:t>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8</w:t>
        </w:r>
        <w:r w:rsidR="00D8171D" w:rsidRPr="00D8171D">
          <w:rPr>
            <w:rFonts w:asciiTheme="minorHAnsi" w:hAnsiTheme="minorHAnsi" w:cstheme="minorHAnsi"/>
            <w:noProof/>
            <w:webHidden/>
          </w:rPr>
          <w:fldChar w:fldCharType="end"/>
        </w:r>
      </w:hyperlink>
    </w:p>
    <w:p w14:paraId="5DA8A07D" w14:textId="0E540540"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384" w:history="1">
        <w:r w:rsidR="00D8171D" w:rsidRPr="00D8171D">
          <w:rPr>
            <w:rStyle w:val="Hipervnculo"/>
            <w:rFonts w:asciiTheme="minorHAnsi" w:hAnsiTheme="minorHAnsi" w:cstheme="minorHAnsi"/>
            <w:noProof/>
            <w:lang w:val="es-ES_tradnl"/>
          </w:rPr>
          <w:t>4.</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OBJETIVOS ESPECÍFICOS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9</w:t>
        </w:r>
        <w:r w:rsidR="00D8171D" w:rsidRPr="00D8171D">
          <w:rPr>
            <w:rFonts w:asciiTheme="minorHAnsi" w:hAnsiTheme="minorHAnsi" w:cstheme="minorHAnsi"/>
            <w:noProof/>
            <w:webHidden/>
          </w:rPr>
          <w:fldChar w:fldCharType="end"/>
        </w:r>
      </w:hyperlink>
    </w:p>
    <w:p w14:paraId="2921BBD8" w14:textId="2288AAA4"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385" w:history="1">
        <w:r w:rsidR="00D8171D" w:rsidRPr="00D8171D">
          <w:rPr>
            <w:rStyle w:val="Hipervnculo"/>
            <w:rFonts w:asciiTheme="minorHAnsi" w:hAnsiTheme="minorHAnsi" w:cstheme="minorHAnsi"/>
            <w:noProof/>
            <w:lang w:val="es-ES_tradnl"/>
          </w:rPr>
          <w:t>5.</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ALCANCE</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9</w:t>
        </w:r>
        <w:r w:rsidR="00D8171D" w:rsidRPr="00D8171D">
          <w:rPr>
            <w:rFonts w:asciiTheme="minorHAnsi" w:hAnsiTheme="minorHAnsi" w:cstheme="minorHAnsi"/>
            <w:noProof/>
            <w:webHidden/>
          </w:rPr>
          <w:fldChar w:fldCharType="end"/>
        </w:r>
      </w:hyperlink>
    </w:p>
    <w:p w14:paraId="0E301E8B" w14:textId="1A7315B5"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386" w:history="1">
        <w:r w:rsidR="00D8171D" w:rsidRPr="00D8171D">
          <w:rPr>
            <w:rStyle w:val="Hipervnculo"/>
            <w:rFonts w:asciiTheme="minorHAnsi" w:hAnsiTheme="minorHAnsi" w:cstheme="minorHAnsi"/>
            <w:noProof/>
            <w:lang w:val="es-ES_tradnl"/>
          </w:rPr>
          <w:t>6.</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COMPONENTES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67108280" w14:textId="38FE4160"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87" w:history="1">
        <w:r w:rsidR="00D8171D" w:rsidRPr="00D8171D">
          <w:rPr>
            <w:rStyle w:val="Hipervnculo"/>
            <w:rFonts w:asciiTheme="minorHAnsi" w:hAnsiTheme="minorHAnsi" w:cstheme="minorHAnsi"/>
            <w:noProof/>
          </w:rPr>
          <w:t xml:space="preserve">6.1 </w:t>
        </w:r>
        <w:r w:rsidR="00D8171D" w:rsidRPr="00D8171D">
          <w:rPr>
            <w:rStyle w:val="Hipervnculo"/>
            <w:rFonts w:asciiTheme="minorHAnsi" w:hAnsiTheme="minorHAnsi" w:cstheme="minorHAnsi"/>
            <w:noProof/>
            <w:lang w:val="es-ES_tradnl"/>
          </w:rPr>
          <w:t>GESTIÓN DEL RIESGO DE CORRUPCIÓN - MAPA DE RIESGOS DE CORRUPCIÓN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7F6B57B1" w14:textId="5249B65B"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88" w:history="1">
        <w:r w:rsidR="00D8171D" w:rsidRPr="00D8171D">
          <w:rPr>
            <w:rStyle w:val="Hipervnculo"/>
            <w:rFonts w:asciiTheme="minorHAnsi" w:hAnsiTheme="minorHAnsi" w:cstheme="minorHAnsi"/>
            <w:noProof/>
          </w:rPr>
          <w:t>6.1.1 Mapa de Riesgos de Corrupción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10</w:t>
        </w:r>
        <w:r w:rsidR="00D8171D" w:rsidRPr="00D8171D">
          <w:rPr>
            <w:rFonts w:asciiTheme="minorHAnsi" w:hAnsiTheme="minorHAnsi" w:cstheme="minorHAnsi"/>
            <w:noProof/>
            <w:webHidden/>
          </w:rPr>
          <w:fldChar w:fldCharType="end"/>
        </w:r>
      </w:hyperlink>
    </w:p>
    <w:p w14:paraId="5410106B" w14:textId="2B3EC08B"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89" w:history="1">
        <w:r w:rsidR="00D8171D" w:rsidRPr="00D8171D">
          <w:rPr>
            <w:rStyle w:val="Hipervnculo"/>
            <w:rFonts w:asciiTheme="minorHAnsi" w:hAnsiTheme="minorHAnsi" w:cstheme="minorHAnsi"/>
            <w:noProof/>
          </w:rPr>
          <w:t>6.2 RACIONALIZACIÓN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_Toc480982389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0752C11A" w14:textId="098449C1"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90" w:history="1">
        <w:r w:rsidR="00D8171D" w:rsidRPr="00D8171D">
          <w:rPr>
            <w:rStyle w:val="Hipervnculo"/>
            <w:rFonts w:asciiTheme="minorHAnsi" w:hAnsiTheme="minorHAnsi" w:cstheme="minorHAnsi"/>
            <w:noProof/>
          </w:rPr>
          <w:t>6.2.1 Identificación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_Toc480982390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0CC6A8F6" w14:textId="61018888"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91" w:history="1">
        <w:r w:rsidR="00D8171D" w:rsidRPr="00D8171D">
          <w:rPr>
            <w:rStyle w:val="Hipervnculo"/>
            <w:rFonts w:asciiTheme="minorHAnsi" w:hAnsiTheme="minorHAnsi" w:cstheme="minorHAnsi"/>
            <w:noProof/>
          </w:rPr>
          <w:t>6.2.2 Priorización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11</w:t>
        </w:r>
        <w:r w:rsidR="00D8171D" w:rsidRPr="00D8171D">
          <w:rPr>
            <w:rFonts w:asciiTheme="minorHAnsi" w:hAnsiTheme="minorHAnsi" w:cstheme="minorHAnsi"/>
            <w:noProof/>
            <w:webHidden/>
          </w:rPr>
          <w:fldChar w:fldCharType="end"/>
        </w:r>
      </w:hyperlink>
    </w:p>
    <w:p w14:paraId="3C4CA6C8" w14:textId="1B50BAD8"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92" w:history="1">
        <w:r w:rsidR="00D8171D" w:rsidRPr="00D8171D">
          <w:rPr>
            <w:rStyle w:val="Hipervnculo"/>
            <w:rFonts w:asciiTheme="minorHAnsi" w:hAnsiTheme="minorHAnsi" w:cstheme="minorHAnsi"/>
            <w:noProof/>
          </w:rPr>
          <w:t>6.2.3 Racionalización de Trámites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63A71016" w14:textId="334FFAD8"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93" w:history="1">
        <w:r w:rsidR="00D8171D" w:rsidRPr="00D8171D">
          <w:rPr>
            <w:rStyle w:val="Hipervnculo"/>
            <w:rFonts w:asciiTheme="minorHAnsi" w:hAnsiTheme="minorHAnsi" w:cstheme="minorHAnsi"/>
            <w:noProof/>
          </w:rPr>
          <w:t>6.2.4 Interoperabilidad</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1B20F622" w14:textId="73CAA957"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394" w:history="1">
        <w:r w:rsidR="00D8171D" w:rsidRPr="00D8171D">
          <w:rPr>
            <w:rStyle w:val="Hipervnculo"/>
            <w:rFonts w:asciiTheme="minorHAnsi" w:hAnsiTheme="minorHAnsi" w:cstheme="minorHAnsi"/>
            <w:noProof/>
          </w:rPr>
          <w:t>6.3 RENDICIÓN DE CUENTAS: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5A8F3D88" w14:textId="5D4C9D03"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395" w:history="1">
        <w:r w:rsidR="00D8171D" w:rsidRPr="00D8171D">
          <w:rPr>
            <w:rStyle w:val="Hipervnculo"/>
            <w:rFonts w:asciiTheme="minorHAnsi" w:hAnsiTheme="minorHAnsi" w:cstheme="minorHAnsi"/>
            <w:noProof/>
          </w:rPr>
          <w:t>6.3.1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12</w:t>
        </w:r>
        <w:r w:rsidR="00D8171D" w:rsidRPr="00D8171D">
          <w:rPr>
            <w:rFonts w:asciiTheme="minorHAnsi" w:hAnsiTheme="minorHAnsi" w:cstheme="minorHAnsi"/>
            <w:noProof/>
            <w:webHidden/>
          </w:rPr>
          <w:fldChar w:fldCharType="end"/>
        </w:r>
      </w:hyperlink>
    </w:p>
    <w:p w14:paraId="443879AD" w14:textId="1F6A7E0A"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396" w:history="1">
        <w:r w:rsidR="00D8171D" w:rsidRPr="00D8171D">
          <w:rPr>
            <w:rStyle w:val="Hipervnculo"/>
            <w:rFonts w:asciiTheme="minorHAnsi" w:hAnsiTheme="minorHAnsi" w:cstheme="minorHAnsi"/>
            <w:noProof/>
          </w:rPr>
          <w:t>6.3.2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Alcances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14</w:t>
        </w:r>
        <w:r w:rsidR="00D8171D" w:rsidRPr="00D8171D">
          <w:rPr>
            <w:rFonts w:asciiTheme="minorHAnsi" w:hAnsiTheme="minorHAnsi" w:cstheme="minorHAnsi"/>
            <w:noProof/>
            <w:webHidden/>
          </w:rPr>
          <w:fldChar w:fldCharType="end"/>
        </w:r>
      </w:hyperlink>
    </w:p>
    <w:p w14:paraId="45A0B192" w14:textId="2AF67DE3"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397" w:history="1">
        <w:r w:rsidR="00D8171D" w:rsidRPr="00D8171D">
          <w:rPr>
            <w:rStyle w:val="Hipervnculo"/>
            <w:rFonts w:asciiTheme="minorHAnsi" w:hAnsiTheme="minorHAnsi" w:cstheme="minorHAnsi"/>
            <w:noProof/>
          </w:rPr>
          <w:t>6.3.3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Temas que incluye la rendición de cuentas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14</w:t>
        </w:r>
        <w:r w:rsidR="00D8171D" w:rsidRPr="00D8171D">
          <w:rPr>
            <w:rFonts w:asciiTheme="minorHAnsi" w:hAnsiTheme="minorHAnsi" w:cstheme="minorHAnsi"/>
            <w:noProof/>
            <w:webHidden/>
          </w:rPr>
          <w:fldChar w:fldCharType="end"/>
        </w:r>
      </w:hyperlink>
    </w:p>
    <w:p w14:paraId="40C91212" w14:textId="4CDB183C"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398" w:history="1">
        <w:r w:rsidR="00D8171D" w:rsidRPr="00D8171D">
          <w:rPr>
            <w:rStyle w:val="Hipervnculo"/>
            <w:rFonts w:asciiTheme="minorHAnsi" w:hAnsiTheme="minorHAnsi" w:cstheme="minorHAnsi"/>
            <w:noProof/>
          </w:rPr>
          <w:t>6.3.4</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Estrategia</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_Toc480982398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15</w:t>
        </w:r>
        <w:r w:rsidR="00D8171D" w:rsidRPr="00D8171D">
          <w:rPr>
            <w:rFonts w:asciiTheme="minorHAnsi" w:hAnsiTheme="minorHAnsi" w:cstheme="minorHAnsi"/>
            <w:noProof/>
            <w:webHidden/>
          </w:rPr>
          <w:fldChar w:fldCharType="end"/>
        </w:r>
      </w:hyperlink>
    </w:p>
    <w:p w14:paraId="7CC702D2" w14:textId="1A34A12D"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401" w:history="1">
        <w:r w:rsidR="00D8171D" w:rsidRPr="00D8171D">
          <w:rPr>
            <w:rStyle w:val="Hipervnculo"/>
            <w:rFonts w:asciiTheme="minorHAnsi" w:hAnsiTheme="minorHAnsi" w:cstheme="minorHAnsi"/>
            <w:noProof/>
          </w:rPr>
          <w:t>6.4 ESTRATEGIA ATENCIÓN AL CIUDADANO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17</w:t>
        </w:r>
        <w:r w:rsidR="00D8171D" w:rsidRPr="00D8171D">
          <w:rPr>
            <w:rFonts w:asciiTheme="minorHAnsi" w:hAnsiTheme="minorHAnsi" w:cstheme="minorHAnsi"/>
            <w:noProof/>
            <w:webHidden/>
          </w:rPr>
          <w:fldChar w:fldCharType="end"/>
        </w:r>
      </w:hyperlink>
    </w:p>
    <w:p w14:paraId="79C41AA9" w14:textId="54F53616"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2" w:history="1">
        <w:r w:rsidR="00D8171D" w:rsidRPr="00D8171D">
          <w:rPr>
            <w:rStyle w:val="Hipervnculo"/>
            <w:rFonts w:asciiTheme="minorHAnsi" w:hAnsiTheme="minorHAnsi" w:cstheme="minorHAnsi"/>
            <w:noProof/>
          </w:rPr>
          <w:t>6.4.1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Antecedentes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17</w:t>
        </w:r>
        <w:r w:rsidR="00D8171D" w:rsidRPr="00D8171D">
          <w:rPr>
            <w:rFonts w:asciiTheme="minorHAnsi" w:hAnsiTheme="minorHAnsi" w:cstheme="minorHAnsi"/>
            <w:noProof/>
            <w:webHidden/>
          </w:rPr>
          <w:fldChar w:fldCharType="end"/>
        </w:r>
      </w:hyperlink>
    </w:p>
    <w:p w14:paraId="733FC6A5" w14:textId="40B93CD2"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3" w:history="1">
        <w:r w:rsidR="00D8171D" w:rsidRPr="00D8171D">
          <w:rPr>
            <w:rStyle w:val="Hipervnculo"/>
            <w:rFonts w:asciiTheme="minorHAnsi" w:hAnsiTheme="minorHAnsi" w:cstheme="minorHAnsi"/>
            <w:noProof/>
          </w:rPr>
          <w:t>6.4.2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18</w:t>
        </w:r>
        <w:r w:rsidR="00D8171D" w:rsidRPr="00D8171D">
          <w:rPr>
            <w:rFonts w:asciiTheme="minorHAnsi" w:hAnsiTheme="minorHAnsi" w:cstheme="minorHAnsi"/>
            <w:noProof/>
            <w:webHidden/>
          </w:rPr>
          <w:fldChar w:fldCharType="end"/>
        </w:r>
      </w:hyperlink>
    </w:p>
    <w:p w14:paraId="70B48E84" w14:textId="4538C077"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4" w:history="1">
        <w:r w:rsidR="00D8171D" w:rsidRPr="00D8171D">
          <w:rPr>
            <w:rStyle w:val="Hipervnculo"/>
            <w:rFonts w:asciiTheme="minorHAnsi" w:hAnsiTheme="minorHAnsi" w:cstheme="minorHAnsi"/>
            <w:noProof/>
          </w:rPr>
          <w:t>6.4.3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Subcomponentes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_Toc480982404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18</w:t>
        </w:r>
        <w:r w:rsidR="00D8171D" w:rsidRPr="00D8171D">
          <w:rPr>
            <w:rFonts w:asciiTheme="minorHAnsi" w:hAnsiTheme="minorHAnsi" w:cstheme="minorHAnsi"/>
            <w:noProof/>
            <w:webHidden/>
          </w:rPr>
          <w:fldChar w:fldCharType="end"/>
        </w:r>
      </w:hyperlink>
    </w:p>
    <w:p w14:paraId="59CC516B" w14:textId="592A2F2A"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405" w:history="1">
        <w:r w:rsidR="00D8171D" w:rsidRPr="00D8171D">
          <w:rPr>
            <w:rStyle w:val="Hipervnculo"/>
            <w:rFonts w:asciiTheme="minorHAnsi" w:hAnsiTheme="minorHAnsi" w:cstheme="minorHAnsi"/>
            <w:noProof/>
          </w:rPr>
          <w:t>6.5 MECANISMOS PARA LA TRANSPARENCIA Y EL ACCESO A LA INFORMACIÓN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_Toc480982405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0E5C4C44" w14:textId="37B0ABCA"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6" w:history="1">
        <w:r w:rsidR="00D8171D" w:rsidRPr="00D8171D">
          <w:rPr>
            <w:rStyle w:val="Hipervnculo"/>
            <w:rFonts w:asciiTheme="minorHAnsi" w:hAnsiTheme="minorHAnsi" w:cstheme="minorHAnsi"/>
            <w:noProof/>
          </w:rPr>
          <w:t>6.5.1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Objetivo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_Toc480982406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05E690BE" w14:textId="4AD111B8" w:rsidR="00D8171D" w:rsidRPr="00D8171D" w:rsidRDefault="00F06C9C">
      <w:pPr>
        <w:pStyle w:val="TDC2"/>
        <w:tabs>
          <w:tab w:val="right" w:leader="dot" w:pos="9396"/>
        </w:tabs>
        <w:rPr>
          <w:rFonts w:asciiTheme="minorHAnsi" w:eastAsiaTheme="minorEastAsia" w:hAnsiTheme="minorHAnsi" w:cstheme="minorHAnsi"/>
          <w:noProof/>
          <w:lang w:val="es-CO" w:eastAsia="es-CO"/>
        </w:rPr>
      </w:pPr>
      <w:hyperlink w:anchor="_Toc480982407" w:history="1">
        <w:r w:rsidR="00D8171D" w:rsidRPr="00D8171D">
          <w:rPr>
            <w:rStyle w:val="Hipervnculo"/>
            <w:rFonts w:asciiTheme="minorHAnsi" w:hAnsiTheme="minorHAnsi" w:cstheme="minorHAnsi"/>
            <w:noProof/>
          </w:rPr>
          <w:t>6.6 INICIATIVAS ADICIONALES</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_Toc480982407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794B79CC" w14:textId="18E1908B"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8" w:history="1">
        <w:r w:rsidR="00D8171D" w:rsidRPr="00D8171D">
          <w:rPr>
            <w:rStyle w:val="Hipervnculo"/>
            <w:rFonts w:asciiTheme="minorHAnsi" w:hAnsiTheme="minorHAnsi" w:cstheme="minorHAnsi"/>
            <w:noProof/>
          </w:rPr>
          <w:t>6.6.1</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Plan de Transparencia en la Contratación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_Toc480982408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19</w:t>
        </w:r>
        <w:r w:rsidR="00D8171D" w:rsidRPr="00D8171D">
          <w:rPr>
            <w:rFonts w:asciiTheme="minorHAnsi" w:hAnsiTheme="minorHAnsi" w:cstheme="minorHAnsi"/>
            <w:noProof/>
            <w:webHidden/>
          </w:rPr>
          <w:fldChar w:fldCharType="end"/>
        </w:r>
      </w:hyperlink>
    </w:p>
    <w:p w14:paraId="5F8C90D3" w14:textId="11FE880A"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09" w:history="1">
        <w:r w:rsidR="00D8171D" w:rsidRPr="00D8171D">
          <w:rPr>
            <w:rStyle w:val="Hipervnculo"/>
            <w:rFonts w:asciiTheme="minorHAnsi" w:hAnsiTheme="minorHAnsi" w:cstheme="minorHAnsi"/>
            <w:noProof/>
          </w:rPr>
          <w:t>6.6.2</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Consideraciones de seguridad de la información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_Toc480982409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20</w:t>
        </w:r>
        <w:r w:rsidR="00D8171D" w:rsidRPr="00D8171D">
          <w:rPr>
            <w:rFonts w:asciiTheme="minorHAnsi" w:hAnsiTheme="minorHAnsi" w:cstheme="minorHAnsi"/>
            <w:noProof/>
            <w:webHidden/>
          </w:rPr>
          <w:fldChar w:fldCharType="end"/>
        </w:r>
      </w:hyperlink>
    </w:p>
    <w:p w14:paraId="2E9CE976" w14:textId="38C3D08A" w:rsidR="00D8171D" w:rsidRPr="00D8171D" w:rsidRDefault="00F06C9C">
      <w:pPr>
        <w:pStyle w:val="TDC2"/>
        <w:tabs>
          <w:tab w:val="left" w:pos="1100"/>
          <w:tab w:val="right" w:leader="dot" w:pos="9396"/>
        </w:tabs>
        <w:rPr>
          <w:rFonts w:asciiTheme="minorHAnsi" w:eastAsiaTheme="minorEastAsia" w:hAnsiTheme="minorHAnsi" w:cstheme="minorHAnsi"/>
          <w:noProof/>
          <w:lang w:val="es-CO" w:eastAsia="es-CO"/>
        </w:rPr>
      </w:pPr>
      <w:hyperlink w:anchor="_Toc480982410" w:history="1">
        <w:r w:rsidR="00D8171D" w:rsidRPr="00D8171D">
          <w:rPr>
            <w:rStyle w:val="Hipervnculo"/>
            <w:rFonts w:asciiTheme="minorHAnsi" w:hAnsiTheme="minorHAnsi" w:cstheme="minorHAnsi"/>
            <w:noProof/>
          </w:rPr>
          <w:t>6.6.3</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rPr>
          <w:t>Participación Ciudadana</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_Toc480982410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20</w:t>
        </w:r>
        <w:r w:rsidR="00D8171D" w:rsidRPr="00D8171D">
          <w:rPr>
            <w:rFonts w:asciiTheme="minorHAnsi" w:hAnsiTheme="minorHAnsi" w:cstheme="minorHAnsi"/>
            <w:noProof/>
            <w:webHidden/>
          </w:rPr>
          <w:fldChar w:fldCharType="end"/>
        </w:r>
      </w:hyperlink>
    </w:p>
    <w:p w14:paraId="54B5228A" w14:textId="19372370"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411" w:history="1">
        <w:r w:rsidR="00D8171D" w:rsidRPr="00D8171D">
          <w:rPr>
            <w:rStyle w:val="Hipervnculo"/>
            <w:rFonts w:asciiTheme="minorHAnsi" w:hAnsiTheme="minorHAnsi" w:cstheme="minorHAnsi"/>
            <w:noProof/>
            <w:lang w:val="es-ES_tradnl"/>
          </w:rPr>
          <w:t>7</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PRESUPUESTO</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_Toc480982411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21</w:t>
        </w:r>
        <w:r w:rsidR="00D8171D" w:rsidRPr="00D8171D">
          <w:rPr>
            <w:rFonts w:asciiTheme="minorHAnsi" w:hAnsiTheme="minorHAnsi" w:cstheme="minorHAnsi"/>
            <w:noProof/>
            <w:webHidden/>
          </w:rPr>
          <w:fldChar w:fldCharType="end"/>
        </w:r>
      </w:hyperlink>
    </w:p>
    <w:p w14:paraId="43FAFDB2" w14:textId="4BB03C10"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412" w:history="1">
        <w:r w:rsidR="00D8171D" w:rsidRPr="00D8171D">
          <w:rPr>
            <w:rStyle w:val="Hipervnculo"/>
            <w:rFonts w:asciiTheme="minorHAnsi" w:hAnsiTheme="minorHAnsi" w:cstheme="minorHAnsi"/>
            <w:noProof/>
            <w:lang w:val="es-ES_tradnl"/>
          </w:rPr>
          <w:t>8</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CONSOLIDACIÓN, SEGUIMIENTO Y CONTROL</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_Toc480982412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22</w:t>
        </w:r>
        <w:r w:rsidR="00D8171D" w:rsidRPr="00D8171D">
          <w:rPr>
            <w:rFonts w:asciiTheme="minorHAnsi" w:hAnsiTheme="minorHAnsi" w:cstheme="minorHAnsi"/>
            <w:noProof/>
            <w:webHidden/>
          </w:rPr>
          <w:fldChar w:fldCharType="end"/>
        </w:r>
      </w:hyperlink>
    </w:p>
    <w:p w14:paraId="0EE36F48" w14:textId="0CDB0690" w:rsidR="00D8171D" w:rsidRPr="00D8171D" w:rsidRDefault="00F06C9C">
      <w:pPr>
        <w:pStyle w:val="TDC1"/>
        <w:tabs>
          <w:tab w:val="left" w:pos="480"/>
          <w:tab w:val="right" w:leader="dot" w:pos="9396"/>
        </w:tabs>
        <w:rPr>
          <w:rFonts w:asciiTheme="minorHAnsi" w:eastAsiaTheme="minorEastAsia" w:hAnsiTheme="minorHAnsi" w:cstheme="minorHAnsi"/>
          <w:noProof/>
          <w:lang w:val="es-CO" w:eastAsia="es-CO"/>
        </w:rPr>
      </w:pPr>
      <w:hyperlink w:anchor="_Toc480982413" w:history="1">
        <w:r w:rsidR="00D8171D" w:rsidRPr="00D8171D">
          <w:rPr>
            <w:rStyle w:val="Hipervnculo"/>
            <w:rFonts w:asciiTheme="minorHAnsi" w:hAnsiTheme="minorHAnsi" w:cstheme="minorHAnsi"/>
            <w:noProof/>
            <w:lang w:val="es-ES_tradnl"/>
          </w:rPr>
          <w:t>9</w:t>
        </w:r>
        <w:r w:rsidR="00D8171D" w:rsidRPr="00D8171D">
          <w:rPr>
            <w:rFonts w:asciiTheme="minorHAnsi" w:eastAsiaTheme="minorEastAsia" w:hAnsiTheme="minorHAnsi" w:cstheme="minorHAnsi"/>
            <w:noProof/>
            <w:lang w:val="es-CO" w:eastAsia="es-CO"/>
          </w:rPr>
          <w:tab/>
        </w:r>
        <w:r w:rsidR="00D8171D" w:rsidRPr="00D8171D">
          <w:rPr>
            <w:rStyle w:val="Hipervnculo"/>
            <w:rFonts w:asciiTheme="minorHAnsi" w:hAnsiTheme="minorHAnsi" w:cstheme="minorHAnsi"/>
            <w:noProof/>
            <w:lang w:val="es-ES_tradnl"/>
          </w:rPr>
          <w:t>PLANES DE ACCIÓN</w:t>
        </w:r>
        <w:r w:rsidR="00D8171D" w:rsidRPr="00D8171D">
          <w:rPr>
            <w:rFonts w:asciiTheme="minorHAnsi" w:hAnsiTheme="minorHAnsi" w:cstheme="minorHAnsi"/>
            <w:noProof/>
            <w:webHidden/>
          </w:rPr>
          <w:tab/>
        </w:r>
        <w:r w:rsidR="00D8171D" w:rsidRPr="00D8171D">
          <w:rPr>
            <w:rFonts w:asciiTheme="minorHAnsi" w:hAnsiTheme="minorHAnsi" w:cstheme="minorHAnsi"/>
            <w:noProof/>
            <w:webHidden/>
          </w:rPr>
          <w:fldChar w:fldCharType="begin"/>
        </w:r>
        <w:r w:rsidR="00D8171D" w:rsidRPr="00D8171D">
          <w:rPr>
            <w:rFonts w:asciiTheme="minorHAnsi" w:hAnsiTheme="minorHAnsi" w:cstheme="minorHAnsi"/>
            <w:noProof/>
            <w:webHidden/>
          </w:rPr>
          <w:instrText xml:space="preserve"> PAGEREF _Toc480982413 \h </w:instrText>
        </w:r>
        <w:r w:rsidR="00D8171D" w:rsidRPr="00D8171D">
          <w:rPr>
            <w:rFonts w:asciiTheme="minorHAnsi" w:hAnsiTheme="minorHAnsi" w:cstheme="minorHAnsi"/>
            <w:noProof/>
            <w:webHidden/>
          </w:rPr>
        </w:r>
        <w:r w:rsidR="00D8171D" w:rsidRPr="00D8171D">
          <w:rPr>
            <w:rFonts w:asciiTheme="minorHAnsi" w:hAnsiTheme="minorHAnsi" w:cstheme="minorHAnsi"/>
            <w:noProof/>
            <w:webHidden/>
          </w:rPr>
          <w:fldChar w:fldCharType="separate"/>
        </w:r>
        <w:r w:rsidR="00D8171D" w:rsidRPr="00D8171D">
          <w:rPr>
            <w:rFonts w:asciiTheme="minorHAnsi" w:hAnsiTheme="minorHAnsi" w:cstheme="minorHAnsi"/>
            <w:noProof/>
            <w:webHidden/>
          </w:rPr>
          <w:t>22</w:t>
        </w:r>
        <w:r w:rsidR="00D8171D" w:rsidRPr="00D8171D">
          <w:rPr>
            <w:rFonts w:asciiTheme="minorHAnsi" w:hAnsiTheme="minorHAnsi" w:cstheme="minorHAnsi"/>
            <w:noProof/>
            <w:webHidden/>
          </w:rPr>
          <w:fldChar w:fldCharType="end"/>
        </w:r>
      </w:hyperlink>
    </w:p>
    <w:p w14:paraId="4B60DF0F" w14:textId="066BD324" w:rsidR="006E6F49" w:rsidRPr="00D8171D" w:rsidRDefault="006E6F49" w:rsidP="006E6F49">
      <w:pPr>
        <w:spacing w:after="0" w:line="240" w:lineRule="auto"/>
        <w:rPr>
          <w:rFonts w:eastAsia="Times New Roman" w:cstheme="minorHAnsi"/>
          <w:szCs w:val="24"/>
          <w:lang w:val="es-ES" w:eastAsia="es-ES"/>
        </w:rPr>
      </w:pPr>
      <w:r w:rsidRPr="00D8171D">
        <w:rPr>
          <w:rFonts w:eastAsia="Times New Roman" w:cstheme="minorHAnsi"/>
          <w:sz w:val="24"/>
          <w:szCs w:val="24"/>
          <w:lang w:val="es-ES" w:eastAsia="es-ES"/>
        </w:rPr>
        <w:fldChar w:fldCharType="end"/>
      </w:r>
    </w:p>
    <w:p w14:paraId="5E5A23C8" w14:textId="77777777" w:rsidR="006E6F49" w:rsidRPr="006E6F49" w:rsidRDefault="006E6F49" w:rsidP="006E6F49">
      <w:pPr>
        <w:spacing w:after="0" w:line="240" w:lineRule="auto"/>
        <w:jc w:val="both"/>
        <w:rPr>
          <w:rFonts w:ascii="Calibri" w:eastAsia="Times New Roman" w:hAnsi="Calibri" w:cs="Calibri"/>
          <w:b/>
          <w:color w:val="4F81BD"/>
          <w:sz w:val="44"/>
          <w:szCs w:val="40"/>
          <w:lang w:val="es-ES" w:eastAsia="es-ES"/>
        </w:rPr>
      </w:pPr>
      <w:r w:rsidRPr="006E6F49">
        <w:rPr>
          <w:rFonts w:ascii="Calibri" w:eastAsia="Times New Roman" w:hAnsi="Calibri" w:cs="Calibri"/>
          <w:b/>
          <w:color w:val="4F81BD"/>
          <w:sz w:val="44"/>
          <w:szCs w:val="40"/>
          <w:lang w:val="es-ES"/>
        </w:rPr>
        <w:br w:type="page"/>
      </w:r>
    </w:p>
    <w:p w14:paraId="431B879F"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480982381"/>
      <w:bookmarkStart w:id="16" w:name="_Toc286924765"/>
      <w:r w:rsidRPr="006E6F49">
        <w:rPr>
          <w:rFonts w:ascii="Cambria" w:eastAsia="Times New Roman" w:hAnsi="Cambria" w:cs="Times New Roman"/>
          <w:b/>
          <w:sz w:val="24"/>
          <w:szCs w:val="20"/>
          <w:lang w:val="es-ES_tradnl" w:eastAsia="es-ES"/>
        </w:rPr>
        <w:t>ANTECEDENTES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22EC20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6D6ED53"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El Gobierno Nacional </w:t>
      </w:r>
      <w:r w:rsidR="00776FA1">
        <w:rPr>
          <w:rFonts w:ascii="Calibri" w:eastAsia="Times New Roman" w:hAnsi="Calibri" w:cs="Calibri"/>
          <w:sz w:val="24"/>
          <w:szCs w:val="24"/>
          <w:lang w:val="es-ES" w:eastAsia="x-none"/>
        </w:rPr>
        <w:t>con</w:t>
      </w:r>
      <w:r w:rsidR="00776FA1" w:rsidRPr="006E6F49">
        <w:rPr>
          <w:rFonts w:ascii="Calibri" w:eastAsia="Times New Roman" w:hAnsi="Calibri" w:cs="Calibri"/>
          <w:sz w:val="24"/>
          <w:szCs w:val="24"/>
          <w:lang w:val="es-ES" w:eastAsia="x-none"/>
        </w:rPr>
        <w:t>sciente</w:t>
      </w:r>
      <w:r w:rsidRPr="006E6F49">
        <w:rPr>
          <w:rFonts w:ascii="Calibri" w:eastAsia="Times New Roman" w:hAnsi="Calibri" w:cs="Calibr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14:paraId="1E5B4E04"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2FCCA028"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x-none"/>
        </w:rPr>
      </w:pPr>
      <w:r w:rsidRPr="006E6F49">
        <w:rPr>
          <w:rFonts w:ascii="Calibri" w:eastAsia="Times New Roman" w:hAnsi="Calibri" w:cs="Calibri"/>
          <w:sz w:val="24"/>
          <w:szCs w:val="24"/>
          <w:lang w:val="es-ES" w:eastAsia="x-none"/>
        </w:rPr>
        <w:t>Para tal fin en 2011, expidió la Ley 1474 “</w:t>
      </w:r>
      <w:r w:rsidRPr="006E6F49">
        <w:rPr>
          <w:rFonts w:ascii="Calibri" w:eastAsia="Times New Roman" w:hAnsi="Calibri" w:cs="Calibri"/>
          <w:i/>
          <w:sz w:val="24"/>
          <w:szCs w:val="24"/>
          <w:lang w:val="es-ES" w:eastAsia="x-none"/>
        </w:rPr>
        <w:t>Por la cual se dictan normas orientadas a fortalecer los mecanismos de prevención, investigación y sanción de actos de corrupción y la efectividad del control de la gestión pública</w:t>
      </w:r>
      <w:r w:rsidR="0015440C">
        <w:rPr>
          <w:rFonts w:ascii="Calibri" w:eastAsia="Times New Roman" w:hAnsi="Calibri" w:cs="Calibri"/>
          <w:sz w:val="24"/>
          <w:szCs w:val="24"/>
          <w:lang w:val="es-ES" w:eastAsia="x-none"/>
        </w:rPr>
        <w:t>”, n</w:t>
      </w:r>
      <w:r w:rsidRPr="006E6F49">
        <w:rPr>
          <w:rFonts w:ascii="Calibri" w:eastAsia="Times New Roman" w:hAnsi="Calibri" w:cs="Calibri"/>
          <w:sz w:val="24"/>
          <w:szCs w:val="24"/>
          <w:lang w:val="es-ES" w:eastAsia="x-none"/>
        </w:rPr>
        <w:t>orma a través de la cual se implementan herramientas tendientes a la moralización</w:t>
      </w:r>
      <w:r w:rsidR="0015440C">
        <w:rPr>
          <w:rFonts w:ascii="Calibri" w:eastAsia="Times New Roman" w:hAnsi="Calibri" w:cs="Calibri"/>
          <w:sz w:val="24"/>
          <w:szCs w:val="24"/>
          <w:lang w:val="es-ES" w:eastAsia="x-none"/>
        </w:rPr>
        <w:t xml:space="preserve"> y transparencia en la gestión, </w:t>
      </w:r>
      <w:r w:rsidRPr="006E6F49">
        <w:rPr>
          <w:rFonts w:ascii="Calibri" w:eastAsia="Times New Roman" w:hAnsi="Calibri" w:cs="Calibri"/>
          <w:sz w:val="24"/>
          <w:szCs w:val="24"/>
          <w:lang w:val="es-ES" w:eastAsia="x-none"/>
        </w:rPr>
        <w:t xml:space="preserve">como </w:t>
      </w:r>
      <w:r w:rsidR="0015440C">
        <w:rPr>
          <w:rFonts w:ascii="Calibri" w:eastAsia="Times New Roman" w:hAnsi="Calibri" w:cs="Calibri"/>
          <w:sz w:val="24"/>
          <w:szCs w:val="24"/>
          <w:lang w:val="es-ES" w:eastAsia="x-none"/>
        </w:rPr>
        <w:t xml:space="preserve">la expuesta </w:t>
      </w:r>
      <w:r w:rsidRPr="006E6F49">
        <w:rPr>
          <w:rFonts w:ascii="Calibri" w:eastAsia="Times New Roman" w:hAnsi="Calibri" w:cs="Calibri"/>
          <w:sz w:val="24"/>
          <w:szCs w:val="24"/>
          <w:lang w:val="es-ES" w:eastAsia="x-none"/>
        </w:rPr>
        <w:t xml:space="preserve">en su artículo 73 </w:t>
      </w:r>
      <w:r w:rsidR="0015440C">
        <w:rPr>
          <w:rFonts w:ascii="Calibri" w:eastAsia="Times New Roman" w:hAnsi="Calibri" w:cs="Calibri"/>
          <w:sz w:val="24"/>
          <w:szCs w:val="24"/>
          <w:lang w:val="es-ES" w:eastAsia="x-none"/>
        </w:rPr>
        <w:t>cuando</w:t>
      </w:r>
      <w:r w:rsidRPr="006E6F49">
        <w:rPr>
          <w:rFonts w:ascii="Calibri" w:eastAsia="Times New Roman" w:hAnsi="Calibri" w:cs="Calibri"/>
          <w:sz w:val="24"/>
          <w:szCs w:val="24"/>
          <w:lang w:val="es-ES" w:eastAsia="x-none"/>
        </w:rPr>
        <w:t xml:space="preserve"> establece la obligatoriedad de que cada entidad elabore un Plan Anticorrupción y de Atención al ciudadano, </w:t>
      </w:r>
      <w:r w:rsidR="0015440C">
        <w:rPr>
          <w:rFonts w:ascii="Calibri" w:eastAsia="Times New Roman" w:hAnsi="Calibri" w:cs="Calibri"/>
          <w:sz w:val="24"/>
          <w:szCs w:val="24"/>
          <w:lang w:val="es-ES" w:eastAsia="x-none"/>
        </w:rPr>
        <w:t>que contenga a su vez</w:t>
      </w:r>
      <w:r w:rsidRPr="006E6F49">
        <w:rPr>
          <w:rFonts w:ascii="Calibri" w:eastAsia="Times New Roman" w:hAnsi="Calibri" w:cs="Calibri"/>
          <w:sz w:val="24"/>
          <w:szCs w:val="24"/>
          <w:lang w:val="es-ES" w:eastAsia="x-none"/>
        </w:rPr>
        <w:t xml:space="preserve"> el Mapa de Riegos de Corrupción, las medidas para su mitigación, las estrategias </w:t>
      </w:r>
      <w:r w:rsidR="0015440C" w:rsidRPr="006E6F49">
        <w:rPr>
          <w:rFonts w:ascii="Calibri" w:eastAsia="Times New Roman" w:hAnsi="Calibri" w:cs="Calibri"/>
          <w:sz w:val="24"/>
          <w:szCs w:val="24"/>
          <w:lang w:val="es-ES" w:eastAsia="x-none"/>
        </w:rPr>
        <w:t>anti trámite</w:t>
      </w:r>
      <w:r w:rsidRPr="006E6F49">
        <w:rPr>
          <w:rFonts w:ascii="Calibri" w:eastAsia="Times New Roman" w:hAnsi="Calibri" w:cs="Calibri"/>
          <w:sz w:val="24"/>
          <w:szCs w:val="24"/>
          <w:lang w:val="es-ES" w:eastAsia="x-none"/>
        </w:rPr>
        <w:t xml:space="preserve"> y de Rendición de Cuentas, así como los </w:t>
      </w:r>
      <w:r w:rsidR="0015440C" w:rsidRPr="006E6F49">
        <w:rPr>
          <w:rFonts w:ascii="Calibri" w:eastAsia="Times New Roman" w:hAnsi="Calibri" w:cs="Calibri"/>
          <w:sz w:val="24"/>
          <w:szCs w:val="24"/>
          <w:lang w:val="es-ES" w:eastAsia="x-none"/>
        </w:rPr>
        <w:t>elementos</w:t>
      </w:r>
      <w:r w:rsidRPr="006E6F49">
        <w:rPr>
          <w:rFonts w:ascii="Calibri" w:eastAsia="Times New Roman" w:hAnsi="Calibri" w:cs="Calibri"/>
          <w:sz w:val="24"/>
          <w:szCs w:val="24"/>
          <w:lang w:val="es-ES" w:eastAsia="x-none"/>
        </w:rPr>
        <w:t xml:space="preserve"> para mejorar la atención al ciudadano; </w:t>
      </w:r>
      <w:r w:rsidR="0015440C">
        <w:rPr>
          <w:rFonts w:ascii="Calibri" w:eastAsia="Times New Roman" w:hAnsi="Calibri" w:cs="Calibri"/>
          <w:sz w:val="24"/>
          <w:szCs w:val="24"/>
          <w:lang w:val="es-ES" w:eastAsia="x-none"/>
        </w:rPr>
        <w:t>o e</w:t>
      </w:r>
      <w:r w:rsidRPr="006E6F49">
        <w:rPr>
          <w:rFonts w:ascii="Calibri" w:eastAsia="Times New Roman" w:hAnsi="Calibri" w:cs="Calibri"/>
          <w:sz w:val="24"/>
          <w:szCs w:val="24"/>
          <w:lang w:val="es-ES" w:eastAsia="x-none"/>
        </w:rPr>
        <w:t xml:space="preserve">n su artículo 76 </w:t>
      </w:r>
      <w:r w:rsidR="0015440C">
        <w:rPr>
          <w:rFonts w:ascii="Calibri" w:eastAsia="Times New Roman" w:hAnsi="Calibri" w:cs="Calibri"/>
          <w:sz w:val="24"/>
          <w:szCs w:val="24"/>
          <w:lang w:val="es-ES" w:eastAsia="x-none"/>
        </w:rPr>
        <w:t xml:space="preserve">en el que </w:t>
      </w:r>
      <w:r w:rsidRPr="006E6F49">
        <w:rPr>
          <w:rFonts w:ascii="Calibri" w:eastAsia="Times New Roman" w:hAnsi="Calibri" w:cs="Calibr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Pr>
          <w:rFonts w:ascii="Calibri" w:eastAsia="Times New Roman" w:hAnsi="Calibri" w:cs="Calibri"/>
          <w:sz w:val="24"/>
          <w:szCs w:val="24"/>
          <w:lang w:val="es-ES" w:eastAsia="x-none"/>
        </w:rPr>
        <w:t xml:space="preserve">así mismo, realza </w:t>
      </w:r>
      <w:r w:rsidRPr="006E6F49">
        <w:rPr>
          <w:rFonts w:ascii="Calibri" w:eastAsia="Times New Roman" w:hAnsi="Calibri" w:cs="Calibri"/>
          <w:sz w:val="24"/>
          <w:szCs w:val="24"/>
          <w:lang w:val="es-ES" w:eastAsia="x-none"/>
        </w:rPr>
        <w:t xml:space="preserve">la </w:t>
      </w:r>
      <w:r w:rsidR="0015440C">
        <w:rPr>
          <w:rFonts w:ascii="Calibri" w:eastAsia="Times New Roman" w:hAnsi="Calibri" w:cs="Calibri"/>
          <w:sz w:val="24"/>
          <w:szCs w:val="24"/>
          <w:lang w:val="es-ES" w:eastAsia="x-none"/>
        </w:rPr>
        <w:t xml:space="preserve">necesidad de atender las </w:t>
      </w:r>
      <w:r w:rsidRPr="006E6F49">
        <w:rPr>
          <w:rFonts w:ascii="Calibri" w:eastAsia="Times New Roman" w:hAnsi="Calibri" w:cs="Times New Roman"/>
          <w:bCs/>
          <w:sz w:val="24"/>
          <w:szCs w:val="24"/>
          <w:lang w:val="es-ES" w:eastAsia="x-none"/>
        </w:rPr>
        <w:t xml:space="preserve">Estrategias para la Construcción del Plan Anticorrupción y de Atención al Ciudadano, emitido por el DAFP (Versión 2, 2015), </w:t>
      </w:r>
      <w:r w:rsidR="0015440C">
        <w:rPr>
          <w:rFonts w:ascii="Calibri" w:eastAsia="Times New Roman" w:hAnsi="Calibri" w:cs="Times New Roman"/>
          <w:bCs/>
          <w:sz w:val="24"/>
          <w:szCs w:val="24"/>
          <w:lang w:val="es-ES" w:eastAsia="x-none"/>
        </w:rPr>
        <w:t xml:space="preserve">el cual fija </w:t>
      </w:r>
      <w:r w:rsidRPr="006E6F49">
        <w:rPr>
          <w:rFonts w:ascii="Calibri" w:eastAsia="Times New Roman" w:hAnsi="Calibri" w:cs="Times New Roman"/>
          <w:bCs/>
          <w:sz w:val="24"/>
          <w:szCs w:val="24"/>
          <w:lang w:val="es-ES" w:eastAsia="x-none"/>
        </w:rPr>
        <w:t>los lineamientos y pautas para formular y hacer seguimiento al Plan Anticorrupción.</w:t>
      </w:r>
    </w:p>
    <w:p w14:paraId="5828FAEB"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372EE1CA" w14:textId="77777777" w:rsidR="006E6F49" w:rsidRPr="006E6F49" w:rsidRDefault="00772107" w:rsidP="006E6F49">
      <w:pPr>
        <w:spacing w:after="0" w:line="240" w:lineRule="auto"/>
        <w:jc w:val="both"/>
        <w:rPr>
          <w:rFonts w:ascii="Calibri" w:eastAsia="Times New Roman" w:hAnsi="Calibri" w:cs="Calibri"/>
          <w:sz w:val="24"/>
          <w:szCs w:val="24"/>
          <w:lang w:val="es-ES" w:eastAsia="x-none"/>
        </w:rPr>
      </w:pPr>
      <w:r>
        <w:rPr>
          <w:rFonts w:ascii="Calibri" w:eastAsia="Times New Roman" w:hAnsi="Calibri" w:cs="Calibri"/>
          <w:sz w:val="24"/>
          <w:szCs w:val="24"/>
          <w:lang w:val="es-ES" w:eastAsia="x-none"/>
        </w:rPr>
        <w:t>Todo lo anterior</w:t>
      </w:r>
      <w:r w:rsidR="006E6F49" w:rsidRPr="006E6F49">
        <w:rPr>
          <w:rFonts w:ascii="Calibri" w:eastAsia="Times New Roman" w:hAnsi="Calibri" w:cs="Calibri"/>
          <w:sz w:val="24"/>
          <w:szCs w:val="24"/>
          <w:lang w:val="es-ES" w:eastAsia="x-none"/>
        </w:rPr>
        <w:t xml:space="preserve"> es concordante con lo establecido en la Ley 489 de 1998 que</w:t>
      </w:r>
      <w:r>
        <w:rPr>
          <w:rFonts w:ascii="Calibri" w:eastAsia="Times New Roman" w:hAnsi="Calibri" w:cs="Calibri"/>
          <w:sz w:val="24"/>
          <w:szCs w:val="24"/>
          <w:lang w:val="es-ES" w:eastAsia="x-none"/>
        </w:rPr>
        <w:t>,</w:t>
      </w:r>
      <w:r w:rsidR="003D07B0">
        <w:rPr>
          <w:rFonts w:ascii="Calibri" w:eastAsia="Times New Roman" w:hAnsi="Calibri" w:cs="Calibri"/>
          <w:sz w:val="24"/>
          <w:szCs w:val="24"/>
          <w:lang w:val="es-ES" w:eastAsia="x-none"/>
        </w:rPr>
        <w:t xml:space="preserve"> entre sus apartes</w:t>
      </w:r>
      <w:r>
        <w:rPr>
          <w:rFonts w:ascii="Calibri" w:eastAsia="Times New Roman" w:hAnsi="Calibri" w:cs="Calibri"/>
          <w:sz w:val="24"/>
          <w:szCs w:val="24"/>
          <w:lang w:val="es-ES" w:eastAsia="x-none"/>
        </w:rPr>
        <w:t>,</w:t>
      </w:r>
      <w:r w:rsidR="006E6F49" w:rsidRPr="006E6F49">
        <w:rPr>
          <w:rFonts w:ascii="Calibri" w:eastAsia="Times New Roman" w:hAnsi="Calibri" w:cs="Calibri"/>
          <w:sz w:val="24"/>
          <w:szCs w:val="24"/>
          <w:lang w:val="es-ES" w:eastAsia="x-none"/>
        </w:rPr>
        <w:t xml:space="preserve"> </w:t>
      </w:r>
      <w:r w:rsidR="003D07B0">
        <w:rPr>
          <w:rFonts w:ascii="Calibri" w:eastAsia="Times New Roman" w:hAnsi="Calibri" w:cs="Calibri"/>
          <w:sz w:val="24"/>
          <w:szCs w:val="24"/>
          <w:lang w:val="es-ES" w:eastAsia="x-none"/>
        </w:rPr>
        <w:t>dispuso</w:t>
      </w:r>
      <w:r w:rsidR="006E6F49" w:rsidRPr="006E6F49">
        <w:rPr>
          <w:rFonts w:ascii="Calibri" w:eastAsia="Times New Roman" w:hAnsi="Calibri" w:cs="Calibri"/>
          <w:sz w:val="24"/>
          <w:szCs w:val="24"/>
          <w:lang w:val="es-ES" w:eastAsia="x-none"/>
        </w:rPr>
        <w:t xml:space="preserve"> la obligatoriedad </w:t>
      </w:r>
      <w:r w:rsidR="0015440C">
        <w:rPr>
          <w:rFonts w:ascii="Calibri" w:eastAsia="Times New Roman" w:hAnsi="Calibri" w:cs="Calibri"/>
          <w:sz w:val="24"/>
          <w:szCs w:val="24"/>
          <w:lang w:val="es-ES" w:eastAsia="x-none"/>
        </w:rPr>
        <w:t xml:space="preserve">para las entidades </w:t>
      </w:r>
      <w:r w:rsidR="006E6F49" w:rsidRPr="006E6F49">
        <w:rPr>
          <w:rFonts w:ascii="Calibri" w:eastAsia="Times New Roman" w:hAnsi="Calibri" w:cs="Calibri"/>
          <w:sz w:val="24"/>
          <w:szCs w:val="24"/>
          <w:lang w:val="es-ES" w:eastAsia="x-none"/>
        </w:rPr>
        <w:t xml:space="preserve">de realizar un proceso continuo de rendición de cuentas a la ciudadanía, </w:t>
      </w:r>
      <w:r w:rsidR="003D07B0">
        <w:rPr>
          <w:rFonts w:ascii="Calibri" w:eastAsia="Times New Roman" w:hAnsi="Calibri" w:cs="Calibri"/>
          <w:sz w:val="24"/>
          <w:szCs w:val="24"/>
          <w:lang w:val="es-ES" w:eastAsia="x-none"/>
        </w:rPr>
        <w:t>que ciertamente</w:t>
      </w:r>
      <w:r w:rsidR="006E6F49" w:rsidRPr="006E6F49">
        <w:rPr>
          <w:rFonts w:ascii="Calibri" w:eastAsia="Times New Roman" w:hAnsi="Calibri" w:cs="Calibri"/>
          <w:sz w:val="24"/>
          <w:szCs w:val="24"/>
          <w:lang w:val="es-ES" w:eastAsia="x-none"/>
        </w:rPr>
        <w:t xml:space="preserve"> presente los resultados de la gestión en una vigencia específica, </w:t>
      </w:r>
      <w:r w:rsidR="00321154">
        <w:rPr>
          <w:rFonts w:ascii="Calibri" w:eastAsia="Times New Roman" w:hAnsi="Calibri" w:cs="Calibri"/>
          <w:sz w:val="24"/>
          <w:szCs w:val="24"/>
          <w:lang w:val="es-ES" w:eastAsia="x-none"/>
        </w:rPr>
        <w:t>y</w:t>
      </w:r>
      <w:r w:rsidR="006E6F49" w:rsidRPr="006E6F49">
        <w:rPr>
          <w:rFonts w:ascii="Calibri" w:eastAsia="Times New Roman" w:hAnsi="Calibri" w:cs="Calibri"/>
          <w:sz w:val="24"/>
          <w:szCs w:val="24"/>
          <w:lang w:val="es-ES" w:eastAsia="x-none"/>
        </w:rPr>
        <w:t xml:space="preserve"> </w:t>
      </w:r>
      <w:r>
        <w:rPr>
          <w:rFonts w:ascii="Calibri" w:eastAsia="Times New Roman" w:hAnsi="Calibri" w:cs="Calibri"/>
          <w:sz w:val="24"/>
          <w:szCs w:val="24"/>
          <w:lang w:val="es-ES" w:eastAsia="x-none"/>
        </w:rPr>
        <w:t>evidencie la</w:t>
      </w:r>
      <w:r w:rsidR="00321154">
        <w:rPr>
          <w:rFonts w:ascii="Calibri" w:eastAsia="Times New Roman" w:hAnsi="Calibri" w:cs="Calibri"/>
          <w:sz w:val="24"/>
          <w:szCs w:val="24"/>
          <w:lang w:val="es-ES" w:eastAsia="x-none"/>
        </w:rPr>
        <w:t xml:space="preserve"> interacción </w:t>
      </w:r>
      <w:r w:rsidR="006E6F49" w:rsidRPr="006E6F49">
        <w:rPr>
          <w:rFonts w:ascii="Calibri" w:eastAsia="Times New Roman" w:hAnsi="Calibri" w:cs="Calibri"/>
          <w:sz w:val="24"/>
          <w:szCs w:val="24"/>
          <w:lang w:val="es-ES" w:eastAsia="x-none"/>
        </w:rPr>
        <w:t>concertada a través de la cual la Administración se acer</w:t>
      </w:r>
      <w:r>
        <w:rPr>
          <w:rFonts w:ascii="Calibri" w:eastAsia="Times New Roman" w:hAnsi="Calibri" w:cs="Calibri"/>
          <w:sz w:val="24"/>
          <w:szCs w:val="24"/>
          <w:lang w:val="es-ES" w:eastAsia="x-none"/>
        </w:rPr>
        <w:t>ca</w:t>
      </w:r>
      <w:r w:rsidR="006E6F49" w:rsidRPr="006E6F49">
        <w:rPr>
          <w:rFonts w:ascii="Calibri" w:eastAsia="Times New Roman" w:hAnsi="Calibri" w:cs="Calibri"/>
          <w:sz w:val="24"/>
          <w:szCs w:val="24"/>
          <w:lang w:val="es-ES" w:eastAsia="x-none"/>
        </w:rPr>
        <w:t xml:space="preserve"> a los ciudadano</w:t>
      </w:r>
      <w:r w:rsidR="00321154">
        <w:rPr>
          <w:rFonts w:ascii="Calibri" w:eastAsia="Times New Roman" w:hAnsi="Calibri" w:cs="Calibri"/>
          <w:sz w:val="24"/>
          <w:szCs w:val="24"/>
          <w:lang w:val="es-ES" w:eastAsia="x-none"/>
        </w:rPr>
        <w:t xml:space="preserve">s, clientes y grupos de interés, </w:t>
      </w:r>
      <w:r>
        <w:rPr>
          <w:rFonts w:ascii="Calibri" w:eastAsia="Times New Roman" w:hAnsi="Calibri" w:cs="Calibri"/>
          <w:sz w:val="24"/>
          <w:szCs w:val="24"/>
          <w:lang w:val="es-ES" w:eastAsia="x-none"/>
        </w:rPr>
        <w:t>a través de</w:t>
      </w:r>
      <w:r w:rsidR="006E6F49" w:rsidRPr="006E6F49">
        <w:rPr>
          <w:rFonts w:ascii="Calibri" w:eastAsia="Times New Roman" w:hAnsi="Calibri" w:cs="Calibri"/>
          <w:sz w:val="24"/>
          <w:szCs w:val="24"/>
          <w:lang w:val="es-ES" w:eastAsia="x-none"/>
        </w:rPr>
        <w:t xml:space="preserve"> </w:t>
      </w:r>
      <w:r w:rsidR="00321154">
        <w:rPr>
          <w:rFonts w:ascii="Calibri" w:eastAsia="Times New Roman" w:hAnsi="Calibri" w:cs="Calibri"/>
          <w:sz w:val="24"/>
          <w:szCs w:val="24"/>
          <w:lang w:val="es-ES" w:eastAsia="x-none"/>
        </w:rPr>
        <w:t>indistintos</w:t>
      </w:r>
      <w:r w:rsidR="006E6F49" w:rsidRPr="006E6F49">
        <w:rPr>
          <w:rFonts w:ascii="Calibri" w:eastAsia="Times New Roman" w:hAnsi="Calibri" w:cs="Calibri"/>
          <w:sz w:val="24"/>
          <w:szCs w:val="24"/>
          <w:lang w:val="es-ES" w:eastAsia="x-none"/>
        </w:rPr>
        <w:t xml:space="preserve"> espacios de interlocución, deliberación y comunicación en el que las autoridades de la administración pública inform</w:t>
      </w:r>
      <w:r>
        <w:rPr>
          <w:rFonts w:ascii="Calibri" w:eastAsia="Times New Roman" w:hAnsi="Calibri" w:cs="Calibri"/>
          <w:sz w:val="24"/>
          <w:szCs w:val="24"/>
          <w:lang w:val="es-ES" w:eastAsia="x-none"/>
        </w:rPr>
        <w:t>a</w:t>
      </w:r>
      <w:r w:rsidR="00321154">
        <w:rPr>
          <w:rFonts w:ascii="Calibri" w:eastAsia="Times New Roman" w:hAnsi="Calibri" w:cs="Calibri"/>
          <w:sz w:val="24"/>
          <w:szCs w:val="24"/>
          <w:lang w:val="es-ES" w:eastAsia="x-none"/>
        </w:rPr>
        <w:t>n</w:t>
      </w:r>
      <w:r w:rsidR="006E6F49" w:rsidRPr="006E6F49">
        <w:rPr>
          <w:rFonts w:ascii="Calibri" w:eastAsia="Times New Roman" w:hAnsi="Calibri" w:cs="Calibri"/>
          <w:sz w:val="24"/>
          <w:szCs w:val="24"/>
          <w:lang w:val="es-ES" w:eastAsia="x-none"/>
        </w:rPr>
        <w:t xml:space="preserve"> a la ciudadanía </w:t>
      </w:r>
      <w:r>
        <w:rPr>
          <w:rFonts w:ascii="Calibri" w:eastAsia="Times New Roman" w:hAnsi="Calibri" w:cs="Calibri"/>
          <w:sz w:val="24"/>
          <w:szCs w:val="24"/>
          <w:lang w:val="es-ES" w:eastAsia="x-none"/>
        </w:rPr>
        <w:t xml:space="preserve">las conclusiones de la gestión, particularmente frente al </w:t>
      </w:r>
      <w:r w:rsidR="006E6F49" w:rsidRPr="006E6F49">
        <w:rPr>
          <w:rFonts w:ascii="Calibri" w:eastAsia="Times New Roman" w:hAnsi="Calibri" w:cs="Calibri"/>
          <w:sz w:val="24"/>
          <w:szCs w:val="24"/>
          <w:lang w:val="es-ES" w:eastAsia="x-none"/>
        </w:rPr>
        <w:t>control social.</w:t>
      </w:r>
    </w:p>
    <w:p w14:paraId="1C98C2C0"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2B73F45A"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En el caso de la Agencia Nacional de Infraestructura, el proceso de implementación de la política anticorrupción y de rendición de </w:t>
      </w:r>
      <w:r w:rsidR="00772107">
        <w:rPr>
          <w:rFonts w:ascii="Calibri" w:eastAsia="Times New Roman" w:hAnsi="Calibri" w:cs="Calibri"/>
          <w:sz w:val="24"/>
          <w:szCs w:val="24"/>
          <w:lang w:val="es-ES" w:eastAsia="x-none"/>
        </w:rPr>
        <w:t>cuentas ha venido evolucionando;</w:t>
      </w:r>
      <w:r w:rsidRPr="006E6F49">
        <w:rPr>
          <w:rFonts w:ascii="Calibri" w:eastAsia="Times New Roman" w:hAnsi="Calibri" w:cs="Calibri"/>
          <w:sz w:val="24"/>
          <w:szCs w:val="24"/>
          <w:lang w:val="es-ES" w:eastAsia="x-none"/>
        </w:rPr>
        <w:t xml:space="preserve"> en un primer momento</w:t>
      </w:r>
      <w:r w:rsidR="00772107">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y en desarrollo de la normatividad vigente</w:t>
      </w:r>
      <w:r w:rsidR="00772107">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14:paraId="1A71E7CE" w14:textId="77777777" w:rsidR="006E6F49" w:rsidRPr="006E6F49" w:rsidRDefault="006E6F49" w:rsidP="00F21AA7">
      <w:pPr>
        <w:spacing w:after="0" w:line="240" w:lineRule="auto"/>
        <w:ind w:left="708" w:hanging="708"/>
        <w:jc w:val="both"/>
        <w:rPr>
          <w:rFonts w:ascii="Calibri" w:eastAsia="Times New Roman" w:hAnsi="Calibri" w:cs="Calibri"/>
          <w:sz w:val="24"/>
          <w:szCs w:val="24"/>
          <w:lang w:val="es-ES" w:eastAsia="x-none"/>
        </w:rPr>
      </w:pPr>
    </w:p>
    <w:p w14:paraId="1ED68BC6"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Con base en los resultados obtenidos anualmente ha elaborado planes de acción para mejorar los temas de transparencia y rendición de cuentas a la ciudadanía; la entidad </w:t>
      </w:r>
      <w:r w:rsidR="00772107">
        <w:rPr>
          <w:rFonts w:ascii="Calibri" w:eastAsia="Times New Roman" w:hAnsi="Calibri" w:cs="Calibri"/>
          <w:sz w:val="24"/>
          <w:szCs w:val="24"/>
          <w:lang w:val="es-ES" w:eastAsia="x-none"/>
        </w:rPr>
        <w:t>acrecentó</w:t>
      </w:r>
      <w:r w:rsidRPr="006E6F49">
        <w:rPr>
          <w:rFonts w:ascii="Calibri" w:eastAsia="Times New Roman" w:hAnsi="Calibri" w:cs="Calibri"/>
          <w:sz w:val="24"/>
          <w:szCs w:val="24"/>
          <w:lang w:val="es-ES" w:eastAsia="x-none"/>
        </w:rPr>
        <w:t xml:space="preserve"> sustancialmente su calificación pasando a un riesgo medio en el índice </w:t>
      </w:r>
      <w:r w:rsidR="00412DD5">
        <w:rPr>
          <w:rFonts w:ascii="Calibri" w:eastAsia="Times New Roman" w:hAnsi="Calibri" w:cs="Calibri"/>
          <w:sz w:val="24"/>
          <w:szCs w:val="24"/>
          <w:lang w:val="es-ES" w:eastAsia="x-none"/>
        </w:rPr>
        <w:t>de transparencia nacional -ITN- durante</w:t>
      </w:r>
      <w:r w:rsidRPr="006E6F49">
        <w:rPr>
          <w:rFonts w:ascii="Calibri" w:eastAsia="Times New Roman" w:hAnsi="Calibri" w:cs="Calibri"/>
          <w:sz w:val="24"/>
          <w:szCs w:val="24"/>
          <w:lang w:val="es-ES" w:eastAsia="x-none"/>
        </w:rPr>
        <w:t xml:space="preserve"> la medición del índice efectuada en 2014 y </w:t>
      </w:r>
      <w:r w:rsidR="00412DD5">
        <w:rPr>
          <w:rFonts w:ascii="Calibri" w:eastAsia="Times New Roman" w:hAnsi="Calibri" w:cs="Calibri"/>
          <w:sz w:val="24"/>
          <w:szCs w:val="24"/>
          <w:lang w:val="es-ES" w:eastAsia="x-none"/>
        </w:rPr>
        <w:t>continuó</w:t>
      </w:r>
      <w:r w:rsidRPr="006E6F49">
        <w:rPr>
          <w:rFonts w:ascii="Calibri" w:eastAsia="Times New Roman" w:hAnsi="Calibri" w:cs="Calibri"/>
          <w:sz w:val="24"/>
          <w:szCs w:val="24"/>
          <w:lang w:val="es-ES" w:eastAsia="x-none"/>
        </w:rPr>
        <w:t xml:space="preserve"> en un nivel de riesgo</w:t>
      </w:r>
      <w:r w:rsidR="00412DD5">
        <w:rPr>
          <w:rFonts w:ascii="Calibri" w:eastAsia="Times New Roman" w:hAnsi="Calibri" w:cs="Calibri"/>
          <w:sz w:val="24"/>
          <w:szCs w:val="24"/>
          <w:lang w:val="es-ES" w:eastAsia="x-none"/>
        </w:rPr>
        <w:t xml:space="preserve"> medio. E</w:t>
      </w:r>
      <w:r w:rsidRPr="006E6F49">
        <w:rPr>
          <w:rFonts w:ascii="Calibri" w:eastAsia="Times New Roman" w:hAnsi="Calibri" w:cs="Calibri"/>
          <w:sz w:val="24"/>
          <w:szCs w:val="24"/>
          <w:lang w:val="es-ES" w:eastAsia="x-none"/>
        </w:rPr>
        <w:t>n procura de llegar a una calificación de riesgo bajo</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la Agencia estableció una serie de compromisos encaminados a optimizar la gestión de la entidad,  para </w:t>
      </w:r>
      <w:r w:rsidR="00412DD5">
        <w:rPr>
          <w:rFonts w:ascii="Calibri" w:eastAsia="Times New Roman" w:hAnsi="Calibri" w:cs="Calibri"/>
          <w:sz w:val="24"/>
          <w:szCs w:val="24"/>
          <w:lang w:val="es-ES" w:eastAsia="x-none"/>
        </w:rPr>
        <w:t>lo cual</w:t>
      </w:r>
      <w:r w:rsidRPr="006E6F49">
        <w:rPr>
          <w:rFonts w:ascii="Calibri" w:eastAsia="Times New Roman" w:hAnsi="Calibri" w:cs="Calibri"/>
          <w:sz w:val="24"/>
          <w:szCs w:val="24"/>
          <w:lang w:val="es-ES" w:eastAsia="x-none"/>
        </w:rPr>
        <w:t xml:space="preserve"> </w:t>
      </w:r>
      <w:r w:rsidR="00412DD5">
        <w:rPr>
          <w:rFonts w:ascii="Calibri" w:eastAsia="Times New Roman" w:hAnsi="Calibri" w:cs="Calibri"/>
          <w:sz w:val="24"/>
          <w:szCs w:val="24"/>
          <w:lang w:val="es-ES" w:eastAsia="x-none"/>
        </w:rPr>
        <w:t>adelantó</w:t>
      </w:r>
      <w:r w:rsidRPr="006E6F49">
        <w:rPr>
          <w:rFonts w:ascii="Calibri" w:eastAsia="Times New Roman" w:hAnsi="Calibri" w:cs="Calibri"/>
          <w:sz w:val="24"/>
          <w:szCs w:val="24"/>
          <w:lang w:val="es-ES" w:eastAsia="x-none"/>
        </w:rPr>
        <w:t xml:space="preserve"> acciones en temas de rendición de cuentas, de publicidad de la información y algunos temas administrativos.</w:t>
      </w:r>
    </w:p>
    <w:p w14:paraId="27BCFEC7"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1886D596" w14:textId="77777777" w:rsidR="006E6F49" w:rsidRPr="006E6F49" w:rsidRDefault="00412DD5" w:rsidP="006E6F49">
      <w:pPr>
        <w:spacing w:after="0" w:line="240" w:lineRule="auto"/>
        <w:jc w:val="both"/>
        <w:rPr>
          <w:rFonts w:ascii="Calibri" w:eastAsia="Times New Roman" w:hAnsi="Calibri" w:cs="Calibri"/>
          <w:sz w:val="24"/>
          <w:szCs w:val="24"/>
          <w:lang w:val="es-ES" w:eastAsia="x-none"/>
        </w:rPr>
      </w:pPr>
      <w:r>
        <w:rPr>
          <w:rFonts w:ascii="Calibri" w:eastAsia="Times New Roman" w:hAnsi="Calibri" w:cs="Calibri"/>
          <w:sz w:val="24"/>
          <w:szCs w:val="24"/>
          <w:lang w:val="es-ES" w:eastAsia="x-none"/>
        </w:rPr>
        <w:t>A su vez,</w:t>
      </w:r>
      <w:r w:rsidR="006E6F49" w:rsidRPr="006E6F49">
        <w:rPr>
          <w:rFonts w:ascii="Calibri" w:eastAsia="Times New Roman" w:hAnsi="Calibri" w:cs="Calibr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14:paraId="07BCA54D"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6B1E2B39"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La Agencia Nacional de Infraestructura-ANI en la medición del </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ISDIN-</w:t>
      </w:r>
      <w:r w:rsidR="00412DD5">
        <w:rPr>
          <w:rFonts w:ascii="Calibri" w:eastAsia="Times New Roman" w:hAnsi="Calibri" w:cs="Calibri"/>
          <w:sz w:val="24"/>
          <w:szCs w:val="24"/>
          <w:lang w:val="es-ES" w:eastAsia="x-none"/>
        </w:rPr>
        <w:t xml:space="preserve"> </w:t>
      </w:r>
      <w:r w:rsidRPr="006E6F49">
        <w:rPr>
          <w:rFonts w:ascii="Calibri" w:eastAsia="Times New Roman" w:hAnsi="Calibri" w:cs="Calibri"/>
          <w:sz w:val="24"/>
          <w:szCs w:val="24"/>
          <w:lang w:val="es-ES" w:eastAsia="x-none"/>
        </w:rPr>
        <w:t>Índice Sintético de Desempeño Institucional Nacional en el periodo 2015-2016 obtuvo el primer lugar en el ranking de las 75 entidades evaluadas.</w:t>
      </w:r>
    </w:p>
    <w:p w14:paraId="7F6D290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 </w:t>
      </w:r>
    </w:p>
    <w:p w14:paraId="19CB22F2"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r w:rsidRPr="006E6F49">
        <w:rPr>
          <w:rFonts w:ascii="Calibri" w:eastAsia="Times New Roman" w:hAnsi="Calibri" w:cs="Calibri"/>
          <w:sz w:val="24"/>
          <w:szCs w:val="24"/>
          <w:lang w:val="es-ES" w:eastAsia="x-none"/>
        </w:rPr>
        <w:t xml:space="preserve">Finalmente, la Agencia en la </w:t>
      </w:r>
      <w:r w:rsidR="00412DD5">
        <w:rPr>
          <w:rFonts w:ascii="Calibri" w:eastAsia="Times New Roman" w:hAnsi="Calibri" w:cs="Calibri"/>
          <w:sz w:val="24"/>
          <w:szCs w:val="24"/>
          <w:lang w:val="es-ES" w:eastAsia="x-none"/>
        </w:rPr>
        <w:t xml:space="preserve">actual </w:t>
      </w:r>
      <w:r w:rsidRPr="006E6F49">
        <w:rPr>
          <w:rFonts w:ascii="Calibri" w:eastAsia="Times New Roman" w:hAnsi="Calibri" w:cs="Calibri"/>
          <w:sz w:val="24"/>
          <w:szCs w:val="24"/>
          <w:lang w:val="es-ES" w:eastAsia="x-none"/>
        </w:rPr>
        <w:t>vigencia implementará</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mediante el presente documento</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los elementos requeridos en la metodología para “</w:t>
      </w:r>
      <w:r w:rsidRPr="006E6F49">
        <w:rPr>
          <w:rFonts w:ascii="Calibri" w:eastAsia="Times New Roman" w:hAnsi="Calibri" w:cs="Calibri"/>
          <w:bCs/>
          <w:sz w:val="24"/>
          <w:szCs w:val="24"/>
          <w:lang w:eastAsia="x-none"/>
        </w:rPr>
        <w:t>Estrategias para la construcción del plan anticorrupción y de atención al ciudadano</w:t>
      </w:r>
      <w:r w:rsidRPr="006E6F49">
        <w:rPr>
          <w:rFonts w:ascii="Calibri" w:eastAsia="Times New Roman" w:hAnsi="Calibri" w:cs="Calibri"/>
          <w:sz w:val="24"/>
          <w:szCs w:val="24"/>
          <w:lang w:val="es-ES" w:eastAsia="x-none"/>
        </w:rPr>
        <w:t>”, Versión 2</w:t>
      </w:r>
      <w:r w:rsidR="00412DD5">
        <w:rPr>
          <w:rFonts w:ascii="Calibri" w:eastAsia="Times New Roman" w:hAnsi="Calibri" w:cs="Calibri"/>
          <w:sz w:val="24"/>
          <w:szCs w:val="24"/>
          <w:lang w:val="es-ES" w:eastAsia="x-none"/>
        </w:rPr>
        <w:t>,</w:t>
      </w:r>
      <w:r w:rsidRPr="006E6F49">
        <w:rPr>
          <w:rFonts w:ascii="Calibri" w:eastAsia="Times New Roman" w:hAnsi="Calibri" w:cs="Calibri"/>
          <w:sz w:val="24"/>
          <w:szCs w:val="24"/>
          <w:lang w:val="es-ES" w:eastAsia="x-none"/>
        </w:rPr>
        <w:t xml:space="preserve"> elaborada por la Presidencia de la República.</w:t>
      </w:r>
    </w:p>
    <w:p w14:paraId="21086313" w14:textId="77777777" w:rsidR="006E6F49" w:rsidRPr="006E6F49" w:rsidRDefault="006E6F49" w:rsidP="006E6F49">
      <w:pPr>
        <w:spacing w:after="0" w:line="240" w:lineRule="auto"/>
        <w:jc w:val="both"/>
        <w:rPr>
          <w:rFonts w:ascii="Calibri" w:eastAsia="Times New Roman" w:hAnsi="Calibri" w:cs="Calibri"/>
          <w:sz w:val="24"/>
          <w:szCs w:val="24"/>
          <w:lang w:val="es-ES" w:eastAsia="x-none"/>
        </w:rPr>
      </w:pPr>
    </w:p>
    <w:p w14:paraId="59CD9C7A"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17" w:name="_Toc353973014"/>
      <w:bookmarkStart w:id="18" w:name="_Toc353973066"/>
      <w:bookmarkStart w:id="19" w:name="_Toc355014815"/>
      <w:bookmarkStart w:id="20" w:name="_Toc355014896"/>
      <w:bookmarkStart w:id="21" w:name="_Toc355014950"/>
      <w:bookmarkStart w:id="22" w:name="_Toc355015012"/>
      <w:bookmarkStart w:id="23" w:name="_Toc355015066"/>
      <w:bookmarkStart w:id="24" w:name="_Toc355015228"/>
      <w:bookmarkStart w:id="25" w:name="_Toc361238711"/>
      <w:bookmarkStart w:id="26" w:name="_Toc378867794"/>
      <w:bookmarkStart w:id="27" w:name="_Toc441487009"/>
      <w:bookmarkStart w:id="28" w:name="_Toc480982382"/>
      <w:bookmarkStart w:id="29" w:name="_Toc284608483"/>
      <w:bookmarkEnd w:id="16"/>
      <w:r w:rsidRPr="006E6F49">
        <w:rPr>
          <w:rFonts w:ascii="Cambria" w:eastAsia="Times New Roman" w:hAnsi="Cambria" w:cs="Times New Roman"/>
          <w:b/>
          <w:sz w:val="24"/>
          <w:szCs w:val="20"/>
          <w:lang w:val="es-ES_tradnl" w:eastAsia="es-ES"/>
        </w:rPr>
        <w:t>NORMATIVIDAD</w:t>
      </w:r>
      <w:bookmarkEnd w:id="17"/>
      <w:bookmarkEnd w:id="18"/>
      <w:bookmarkEnd w:id="19"/>
      <w:bookmarkEnd w:id="20"/>
      <w:bookmarkEnd w:id="21"/>
      <w:bookmarkEnd w:id="22"/>
      <w:bookmarkEnd w:id="23"/>
      <w:bookmarkEnd w:id="24"/>
      <w:bookmarkEnd w:id="25"/>
      <w:bookmarkEnd w:id="26"/>
      <w:bookmarkEnd w:id="27"/>
      <w:bookmarkEnd w:id="28"/>
    </w:p>
    <w:p w14:paraId="3FF8E696"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AB2E268"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bookmarkStart w:id="30" w:name="_Toc346013785"/>
      <w:r w:rsidRPr="006E6F49">
        <w:rPr>
          <w:rFonts w:ascii="Calibri" w:eastAsia="Times New Roman" w:hAnsi="Calibri" w:cs="Calibri"/>
          <w:sz w:val="24"/>
          <w:szCs w:val="24"/>
          <w:lang w:val="es-ES" w:eastAsia="es-ES"/>
        </w:rPr>
        <w:t>La siguiente es la normatividad vigente asociada al plan anticorrupción y de atención al ciudadano.</w:t>
      </w:r>
    </w:p>
    <w:p w14:paraId="4BA4886C" w14:textId="77777777" w:rsidR="006E6F49" w:rsidRPr="006E6F49" w:rsidRDefault="006E6F49" w:rsidP="006E6F49">
      <w:pPr>
        <w:shd w:val="clear" w:color="auto" w:fill="FFFFFF"/>
        <w:spacing w:before="100" w:beforeAutospacing="1" w:after="100" w:afterAutospacing="1" w:line="240" w:lineRule="auto"/>
        <w:jc w:val="both"/>
        <w:rPr>
          <w:rFonts w:ascii="Arial" w:eastAsia="Times New Roman" w:hAnsi="Arial" w:cs="Arial"/>
          <w:i/>
          <w:color w:val="000000"/>
          <w:sz w:val="27"/>
          <w:szCs w:val="27"/>
          <w:lang w:eastAsia="es-CO"/>
        </w:rPr>
      </w:pPr>
      <w:r w:rsidRPr="006E6F49">
        <w:rPr>
          <w:rFonts w:ascii="Calibri" w:eastAsia="Times New Roman" w:hAnsi="Calibri" w:cs="Calibri"/>
          <w:sz w:val="24"/>
          <w:szCs w:val="24"/>
          <w:u w:val="single"/>
          <w:lang w:val="es-ES" w:eastAsia="es-ES"/>
        </w:rPr>
        <w:t>Artículo 20 Constitución Política de Colombia:</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“Se garantiza a toda persona la libertad de expresar y difundir su pensamiento y opiniones, la de informar y recibir información veraz e imparcial, y la de fundar medios masivos de</w:t>
      </w:r>
      <w:r w:rsidRPr="006E6F49">
        <w:rPr>
          <w:rFonts w:ascii="Arial" w:eastAsia="Times New Roman" w:hAnsi="Arial" w:cs="Arial"/>
          <w:i/>
          <w:color w:val="000000"/>
          <w:sz w:val="27"/>
          <w:szCs w:val="27"/>
          <w:lang w:eastAsia="es-CO"/>
        </w:rPr>
        <w:t xml:space="preserve"> </w:t>
      </w:r>
      <w:r w:rsidRPr="006E6F49">
        <w:rPr>
          <w:rFonts w:ascii="Calibri" w:eastAsia="Times New Roman" w:hAnsi="Calibri" w:cs="Calibri"/>
          <w:i/>
          <w:sz w:val="24"/>
          <w:szCs w:val="24"/>
          <w:lang w:val="es-ES" w:eastAsia="es-ES"/>
        </w:rPr>
        <w:t>comunicación.</w:t>
      </w:r>
    </w:p>
    <w:p w14:paraId="02126C82"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Estos son libres y tienen responsabilidad social. Se garantiza el derecho a la rectificación en condiciones de equidad. No habrá censura.”</w:t>
      </w:r>
    </w:p>
    <w:p w14:paraId="17D95F77"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489 de 1998</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“P</w:t>
      </w:r>
      <w:r w:rsidRPr="006E6F49">
        <w:rPr>
          <w:rFonts w:ascii="Calibri" w:eastAsia="Times New Roman" w:hAnsi="Calibri" w:cs="Calibr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En el artículo 33 establece “</w:t>
      </w:r>
      <w:r w:rsidRPr="006E6F49">
        <w:rPr>
          <w:rFonts w:ascii="Calibri" w:eastAsia="Times New Roman" w:hAnsi="Calibri" w:cs="Calibr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14:paraId="09302078"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14:paraId="165A439C"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En el acto de convocatoria a la audiencia, la institución respectiva definirá la metodología que será utilizada.”</w:t>
      </w:r>
    </w:p>
    <w:p w14:paraId="1FE06B00"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Ley 872 de 2003:</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bCs/>
          <w:i/>
          <w:sz w:val="24"/>
          <w:szCs w:val="24"/>
          <w:lang w:val="es-ES" w:eastAsia="es-ES"/>
        </w:rPr>
        <w:t xml:space="preserve">"Por la cual se crea el sistema de gestión de la calidad en la Rama Ejecutiva del Poder Público y en otras entidades prestadoras de servicios". </w:t>
      </w:r>
      <w:r w:rsidRPr="006E6F49">
        <w:rPr>
          <w:rFonts w:ascii="Calibri" w:eastAsia="Times New Roman" w:hAnsi="Calibri" w:cs="Calibri"/>
          <w:sz w:val="24"/>
          <w:szCs w:val="24"/>
          <w:lang w:val="es-ES" w:eastAsia="es-ES"/>
        </w:rPr>
        <w:t xml:space="preserve">En el literal d) del artículo 5 establece </w:t>
      </w:r>
      <w:r w:rsidRPr="006E6F49">
        <w:rPr>
          <w:rFonts w:ascii="Calibri" w:eastAsia="Times New Roman" w:hAnsi="Calibri" w:cs="Calibri"/>
          <w:i/>
          <w:sz w:val="24"/>
          <w:szCs w:val="24"/>
          <w:lang w:val="es-ES" w:eastAsia="es-ES"/>
        </w:rPr>
        <w:t>“Facilitar control político y ciudadano a la calidad de la gestión de las entidades, garantizando el fácil acceso a la información relativa a los resultados del sistem</w:t>
      </w:r>
      <w:r w:rsidRPr="006E6F49">
        <w:rPr>
          <w:rFonts w:ascii="Calibri" w:eastAsia="Times New Roman" w:hAnsi="Calibri" w:cs="Calibri"/>
          <w:sz w:val="24"/>
          <w:szCs w:val="24"/>
          <w:lang w:val="es-ES" w:eastAsia="es-ES"/>
        </w:rPr>
        <w:t>a”.</w:t>
      </w:r>
    </w:p>
    <w:p w14:paraId="7F75A2BB"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Decreto 3622 de 2005</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el cual se adoptan las políticas de desarrollo administrativo y se reglamenta el Capítulo</w:t>
      </w:r>
      <w:r w:rsidRPr="006E6F49">
        <w:rPr>
          <w:rFonts w:ascii="Calibri" w:eastAsia="Times New Roman" w:hAnsi="Calibri" w:cs="Calibri"/>
          <w:i/>
          <w:sz w:val="24"/>
          <w:szCs w:val="24"/>
          <w:lang w:val="es-ES" w:eastAsia="es-ES"/>
        </w:rPr>
        <w:t> </w:t>
      </w:r>
      <w:hyperlink r:id="rId12" w:anchor="4" w:history="1">
        <w:r w:rsidRPr="006E6F49">
          <w:rPr>
            <w:rFonts w:ascii="Calibri" w:eastAsia="Times New Roman" w:hAnsi="Calibri" w:cs="Calibri"/>
            <w:i/>
            <w:sz w:val="24"/>
            <w:szCs w:val="24"/>
            <w:lang w:val="es-ES" w:eastAsia="es-ES"/>
          </w:rPr>
          <w:t>Cuarto</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489 de 1998 en lo referente al Sistema de Desarrollo Administrativo.”</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sz w:val="24"/>
          <w:szCs w:val="24"/>
          <w:lang w:val="es-ES" w:eastAsia="es-ES"/>
        </w:rPr>
        <w:t xml:space="preserve">en su artículo 7 establece que: </w:t>
      </w:r>
      <w:r w:rsidRPr="006E6F49">
        <w:rPr>
          <w:rFonts w:ascii="Calibri" w:eastAsia="Times New Roman" w:hAnsi="Calibri" w:cs="Calibr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14:paraId="5EF0E7ED"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Decreto 962 de 2005:</w:t>
      </w:r>
      <w:r w:rsidRPr="006E6F49">
        <w:rPr>
          <w:rFonts w:ascii="Arial" w:eastAsia="Times New Roman" w:hAnsi="Arial" w:cs="Arial"/>
          <w:b/>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6E6F49">
        <w:rPr>
          <w:rFonts w:ascii="Calibri" w:eastAsia="Times New Roman" w:hAnsi="Calibri" w:cs="Calibri"/>
          <w:sz w:val="24"/>
          <w:szCs w:val="24"/>
          <w:lang w:val="es-ES" w:eastAsia="es-ES"/>
        </w:rPr>
        <w:t xml:space="preserve">    </w:t>
      </w:r>
    </w:p>
    <w:p w14:paraId="5AFE6303"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sz w:val="24"/>
          <w:szCs w:val="24"/>
          <w:u w:val="single"/>
          <w:lang w:val="es-ES" w:eastAsia="es-ES"/>
        </w:rPr>
        <w:t>Ley 1474 de 2011:</w:t>
      </w: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i/>
          <w:sz w:val="24"/>
          <w:szCs w:val="24"/>
          <w:lang w:val="es-ES" w:eastAsia="es-ES"/>
        </w:rPr>
        <w:t>“</w:t>
      </w:r>
      <w:r w:rsidRPr="006E6F49">
        <w:rPr>
          <w:rFonts w:ascii="Calibri" w:eastAsia="Times New Roman" w:hAnsi="Calibri" w:cs="Calibri"/>
          <w:bCs/>
          <w:i/>
          <w:sz w:val="24"/>
          <w:szCs w:val="24"/>
          <w:lang w:val="es-ES" w:eastAsia="es-ES"/>
        </w:rPr>
        <w:t>Por la cual se dictan normas orientadas a fortalecer los mecanismos de prevención, investigación y sanción de actos de corrupción y la efectividad del control de la gestión pública.”</w:t>
      </w:r>
      <w:r w:rsidRPr="006E6F49">
        <w:rPr>
          <w:rFonts w:ascii="Calibri" w:eastAsia="Times New Roman" w:hAnsi="Calibri" w:cs="Calibri"/>
          <w:sz w:val="24"/>
          <w:szCs w:val="24"/>
          <w:lang w:val="es-ES" w:eastAsia="es-ES"/>
        </w:rPr>
        <w:t xml:space="preserve"> en su artículo 73 establece </w:t>
      </w:r>
      <w:r w:rsidRPr="006E6F49">
        <w:rPr>
          <w:rFonts w:ascii="Calibri" w:eastAsia="Times New Roman" w:hAnsi="Calibri" w:cs="Calibr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EE6024" w:rsidRPr="006E6F49">
        <w:rPr>
          <w:rFonts w:ascii="Calibri" w:eastAsia="Times New Roman" w:hAnsi="Calibri" w:cs="Calibri"/>
          <w:i/>
          <w:sz w:val="24"/>
          <w:szCs w:val="24"/>
          <w:lang w:val="es-ES" w:eastAsia="es-ES"/>
        </w:rPr>
        <w:t>anti trámites</w:t>
      </w:r>
      <w:r w:rsidRPr="006E6F49">
        <w:rPr>
          <w:rFonts w:ascii="Calibri" w:eastAsia="Times New Roman" w:hAnsi="Calibri" w:cs="Calibri"/>
          <w:i/>
          <w:sz w:val="24"/>
          <w:szCs w:val="24"/>
          <w:lang w:val="es-ES" w:eastAsia="es-ES"/>
        </w:rPr>
        <w:t xml:space="preserve"> y los mecanismos para mejorar la atención al ciudadano.</w:t>
      </w:r>
    </w:p>
    <w:p w14:paraId="6C2943D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El Programa Presidencial de Modernización, Eficiencia, Transparencia y Lucha contra la Corrupción señalará una metodología para diseñar y hacerle seguimiento a la señalada estrategia.</w:t>
      </w:r>
    </w:p>
    <w:p w14:paraId="061CF34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Parágrafo. En aquellas entidades donde se tenga implementado un sistema integral de administración de riesgos, se podrá validar la metodología de este sistema con la definida por el Programa Presidencial de Modernización, Eficiencia, Transparencia y Lucha contra la Corrupción.</w:t>
      </w:r>
      <w:r w:rsidRPr="006E6F49">
        <w:rPr>
          <w:rFonts w:ascii="Calibri" w:eastAsia="Times New Roman" w:hAnsi="Calibri" w:cs="Calibri"/>
          <w:sz w:val="24"/>
          <w:szCs w:val="24"/>
          <w:lang w:val="es-ES" w:eastAsia="es-ES"/>
        </w:rPr>
        <w:t xml:space="preserve"> “, y el artículo 76 </w:t>
      </w:r>
      <w:r w:rsidRPr="006E6F49">
        <w:rPr>
          <w:rFonts w:ascii="Calibri" w:eastAsia="Times New Roman" w:hAnsi="Calibri" w:cs="Calibr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14:paraId="1FAD2EED"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14:paraId="51EE0EEA"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14:paraId="34BF1886"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bookmarkStart w:id="31" w:name="76.4"/>
      <w:r w:rsidRPr="006E6F49">
        <w:rPr>
          <w:rFonts w:ascii="Calibri" w:eastAsia="Times New Roman" w:hAnsi="Calibri" w:cs="Calibri"/>
          <w:i/>
          <w:sz w:val="24"/>
          <w:szCs w:val="24"/>
          <w:lang w:val="es-ES" w:eastAsia="es-ES"/>
        </w:rPr>
        <w:t> </w:t>
      </w:r>
      <w:bookmarkEnd w:id="31"/>
      <w:r w:rsidRPr="006E6F49">
        <w:rPr>
          <w:rFonts w:ascii="Calibri" w:eastAsia="Times New Roman" w:hAnsi="Calibri" w:cs="Calibr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14:paraId="221CADA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14:paraId="413E21B4"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i/>
          <w:sz w:val="24"/>
          <w:szCs w:val="24"/>
          <w:lang w:val="es-ES" w:eastAsia="es-ES"/>
        </w:rPr>
      </w:pPr>
      <w:r w:rsidRPr="006E6F49">
        <w:rPr>
          <w:rFonts w:ascii="Calibri" w:eastAsia="Times New Roman" w:hAnsi="Calibri" w:cs="Calibr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14:paraId="079FC7EB" w14:textId="77777777" w:rsidR="006E6F49" w:rsidRPr="006E6F49" w:rsidRDefault="006E6F49" w:rsidP="006E6F49">
      <w:pPr>
        <w:shd w:val="clear" w:color="auto" w:fill="FFFFFF"/>
        <w:spacing w:before="100" w:beforeAutospacing="1" w:after="100" w:afterAutospacing="1" w:line="240" w:lineRule="auto"/>
        <w:jc w:val="both"/>
        <w:rPr>
          <w:rFonts w:ascii="Calibri" w:eastAsia="Times New Roman" w:hAnsi="Calibri" w:cs="Calibri"/>
          <w:bCs/>
          <w:i/>
          <w:iCs/>
          <w:sz w:val="24"/>
          <w:szCs w:val="24"/>
          <w:lang w:val="es-ES" w:eastAsia="es-ES"/>
        </w:rPr>
      </w:pPr>
      <w:r w:rsidRPr="006E6F49">
        <w:rPr>
          <w:rFonts w:ascii="Calibri" w:eastAsia="Times New Roman" w:hAnsi="Calibri" w:cs="Calibri"/>
          <w:sz w:val="24"/>
          <w:szCs w:val="24"/>
          <w:lang w:val="es-ES" w:eastAsia="es-ES"/>
        </w:rPr>
        <w:t xml:space="preserve"> </w:t>
      </w:r>
      <w:r w:rsidRPr="006E6F49">
        <w:rPr>
          <w:rFonts w:ascii="Calibri" w:eastAsia="Times New Roman" w:hAnsi="Calibri" w:cs="Calibri"/>
          <w:sz w:val="24"/>
          <w:szCs w:val="24"/>
          <w:u w:val="single"/>
          <w:lang w:val="es-ES" w:eastAsia="es-ES"/>
        </w:rPr>
        <w:t>Ley 1508 de 2012:</w:t>
      </w:r>
      <w:r w:rsidRPr="006E6F49">
        <w:rPr>
          <w:rFonts w:ascii="Calibri" w:eastAsia="Times New Roman" w:hAnsi="Calibri" w:cs="Calibri"/>
          <w:sz w:val="24"/>
          <w:szCs w:val="24"/>
          <w:lang w:val="es-ES" w:eastAsia="es-ES"/>
        </w:rPr>
        <w:t xml:space="preserve"> </w:t>
      </w:r>
      <w:r w:rsidRPr="006E6F49">
        <w:rPr>
          <w:rFonts w:ascii="Calibri" w:eastAsia="Times New Roman" w:hAnsi="Calibri" w:cs="Times New Roman"/>
          <w:bCs/>
          <w:i/>
          <w:iCs/>
          <w:sz w:val="24"/>
          <w:szCs w:val="24"/>
          <w:lang w:val="es-ES" w:eastAsia="es-ES"/>
        </w:rPr>
        <w:t>“P</w:t>
      </w:r>
      <w:r w:rsidRPr="006E6F49">
        <w:rPr>
          <w:rFonts w:ascii="Calibri" w:eastAsia="Times New Roman" w:hAnsi="Calibri" w:cs="Calibri"/>
          <w:bCs/>
          <w:i/>
          <w:iCs/>
          <w:sz w:val="24"/>
          <w:szCs w:val="24"/>
          <w:lang w:val="es-ES" w:eastAsia="es-ES"/>
        </w:rPr>
        <w:t>or la cual se establece el régimen jurídico de las Asociaciones Público Privadas, se dictan normas orgánicas de presupuesto y se dictan otras disposiciones.”</w:t>
      </w:r>
    </w:p>
    <w:p w14:paraId="17C52777" w14:textId="77777777" w:rsidR="006E6F49" w:rsidRPr="006E6F49" w:rsidRDefault="006E6F49" w:rsidP="006E6F49">
      <w:pPr>
        <w:spacing w:after="0" w:line="240" w:lineRule="auto"/>
        <w:jc w:val="both"/>
        <w:rPr>
          <w:rFonts w:ascii="Calibri" w:eastAsia="Times New Roman" w:hAnsi="Calibri" w:cs="Times New Roman"/>
          <w:bCs/>
          <w:i/>
          <w:iCs/>
          <w:sz w:val="24"/>
          <w:szCs w:val="24"/>
          <w:lang w:val="es-ES" w:eastAsia="es-ES"/>
        </w:rPr>
      </w:pPr>
    </w:p>
    <w:p w14:paraId="0187B057" w14:textId="77777777" w:rsidR="006E6F49" w:rsidRPr="006E6F49" w:rsidRDefault="006E6F49" w:rsidP="006E6F49">
      <w:pPr>
        <w:spacing w:after="0" w:line="240" w:lineRule="auto"/>
        <w:jc w:val="both"/>
        <w:rPr>
          <w:rFonts w:ascii="Calibri" w:eastAsia="Times New Roman" w:hAnsi="Calibri" w:cs="Calibri"/>
          <w:sz w:val="24"/>
          <w:szCs w:val="24"/>
          <w:lang w:val="es-ES" w:eastAsia="es-ES"/>
        </w:rPr>
      </w:pPr>
      <w:r w:rsidRPr="006E6F49">
        <w:rPr>
          <w:rFonts w:ascii="Calibri" w:eastAsia="Times New Roman" w:hAnsi="Calibri" w:cs="Calibri"/>
          <w:sz w:val="24"/>
          <w:szCs w:val="24"/>
          <w:u w:val="single"/>
          <w:lang w:val="es-ES" w:eastAsia="es-ES"/>
        </w:rPr>
        <w:t xml:space="preserve">Decreto 1467 de 2012: </w:t>
      </w:r>
      <w:r w:rsidRPr="006E6F49">
        <w:rPr>
          <w:rFonts w:ascii="Calibri" w:eastAsia="Times New Roman" w:hAnsi="Calibri" w:cs="Times New Roman"/>
          <w:bCs/>
          <w:iCs/>
          <w:sz w:val="24"/>
          <w:szCs w:val="24"/>
          <w:lang w:val="es-ES" w:eastAsia="es-ES"/>
        </w:rPr>
        <w:t>“</w:t>
      </w:r>
      <w:r w:rsidRPr="006E6F49">
        <w:rPr>
          <w:rFonts w:ascii="Calibri" w:eastAsia="Times New Roman" w:hAnsi="Calibri" w:cs="Calibri"/>
          <w:bCs/>
          <w:iCs/>
          <w:sz w:val="24"/>
          <w:szCs w:val="24"/>
          <w:lang w:val="es-ES" w:eastAsia="es-ES"/>
        </w:rPr>
        <w:t>Por el cual se reglamenta la Ley</w:t>
      </w:r>
      <w:r w:rsidRPr="006E6F49">
        <w:rPr>
          <w:rFonts w:ascii="Calibri" w:eastAsia="Times New Roman" w:hAnsi="Calibri" w:cs="Calibri"/>
          <w:iCs/>
          <w:sz w:val="24"/>
          <w:szCs w:val="24"/>
          <w:lang w:val="es-ES" w:eastAsia="es-ES"/>
        </w:rPr>
        <w:t> </w:t>
      </w:r>
      <w:hyperlink r:id="rId13" w:anchor="0" w:history="1">
        <w:r w:rsidRPr="006E6F49">
          <w:rPr>
            <w:rFonts w:ascii="Calibri" w:eastAsia="Times New Roman" w:hAnsi="Calibri" w:cs="Calibri"/>
            <w:bCs/>
            <w:iCs/>
            <w:sz w:val="24"/>
            <w:szCs w:val="24"/>
            <w:lang w:val="es-ES" w:eastAsia="es-ES"/>
          </w:rPr>
          <w:t>1508</w:t>
        </w:r>
      </w:hyperlink>
      <w:r w:rsidRPr="006E6F49">
        <w:rPr>
          <w:rFonts w:ascii="Calibri" w:eastAsia="Times New Roman" w:hAnsi="Calibri" w:cs="Calibri"/>
          <w:iCs/>
          <w:sz w:val="24"/>
          <w:szCs w:val="24"/>
          <w:lang w:val="es-ES" w:eastAsia="es-ES"/>
        </w:rPr>
        <w:t> </w:t>
      </w:r>
      <w:r w:rsidRPr="006E6F49">
        <w:rPr>
          <w:rFonts w:ascii="Calibri" w:eastAsia="Times New Roman" w:hAnsi="Calibri" w:cs="Calibri"/>
          <w:bCs/>
          <w:iCs/>
          <w:sz w:val="24"/>
          <w:szCs w:val="24"/>
          <w:lang w:val="es-ES" w:eastAsia="es-ES"/>
        </w:rPr>
        <w:t>de 2012.”</w:t>
      </w:r>
    </w:p>
    <w:p w14:paraId="4D849E3F" w14:textId="77777777" w:rsidR="006E6F49" w:rsidRPr="006E6F49" w:rsidRDefault="006E6F49" w:rsidP="006E6F49">
      <w:pPr>
        <w:spacing w:after="0" w:line="240" w:lineRule="auto"/>
        <w:jc w:val="both"/>
        <w:rPr>
          <w:rFonts w:ascii="Calibri" w:eastAsia="Times New Roman" w:hAnsi="Calibri" w:cs="Times New Roman"/>
          <w:bCs/>
          <w:sz w:val="24"/>
          <w:szCs w:val="24"/>
          <w:u w:val="single"/>
          <w:lang w:val="es-ES" w:eastAsia="es-ES"/>
        </w:rPr>
      </w:pPr>
    </w:p>
    <w:p w14:paraId="73B7A9E8"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Decreto 2641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bCs/>
          <w:i/>
          <w:sz w:val="24"/>
          <w:szCs w:val="24"/>
          <w:lang w:val="es-ES" w:eastAsia="es-ES"/>
        </w:rPr>
        <w:t>Por el cual se reglamentan los artículos</w:t>
      </w:r>
      <w:r w:rsidRPr="006E6F49">
        <w:rPr>
          <w:rFonts w:ascii="Calibri" w:eastAsia="Times New Roman" w:hAnsi="Calibri" w:cs="Calibri"/>
          <w:i/>
          <w:sz w:val="24"/>
          <w:szCs w:val="24"/>
          <w:lang w:val="es-ES" w:eastAsia="es-ES"/>
        </w:rPr>
        <w:t> </w:t>
      </w:r>
      <w:hyperlink r:id="rId14" w:anchor="73" w:history="1">
        <w:r w:rsidRPr="006E6F49">
          <w:rPr>
            <w:rFonts w:ascii="Calibri" w:eastAsia="Times New Roman" w:hAnsi="Calibri" w:cs="Calibri"/>
            <w:i/>
            <w:sz w:val="24"/>
            <w:szCs w:val="24"/>
            <w:lang w:val="es-ES" w:eastAsia="es-ES"/>
          </w:rPr>
          <w:t>73</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y</w:t>
      </w:r>
      <w:r w:rsidRPr="006E6F49">
        <w:rPr>
          <w:rFonts w:ascii="Calibri" w:eastAsia="Times New Roman" w:hAnsi="Calibri" w:cs="Calibri"/>
          <w:i/>
          <w:sz w:val="24"/>
          <w:szCs w:val="24"/>
          <w:lang w:val="es-ES" w:eastAsia="es-ES"/>
        </w:rPr>
        <w:t> </w:t>
      </w:r>
      <w:hyperlink r:id="rId15" w:anchor="76" w:history="1">
        <w:r w:rsidRPr="006E6F49">
          <w:rPr>
            <w:rFonts w:ascii="Calibri" w:eastAsia="Times New Roman" w:hAnsi="Calibri" w:cs="Calibri"/>
            <w:i/>
            <w:sz w:val="24"/>
            <w:szCs w:val="24"/>
            <w:lang w:val="es-ES" w:eastAsia="es-ES"/>
          </w:rPr>
          <w:t>76</w:t>
        </w:r>
      </w:hyperlink>
      <w:r w:rsidRPr="006E6F49">
        <w:rPr>
          <w:rFonts w:ascii="Calibri" w:eastAsia="Times New Roman" w:hAnsi="Calibri" w:cs="Calibri"/>
          <w:i/>
          <w:sz w:val="24"/>
          <w:szCs w:val="24"/>
          <w:lang w:val="es-ES" w:eastAsia="es-ES"/>
        </w:rPr>
        <w:t> </w:t>
      </w:r>
      <w:r w:rsidRPr="006E6F49">
        <w:rPr>
          <w:rFonts w:ascii="Calibri" w:eastAsia="Times New Roman" w:hAnsi="Calibri" w:cs="Calibri"/>
          <w:bCs/>
          <w:i/>
          <w:sz w:val="24"/>
          <w:szCs w:val="24"/>
          <w:lang w:val="es-ES" w:eastAsia="es-ES"/>
        </w:rPr>
        <w:t>de la Ley 1474 de 2011.”</w:t>
      </w:r>
    </w:p>
    <w:p w14:paraId="67FE1879"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19FDC914"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Calibri"/>
          <w:bCs/>
          <w:sz w:val="24"/>
          <w:szCs w:val="24"/>
          <w:u w:val="single"/>
          <w:lang w:val="es-ES" w:eastAsia="es-ES"/>
        </w:rPr>
        <w:t xml:space="preserve">Decreto 2482 de 2012: </w:t>
      </w:r>
      <w:r w:rsidRPr="006E6F49">
        <w:rPr>
          <w:rFonts w:ascii="Calibri" w:eastAsia="Times New Roman" w:hAnsi="Calibri" w:cs="Times New Roman"/>
          <w:sz w:val="24"/>
          <w:szCs w:val="24"/>
          <w:lang w:val="es-ES" w:eastAsia="es-ES"/>
        </w:rPr>
        <w:t>“</w:t>
      </w:r>
      <w:r w:rsidRPr="006E6F49">
        <w:rPr>
          <w:rFonts w:ascii="Calibri" w:eastAsia="Times New Roman" w:hAnsi="Calibri" w:cs="Calibri"/>
          <w:bCs/>
          <w:i/>
          <w:sz w:val="24"/>
          <w:szCs w:val="24"/>
          <w:lang w:val="es-ES" w:eastAsia="es-ES"/>
        </w:rPr>
        <w:t>Por el cual se establecen los lineamientos generales para la integración de la planeación y la gestión.”</w:t>
      </w:r>
    </w:p>
    <w:p w14:paraId="3817C60E"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0315CD00"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t>Decreto Ley 019 de 2012:</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sz w:val="24"/>
          <w:szCs w:val="24"/>
          <w:lang w:val="es-ES" w:eastAsia="es-ES"/>
        </w:rPr>
        <w:t>“</w:t>
      </w:r>
      <w:r w:rsidRPr="006E6F49">
        <w:rPr>
          <w:rFonts w:ascii="Calibri" w:eastAsia="Times New Roman" w:hAnsi="Calibri" w:cs="Calibri"/>
          <w:i/>
          <w:sz w:val="24"/>
          <w:szCs w:val="24"/>
          <w:lang w:val="es-ES" w:eastAsia="es-ES"/>
        </w:rPr>
        <w:t>Por el cual se dictan normas para suprimir o reformar regulaciones, procedimientos y trámites innecesarios existentes en la Administración Pública”.</w:t>
      </w:r>
    </w:p>
    <w:p w14:paraId="7666182B" w14:textId="77777777" w:rsidR="006E6F49" w:rsidRPr="006E6F49" w:rsidRDefault="006E6F49" w:rsidP="006E6F49">
      <w:pPr>
        <w:spacing w:after="0" w:line="240" w:lineRule="auto"/>
        <w:jc w:val="both"/>
        <w:rPr>
          <w:rFonts w:ascii="Calibri" w:eastAsia="Times New Roman" w:hAnsi="Calibri" w:cs="Calibri"/>
          <w:bCs/>
          <w:i/>
          <w:iCs/>
          <w:sz w:val="24"/>
          <w:szCs w:val="24"/>
          <w:u w:val="single"/>
          <w:lang w:val="es-ES" w:eastAsia="es-ES"/>
        </w:rPr>
      </w:pPr>
      <w:r w:rsidRPr="006E6F49">
        <w:rPr>
          <w:rFonts w:ascii="Arial" w:eastAsia="Times New Roman" w:hAnsi="Arial" w:cs="Arial"/>
          <w:b/>
          <w:sz w:val="24"/>
          <w:szCs w:val="24"/>
          <w:lang w:val="es-ES" w:eastAsia="es-ES"/>
        </w:rPr>
        <w:t xml:space="preserve">     </w:t>
      </w:r>
    </w:p>
    <w:p w14:paraId="45BA190B" w14:textId="77777777" w:rsidR="006E6F49" w:rsidRPr="006E6F49" w:rsidRDefault="006E6F49" w:rsidP="006E6F49">
      <w:pPr>
        <w:keepNext/>
        <w:shd w:val="clear" w:color="auto" w:fill="FFFFFF"/>
        <w:spacing w:after="0" w:line="276" w:lineRule="auto"/>
        <w:outlineLvl w:val="2"/>
        <w:rPr>
          <w:rFonts w:ascii="Arial" w:eastAsia="Times New Roman" w:hAnsi="Arial" w:cs="Arial"/>
          <w:color w:val="222222"/>
          <w:sz w:val="27"/>
          <w:szCs w:val="27"/>
          <w:lang w:eastAsia="es-CO"/>
        </w:rPr>
      </w:pPr>
      <w:r w:rsidRPr="006E6F49">
        <w:rPr>
          <w:rFonts w:ascii="Calibri" w:eastAsia="Times New Roman" w:hAnsi="Calibri" w:cs="Calibri"/>
          <w:iCs/>
          <w:sz w:val="24"/>
          <w:szCs w:val="24"/>
          <w:u w:val="single"/>
          <w:lang w:val="es-ES" w:eastAsia="es-ES"/>
        </w:rPr>
        <w:t>CONPES 167 de 2013:</w:t>
      </w:r>
      <w:r w:rsidRPr="006E6F49">
        <w:rPr>
          <w:rFonts w:ascii="Arial" w:eastAsia="Times New Roman" w:hAnsi="Arial" w:cs="Arial"/>
          <w:bCs/>
          <w:sz w:val="26"/>
          <w:szCs w:val="26"/>
        </w:rPr>
        <w:t xml:space="preserve"> </w:t>
      </w:r>
      <w:r w:rsidRPr="006E6F49">
        <w:rPr>
          <w:rFonts w:ascii="Calibri" w:eastAsia="Times New Roman" w:hAnsi="Calibri" w:cs="Calibri"/>
          <w:i/>
          <w:sz w:val="24"/>
          <w:szCs w:val="24"/>
          <w:lang w:val="es-ES" w:eastAsia="es-ES"/>
        </w:rPr>
        <w:t xml:space="preserve">“Política Pública Integral Anticorrupción” </w:t>
      </w:r>
    </w:p>
    <w:p w14:paraId="0F5F894D" w14:textId="77777777" w:rsidR="006E6F49" w:rsidRPr="006E6F49" w:rsidRDefault="006E6F49" w:rsidP="006E6F49">
      <w:pPr>
        <w:spacing w:after="0" w:line="240" w:lineRule="auto"/>
        <w:jc w:val="both"/>
        <w:rPr>
          <w:rFonts w:ascii="Arial" w:eastAsia="Times New Roman" w:hAnsi="Arial" w:cs="Arial"/>
          <w:b/>
          <w:sz w:val="24"/>
          <w:szCs w:val="24"/>
          <w:lang w:val="es-ES" w:eastAsia="es-ES"/>
        </w:rPr>
      </w:pPr>
    </w:p>
    <w:p w14:paraId="5F22FB54"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Times New Roman"/>
          <w:bCs/>
          <w:sz w:val="24"/>
          <w:szCs w:val="24"/>
          <w:u w:val="single"/>
          <w:lang w:val="es-ES" w:eastAsia="es-ES"/>
        </w:rPr>
        <w:t>Ley 1712 de 2014</w:t>
      </w:r>
      <w:r w:rsidRPr="006E6F49">
        <w:rPr>
          <w:rFonts w:ascii="Calibri" w:eastAsia="Times New Roman" w:hAnsi="Calibri" w:cs="Times New Roman"/>
          <w:bCs/>
          <w:sz w:val="24"/>
          <w:szCs w:val="24"/>
          <w:lang w:val="es-ES" w:eastAsia="es-ES"/>
        </w:rPr>
        <w:t xml:space="preserve">: </w:t>
      </w:r>
      <w:r w:rsidRPr="006E6F49">
        <w:rPr>
          <w:rFonts w:ascii="Calibri" w:eastAsia="Times New Roman" w:hAnsi="Calibri" w:cs="Calibri"/>
          <w:bCs/>
          <w:i/>
          <w:sz w:val="24"/>
          <w:szCs w:val="24"/>
          <w:lang w:val="es-ES" w:eastAsia="es-ES"/>
        </w:rPr>
        <w:t>“Por medio de la cual se crea la Ley de Transparencia y del Derecho de Acceso a la Información Pública Nacional y se dictan otras disposiciones.”</w:t>
      </w:r>
    </w:p>
    <w:p w14:paraId="5C10B3BC"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07CC148F"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r w:rsidRPr="006E6F49">
        <w:rPr>
          <w:rFonts w:ascii="Calibri" w:eastAsia="Times New Roman" w:hAnsi="Calibri" w:cs="Calibri"/>
          <w:bCs/>
          <w:sz w:val="24"/>
          <w:szCs w:val="24"/>
          <w:u w:val="single"/>
          <w:lang w:val="es-ES" w:eastAsia="es-ES"/>
        </w:rPr>
        <w:t>Decreto 943 de 2014:</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el cual se actualiza el Modelo Estándar de Control Interno (MECI).”</w:t>
      </w:r>
    </w:p>
    <w:p w14:paraId="3B3D5C96"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p>
    <w:p w14:paraId="3C15A788"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103 de 2015:</w:t>
      </w:r>
      <w:r w:rsidRPr="006E6F49">
        <w:rPr>
          <w:rFonts w:ascii="Calibri" w:eastAsia="Times New Roman" w:hAnsi="Calibri" w:cs="Calibri"/>
          <w:bCs/>
          <w:i/>
          <w:sz w:val="24"/>
          <w:szCs w:val="24"/>
          <w:lang w:val="es-ES" w:eastAsia="es-ES"/>
        </w:rPr>
        <w:t xml:space="preserve"> “</w:t>
      </w:r>
      <w:r w:rsidRPr="006E6F49">
        <w:rPr>
          <w:rFonts w:ascii="Calibri" w:eastAsia="Times New Roman" w:hAnsi="Calibri" w:cs="Calibri"/>
          <w:i/>
          <w:sz w:val="24"/>
          <w:szCs w:val="24"/>
          <w:lang w:val="es-ES" w:eastAsia="es-ES"/>
        </w:rPr>
        <w:t>Por el cual se reglamenta parcialmente la Ley </w:t>
      </w:r>
      <w:hyperlink r:id="rId16" w:anchor="0" w:history="1">
        <w:r w:rsidRPr="006E6F49">
          <w:rPr>
            <w:rFonts w:ascii="Calibri" w:eastAsia="Times New Roman" w:hAnsi="Calibri" w:cs="Calibri"/>
            <w:bCs/>
            <w:i/>
            <w:sz w:val="24"/>
            <w:szCs w:val="24"/>
            <w:lang w:val="es-ES" w:eastAsia="es-ES"/>
          </w:rPr>
          <w:t>1712</w:t>
        </w:r>
      </w:hyperlink>
      <w:r w:rsidRPr="006E6F49">
        <w:rPr>
          <w:rFonts w:ascii="Calibri" w:eastAsia="Times New Roman" w:hAnsi="Calibri" w:cs="Calibri"/>
          <w:i/>
          <w:sz w:val="24"/>
          <w:szCs w:val="24"/>
          <w:lang w:val="es-ES" w:eastAsia="es-ES"/>
        </w:rPr>
        <w:t> de 2014 y se dictan otras disposiciones.”</w:t>
      </w:r>
    </w:p>
    <w:p w14:paraId="25C8D95C"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254766CE" w14:textId="77777777" w:rsidR="006E6F49" w:rsidRPr="006E6F49" w:rsidRDefault="006E6F49" w:rsidP="006E6F49">
      <w:pPr>
        <w:spacing w:after="0" w:line="240" w:lineRule="auto"/>
        <w:jc w:val="both"/>
        <w:rPr>
          <w:rFonts w:ascii="Calibri" w:eastAsia="Times New Roman" w:hAnsi="Calibri" w:cs="Times New Roman"/>
          <w:bCs/>
          <w:i/>
          <w:sz w:val="24"/>
          <w:szCs w:val="24"/>
          <w:lang w:val="es-ES" w:eastAsia="es-ES"/>
        </w:rPr>
      </w:pPr>
      <w:r w:rsidRPr="006E6F49">
        <w:rPr>
          <w:rFonts w:ascii="Calibri" w:eastAsia="Times New Roman" w:hAnsi="Calibri" w:cs="Calibri"/>
          <w:bCs/>
          <w:sz w:val="24"/>
          <w:szCs w:val="24"/>
          <w:u w:val="single"/>
          <w:lang w:val="es-ES" w:eastAsia="es-ES"/>
        </w:rPr>
        <w:t>Ley 1757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i/>
          <w:sz w:val="24"/>
          <w:szCs w:val="24"/>
          <w:lang w:val="es-ES" w:eastAsia="es-ES"/>
        </w:rPr>
        <w:t>“</w:t>
      </w:r>
      <w:r w:rsidRPr="006E6F49">
        <w:rPr>
          <w:rFonts w:ascii="Calibri" w:eastAsia="Times New Roman" w:hAnsi="Calibri" w:cs="Calibri"/>
          <w:i/>
          <w:sz w:val="24"/>
          <w:szCs w:val="24"/>
          <w:lang w:val="es-ES" w:eastAsia="es-ES"/>
        </w:rPr>
        <w:t>Por la cual se dictan disposiciones en materia de promoción y protección del derecho a la participación democrática.”</w:t>
      </w:r>
    </w:p>
    <w:p w14:paraId="3F3FB225"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09A20FF5" w14:textId="77777777" w:rsidR="006E6F49" w:rsidRPr="006E6F49" w:rsidRDefault="006E6F49" w:rsidP="006E6F49">
      <w:pPr>
        <w:spacing w:after="0" w:line="240" w:lineRule="auto"/>
        <w:jc w:val="both"/>
        <w:rPr>
          <w:rFonts w:ascii="Calibri" w:eastAsia="Times New Roman" w:hAnsi="Calibri" w:cs="Calibri"/>
          <w:i/>
          <w:sz w:val="24"/>
          <w:szCs w:val="24"/>
          <w:lang w:val="es-ES" w:eastAsia="es-ES"/>
        </w:rPr>
      </w:pPr>
      <w:r w:rsidRPr="006E6F49">
        <w:rPr>
          <w:rFonts w:ascii="Calibri" w:eastAsia="Times New Roman" w:hAnsi="Calibri" w:cs="Calibri"/>
          <w:bCs/>
          <w:sz w:val="24"/>
          <w:szCs w:val="24"/>
          <w:u w:val="single"/>
          <w:lang w:val="es-ES" w:eastAsia="es-ES"/>
        </w:rPr>
        <w:t>Ley 1755 de 2015:</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Times New Roman"/>
          <w:bCs/>
          <w:sz w:val="24"/>
          <w:szCs w:val="24"/>
          <w:lang w:val="es-ES" w:eastAsia="es-ES"/>
        </w:rPr>
        <w:t>“</w:t>
      </w:r>
      <w:r w:rsidRPr="006E6F49">
        <w:rPr>
          <w:rFonts w:ascii="Calibri" w:eastAsia="Times New Roman" w:hAnsi="Calibri" w:cs="Calibri"/>
          <w:i/>
          <w:sz w:val="24"/>
          <w:szCs w:val="24"/>
          <w:lang w:val="es-ES" w:eastAsia="es-ES"/>
        </w:rPr>
        <w:t>Por medio de la cual se regula el Derecho Fundamental de Petición y se sustituye un título del Código de Procedimiento Administrativo y de lo Contencioso Administrativo.”</w:t>
      </w:r>
    </w:p>
    <w:p w14:paraId="294AEDAA" w14:textId="77777777" w:rsidR="006E6F49" w:rsidRPr="006E6F49" w:rsidRDefault="006E6F49" w:rsidP="006E6F49">
      <w:pPr>
        <w:spacing w:after="0" w:line="240" w:lineRule="auto"/>
        <w:jc w:val="both"/>
        <w:rPr>
          <w:rFonts w:ascii="Calibri" w:eastAsia="Times New Roman" w:hAnsi="Calibri" w:cs="Times New Roman"/>
          <w:bCs/>
          <w:sz w:val="24"/>
          <w:szCs w:val="24"/>
          <w:lang w:val="es-ES" w:eastAsia="es-ES"/>
        </w:rPr>
      </w:pPr>
    </w:p>
    <w:p w14:paraId="3A8C6D6C"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1166 de 2016</w:t>
      </w:r>
      <w:r w:rsidRPr="006E6F49">
        <w:rPr>
          <w:rFonts w:ascii="Calibri" w:eastAsia="Times New Roman" w:hAnsi="Calibri" w:cs="Calibri"/>
          <w:bCs/>
          <w:sz w:val="24"/>
          <w:szCs w:val="24"/>
          <w:lang w:val="es-ES" w:eastAsia="es-ES"/>
        </w:rPr>
        <w:t xml:space="preserve">: </w:t>
      </w:r>
      <w:r w:rsidRPr="006E6F49">
        <w:rPr>
          <w:rFonts w:ascii="Calibri" w:eastAsia="Times New Roman" w:hAnsi="Calibri" w:cs="Calibr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384E99D5"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p>
    <w:p w14:paraId="3A7052CD"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sz w:val="24"/>
          <w:szCs w:val="24"/>
          <w:u w:val="single"/>
          <w:lang w:val="es-ES" w:eastAsia="es-ES"/>
        </w:rPr>
        <w:t>Decreto 124 de 2016</w:t>
      </w:r>
      <w:r w:rsidRPr="006E6F49">
        <w:rPr>
          <w:rFonts w:ascii="Calibri" w:eastAsia="Times New Roman" w:hAnsi="Calibri" w:cs="Calibri"/>
          <w:bCs/>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Por el cual se sustituye el Título IV de la Parte 1 del Libro 2 del Decreto</w:t>
      </w:r>
      <w:r w:rsidRPr="006E6F49">
        <w:rPr>
          <w:rFonts w:ascii="Calibri" w:eastAsia="Times New Roman" w:hAnsi="Calibri" w:cs="Times New Roman"/>
          <w:sz w:val="24"/>
          <w:szCs w:val="24"/>
          <w:lang w:val="es-ES" w:eastAsia="es-ES"/>
        </w:rPr>
        <w:t> </w:t>
      </w:r>
      <w:hyperlink r:id="rId17" w:anchor="0" w:history="1">
        <w:r w:rsidRPr="006E6F49">
          <w:rPr>
            <w:rFonts w:ascii="Calibri" w:eastAsia="Times New Roman" w:hAnsi="Calibri" w:cs="Times New Roman"/>
            <w:bCs/>
            <w:color w:val="000000"/>
            <w:sz w:val="24"/>
            <w:szCs w:val="24"/>
            <w:lang w:val="es-ES" w:eastAsia="es-ES"/>
          </w:rPr>
          <w:t>1081</w:t>
        </w:r>
      </w:hyperlink>
      <w:r w:rsidRPr="006E6F49">
        <w:rPr>
          <w:rFonts w:ascii="Calibri" w:eastAsia="Times New Roman" w:hAnsi="Calibri" w:cs="Times New Roman"/>
          <w:b/>
          <w:sz w:val="24"/>
          <w:szCs w:val="24"/>
          <w:lang w:val="es-ES" w:eastAsia="es-ES"/>
        </w:rPr>
        <w:t> </w:t>
      </w:r>
      <w:r w:rsidRPr="006E6F49">
        <w:rPr>
          <w:rFonts w:ascii="Calibri" w:eastAsia="Times New Roman" w:hAnsi="Calibri" w:cs="Times New Roman"/>
          <w:bCs/>
          <w:i/>
          <w:iCs/>
          <w:color w:val="000000"/>
          <w:sz w:val="24"/>
          <w:szCs w:val="24"/>
          <w:shd w:val="clear" w:color="auto" w:fill="FFFFFF"/>
          <w:lang w:val="es-ES" w:eastAsia="es-ES"/>
        </w:rPr>
        <w:t>de 2015, relativo al “Plan Anticorrupción y de Atención al Ciudadano”</w:t>
      </w:r>
      <w:r w:rsidRPr="006E6F49">
        <w:rPr>
          <w:rFonts w:ascii="Calibri" w:eastAsia="Times New Roman" w:hAnsi="Calibri" w:cs="Calibri"/>
          <w:bCs/>
          <w:i/>
          <w:sz w:val="24"/>
          <w:szCs w:val="24"/>
          <w:lang w:val="es-ES" w:eastAsia="es-ES"/>
        </w:rPr>
        <w:t xml:space="preserve"> </w:t>
      </w:r>
    </w:p>
    <w:p w14:paraId="022554D3" w14:textId="77777777" w:rsidR="006E6F49" w:rsidRPr="006E6F49" w:rsidRDefault="006E6F49" w:rsidP="006E6F49">
      <w:pPr>
        <w:spacing w:after="0" w:line="240" w:lineRule="auto"/>
        <w:jc w:val="both"/>
        <w:rPr>
          <w:rFonts w:ascii="Calibri" w:eastAsia="Times New Roman" w:hAnsi="Calibri" w:cs="Calibri"/>
          <w:bCs/>
          <w:i/>
          <w:sz w:val="24"/>
          <w:szCs w:val="24"/>
          <w:lang w:val="es-ES" w:eastAsia="es-ES"/>
        </w:rPr>
      </w:pPr>
      <w:r w:rsidRPr="006E6F49">
        <w:rPr>
          <w:rFonts w:ascii="Calibri" w:eastAsia="Times New Roman" w:hAnsi="Calibri" w:cs="Calibri"/>
          <w:bCs/>
          <w:i/>
          <w:sz w:val="24"/>
          <w:szCs w:val="24"/>
          <w:lang w:val="es-ES" w:eastAsia="es-ES"/>
        </w:rPr>
        <w:t xml:space="preserve">  </w:t>
      </w:r>
    </w:p>
    <w:p w14:paraId="6D33C7AA" w14:textId="77777777" w:rsidR="006E6F49" w:rsidRPr="006E6F49" w:rsidRDefault="006E6F49" w:rsidP="006E6F49">
      <w:pPr>
        <w:spacing w:after="0" w:line="240" w:lineRule="auto"/>
        <w:jc w:val="both"/>
        <w:rPr>
          <w:rFonts w:ascii="Calibri" w:eastAsia="Times New Roman" w:hAnsi="Calibri" w:cs="Calibri"/>
          <w:bCs/>
          <w:sz w:val="24"/>
          <w:szCs w:val="24"/>
          <w:lang w:val="es-ES" w:eastAsia="es-ES"/>
        </w:rPr>
      </w:pPr>
      <w:r w:rsidRPr="006E6F49">
        <w:rPr>
          <w:rFonts w:ascii="Calibri" w:eastAsia="Times New Roman" w:hAnsi="Calibri" w:cs="Calibri"/>
          <w:bCs/>
          <w:sz w:val="24"/>
          <w:szCs w:val="24"/>
          <w:u w:val="single"/>
          <w:lang w:val="es-ES" w:eastAsia="es-ES"/>
        </w:rPr>
        <w:t>Estrategias para la Construcción del Plan Anticorrupción y de Atención al Ciudadano:</w:t>
      </w:r>
      <w:r w:rsidRPr="006E6F49">
        <w:rPr>
          <w:rFonts w:ascii="Calibri" w:eastAsia="Times New Roman" w:hAnsi="Calibri" w:cs="Calibri"/>
          <w:bCs/>
          <w:sz w:val="24"/>
          <w:szCs w:val="24"/>
          <w:lang w:val="es-ES" w:eastAsia="es-ES"/>
        </w:rPr>
        <w:t xml:space="preserve"> Documento que establece los lineamientos y pautas para formular y hacer seguimiento al Plan Anticorrupción, Versión 2, 2015.</w:t>
      </w:r>
    </w:p>
    <w:p w14:paraId="767FBA9F" w14:textId="77777777" w:rsidR="006E6F49" w:rsidRDefault="006E6F49" w:rsidP="006E6F49">
      <w:pPr>
        <w:spacing w:after="0" w:line="240" w:lineRule="auto"/>
        <w:jc w:val="both"/>
        <w:rPr>
          <w:rFonts w:ascii="Calibri" w:eastAsia="Times New Roman" w:hAnsi="Calibri" w:cs="Calibri"/>
          <w:bCs/>
          <w:i/>
          <w:sz w:val="24"/>
          <w:szCs w:val="24"/>
          <w:lang w:val="es-ES" w:eastAsia="es-ES"/>
        </w:rPr>
      </w:pPr>
    </w:p>
    <w:p w14:paraId="1D274BE4" w14:textId="77777777" w:rsidR="00DE20C9" w:rsidRDefault="00DE20C9" w:rsidP="006E6F49">
      <w:pPr>
        <w:spacing w:after="0" w:line="240" w:lineRule="auto"/>
        <w:jc w:val="both"/>
        <w:rPr>
          <w:rFonts w:ascii="Calibri" w:eastAsia="Times New Roman" w:hAnsi="Calibri" w:cs="Calibri"/>
          <w:bCs/>
          <w:i/>
          <w:sz w:val="24"/>
          <w:szCs w:val="24"/>
          <w:lang w:val="es-ES" w:eastAsia="es-ES"/>
        </w:rPr>
      </w:pPr>
    </w:p>
    <w:p w14:paraId="0797337D" w14:textId="77777777" w:rsidR="00DE20C9" w:rsidRDefault="00DE20C9" w:rsidP="006E6F49">
      <w:pPr>
        <w:spacing w:after="0" w:line="240" w:lineRule="auto"/>
        <w:jc w:val="both"/>
        <w:rPr>
          <w:rFonts w:ascii="Calibri" w:eastAsia="Times New Roman" w:hAnsi="Calibri" w:cs="Calibri"/>
          <w:bCs/>
          <w:i/>
          <w:sz w:val="24"/>
          <w:szCs w:val="24"/>
          <w:lang w:val="es-ES" w:eastAsia="es-ES"/>
        </w:rPr>
      </w:pPr>
    </w:p>
    <w:p w14:paraId="4E9EE4BA" w14:textId="77777777" w:rsidR="00DE20C9" w:rsidRPr="006E6F49" w:rsidRDefault="00DE20C9" w:rsidP="006E6F49">
      <w:pPr>
        <w:spacing w:after="0" w:line="240" w:lineRule="auto"/>
        <w:jc w:val="both"/>
        <w:rPr>
          <w:rFonts w:ascii="Calibri" w:eastAsia="Times New Roman" w:hAnsi="Calibri" w:cs="Calibri"/>
          <w:bCs/>
          <w:i/>
          <w:sz w:val="24"/>
          <w:szCs w:val="24"/>
          <w:lang w:val="es-ES" w:eastAsia="es-ES"/>
        </w:rPr>
      </w:pPr>
    </w:p>
    <w:p w14:paraId="40B994C1"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32" w:name="_Toc355014816"/>
      <w:bookmarkStart w:id="33" w:name="_Toc355014897"/>
      <w:bookmarkStart w:id="34" w:name="_Toc355014951"/>
      <w:bookmarkStart w:id="35" w:name="_Toc355015013"/>
      <w:bookmarkStart w:id="36" w:name="_Toc355015067"/>
      <w:bookmarkStart w:id="37" w:name="_Toc355015229"/>
      <w:bookmarkStart w:id="38" w:name="_Toc361238712"/>
      <w:bookmarkStart w:id="39" w:name="_Toc378867795"/>
      <w:bookmarkStart w:id="40" w:name="_Toc441487010"/>
      <w:bookmarkStart w:id="41" w:name="_Toc480982383"/>
      <w:bookmarkStart w:id="42" w:name="_Toc353973015"/>
      <w:bookmarkStart w:id="43" w:name="_Toc353973067"/>
      <w:bookmarkEnd w:id="30"/>
      <w:r w:rsidRPr="006E6F49">
        <w:rPr>
          <w:rFonts w:ascii="Cambria" w:eastAsia="Times New Roman" w:hAnsi="Cambria" w:cs="Times New Roman"/>
          <w:b/>
          <w:sz w:val="24"/>
          <w:szCs w:val="20"/>
          <w:lang w:val="es-ES_tradnl" w:eastAsia="es-ES"/>
        </w:rPr>
        <w:t>OBJETIVO</w:t>
      </w:r>
      <w:bookmarkEnd w:id="32"/>
      <w:bookmarkEnd w:id="33"/>
      <w:bookmarkEnd w:id="34"/>
      <w:bookmarkEnd w:id="35"/>
      <w:bookmarkEnd w:id="36"/>
      <w:bookmarkEnd w:id="37"/>
      <w:bookmarkEnd w:id="38"/>
      <w:bookmarkEnd w:id="39"/>
      <w:bookmarkEnd w:id="40"/>
      <w:bookmarkEnd w:id="41"/>
    </w:p>
    <w:p w14:paraId="2A8C7A2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A36A299" w14:textId="77777777" w:rsidR="006E6F49" w:rsidRPr="006E6F49" w:rsidRDefault="006E6F49" w:rsidP="00A47874">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decisiones para el logro de los objetivos estratégicos, bajo condiciones de eficiencia, eficacia, efectividad , ética y solidez.</w:t>
      </w:r>
    </w:p>
    <w:p w14:paraId="4D08BA86"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sidDel="00E57CCD">
        <w:rPr>
          <w:rFonts w:ascii="Calibri" w:eastAsia="Times New Roman" w:hAnsi="Calibri" w:cs="Times New Roman"/>
          <w:sz w:val="24"/>
          <w:szCs w:val="24"/>
          <w:lang w:val="es-ES_tradnl" w:eastAsia="es-ES"/>
        </w:rPr>
        <w:t xml:space="preserve"> </w:t>
      </w:r>
    </w:p>
    <w:p w14:paraId="62E87295"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Entre los elementos que componen el plan se encuentran</w:t>
      </w:r>
      <w:r w:rsidR="00236582">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Pr>
          <w:rFonts w:ascii="Calibri" w:eastAsia="Times New Roman" w:hAnsi="Calibri" w:cs="Times New Roman"/>
          <w:sz w:val="24"/>
          <w:szCs w:val="24"/>
          <w:lang w:val="es-ES_tradnl" w:eastAsia="es-ES"/>
        </w:rPr>
        <w:t>ransparencia en la contratación</w:t>
      </w:r>
      <w:r w:rsidRPr="006E6F49">
        <w:rPr>
          <w:rFonts w:ascii="Calibri" w:eastAsia="Times New Roman" w:hAnsi="Calibri" w:cs="Times New Roman"/>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Pr>
          <w:rFonts w:ascii="Calibri" w:eastAsia="Times New Roman" w:hAnsi="Calibri" w:cs="Times New Roman"/>
          <w:sz w:val="24"/>
          <w:szCs w:val="24"/>
          <w:lang w:val="es-ES_tradnl" w:eastAsia="es-ES"/>
        </w:rPr>
        <w:t>sus</w:t>
      </w:r>
      <w:r w:rsidRPr="006E6F49">
        <w:rPr>
          <w:rFonts w:ascii="Calibri" w:eastAsia="Times New Roman" w:hAnsi="Calibri" w:cs="Times New Roman"/>
          <w:sz w:val="24"/>
          <w:szCs w:val="24"/>
          <w:lang w:val="es-ES_tradnl" w:eastAsia="es-ES"/>
        </w:rPr>
        <w:t xml:space="preserve"> acciones</w:t>
      </w:r>
      <w:r w:rsidR="00236582">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el empoderamiento de la ciudadanía y partes interesadas.</w:t>
      </w:r>
    </w:p>
    <w:p w14:paraId="0A80980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0255B6A4"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4" w:name="_Toc441487011"/>
      <w:bookmarkStart w:id="45" w:name="_Toc480982384"/>
      <w:r w:rsidRPr="006E6F49">
        <w:rPr>
          <w:rFonts w:ascii="Cambria" w:eastAsia="Times New Roman" w:hAnsi="Cambria" w:cs="Times New Roman"/>
          <w:b/>
          <w:sz w:val="24"/>
          <w:szCs w:val="20"/>
          <w:lang w:val="es-ES_tradnl" w:eastAsia="es-ES"/>
        </w:rPr>
        <w:t>OBJETIVOS ESPECÍFICOS</w:t>
      </w:r>
      <w:bookmarkEnd w:id="44"/>
      <w:bookmarkEnd w:id="45"/>
    </w:p>
    <w:p w14:paraId="2D4C607C"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61E43A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Mejorar los resultados de la ANI a través de los siguientes mecanismos de medición: FURAG, MECI e ITN.</w:t>
      </w:r>
    </w:p>
    <w:p w14:paraId="3216168A"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14:paraId="146B80CE"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Profundizar el proceso de Rendición de Cuentas, fomentando la participación de grupos de interés y ciudadanos en acciones de diálogo y retroalimentación </w:t>
      </w:r>
      <w:r w:rsidR="00236582">
        <w:rPr>
          <w:rFonts w:ascii="Calibri" w:eastAsia="Times New Roman" w:hAnsi="Calibri" w:cs="Times New Roman"/>
          <w:sz w:val="24"/>
          <w:szCs w:val="24"/>
          <w:lang w:val="es-ES_tradnl" w:eastAsia="es-ES"/>
        </w:rPr>
        <w:t>sobre</w:t>
      </w:r>
      <w:r w:rsidRPr="006E6F49">
        <w:rPr>
          <w:rFonts w:ascii="Calibri" w:eastAsia="Times New Roman" w:hAnsi="Calibri" w:cs="Times New Roman"/>
          <w:sz w:val="24"/>
          <w:szCs w:val="24"/>
          <w:lang w:val="es-ES_tradnl" w:eastAsia="es-ES"/>
        </w:rPr>
        <w:t xml:space="preserve"> la gestión de la ANI</w:t>
      </w:r>
      <w:r w:rsidR="00236582">
        <w:rPr>
          <w:rFonts w:ascii="Calibri" w:eastAsia="Times New Roman" w:hAnsi="Calibri" w:cs="Times New Roman"/>
          <w:sz w:val="24"/>
          <w:szCs w:val="24"/>
          <w:lang w:val="es-ES_tradnl" w:eastAsia="es-ES"/>
        </w:rPr>
        <w:t>.</w:t>
      </w:r>
    </w:p>
    <w:p w14:paraId="7B391C0D" w14:textId="77777777" w:rsidR="006E6F49" w:rsidRPr="006E6F49" w:rsidRDefault="00236582" w:rsidP="006E6F49">
      <w:pPr>
        <w:numPr>
          <w:ilvl w:val="0"/>
          <w:numId w:val="15"/>
        </w:num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Dar continuidad a</w:t>
      </w:r>
      <w:r w:rsidR="006E6F49" w:rsidRPr="006E6F49">
        <w:rPr>
          <w:rFonts w:ascii="Calibri" w:eastAsia="Times New Roman" w:hAnsi="Calibri" w:cs="Times New Roman"/>
          <w:sz w:val="24"/>
          <w:szCs w:val="24"/>
          <w:lang w:val="es-ES_tradnl" w:eastAsia="es-ES"/>
        </w:rPr>
        <w:t xml:space="preserve"> la implementación de los requerimientos de la Ley 1712 de 2014.</w:t>
      </w:r>
    </w:p>
    <w:p w14:paraId="719AC378"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Documentar el plan de acción para la implementación de la norma ISO 37001. “Sistema de gestión anti-soborno”, mediante el fortalecimiento de la cultura y la práctica continua de la gestión de la alta dirección y de toda la organización.</w:t>
      </w:r>
    </w:p>
    <w:p w14:paraId="5949D185"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Proponer estrategias para motivar la aplicación de la Ley 1712 de 2014 y el Decreto 103 de 2015 por parte de concesionarios e interventorías.</w:t>
      </w:r>
    </w:p>
    <w:p w14:paraId="7FF7D020"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Mantener el primer lugar en el ranking de la </w:t>
      </w:r>
      <w:r w:rsidRPr="006E6F49">
        <w:rPr>
          <w:rFonts w:ascii="Calibri" w:eastAsia="Times New Roman" w:hAnsi="Calibri" w:cs="Calibri"/>
          <w:sz w:val="24"/>
          <w:szCs w:val="24"/>
          <w:lang w:val="es-ES" w:eastAsia="x-none"/>
        </w:rPr>
        <w:t>medición del ISDIN-</w:t>
      </w:r>
      <w:r w:rsidR="00236582">
        <w:rPr>
          <w:rFonts w:ascii="Calibri" w:eastAsia="Times New Roman" w:hAnsi="Calibri" w:cs="Calibri"/>
          <w:sz w:val="24"/>
          <w:szCs w:val="24"/>
          <w:lang w:val="es-ES" w:eastAsia="x-none"/>
        </w:rPr>
        <w:t xml:space="preserve"> </w:t>
      </w:r>
      <w:r w:rsidRPr="006E6F49">
        <w:rPr>
          <w:rFonts w:ascii="Calibri" w:eastAsia="Times New Roman" w:hAnsi="Calibri" w:cs="Calibri"/>
          <w:sz w:val="24"/>
          <w:szCs w:val="24"/>
          <w:lang w:val="es-ES" w:eastAsia="x-none"/>
        </w:rPr>
        <w:t>Índice Sintético de Desempeño Institucional Nacional para la vigencia 2016-2017 en el sector transporte.</w:t>
      </w:r>
    </w:p>
    <w:p w14:paraId="60F862A5" w14:textId="77777777" w:rsidR="006E6F49" w:rsidRPr="006E6F49" w:rsidRDefault="00236582" w:rsidP="006E6F49">
      <w:pPr>
        <w:numPr>
          <w:ilvl w:val="0"/>
          <w:numId w:val="15"/>
        </w:num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Procurar e</w:t>
      </w:r>
      <w:r w:rsidR="006E6F49" w:rsidRPr="006E6F49">
        <w:rPr>
          <w:rFonts w:ascii="Calibri" w:eastAsia="Times New Roman" w:hAnsi="Calibri" w:cs="Times New Roman"/>
          <w:sz w:val="24"/>
          <w:szCs w:val="24"/>
          <w:lang w:val="es-ES_tradnl" w:eastAsia="es-ES"/>
        </w:rPr>
        <w:t xml:space="preserve">star en los primeros 5 puestos en el ranking de la </w:t>
      </w:r>
      <w:r w:rsidR="006E6F49" w:rsidRPr="006E6F49">
        <w:rPr>
          <w:rFonts w:ascii="Calibri" w:eastAsia="Times New Roman" w:hAnsi="Calibri" w:cs="Calibri"/>
          <w:sz w:val="24"/>
          <w:szCs w:val="24"/>
          <w:lang w:val="es-ES" w:eastAsia="x-none"/>
        </w:rPr>
        <w:t>medición del ISDIN-Índice Sintético de Desempeño Institucional Nacional para la vigencia 2016-2017 a nivel nacional.</w:t>
      </w:r>
    </w:p>
    <w:p w14:paraId="33ED3A12" w14:textId="77777777" w:rsidR="006E6F49" w:rsidRPr="006E6F49" w:rsidRDefault="006E6F49" w:rsidP="006E6F49">
      <w:pPr>
        <w:numPr>
          <w:ilvl w:val="0"/>
          <w:numId w:val="15"/>
        </w:num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Implementar buenas prácticas de seguridad de la información, basados en la norma ISO 27001 “Seguridad informática” al interior de la ANI.</w:t>
      </w:r>
    </w:p>
    <w:p w14:paraId="2ED98E1F" w14:textId="77777777" w:rsidR="005C368D" w:rsidRDefault="005C368D" w:rsidP="006E6F49">
      <w:pPr>
        <w:spacing w:after="0" w:line="240" w:lineRule="auto"/>
        <w:ind w:left="720"/>
        <w:rPr>
          <w:rFonts w:ascii="Calibri" w:eastAsia="Times New Roman" w:hAnsi="Calibri" w:cs="Calibri"/>
          <w:sz w:val="24"/>
          <w:szCs w:val="24"/>
          <w:lang w:val="es-ES" w:eastAsia="x-none"/>
        </w:rPr>
      </w:pPr>
    </w:p>
    <w:p w14:paraId="6B2DFCF9" w14:textId="77777777" w:rsidR="006E6F49" w:rsidRPr="006E6F49" w:rsidRDefault="006E6F49" w:rsidP="006E6F49">
      <w:pPr>
        <w:spacing w:after="0" w:line="240" w:lineRule="auto"/>
        <w:ind w:left="720"/>
        <w:rPr>
          <w:rFonts w:ascii="Calibri" w:eastAsia="Times New Roman" w:hAnsi="Calibri" w:cs="Times New Roman"/>
          <w:sz w:val="24"/>
          <w:szCs w:val="24"/>
          <w:highlight w:val="yellow"/>
          <w:lang w:val="es-ES_tradnl" w:eastAsia="es-ES"/>
        </w:rPr>
      </w:pPr>
    </w:p>
    <w:p w14:paraId="5E4EC1C2" w14:textId="77777777" w:rsidR="006E6F49" w:rsidRPr="006E6F49" w:rsidRDefault="006E6F49" w:rsidP="006E6F49">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46" w:name="_Toc355014817"/>
      <w:bookmarkStart w:id="47" w:name="_Toc355014898"/>
      <w:bookmarkStart w:id="48" w:name="_Toc355014952"/>
      <w:bookmarkStart w:id="49" w:name="_Toc355015014"/>
      <w:bookmarkStart w:id="50" w:name="_Toc355015068"/>
      <w:bookmarkStart w:id="51" w:name="_Toc355015230"/>
      <w:bookmarkStart w:id="52" w:name="_Toc361238713"/>
      <w:bookmarkStart w:id="53" w:name="_Toc378867796"/>
      <w:bookmarkStart w:id="54" w:name="_Toc441487012"/>
      <w:bookmarkStart w:id="55" w:name="_Toc480982385"/>
      <w:r w:rsidRPr="006E6F49">
        <w:rPr>
          <w:rFonts w:ascii="Cambria" w:eastAsia="Times New Roman" w:hAnsi="Cambria" w:cs="Times New Roman"/>
          <w:b/>
          <w:sz w:val="24"/>
          <w:szCs w:val="20"/>
          <w:lang w:val="es-ES_tradnl" w:eastAsia="es-ES"/>
        </w:rPr>
        <w:t>ALCANCE</w:t>
      </w:r>
      <w:bookmarkEnd w:id="46"/>
      <w:bookmarkEnd w:id="47"/>
      <w:bookmarkEnd w:id="48"/>
      <w:bookmarkEnd w:id="49"/>
      <w:bookmarkEnd w:id="50"/>
      <w:bookmarkEnd w:id="51"/>
      <w:bookmarkEnd w:id="52"/>
      <w:bookmarkEnd w:id="53"/>
      <w:bookmarkEnd w:id="54"/>
      <w:bookmarkEnd w:id="55"/>
    </w:p>
    <w:p w14:paraId="0E6C1F7F"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650113D1" w14:textId="77777777" w:rsidR="006E6F49" w:rsidRPr="006E6F49" w:rsidRDefault="004C56D6" w:rsidP="006E6F49">
      <w:p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El presente documento contiene</w:t>
      </w:r>
      <w:r w:rsidR="006E6F49" w:rsidRPr="006E6F49">
        <w:rPr>
          <w:rFonts w:ascii="Calibri" w:eastAsia="Times New Roman" w:hAnsi="Calibri" w:cs="Times New Roman"/>
          <w:sz w:val="24"/>
          <w:szCs w:val="24"/>
          <w:lang w:val="es-ES_tradnl" w:eastAsia="es-ES"/>
        </w:rPr>
        <w:t xml:space="preserve"> el Mapa de Riesgos de Corrupción y las medidas para mitigarlos, la estrategia de rendición de cuentas, de atención al ciudadano</w:t>
      </w:r>
      <w:r>
        <w:rPr>
          <w:rFonts w:ascii="Calibri" w:eastAsia="Times New Roman" w:hAnsi="Calibri" w:cs="Times New Roman"/>
          <w:sz w:val="24"/>
          <w:szCs w:val="24"/>
          <w:lang w:val="es-ES_tradnl" w:eastAsia="es-ES"/>
        </w:rPr>
        <w:t>,</w:t>
      </w:r>
      <w:r w:rsidR="006E6F49" w:rsidRPr="006E6F49">
        <w:rPr>
          <w:rFonts w:ascii="Calibri" w:eastAsia="Times New Roman" w:hAnsi="Calibri" w:cs="Times New Roman"/>
          <w:sz w:val="24"/>
          <w:szCs w:val="24"/>
          <w:lang w:val="es-ES_tradnl" w:eastAsia="es-ES"/>
        </w:rPr>
        <w:t xml:space="preserve"> el plan anti</w:t>
      </w:r>
      <w:r w:rsidR="00945D16">
        <w:rPr>
          <w:rFonts w:ascii="Calibri" w:eastAsia="Times New Roman" w:hAnsi="Calibri" w:cs="Times New Roman"/>
          <w:sz w:val="24"/>
          <w:szCs w:val="24"/>
          <w:lang w:val="es-ES_tradnl" w:eastAsia="es-ES"/>
        </w:rPr>
        <w:t>-</w:t>
      </w:r>
      <w:r>
        <w:rPr>
          <w:rFonts w:ascii="Calibri" w:eastAsia="Times New Roman" w:hAnsi="Calibri" w:cs="Times New Roman"/>
          <w:sz w:val="24"/>
          <w:szCs w:val="24"/>
          <w:lang w:val="es-ES_tradnl" w:eastAsia="es-ES"/>
        </w:rPr>
        <w:t>trámites;</w:t>
      </w:r>
      <w:r w:rsidR="006E6F49" w:rsidRPr="006E6F49">
        <w:rPr>
          <w:rFonts w:ascii="Calibri" w:eastAsia="Times New Roman" w:hAnsi="Calibri" w:cs="Times New Roman"/>
          <w:sz w:val="24"/>
          <w:szCs w:val="24"/>
          <w:lang w:val="es-ES_tradnl" w:eastAsia="es-ES"/>
        </w:rPr>
        <w:t xml:space="preserve"> los mecanismos para facilitar el acceso a la información, así como la publicidad de la misma, </w:t>
      </w:r>
      <w:r>
        <w:rPr>
          <w:rFonts w:ascii="Calibri" w:eastAsia="Times New Roman" w:hAnsi="Calibri" w:cs="Times New Roman"/>
          <w:sz w:val="24"/>
          <w:szCs w:val="24"/>
          <w:lang w:val="es-ES_tradnl" w:eastAsia="es-ES"/>
        </w:rPr>
        <w:t>y su i</w:t>
      </w:r>
      <w:r w:rsidR="006E6F49" w:rsidRPr="006E6F49">
        <w:rPr>
          <w:rFonts w:ascii="Calibri" w:eastAsia="Times New Roman" w:hAnsi="Calibri" w:cs="Times New Roman"/>
          <w:sz w:val="24"/>
          <w:szCs w:val="24"/>
          <w:lang w:val="es-ES_tradnl" w:eastAsia="es-ES"/>
        </w:rPr>
        <w:t xml:space="preserve">mplementación </w:t>
      </w:r>
      <w:r>
        <w:rPr>
          <w:rFonts w:ascii="Calibri" w:eastAsia="Times New Roman" w:hAnsi="Calibri" w:cs="Times New Roman"/>
          <w:sz w:val="24"/>
          <w:szCs w:val="24"/>
          <w:lang w:val="es-ES_tradnl" w:eastAsia="es-ES"/>
        </w:rPr>
        <w:t xml:space="preserve">permitirá a la </w:t>
      </w:r>
      <w:r w:rsidR="006E6F49" w:rsidRPr="006E6F49">
        <w:rPr>
          <w:rFonts w:ascii="Calibri" w:eastAsia="Times New Roman" w:hAnsi="Calibri" w:cs="Times New Roman"/>
          <w:sz w:val="24"/>
          <w:szCs w:val="24"/>
          <w:lang w:val="es-ES_tradnl" w:eastAsia="es-ES"/>
        </w:rPr>
        <w:t>Agencia contar con una herramienta</w:t>
      </w:r>
      <w:r>
        <w:rPr>
          <w:rFonts w:ascii="Calibri" w:eastAsia="Times New Roman" w:hAnsi="Calibri" w:cs="Times New Roman"/>
          <w:sz w:val="24"/>
          <w:szCs w:val="24"/>
          <w:lang w:val="es-ES_tradnl" w:eastAsia="es-ES"/>
        </w:rPr>
        <w:t xml:space="preserve"> adicional que la llevará a dar continuidad al ejercicio de gestión </w:t>
      </w:r>
      <w:r w:rsidR="006E6F49" w:rsidRPr="006E6F49">
        <w:rPr>
          <w:rFonts w:ascii="Calibri" w:eastAsia="Times New Roman" w:hAnsi="Calibri" w:cs="Times New Roman"/>
          <w:sz w:val="24"/>
          <w:szCs w:val="24"/>
          <w:lang w:val="es-ES_tradnl" w:eastAsia="es-ES"/>
        </w:rPr>
        <w:t xml:space="preserve">transparente </w:t>
      </w:r>
      <w:r>
        <w:rPr>
          <w:rFonts w:ascii="Calibri" w:eastAsia="Times New Roman" w:hAnsi="Calibri" w:cs="Times New Roman"/>
          <w:sz w:val="24"/>
          <w:szCs w:val="24"/>
          <w:lang w:val="es-ES_tradnl" w:eastAsia="es-ES"/>
        </w:rPr>
        <w:t xml:space="preserve">en todas las dinámicas confiadas a la entidad, especialmente a </w:t>
      </w:r>
      <w:r w:rsidR="006E6F49" w:rsidRPr="006E6F49">
        <w:rPr>
          <w:rFonts w:ascii="Calibri" w:eastAsia="Times New Roman" w:hAnsi="Calibri" w:cs="Times New Roman"/>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14:paraId="75621A1B"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p>
    <w:p w14:paraId="4F906E33"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72E0860C" w14:textId="77777777" w:rsidR="006E6F49" w:rsidRPr="006E6F49" w:rsidRDefault="006E6F49" w:rsidP="00367F63">
      <w:pPr>
        <w:numPr>
          <w:ilvl w:val="0"/>
          <w:numId w:val="17"/>
        </w:numPr>
        <w:spacing w:after="0" w:line="240" w:lineRule="auto"/>
        <w:outlineLvl w:val="0"/>
        <w:rPr>
          <w:rFonts w:ascii="Cambria" w:eastAsia="Times New Roman" w:hAnsi="Cambria" w:cs="Times New Roman"/>
          <w:b/>
          <w:sz w:val="24"/>
          <w:szCs w:val="20"/>
          <w:lang w:val="es-ES_tradnl" w:eastAsia="es-ES"/>
        </w:rPr>
      </w:pPr>
      <w:bookmarkStart w:id="56" w:name="_Toc441487013"/>
      <w:bookmarkStart w:id="57" w:name="_Toc480982386"/>
      <w:r w:rsidRPr="006E6F49">
        <w:rPr>
          <w:rFonts w:ascii="Cambria" w:eastAsia="Times New Roman" w:hAnsi="Cambria" w:cs="Times New Roman"/>
          <w:b/>
          <w:sz w:val="24"/>
          <w:szCs w:val="20"/>
          <w:lang w:val="es-ES_tradnl" w:eastAsia="es-ES"/>
        </w:rPr>
        <w:t>COMPONENTES</w:t>
      </w:r>
      <w:bookmarkEnd w:id="56"/>
      <w:bookmarkEnd w:id="57"/>
    </w:p>
    <w:p w14:paraId="2A836D4D" w14:textId="77777777" w:rsidR="006E6F49" w:rsidRPr="006E6F49" w:rsidRDefault="006E6F49" w:rsidP="006E6F49">
      <w:pPr>
        <w:keepNext/>
        <w:spacing w:before="240" w:after="60" w:line="240" w:lineRule="auto"/>
        <w:outlineLvl w:val="1"/>
        <w:rPr>
          <w:rFonts w:ascii="Cambria" w:eastAsia="Times New Roman" w:hAnsi="Cambria" w:cs="Arial"/>
          <w:bCs/>
          <w:i/>
          <w:iCs/>
          <w:sz w:val="24"/>
          <w:szCs w:val="24"/>
          <w:lang w:eastAsia="es-ES"/>
        </w:rPr>
      </w:pPr>
      <w:bookmarkStart w:id="58" w:name="_Toc355014819"/>
      <w:bookmarkStart w:id="59" w:name="_Toc355014900"/>
      <w:bookmarkStart w:id="60" w:name="_Toc355015016"/>
      <w:bookmarkStart w:id="61" w:name="_Toc355015070"/>
      <w:bookmarkStart w:id="62" w:name="_Toc355015232"/>
      <w:bookmarkStart w:id="63" w:name="_Toc361238715"/>
      <w:bookmarkStart w:id="64" w:name="_Toc378867798"/>
      <w:bookmarkStart w:id="65" w:name="_Toc441487014"/>
      <w:bookmarkStart w:id="66" w:name="_Toc480982387"/>
      <w:r w:rsidRPr="006E6F49">
        <w:rPr>
          <w:rFonts w:ascii="Cambria" w:eastAsia="Times New Roman" w:hAnsi="Cambria" w:cs="Arial"/>
          <w:b/>
          <w:bCs/>
          <w:i/>
          <w:iCs/>
          <w:sz w:val="24"/>
          <w:szCs w:val="24"/>
          <w:lang w:val="es-ES" w:eastAsia="es-ES"/>
        </w:rPr>
        <w:t xml:space="preserve">6.1 </w:t>
      </w:r>
      <w:bookmarkEnd w:id="58"/>
      <w:bookmarkEnd w:id="59"/>
      <w:bookmarkEnd w:id="60"/>
      <w:bookmarkEnd w:id="61"/>
      <w:bookmarkEnd w:id="62"/>
      <w:bookmarkEnd w:id="63"/>
      <w:bookmarkEnd w:id="64"/>
      <w:r w:rsidRPr="006E6F49">
        <w:rPr>
          <w:rFonts w:ascii="Cambria" w:eastAsia="Times New Roman" w:hAnsi="Cambria" w:cs="Calibri"/>
          <w:b/>
          <w:i/>
          <w:sz w:val="24"/>
          <w:szCs w:val="24"/>
          <w:lang w:val="es-ES_tradnl" w:eastAsia="es-ES"/>
        </w:rPr>
        <w:t>GESTIÓN DEL RIESGO DE CORRUPCIÓN - MAPA DE RIESGOS DE CORRUPCIÓN</w:t>
      </w:r>
      <w:bookmarkEnd w:id="65"/>
      <w:bookmarkEnd w:id="66"/>
    </w:p>
    <w:p w14:paraId="0F04EF07"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67" w:name="_Toc378867799"/>
      <w:bookmarkStart w:id="68" w:name="_Toc441487015"/>
      <w:bookmarkStart w:id="69" w:name="_Toc480982388"/>
      <w:r w:rsidRPr="006E6F49">
        <w:rPr>
          <w:rFonts w:ascii="Cambria" w:eastAsia="Times New Roman" w:hAnsi="Cambria" w:cs="Arial"/>
          <w:b/>
          <w:bCs/>
          <w:i/>
          <w:iCs/>
          <w:sz w:val="24"/>
          <w:szCs w:val="24"/>
          <w:lang w:val="es-ES" w:eastAsia="es-ES"/>
        </w:rPr>
        <w:t>6.1.1 Mapa de Riesgos de Corrupción</w:t>
      </w:r>
      <w:bookmarkEnd w:id="67"/>
      <w:bookmarkEnd w:id="68"/>
      <w:bookmarkEnd w:id="69"/>
    </w:p>
    <w:p w14:paraId="4B52A108"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3BF8804E"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cumplimiento de la Ley 1474/11 y el Decreto 2641/12, la Agencia Nacion</w:t>
      </w:r>
      <w:r w:rsidR="003F453E">
        <w:rPr>
          <w:rFonts w:ascii="Calibri" w:eastAsia="Times New Roman" w:hAnsi="Calibri" w:cs="Times New Roman"/>
          <w:sz w:val="24"/>
          <w:szCs w:val="24"/>
          <w:lang w:val="es-ES_tradnl" w:eastAsia="es-ES"/>
        </w:rPr>
        <w:t>al de Infraestructura ANI inició</w:t>
      </w:r>
      <w:r w:rsidRPr="006E6F49">
        <w:rPr>
          <w:rFonts w:ascii="Calibri" w:eastAsia="Times New Roman" w:hAnsi="Calibri" w:cs="Times New Roman"/>
          <w:sz w:val="24"/>
          <w:szCs w:val="24"/>
          <w:lang w:val="es-ES_tradnl" w:eastAsia="es-ES"/>
        </w:rPr>
        <w:t xml:space="preserve"> desde el año 2013 la identificación de los </w:t>
      </w:r>
      <w:r w:rsidR="003F453E">
        <w:rPr>
          <w:rFonts w:ascii="Calibri" w:eastAsia="Times New Roman" w:hAnsi="Calibri" w:cs="Times New Roman"/>
          <w:sz w:val="24"/>
          <w:szCs w:val="24"/>
          <w:lang w:val="es-ES_tradnl" w:eastAsia="es-ES"/>
        </w:rPr>
        <w:t>riesgos de corrupción, p</w:t>
      </w:r>
      <w:r w:rsidRPr="006E6F49">
        <w:rPr>
          <w:rFonts w:ascii="Calibri" w:eastAsia="Times New Roman" w:hAnsi="Calibri" w:cs="Times New Roman"/>
          <w:sz w:val="24"/>
          <w:szCs w:val="24"/>
          <w:lang w:val="es-ES_tradnl" w:eastAsia="es-ES"/>
        </w:rPr>
        <w:t>ara lo cual de forma 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tales como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manuales</w:t>
      </w:r>
      <w:r w:rsidRPr="006E6F49">
        <w:rPr>
          <w:rFonts w:ascii="Calibri" w:eastAsia="Times New Roman" w:hAnsi="Calibri" w:cs="Arial"/>
          <w:color w:val="000000"/>
          <w:sz w:val="24"/>
          <w:szCs w:val="24"/>
          <w:vertAlign w:val="superscript"/>
          <w:lang w:val="es-ES_tradnl" w:eastAsia="es-ES"/>
        </w:rPr>
        <w:footnoteReference w:id="1"/>
      </w:r>
      <w:r w:rsidRPr="006E6F49">
        <w:rPr>
          <w:rFonts w:ascii="Calibri" w:eastAsia="Times New Roman" w:hAnsi="Calibri" w:cs="Times New Roman"/>
          <w:sz w:val="24"/>
          <w:szCs w:val="24"/>
          <w:vertAlign w:val="superscript"/>
          <w:lang w:val="es-ES_tradnl" w:eastAsia="es-ES"/>
        </w:rPr>
        <w:t>,</w:t>
      </w:r>
      <w:r w:rsidRPr="006E6F49">
        <w:rPr>
          <w:rFonts w:ascii="Calibri" w:eastAsia="Times New Roman" w:hAnsi="Calibri" w:cs="Times New Roman"/>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14:paraId="475F065A"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p>
    <w:p w14:paraId="238398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Desde marzo de 2016 en cumplimiento del Decreto 124 de 2016, se ajustaron los Mapas de Riesgos y Medidas Anticorrupción de acuerdo a la metodología indicada por la Presidencia de la Republica</w:t>
      </w:r>
      <w:r w:rsidRPr="006E6F49">
        <w:rPr>
          <w:rFonts w:ascii="Calibri" w:eastAsia="Times New Roman" w:hAnsi="Calibri" w:cs="Times New Roman"/>
          <w:sz w:val="24"/>
          <w:szCs w:val="24"/>
          <w:vertAlign w:val="superscript"/>
          <w:lang w:val="es-ES_tradnl" w:eastAsia="es-ES"/>
        </w:rPr>
        <w:footnoteReference w:id="2"/>
      </w:r>
      <w:r w:rsidRPr="006E6F49">
        <w:rPr>
          <w:rFonts w:ascii="Calibri" w:eastAsia="Times New Roman" w:hAnsi="Calibri" w:cs="Times New Roman"/>
          <w:sz w:val="24"/>
          <w:szCs w:val="24"/>
          <w:lang w:val="es-ES_tradnl" w:eastAsia="es-ES"/>
        </w:rPr>
        <w:t xml:space="preserve">, alineando así los mapas anticorrupción de las áreas vulnerables con los procesos de calidad a los que </w:t>
      </w:r>
      <w:r w:rsidR="003F453E" w:rsidRPr="006E6F49">
        <w:rPr>
          <w:rFonts w:ascii="Calibri" w:eastAsia="Times New Roman" w:hAnsi="Calibri" w:cs="Times New Roman"/>
          <w:sz w:val="24"/>
          <w:szCs w:val="24"/>
          <w:lang w:val="es-ES_tradnl" w:eastAsia="es-ES"/>
        </w:rPr>
        <w:t>pertenece</w:t>
      </w:r>
      <w:r w:rsidRPr="006E6F49">
        <w:rPr>
          <w:rFonts w:ascii="Calibri" w:eastAsia="Times New Roman" w:hAnsi="Calibri" w:cs="Times New Roman"/>
          <w:sz w:val="24"/>
          <w:szCs w:val="24"/>
          <w:lang w:val="es-ES_tradnl" w:eastAsia="es-ES"/>
        </w:rPr>
        <w:t xml:space="preserv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de forma similar a la metodología usada para los mapas de riesgo institucionales. Esta nueva clasificación del riesgo permitirá optimizar la forma de medir los resultados de los controles y acciones de mitigación a desarrollarse en el 2017.</w:t>
      </w:r>
    </w:p>
    <w:p w14:paraId="0A82AAC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51DE9C23"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Para el año 2017 se continuarán realizando los ajustes a las políticas, metodología, manuales, formatos, mapa y matriz de riesgos de corrupción, en cumplimiento con las nuevas directrices nacionales. De otra parte, a fin de optimizar esfuerzos de planeación, se continuará insistiendo para que las áreas armonicen los planes de mitigación propuestos para el 2017 con los planes de acción y los objetivos de la Entidad. </w:t>
      </w:r>
    </w:p>
    <w:p w14:paraId="6418D0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7081870"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Finalmente se realizará monitoreo con base en los factores de riesgo o hechos significativos relacionados con corrupción (riesgos materializados, investigaciones relacionadas con corrupción, cambios importantes en el entorno que puedan generar riesgo)</w:t>
      </w:r>
      <w:r w:rsidR="003F453E">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a fin de tomar las medidas necesarias y ajustar oportunamente lo pertinente.</w:t>
      </w:r>
    </w:p>
    <w:p w14:paraId="7C9E4EC2" w14:textId="77777777" w:rsidR="005C368D" w:rsidRPr="006E6F49" w:rsidRDefault="005C368D" w:rsidP="006E6F49">
      <w:pPr>
        <w:spacing w:after="0" w:line="240" w:lineRule="auto"/>
        <w:jc w:val="both"/>
        <w:rPr>
          <w:rFonts w:ascii="Calibri" w:eastAsia="Times New Roman" w:hAnsi="Calibri" w:cs="Times New Roman"/>
          <w:sz w:val="24"/>
          <w:szCs w:val="24"/>
          <w:lang w:val="es-ES_tradnl" w:eastAsia="es-ES"/>
        </w:rPr>
      </w:pPr>
    </w:p>
    <w:p w14:paraId="60407304" w14:textId="77777777" w:rsidR="006E6F49" w:rsidRPr="006E6F49" w:rsidRDefault="004B3D05" w:rsidP="00CA55BA">
      <w:pPr>
        <w:keepNext/>
        <w:spacing w:before="240" w:after="60" w:line="240" w:lineRule="auto"/>
        <w:outlineLvl w:val="1"/>
        <w:rPr>
          <w:rFonts w:ascii="Cambria" w:eastAsia="Times New Roman" w:hAnsi="Cambria" w:cs="Arial"/>
          <w:b/>
          <w:bCs/>
          <w:i/>
          <w:iCs/>
          <w:sz w:val="24"/>
          <w:szCs w:val="24"/>
          <w:lang w:val="es-ES" w:eastAsia="es-ES"/>
        </w:rPr>
      </w:pPr>
      <w:bookmarkStart w:id="70" w:name="_Toc355014824"/>
      <w:bookmarkStart w:id="71" w:name="_Toc355014905"/>
      <w:bookmarkStart w:id="72" w:name="_Toc355015021"/>
      <w:bookmarkStart w:id="73" w:name="_Toc355015075"/>
      <w:bookmarkStart w:id="74" w:name="_Toc355015237"/>
      <w:bookmarkStart w:id="75" w:name="_Toc361238720"/>
      <w:bookmarkStart w:id="76" w:name="_Toc378867802"/>
      <w:bookmarkStart w:id="77" w:name="_Toc441487017"/>
      <w:bookmarkStart w:id="78" w:name="_Toc480982389"/>
      <w:r>
        <w:rPr>
          <w:rFonts w:ascii="Cambria" w:eastAsia="Times New Roman" w:hAnsi="Cambria" w:cs="Arial"/>
          <w:b/>
          <w:bCs/>
          <w:i/>
          <w:iCs/>
          <w:sz w:val="24"/>
          <w:szCs w:val="24"/>
          <w:lang w:val="es-ES" w:eastAsia="es-ES"/>
        </w:rPr>
        <w:t xml:space="preserve">6.2 </w:t>
      </w:r>
      <w:r w:rsidR="006E6F49" w:rsidRPr="006E6F49">
        <w:rPr>
          <w:rFonts w:ascii="Cambria" w:eastAsia="Times New Roman" w:hAnsi="Cambria" w:cs="Arial"/>
          <w:b/>
          <w:bCs/>
          <w:i/>
          <w:iCs/>
          <w:sz w:val="24"/>
          <w:szCs w:val="24"/>
          <w:lang w:val="es-ES" w:eastAsia="es-ES"/>
        </w:rPr>
        <w:t>RACIONALIZACIÓN DE TRÁMITES:</w:t>
      </w:r>
      <w:bookmarkEnd w:id="70"/>
      <w:bookmarkEnd w:id="71"/>
      <w:bookmarkEnd w:id="72"/>
      <w:bookmarkEnd w:id="73"/>
      <w:bookmarkEnd w:id="74"/>
      <w:bookmarkEnd w:id="75"/>
      <w:bookmarkEnd w:id="76"/>
      <w:bookmarkEnd w:id="77"/>
      <w:bookmarkEnd w:id="78"/>
    </w:p>
    <w:p w14:paraId="23895B1D"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79" w:name="_Toc480982390"/>
      <w:r w:rsidRPr="006E6F49">
        <w:rPr>
          <w:rFonts w:ascii="Cambria" w:eastAsia="Times New Roman" w:hAnsi="Cambria" w:cs="Arial"/>
          <w:b/>
          <w:bCs/>
          <w:i/>
          <w:iCs/>
          <w:sz w:val="24"/>
          <w:szCs w:val="24"/>
          <w:lang w:val="es-ES" w:eastAsia="es-ES"/>
        </w:rPr>
        <w:t>6.2.1 Identificación de Trámites</w:t>
      </w:r>
      <w:bookmarkEnd w:id="79"/>
    </w:p>
    <w:p w14:paraId="6779284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E0ADCDF"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eastAsia="es-ES"/>
        </w:rPr>
        <w:t xml:space="preserve">La Agencia Nacional de Infraestructura </w:t>
      </w:r>
      <w:r w:rsidRPr="006E6F49">
        <w:rPr>
          <w:rFonts w:ascii="Calibri" w:eastAsia="Times New Roman" w:hAnsi="Calibri" w:cs="Times New Roman"/>
          <w:sz w:val="24"/>
          <w:szCs w:val="24"/>
          <w:lang w:val="es-ES_tradnl" w:eastAsia="es-ES"/>
        </w:rPr>
        <w:t>cuenta con el siguiente inventario de trámites (</w:t>
      </w:r>
      <w:hyperlink r:id="rId18" w:history="1">
        <w:r w:rsidRPr="006E6F49">
          <w:rPr>
            <w:rFonts w:ascii="Calibri" w:eastAsia="Times New Roman" w:hAnsi="Calibri" w:cs="Times New Roman"/>
            <w:color w:val="0000FF"/>
            <w:sz w:val="24"/>
            <w:szCs w:val="24"/>
            <w:u w:val="single"/>
            <w:lang w:val="es-ES_tradnl" w:eastAsia="es-ES"/>
          </w:rPr>
          <w:t>http://www.ani.gov.co/servicios-de-informacion-al-ciudadano/tramites</w:t>
        </w:r>
      </w:hyperlink>
      <w:r w:rsidRPr="006E6F49">
        <w:rPr>
          <w:rFonts w:ascii="Calibri" w:eastAsia="Times New Roman" w:hAnsi="Calibri" w:cs="Times New Roman"/>
          <w:sz w:val="24"/>
          <w:szCs w:val="24"/>
          <w:lang w:val="es-ES_tradnl" w:eastAsia="es-ES"/>
        </w:rPr>
        <w:t>):</w:t>
      </w:r>
    </w:p>
    <w:p w14:paraId="71C82FE0"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27E18E8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Permiso para el uso, la ocupación y la intervención temporal de la infraestructura vial carretera concesionada y férrea.</w:t>
      </w:r>
    </w:p>
    <w:p w14:paraId="1326798A"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Concesión Portuaria</w:t>
      </w:r>
    </w:p>
    <w:p w14:paraId="46114D18"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Concesiones para Embarcaderos</w:t>
      </w:r>
    </w:p>
    <w:p w14:paraId="20C760C5"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Autorización Temporal Portuaria</w:t>
      </w:r>
    </w:p>
    <w:p w14:paraId="1BD8313F" w14:textId="77777777" w:rsidR="006E6F49" w:rsidRDefault="006E6F49" w:rsidP="006E6F49">
      <w:pPr>
        <w:spacing w:after="0" w:line="240" w:lineRule="auto"/>
        <w:rPr>
          <w:rFonts w:ascii="Calibri" w:eastAsia="Times New Roman" w:hAnsi="Calibri" w:cs="Times New Roman"/>
          <w:sz w:val="24"/>
          <w:szCs w:val="24"/>
          <w:lang w:val="es-ES_tradnl" w:eastAsia="es-ES"/>
        </w:rPr>
      </w:pPr>
    </w:p>
    <w:p w14:paraId="4FE602E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cadena de trámites:</w:t>
      </w:r>
    </w:p>
    <w:p w14:paraId="4609F032"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06508250"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ubicación de estaciones de servicio en vías nacionales concesionadas.</w:t>
      </w:r>
    </w:p>
    <w:p w14:paraId="59A3E9D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Concepto de viabilidad técnica para transporte de carga indivisible extra dimensionada y extra pesada</w:t>
      </w:r>
    </w:p>
    <w:p w14:paraId="004FA2F9"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0" w:name="_Toc480982391"/>
      <w:r w:rsidRPr="006E6F49">
        <w:rPr>
          <w:rFonts w:ascii="Cambria" w:eastAsia="Times New Roman" w:hAnsi="Cambria" w:cs="Arial"/>
          <w:b/>
          <w:bCs/>
          <w:i/>
          <w:iCs/>
          <w:sz w:val="24"/>
          <w:szCs w:val="24"/>
          <w:lang w:val="es-ES" w:eastAsia="es-ES"/>
        </w:rPr>
        <w:t>6.2.2 Priorización de Trámites</w:t>
      </w:r>
      <w:bookmarkEnd w:id="80"/>
    </w:p>
    <w:p w14:paraId="0A2BDC37"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4FABCE7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w:t>
      </w:r>
      <w:r w:rsidR="00F53E7D">
        <w:rPr>
          <w:rFonts w:ascii="Calibri" w:eastAsia="Times New Roman" w:hAnsi="Calibri" w:cs="Times New Roman"/>
          <w:sz w:val="24"/>
          <w:szCs w:val="24"/>
          <w:lang w:val="es-ES_tradnl" w:eastAsia="es-ES"/>
        </w:rPr>
        <w:t>,</w:t>
      </w:r>
      <w:r w:rsidRPr="006E6F49">
        <w:rPr>
          <w:rFonts w:ascii="Calibri" w:eastAsia="Times New Roman" w:hAnsi="Calibri" w:cs="Times New Roman"/>
          <w:sz w:val="24"/>
          <w:szCs w:val="24"/>
          <w:lang w:val="es-ES_tradnl" w:eastAsia="es-ES"/>
        </w:rPr>
        <w:t xml:space="preserve"> en los mismos se encuentran incorporados los acuerdos de niveles de servicio.</w:t>
      </w:r>
    </w:p>
    <w:p w14:paraId="0D1CCB6C"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24B49FC4"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1" w:name="_Toc480982392"/>
      <w:r w:rsidRPr="006E6F49">
        <w:rPr>
          <w:rFonts w:ascii="Cambria" w:eastAsia="Times New Roman" w:hAnsi="Cambria" w:cs="Arial"/>
          <w:b/>
          <w:bCs/>
          <w:i/>
          <w:iCs/>
          <w:sz w:val="24"/>
          <w:szCs w:val="24"/>
          <w:lang w:val="es-ES" w:eastAsia="es-ES"/>
        </w:rPr>
        <w:t>6.2.3 Racionalización de Trámites</w:t>
      </w:r>
      <w:bookmarkEnd w:id="81"/>
    </w:p>
    <w:p w14:paraId="4061D827"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p>
    <w:p w14:paraId="04AE219E"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La totalidad de nuestros trámites se encuentran avalados en el SUIT e incluidos en la plataforma </w:t>
      </w:r>
      <w:hyperlink r:id="rId19" w:history="1">
        <w:r w:rsidRPr="006E6F49">
          <w:rPr>
            <w:rFonts w:ascii="Calibri" w:eastAsia="Times New Roman" w:hAnsi="Calibri" w:cs="Times New Roman"/>
            <w:color w:val="0000FF"/>
            <w:sz w:val="24"/>
            <w:szCs w:val="24"/>
            <w:u w:val="single"/>
            <w:lang w:val="es-ES_tradnl" w:eastAsia="es-ES"/>
          </w:rPr>
          <w:t>SIVIRTUAL</w:t>
        </w:r>
      </w:hyperlink>
      <w:r w:rsidRPr="006E6F49">
        <w:rPr>
          <w:rFonts w:ascii="Calibri" w:eastAsia="Times New Roman" w:hAnsi="Calibri" w:cs="Times New Roman"/>
          <w:sz w:val="24"/>
          <w:szCs w:val="24"/>
          <w:lang w:val="es-ES_tradnl" w:eastAsia="es-ES"/>
        </w:rPr>
        <w:t>.</w:t>
      </w:r>
    </w:p>
    <w:p w14:paraId="274C6EE2" w14:textId="77777777" w:rsidR="006E6F49" w:rsidRPr="006E6F49" w:rsidRDefault="006E6F49" w:rsidP="006E6F49">
      <w:pPr>
        <w:keepNext/>
        <w:spacing w:before="240" w:after="60" w:line="240" w:lineRule="auto"/>
        <w:outlineLvl w:val="1"/>
        <w:rPr>
          <w:rFonts w:ascii="Cambria" w:eastAsia="Times New Roman" w:hAnsi="Cambria" w:cs="Arial"/>
          <w:b/>
          <w:bCs/>
          <w:i/>
          <w:iCs/>
          <w:sz w:val="24"/>
          <w:szCs w:val="24"/>
          <w:lang w:val="es-ES" w:eastAsia="es-ES"/>
        </w:rPr>
      </w:pPr>
      <w:bookmarkStart w:id="82" w:name="_Toc355014825"/>
      <w:bookmarkStart w:id="83" w:name="_Toc355014906"/>
      <w:bookmarkStart w:id="84" w:name="_Toc355015022"/>
      <w:bookmarkStart w:id="85" w:name="_Toc355015076"/>
      <w:bookmarkStart w:id="86" w:name="_Toc355015238"/>
      <w:bookmarkStart w:id="87" w:name="_Toc361238721"/>
      <w:bookmarkStart w:id="88" w:name="_Toc378867803"/>
      <w:bookmarkStart w:id="89" w:name="_Toc441487018"/>
      <w:bookmarkStart w:id="90" w:name="_Toc480982393"/>
      <w:r w:rsidRPr="006E6F49">
        <w:rPr>
          <w:rFonts w:ascii="Cambria" w:eastAsia="Times New Roman" w:hAnsi="Cambria" w:cs="Arial"/>
          <w:b/>
          <w:bCs/>
          <w:i/>
          <w:iCs/>
          <w:sz w:val="24"/>
          <w:szCs w:val="24"/>
          <w:lang w:val="es-ES" w:eastAsia="es-ES"/>
        </w:rPr>
        <w:t xml:space="preserve">6.2.4 </w:t>
      </w:r>
      <w:bookmarkEnd w:id="82"/>
      <w:bookmarkEnd w:id="83"/>
      <w:bookmarkEnd w:id="84"/>
      <w:bookmarkEnd w:id="85"/>
      <w:bookmarkEnd w:id="86"/>
      <w:bookmarkEnd w:id="87"/>
      <w:bookmarkEnd w:id="88"/>
      <w:bookmarkEnd w:id="89"/>
      <w:r w:rsidRPr="006E6F49">
        <w:rPr>
          <w:rFonts w:ascii="Cambria" w:eastAsia="Times New Roman" w:hAnsi="Cambria" w:cs="Arial"/>
          <w:b/>
          <w:bCs/>
          <w:i/>
          <w:iCs/>
          <w:sz w:val="24"/>
          <w:szCs w:val="24"/>
          <w:lang w:val="es-ES" w:eastAsia="es-ES"/>
        </w:rPr>
        <w:t>Interoperabilidad</w:t>
      </w:r>
      <w:bookmarkEnd w:id="90"/>
    </w:p>
    <w:p w14:paraId="3A46AEB1" w14:textId="77777777" w:rsidR="006E6F49" w:rsidRPr="006E6F49" w:rsidRDefault="006E6F49" w:rsidP="006E6F49">
      <w:pPr>
        <w:spacing w:after="0" w:line="240" w:lineRule="auto"/>
        <w:jc w:val="both"/>
        <w:rPr>
          <w:rFonts w:ascii="Calibri" w:eastAsia="Times New Roman" w:hAnsi="Calibri" w:cs="Times New Roman"/>
          <w:sz w:val="24"/>
          <w:szCs w:val="24"/>
          <w:lang w:eastAsia="es-ES"/>
        </w:rPr>
      </w:pPr>
      <w:r w:rsidRPr="006E6F49">
        <w:rPr>
          <w:rFonts w:ascii="Calibri" w:eastAsia="Times New Roman" w:hAnsi="Calibri" w:cs="Times New Roman"/>
          <w:sz w:val="24"/>
          <w:szCs w:val="24"/>
          <w:lang w:eastAsia="es-ES"/>
        </w:rPr>
        <w:t>El Grupo de Atención al Ciudadano durante la presente vigencia liderará el proceso para la identificación de nuevas cadenas de trámites, y análisis de la viabilidad de su inclusión en el sistema único de información de trámites –SUIT- o su posibilidad de unificación con otro existente.</w:t>
      </w:r>
    </w:p>
    <w:p w14:paraId="44A886EE" w14:textId="77777777" w:rsidR="006E6F49" w:rsidRPr="006E6F49" w:rsidRDefault="006E6F49" w:rsidP="006E6F49">
      <w:pPr>
        <w:spacing w:after="0" w:line="240" w:lineRule="auto"/>
        <w:jc w:val="both"/>
        <w:rPr>
          <w:rFonts w:ascii="Calibri" w:eastAsia="Times New Roman" w:hAnsi="Calibri" w:cs="Times New Roman"/>
          <w:b/>
          <w:bCs/>
          <w:sz w:val="24"/>
          <w:szCs w:val="24"/>
          <w:lang w:val="es-ES" w:eastAsia="es-ES"/>
        </w:rPr>
      </w:pPr>
    </w:p>
    <w:p w14:paraId="104D2F02"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91" w:name="_Toc355014828"/>
      <w:bookmarkStart w:id="92" w:name="_Toc355014909"/>
      <w:bookmarkStart w:id="93" w:name="_Toc355015025"/>
      <w:bookmarkStart w:id="94" w:name="_Toc355015079"/>
      <w:bookmarkStart w:id="95" w:name="_Toc355015241"/>
      <w:bookmarkStart w:id="96" w:name="_Toc361238724"/>
      <w:bookmarkStart w:id="97" w:name="_Toc378867806"/>
      <w:bookmarkStart w:id="98" w:name="_Toc441487020"/>
      <w:bookmarkStart w:id="99" w:name="_Toc480982394"/>
      <w:r>
        <w:rPr>
          <w:rFonts w:ascii="Cambria" w:eastAsia="Times New Roman" w:hAnsi="Cambria" w:cs="Arial"/>
          <w:b/>
          <w:bCs/>
          <w:i/>
          <w:iCs/>
          <w:sz w:val="24"/>
          <w:szCs w:val="24"/>
          <w:lang w:val="es-ES" w:eastAsia="es-ES"/>
        </w:rPr>
        <w:t xml:space="preserve">6.3 </w:t>
      </w:r>
      <w:r w:rsidRPr="006E6F49">
        <w:rPr>
          <w:rFonts w:ascii="Cambria" w:eastAsia="Times New Roman" w:hAnsi="Cambria" w:cs="Arial"/>
          <w:b/>
          <w:bCs/>
          <w:i/>
          <w:iCs/>
          <w:sz w:val="24"/>
          <w:szCs w:val="24"/>
          <w:lang w:val="es-ES" w:eastAsia="es-ES"/>
        </w:rPr>
        <w:t>RENDICIÓN DE CUENTAS:</w:t>
      </w:r>
      <w:bookmarkEnd w:id="91"/>
      <w:bookmarkEnd w:id="92"/>
      <w:bookmarkEnd w:id="93"/>
      <w:bookmarkEnd w:id="94"/>
      <w:bookmarkEnd w:id="95"/>
      <w:bookmarkEnd w:id="96"/>
      <w:bookmarkEnd w:id="97"/>
      <w:bookmarkEnd w:id="98"/>
      <w:bookmarkEnd w:id="99"/>
    </w:p>
    <w:p w14:paraId="7C110B55"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00" w:name="_Toc441487021"/>
      <w:bookmarkStart w:id="101" w:name="_Toc480982395"/>
      <w:bookmarkStart w:id="102" w:name="_Toc355014829"/>
      <w:bookmarkStart w:id="103" w:name="_Toc355014910"/>
      <w:bookmarkStart w:id="104" w:name="_Toc355015026"/>
      <w:bookmarkStart w:id="105" w:name="_Toc355015080"/>
      <w:bookmarkStart w:id="106" w:name="_Toc355015242"/>
      <w:bookmarkStart w:id="107" w:name="_Toc361238725"/>
      <w:bookmarkEnd w:id="29"/>
      <w:bookmarkEnd w:id="42"/>
      <w:bookmarkEnd w:id="43"/>
      <w:r w:rsidRPr="006E6F49">
        <w:rPr>
          <w:rFonts w:ascii="Cambria" w:eastAsia="Times New Roman" w:hAnsi="Cambria" w:cs="Arial"/>
          <w:b/>
          <w:bCs/>
          <w:i/>
          <w:iCs/>
          <w:sz w:val="24"/>
          <w:szCs w:val="24"/>
          <w:lang w:val="es-ES" w:eastAsia="es-ES"/>
        </w:rPr>
        <w:t>Objetivo</w:t>
      </w:r>
      <w:bookmarkEnd w:id="100"/>
      <w:bookmarkEnd w:id="101"/>
    </w:p>
    <w:p w14:paraId="34ECB125"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bookmarkEnd w:id="102"/>
    <w:bookmarkEnd w:id="103"/>
    <w:bookmarkEnd w:id="104"/>
    <w:bookmarkEnd w:id="105"/>
    <w:bookmarkEnd w:id="106"/>
    <w:bookmarkEnd w:id="107"/>
    <w:p w14:paraId="77549641"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La estrategia de rendición de cuentas de la Agencia, tiene como objetivo fomentar y fortalecer la participación de la ciudadanía y grupos de interés; para ello continuará realizando eventos en los cuales se </w:t>
      </w:r>
      <w:r w:rsidR="00F53E7D" w:rsidRPr="006E6F49">
        <w:rPr>
          <w:rFonts w:ascii="Calibri" w:eastAsia="Times New Roman" w:hAnsi="Calibri" w:cs="Times New Roman"/>
          <w:sz w:val="24"/>
          <w:szCs w:val="24"/>
        </w:rPr>
        <w:t>vigorice</w:t>
      </w:r>
      <w:r w:rsidRPr="006E6F49">
        <w:rPr>
          <w:rFonts w:ascii="Calibri" w:eastAsia="Times New Roman" w:hAnsi="Calibri" w:cs="Times New Roman"/>
          <w:sz w:val="24"/>
          <w:szCs w:val="24"/>
        </w:rPr>
        <w:t xml:space="preserve"> la interlocución con las comunidades y partes interesadas, </w:t>
      </w:r>
      <w:r w:rsidR="00F53E7D">
        <w:rPr>
          <w:rFonts w:ascii="Calibri" w:eastAsia="Times New Roman" w:hAnsi="Calibri" w:cs="Times New Roman"/>
          <w:sz w:val="24"/>
          <w:szCs w:val="24"/>
        </w:rPr>
        <w:t xml:space="preserve">para ampliar y robustecer el </w:t>
      </w:r>
      <w:r w:rsidRPr="006E6F49">
        <w:rPr>
          <w:rFonts w:ascii="Calibri" w:eastAsia="Times New Roman" w:hAnsi="Calibri" w:cs="Times New Roman"/>
          <w:sz w:val="24"/>
          <w:szCs w:val="24"/>
        </w:rPr>
        <w:t>conoc</w:t>
      </w:r>
      <w:r w:rsidR="00F53E7D">
        <w:rPr>
          <w:rFonts w:ascii="Calibri" w:eastAsia="Times New Roman" w:hAnsi="Calibri" w:cs="Times New Roman"/>
          <w:sz w:val="24"/>
          <w:szCs w:val="24"/>
        </w:rPr>
        <w:t>imiento de</w:t>
      </w:r>
      <w:r w:rsidRPr="006E6F49">
        <w:rPr>
          <w:rFonts w:ascii="Calibri" w:eastAsia="Times New Roman" w:hAnsi="Calibri" w:cs="Times New Roman"/>
          <w:sz w:val="24"/>
          <w:szCs w:val="24"/>
        </w:rPr>
        <w:t xml:space="preserve"> los proyectos </w:t>
      </w:r>
      <w:r w:rsidR="00F53E7D">
        <w:rPr>
          <w:rFonts w:ascii="Calibri" w:eastAsia="Times New Roman" w:hAnsi="Calibri" w:cs="Times New Roman"/>
          <w:sz w:val="24"/>
          <w:szCs w:val="24"/>
        </w:rPr>
        <w:t>a su cargo</w:t>
      </w:r>
      <w:r w:rsidRPr="006E6F49">
        <w:rPr>
          <w:rFonts w:ascii="Calibri" w:eastAsia="Times New Roman" w:hAnsi="Calibri" w:cs="Times New Roman"/>
          <w:sz w:val="24"/>
          <w:szCs w:val="24"/>
        </w:rPr>
        <w:t xml:space="preserve">, vincular a las partes interesadas en el proceso de formulación y seguimiento de los planes, profundizar </w:t>
      </w:r>
      <w:r w:rsidR="00F53E7D">
        <w:rPr>
          <w:rFonts w:ascii="Calibri" w:eastAsia="Times New Roman" w:hAnsi="Calibri" w:cs="Times New Roman"/>
          <w:sz w:val="24"/>
          <w:szCs w:val="24"/>
        </w:rPr>
        <w:t xml:space="preserve">en la generación de estrategias para enriquecer </w:t>
      </w:r>
      <w:r w:rsidRPr="006E6F49">
        <w:rPr>
          <w:rFonts w:ascii="Calibri" w:eastAsia="Times New Roman" w:hAnsi="Calibri" w:cs="Times New Roman"/>
          <w:sz w:val="24"/>
          <w:szCs w:val="24"/>
        </w:rPr>
        <w:t xml:space="preserve">el proceso de circulación y acceso de la información de la Agencia y consolidar el control ciudadano.  </w:t>
      </w:r>
    </w:p>
    <w:p w14:paraId="03153633"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5FCCFC4C"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En la vigencia 2016, la entidad desarrolló su estrategia en tres </w:t>
      </w:r>
      <w:r w:rsidR="00F53E7D">
        <w:rPr>
          <w:rFonts w:ascii="Calibri" w:eastAsia="Times New Roman" w:hAnsi="Calibri" w:cs="Times New Roman"/>
          <w:sz w:val="24"/>
          <w:szCs w:val="24"/>
        </w:rPr>
        <w:t>(3) aspectos fundamentales:</w:t>
      </w:r>
      <w:r w:rsidRPr="006E6F49">
        <w:rPr>
          <w:rFonts w:ascii="Calibri" w:eastAsia="Times New Roman" w:hAnsi="Calibri" w:cs="Times New Roman"/>
          <w:sz w:val="24"/>
          <w:szCs w:val="24"/>
        </w:rPr>
        <w:t xml:space="preserve"> el primero de ellos corresponde a las acciones de publicidad de la info</w:t>
      </w:r>
      <w:r w:rsidR="00F53E7D">
        <w:rPr>
          <w:rFonts w:ascii="Calibri" w:eastAsia="Times New Roman" w:hAnsi="Calibri" w:cs="Times New Roman"/>
          <w:sz w:val="24"/>
          <w:szCs w:val="24"/>
        </w:rPr>
        <w:t>rmación relevante de la Entidad;</w:t>
      </w:r>
      <w:r w:rsidRPr="006E6F49">
        <w:rPr>
          <w:rFonts w:ascii="Calibri" w:eastAsia="Times New Roman" w:hAnsi="Calibri" w:cs="Times New Roman"/>
          <w:sz w:val="24"/>
          <w:szCs w:val="24"/>
        </w:rPr>
        <w:t xml:space="preserve"> para tal fin</w:t>
      </w:r>
      <w:r w:rsidR="00F53E7D">
        <w:rPr>
          <w:rFonts w:ascii="Calibri" w:eastAsia="Times New Roman" w:hAnsi="Calibri" w:cs="Times New Roman"/>
          <w:sz w:val="24"/>
          <w:szCs w:val="24"/>
        </w:rPr>
        <w:t>,</w:t>
      </w:r>
      <w:r w:rsidRPr="006E6F49">
        <w:rPr>
          <w:rFonts w:ascii="Calibri" w:eastAsia="Times New Roman" w:hAnsi="Calibri" w:cs="Times New Roman"/>
          <w:sz w:val="24"/>
          <w:szCs w:val="24"/>
        </w:rPr>
        <w:t xml:space="preserve"> elaboró una matriz en la cual identific</w:t>
      </w:r>
      <w:r w:rsidR="00F53E7D">
        <w:rPr>
          <w:rFonts w:ascii="Calibri" w:eastAsia="Times New Roman" w:hAnsi="Calibri" w:cs="Times New Roman"/>
          <w:sz w:val="24"/>
          <w:szCs w:val="24"/>
        </w:rPr>
        <w:t>ó</w:t>
      </w:r>
      <w:r w:rsidRPr="006E6F49">
        <w:rPr>
          <w:rFonts w:ascii="Calibri" w:eastAsia="Times New Roman" w:hAnsi="Calibri" w:cs="Times New Roman"/>
          <w:sz w:val="24"/>
          <w:szCs w:val="24"/>
        </w:rPr>
        <w:t xml:space="preserve"> los elementos de información y los responsables de </w:t>
      </w:r>
      <w:r w:rsidR="00F53E7D">
        <w:rPr>
          <w:rFonts w:ascii="Calibri" w:eastAsia="Times New Roman" w:hAnsi="Calibri" w:cs="Times New Roman"/>
          <w:sz w:val="24"/>
          <w:szCs w:val="24"/>
        </w:rPr>
        <w:t>su publicación en la Página WEB. Consolidada</w:t>
      </w:r>
      <w:r w:rsidRPr="006E6F49">
        <w:rPr>
          <w:rFonts w:ascii="Calibri" w:eastAsia="Times New Roman" w:hAnsi="Calibri" w:cs="Times New Roman"/>
          <w:sz w:val="24"/>
          <w:szCs w:val="24"/>
        </w:rPr>
        <w:t xml:space="preserve"> esta información</w:t>
      </w:r>
      <w:r w:rsidR="00F53E7D">
        <w:rPr>
          <w:rFonts w:ascii="Calibri" w:eastAsia="Times New Roman" w:hAnsi="Calibri" w:cs="Times New Roman"/>
          <w:sz w:val="24"/>
          <w:szCs w:val="24"/>
        </w:rPr>
        <w:t>,</w:t>
      </w:r>
      <w:r w:rsidRPr="006E6F49">
        <w:rPr>
          <w:rFonts w:ascii="Calibri" w:eastAsia="Times New Roman" w:hAnsi="Calibri" w:cs="Times New Roman"/>
          <w:sz w:val="24"/>
          <w:szCs w:val="24"/>
        </w:rPr>
        <w:t xml:space="preserve"> </w:t>
      </w:r>
      <w:r w:rsidR="00F53E7D">
        <w:rPr>
          <w:rFonts w:ascii="Calibri" w:eastAsia="Times New Roman" w:hAnsi="Calibri" w:cs="Times New Roman"/>
          <w:sz w:val="24"/>
          <w:szCs w:val="24"/>
        </w:rPr>
        <w:t>llevó a cabo</w:t>
      </w:r>
      <w:r w:rsidRPr="006E6F49">
        <w:rPr>
          <w:rFonts w:ascii="Calibri" w:eastAsia="Times New Roman" w:hAnsi="Calibri" w:cs="Times New Roman"/>
          <w:sz w:val="24"/>
          <w:szCs w:val="24"/>
        </w:rPr>
        <w:t xml:space="preserve"> una revisión a la mencionada página y procedió </w:t>
      </w:r>
      <w:r w:rsidR="00F53E7D">
        <w:rPr>
          <w:rFonts w:ascii="Calibri" w:eastAsia="Times New Roman" w:hAnsi="Calibri" w:cs="Times New Roman"/>
          <w:sz w:val="24"/>
          <w:szCs w:val="24"/>
        </w:rPr>
        <w:t>mensualmente</w:t>
      </w:r>
      <w:r w:rsidRPr="006E6F49">
        <w:rPr>
          <w:rFonts w:ascii="Calibri" w:eastAsia="Times New Roman" w:hAnsi="Calibri" w:cs="Times New Roman"/>
          <w:sz w:val="24"/>
          <w:szCs w:val="24"/>
        </w:rPr>
        <w:t xml:space="preserve"> a la actualización de la página </w:t>
      </w:r>
      <w:r w:rsidR="00F53E7D">
        <w:rPr>
          <w:rFonts w:ascii="Calibri" w:eastAsia="Times New Roman" w:hAnsi="Calibri" w:cs="Times New Roman"/>
          <w:sz w:val="24"/>
          <w:szCs w:val="24"/>
        </w:rPr>
        <w:t>para</w:t>
      </w:r>
      <w:r w:rsidRPr="006E6F49">
        <w:rPr>
          <w:rFonts w:ascii="Calibri" w:eastAsia="Times New Roman" w:hAnsi="Calibri" w:cs="Times New Roman"/>
          <w:sz w:val="24"/>
          <w:szCs w:val="24"/>
        </w:rPr>
        <w:t xml:space="preserve"> garantizar a la ciudadanía el acceso a información </w:t>
      </w:r>
      <w:r w:rsidR="00F53E7D">
        <w:rPr>
          <w:rFonts w:ascii="Calibri" w:eastAsia="Times New Roman" w:hAnsi="Calibri" w:cs="Times New Roman"/>
          <w:sz w:val="24"/>
          <w:szCs w:val="24"/>
        </w:rPr>
        <w:t xml:space="preserve">veraz, oportuna y vigente. Con el </w:t>
      </w:r>
      <w:r w:rsidRPr="006E6F49">
        <w:rPr>
          <w:rFonts w:ascii="Calibri" w:eastAsia="Times New Roman" w:hAnsi="Calibri" w:cs="Times New Roman"/>
          <w:sz w:val="24"/>
          <w:szCs w:val="24"/>
        </w:rPr>
        <w:t>apoyo del equipo de tecnologías de la información y de Archivo y Correspondencia, realizó una revisión y evaluación de los activos de información y del set de datos abier</w:t>
      </w:r>
      <w:r w:rsidR="00F53E7D">
        <w:rPr>
          <w:rFonts w:ascii="Calibri" w:eastAsia="Times New Roman" w:hAnsi="Calibri" w:cs="Times New Roman"/>
          <w:sz w:val="24"/>
          <w:szCs w:val="24"/>
        </w:rPr>
        <w:t xml:space="preserve">tos, </w:t>
      </w:r>
      <w:r w:rsidRPr="006E6F49">
        <w:rPr>
          <w:rFonts w:ascii="Calibri" w:eastAsia="Times New Roman" w:hAnsi="Calibri" w:cs="Times New Roman"/>
          <w:sz w:val="24"/>
          <w:szCs w:val="24"/>
        </w:rPr>
        <w:t>evalu</w:t>
      </w:r>
      <w:r w:rsidR="00F53E7D">
        <w:rPr>
          <w:rFonts w:ascii="Calibri" w:eastAsia="Times New Roman" w:hAnsi="Calibri" w:cs="Times New Roman"/>
          <w:sz w:val="24"/>
          <w:szCs w:val="24"/>
        </w:rPr>
        <w:t>ó</w:t>
      </w:r>
      <w:r w:rsidRPr="006E6F49">
        <w:rPr>
          <w:rFonts w:ascii="Calibri" w:eastAsia="Times New Roman" w:hAnsi="Calibri" w:cs="Times New Roman"/>
          <w:sz w:val="24"/>
          <w:szCs w:val="24"/>
        </w:rPr>
        <w:t xml:space="preserve"> sus características e introdu</w:t>
      </w:r>
      <w:r w:rsidR="00F53E7D">
        <w:rPr>
          <w:rFonts w:ascii="Calibri" w:eastAsia="Times New Roman" w:hAnsi="Calibri" w:cs="Times New Roman"/>
          <w:sz w:val="24"/>
          <w:szCs w:val="24"/>
        </w:rPr>
        <w:t>jo</w:t>
      </w:r>
      <w:r w:rsidRPr="006E6F49">
        <w:rPr>
          <w:rFonts w:ascii="Calibri" w:eastAsia="Times New Roman" w:hAnsi="Calibri" w:cs="Times New Roman"/>
          <w:sz w:val="24"/>
          <w:szCs w:val="24"/>
        </w:rPr>
        <w:t xml:space="preserve"> las modificaciones requeridas para mejorar su accesibilidad y usabilidad.</w:t>
      </w:r>
    </w:p>
    <w:p w14:paraId="55F7CB2C"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1E3A467B"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El segundo aspecto incluido en la estrategia de Rendición de Cuentas, correspondió al desarrollo de las Audiencias Públicas, </w:t>
      </w:r>
      <w:r w:rsidR="00A00E5E">
        <w:rPr>
          <w:rFonts w:ascii="Calibri" w:eastAsia="Times New Roman" w:hAnsi="Calibri" w:cs="Times New Roman"/>
          <w:sz w:val="24"/>
          <w:szCs w:val="24"/>
        </w:rPr>
        <w:t xml:space="preserve">que sumaron </w:t>
      </w:r>
      <w:r w:rsidRPr="006E6F49">
        <w:rPr>
          <w:rFonts w:ascii="Calibri" w:eastAsia="Times New Roman" w:hAnsi="Calibri" w:cs="Times New Roman"/>
          <w:sz w:val="24"/>
          <w:szCs w:val="24"/>
        </w:rPr>
        <w:t xml:space="preserve">tres </w:t>
      </w:r>
      <w:r w:rsidR="00A00E5E">
        <w:rPr>
          <w:rFonts w:ascii="Calibri" w:eastAsia="Times New Roman" w:hAnsi="Calibri" w:cs="Times New Roman"/>
          <w:sz w:val="24"/>
          <w:szCs w:val="24"/>
        </w:rPr>
        <w:t>en su materialización;</w:t>
      </w:r>
      <w:r w:rsidRPr="006E6F49">
        <w:rPr>
          <w:rFonts w:ascii="Calibri" w:eastAsia="Times New Roman" w:hAnsi="Calibri" w:cs="Times New Roman"/>
          <w:sz w:val="24"/>
          <w:szCs w:val="24"/>
        </w:rPr>
        <w:t xml:space="preserve"> la primera correspondió a una Audiencia Presencial realizada en las instalac</w:t>
      </w:r>
      <w:r w:rsidR="00A00E5E">
        <w:rPr>
          <w:rFonts w:ascii="Calibri" w:eastAsia="Times New Roman" w:hAnsi="Calibri" w:cs="Times New Roman"/>
          <w:sz w:val="24"/>
          <w:szCs w:val="24"/>
        </w:rPr>
        <w:t xml:space="preserve">iones de RTVC, </w:t>
      </w:r>
      <w:r w:rsidRPr="006E6F49">
        <w:rPr>
          <w:rFonts w:ascii="Calibri" w:eastAsia="Times New Roman" w:hAnsi="Calibri" w:cs="Times New Roman"/>
          <w:sz w:val="24"/>
          <w:szCs w:val="24"/>
        </w:rPr>
        <w:t xml:space="preserve">y se </w:t>
      </w:r>
      <w:r w:rsidR="00A00E5E">
        <w:rPr>
          <w:rFonts w:ascii="Calibri" w:eastAsia="Times New Roman" w:hAnsi="Calibri" w:cs="Times New Roman"/>
          <w:sz w:val="24"/>
          <w:szCs w:val="24"/>
        </w:rPr>
        <w:t xml:space="preserve">apoyó con </w:t>
      </w:r>
      <w:r w:rsidRPr="006E6F49">
        <w:rPr>
          <w:rFonts w:ascii="Calibri" w:eastAsia="Times New Roman" w:hAnsi="Calibri" w:cs="Times New Roman"/>
          <w:sz w:val="24"/>
          <w:szCs w:val="24"/>
        </w:rPr>
        <w:t xml:space="preserve">un presentador con conocimientos del sector </w:t>
      </w:r>
      <w:r w:rsidR="00A00E5E">
        <w:rPr>
          <w:rFonts w:ascii="Calibri" w:eastAsia="Times New Roman" w:hAnsi="Calibri" w:cs="Times New Roman"/>
          <w:sz w:val="24"/>
          <w:szCs w:val="24"/>
        </w:rPr>
        <w:t>que</w:t>
      </w:r>
      <w:r w:rsidRPr="006E6F49">
        <w:rPr>
          <w:rFonts w:ascii="Calibri" w:eastAsia="Times New Roman" w:hAnsi="Calibri" w:cs="Times New Roman"/>
          <w:sz w:val="24"/>
          <w:szCs w:val="24"/>
        </w:rPr>
        <w:t xml:space="preserve"> interactuó con el Presidente de la Agencia, lo cual redundó en un desarrollo de los temas más amigable </w:t>
      </w:r>
      <w:r w:rsidR="00A00E5E">
        <w:rPr>
          <w:rFonts w:ascii="Calibri" w:eastAsia="Times New Roman" w:hAnsi="Calibri" w:cs="Times New Roman"/>
          <w:sz w:val="24"/>
          <w:szCs w:val="24"/>
        </w:rPr>
        <w:t>y brindó</w:t>
      </w:r>
      <w:r w:rsidRPr="006E6F49">
        <w:rPr>
          <w:rFonts w:ascii="Calibri" w:eastAsia="Times New Roman" w:hAnsi="Calibri" w:cs="Times New Roman"/>
          <w:sz w:val="24"/>
          <w:szCs w:val="24"/>
        </w:rPr>
        <w:t xml:space="preserve"> la posibilidad de ampliar y profundizar los diferentes aspectos incluidos en la audiencia. La segunda Audiencia </w:t>
      </w:r>
      <w:r w:rsidR="00A00E5E">
        <w:rPr>
          <w:rFonts w:ascii="Calibri" w:eastAsia="Times New Roman" w:hAnsi="Calibri" w:cs="Times New Roman"/>
          <w:sz w:val="24"/>
          <w:szCs w:val="24"/>
        </w:rPr>
        <w:t xml:space="preserve">tuvo ocasión </w:t>
      </w:r>
      <w:r w:rsidRPr="006E6F49">
        <w:rPr>
          <w:rFonts w:ascii="Calibri" w:eastAsia="Times New Roman" w:hAnsi="Calibri" w:cs="Times New Roman"/>
          <w:sz w:val="24"/>
          <w:szCs w:val="24"/>
        </w:rPr>
        <w:t xml:space="preserve">en el mes de septiembre, </w:t>
      </w:r>
      <w:r w:rsidR="00A00E5E">
        <w:rPr>
          <w:rFonts w:ascii="Calibri" w:eastAsia="Times New Roman" w:hAnsi="Calibri" w:cs="Times New Roman"/>
          <w:sz w:val="24"/>
          <w:szCs w:val="24"/>
        </w:rPr>
        <w:t xml:space="preserve">y su formato fue </w:t>
      </w:r>
      <w:r w:rsidRPr="006E6F49">
        <w:rPr>
          <w:rFonts w:ascii="Calibri" w:eastAsia="Times New Roman" w:hAnsi="Calibri" w:cs="Times New Roman"/>
          <w:sz w:val="24"/>
          <w:szCs w:val="24"/>
        </w:rPr>
        <w:t xml:space="preserve">una audiencia virtual en la cual se presentaron los avances de la gestión </w:t>
      </w:r>
      <w:r w:rsidR="00A00E5E">
        <w:rPr>
          <w:rFonts w:ascii="Calibri" w:eastAsia="Times New Roman" w:hAnsi="Calibri" w:cs="Times New Roman"/>
          <w:sz w:val="24"/>
          <w:szCs w:val="24"/>
        </w:rPr>
        <w:t xml:space="preserve">durante </w:t>
      </w:r>
      <w:r w:rsidRPr="006E6F49">
        <w:rPr>
          <w:rFonts w:ascii="Calibri" w:eastAsia="Times New Roman" w:hAnsi="Calibri" w:cs="Times New Roman"/>
          <w:sz w:val="24"/>
          <w:szCs w:val="24"/>
        </w:rPr>
        <w:t>la vigencia</w:t>
      </w:r>
      <w:r w:rsidR="00A00E5E">
        <w:rPr>
          <w:rFonts w:ascii="Calibri" w:eastAsia="Times New Roman" w:hAnsi="Calibri" w:cs="Times New Roman"/>
          <w:sz w:val="24"/>
          <w:szCs w:val="24"/>
        </w:rPr>
        <w:t xml:space="preserve"> 2016</w:t>
      </w:r>
      <w:r w:rsidRPr="006E6F49">
        <w:rPr>
          <w:rFonts w:ascii="Calibri" w:eastAsia="Times New Roman" w:hAnsi="Calibri" w:cs="Times New Roman"/>
          <w:sz w:val="24"/>
          <w:szCs w:val="24"/>
        </w:rPr>
        <w:t xml:space="preserve">. Es de resaltar que en los dos eventos liderados por la entidad, se utilizaron con la suficiente antelación, divulgación y cobertura, </w:t>
      </w:r>
      <w:r w:rsidR="00A00E5E">
        <w:rPr>
          <w:rFonts w:ascii="Calibri" w:eastAsia="Times New Roman" w:hAnsi="Calibri" w:cs="Times New Roman"/>
          <w:sz w:val="24"/>
          <w:szCs w:val="24"/>
        </w:rPr>
        <w:t xml:space="preserve">por </w:t>
      </w:r>
      <w:r w:rsidRPr="006E6F49">
        <w:rPr>
          <w:rFonts w:ascii="Calibri" w:eastAsia="Times New Roman" w:hAnsi="Calibri" w:cs="Times New Roman"/>
          <w:sz w:val="24"/>
          <w:szCs w:val="24"/>
        </w:rPr>
        <w:t xml:space="preserve">los diferentes canales de comunicación disponibles en la entidad (Streamming, Redes Sociales, Correo electrónico, Chat, Línea Telefónica), para recibir y atender </w:t>
      </w:r>
      <w:r w:rsidR="00A00E5E">
        <w:rPr>
          <w:rFonts w:ascii="Calibri" w:eastAsia="Times New Roman" w:hAnsi="Calibri" w:cs="Times New Roman"/>
          <w:sz w:val="24"/>
          <w:szCs w:val="24"/>
        </w:rPr>
        <w:t xml:space="preserve">inquietudes de </w:t>
      </w:r>
      <w:r w:rsidRPr="006E6F49">
        <w:rPr>
          <w:rFonts w:ascii="Calibri" w:eastAsia="Times New Roman" w:hAnsi="Calibri" w:cs="Times New Roman"/>
          <w:sz w:val="24"/>
          <w:szCs w:val="24"/>
        </w:rPr>
        <w:t xml:space="preserve"> los ciudadanos</w:t>
      </w:r>
      <w:r w:rsidR="00A00E5E">
        <w:rPr>
          <w:rFonts w:ascii="Calibri" w:eastAsia="Times New Roman" w:hAnsi="Calibri" w:cs="Times New Roman"/>
          <w:sz w:val="24"/>
          <w:szCs w:val="24"/>
        </w:rPr>
        <w:t xml:space="preserve"> sobre los temas que se tratarían en aquellas y que fueron socializados a aquellos con un mes de antelación</w:t>
      </w:r>
      <w:r w:rsidRPr="006E6F49">
        <w:rPr>
          <w:rFonts w:ascii="Calibri" w:eastAsia="Times New Roman" w:hAnsi="Calibri" w:cs="Times New Roman"/>
          <w:sz w:val="24"/>
          <w:szCs w:val="24"/>
        </w:rPr>
        <w:t xml:space="preserve">; </w:t>
      </w:r>
      <w:r w:rsidR="00A00E5E">
        <w:rPr>
          <w:rFonts w:ascii="Calibri" w:eastAsia="Times New Roman" w:hAnsi="Calibri" w:cs="Times New Roman"/>
          <w:sz w:val="24"/>
          <w:szCs w:val="24"/>
        </w:rPr>
        <w:t>siendo oportuno manifestar el</w:t>
      </w:r>
      <w:r w:rsidRPr="006E6F49">
        <w:rPr>
          <w:rFonts w:ascii="Calibri" w:eastAsia="Times New Roman" w:hAnsi="Calibri" w:cs="Times New Roman"/>
          <w:sz w:val="24"/>
          <w:szCs w:val="24"/>
        </w:rPr>
        <w:t xml:space="preserve"> aumento </w:t>
      </w:r>
      <w:r w:rsidR="00A00E5E">
        <w:rPr>
          <w:rFonts w:ascii="Calibri" w:eastAsia="Times New Roman" w:hAnsi="Calibri" w:cs="Times New Roman"/>
          <w:sz w:val="24"/>
          <w:szCs w:val="24"/>
        </w:rPr>
        <w:t>de</w:t>
      </w:r>
      <w:r w:rsidRPr="006E6F49">
        <w:rPr>
          <w:rFonts w:ascii="Calibri" w:eastAsia="Times New Roman" w:hAnsi="Calibri" w:cs="Times New Roman"/>
          <w:sz w:val="24"/>
          <w:szCs w:val="24"/>
        </w:rPr>
        <w:t xml:space="preserve"> la participación en n</w:t>
      </w:r>
      <w:r w:rsidR="00A00E5E">
        <w:rPr>
          <w:rFonts w:ascii="Calibri" w:eastAsia="Times New Roman" w:hAnsi="Calibri" w:cs="Times New Roman"/>
          <w:sz w:val="24"/>
          <w:szCs w:val="24"/>
        </w:rPr>
        <w:t xml:space="preserve">uestras rendiciones de cuentas. Y la tercera y última, realizada en </w:t>
      </w:r>
      <w:r w:rsidRPr="006E6F49">
        <w:rPr>
          <w:rFonts w:ascii="Calibri" w:eastAsia="Times New Roman" w:hAnsi="Calibri" w:cs="Times New Roman"/>
          <w:sz w:val="24"/>
          <w:szCs w:val="24"/>
        </w:rPr>
        <w:t>el mes de diciembre</w:t>
      </w:r>
      <w:r w:rsidR="00A00E5E">
        <w:rPr>
          <w:rFonts w:ascii="Calibri" w:eastAsia="Times New Roman" w:hAnsi="Calibri" w:cs="Times New Roman"/>
          <w:sz w:val="24"/>
          <w:szCs w:val="24"/>
        </w:rPr>
        <w:t>, donde la Agencia p</w:t>
      </w:r>
      <w:r w:rsidRPr="006E6F49">
        <w:rPr>
          <w:rFonts w:ascii="Calibri" w:eastAsia="Times New Roman" w:hAnsi="Calibri" w:cs="Times New Roman"/>
          <w:sz w:val="24"/>
          <w:szCs w:val="24"/>
        </w:rPr>
        <w:t xml:space="preserve">articipó en la Audiencia Pública Sectorial de Rendición de Cuentas organizada por el Ministerio de Transporte, en desarrollo de la cual tuvo la oportunidad de presentar a los ciudadanos los resultados de la gestión </w:t>
      </w:r>
      <w:r w:rsidR="00A00E5E">
        <w:rPr>
          <w:rFonts w:ascii="Calibri" w:eastAsia="Times New Roman" w:hAnsi="Calibri" w:cs="Times New Roman"/>
          <w:sz w:val="24"/>
          <w:szCs w:val="24"/>
        </w:rPr>
        <w:t>de</w:t>
      </w:r>
      <w:r w:rsidRPr="006E6F49">
        <w:rPr>
          <w:rFonts w:ascii="Calibri" w:eastAsia="Times New Roman" w:hAnsi="Calibri" w:cs="Times New Roman"/>
          <w:sz w:val="24"/>
          <w:szCs w:val="24"/>
        </w:rPr>
        <w:t xml:space="preserve"> toda la vigencia.</w:t>
      </w:r>
    </w:p>
    <w:p w14:paraId="3CAE9AF3"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117B33F2"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De igual manera, la Agencia implementó otros espacios de rendición de cuentas, el principal de ellos correspondió a las socializaciones de proyectos de la entidad, actividad </w:t>
      </w:r>
      <w:r w:rsidR="007C39C3">
        <w:rPr>
          <w:rFonts w:ascii="Calibri" w:eastAsia="Times New Roman" w:hAnsi="Calibri" w:cs="Times New Roman"/>
          <w:sz w:val="24"/>
          <w:szCs w:val="24"/>
        </w:rPr>
        <w:t xml:space="preserve">que </w:t>
      </w:r>
      <w:r w:rsidRPr="006E6F49">
        <w:rPr>
          <w:rFonts w:ascii="Calibri" w:eastAsia="Times New Roman" w:hAnsi="Calibri" w:cs="Times New Roman"/>
          <w:sz w:val="24"/>
          <w:szCs w:val="24"/>
        </w:rPr>
        <w:t>o</w:t>
      </w:r>
      <w:r w:rsidR="007C39C3">
        <w:rPr>
          <w:rFonts w:ascii="Calibri" w:eastAsia="Times New Roman" w:hAnsi="Calibri" w:cs="Times New Roman"/>
          <w:sz w:val="24"/>
          <w:szCs w:val="24"/>
        </w:rPr>
        <w:t>bedeció a un plan p</w:t>
      </w:r>
      <w:r w:rsidRPr="006E6F49">
        <w:rPr>
          <w:rFonts w:ascii="Calibri" w:eastAsia="Times New Roman" w:hAnsi="Calibri" w:cs="Times New Roman"/>
          <w:sz w:val="24"/>
          <w:szCs w:val="24"/>
        </w:rPr>
        <w:t xml:space="preserve">iloto </w:t>
      </w:r>
      <w:r w:rsidR="007C39C3">
        <w:rPr>
          <w:rFonts w:ascii="Calibri" w:eastAsia="Times New Roman" w:hAnsi="Calibri" w:cs="Times New Roman"/>
          <w:sz w:val="24"/>
          <w:szCs w:val="24"/>
        </w:rPr>
        <w:t>que se enfocó en la atención de</w:t>
      </w:r>
      <w:r w:rsidRPr="006E6F49">
        <w:rPr>
          <w:rFonts w:ascii="Calibri" w:eastAsia="Times New Roman" w:hAnsi="Calibri" w:cs="Times New Roman"/>
          <w:sz w:val="24"/>
          <w:szCs w:val="24"/>
        </w:rPr>
        <w:t xml:space="preserve"> dos </w:t>
      </w:r>
      <w:r w:rsidR="007C39C3">
        <w:rPr>
          <w:rFonts w:ascii="Calibri" w:eastAsia="Times New Roman" w:hAnsi="Calibri" w:cs="Times New Roman"/>
          <w:sz w:val="24"/>
          <w:szCs w:val="24"/>
        </w:rPr>
        <w:t xml:space="preserve">puntos especiales: el primero, </w:t>
      </w:r>
      <w:r w:rsidRPr="006E6F49">
        <w:rPr>
          <w:rFonts w:ascii="Calibri" w:eastAsia="Times New Roman" w:hAnsi="Calibri" w:cs="Times New Roman"/>
          <w:sz w:val="24"/>
          <w:szCs w:val="24"/>
        </w:rPr>
        <w:t xml:space="preserve">la entrega de las variantes Tocancipá y Gachancipá, </w:t>
      </w:r>
      <w:r w:rsidR="007C39C3">
        <w:rPr>
          <w:rFonts w:ascii="Calibri" w:eastAsia="Times New Roman" w:hAnsi="Calibri" w:cs="Times New Roman"/>
          <w:sz w:val="24"/>
          <w:szCs w:val="24"/>
        </w:rPr>
        <w:t xml:space="preserve">en el que </w:t>
      </w:r>
      <w:r w:rsidRPr="006E6F49">
        <w:rPr>
          <w:rFonts w:ascii="Calibri" w:eastAsia="Times New Roman" w:hAnsi="Calibri" w:cs="Times New Roman"/>
          <w:sz w:val="24"/>
          <w:szCs w:val="24"/>
        </w:rPr>
        <w:t>la Agencia</w:t>
      </w:r>
      <w:r w:rsidR="007C39C3">
        <w:rPr>
          <w:rFonts w:ascii="Calibri" w:eastAsia="Times New Roman" w:hAnsi="Calibri" w:cs="Times New Roman"/>
          <w:sz w:val="24"/>
          <w:szCs w:val="24"/>
        </w:rPr>
        <w:t xml:space="preserve"> tuvo la oportunidad de interactuar con </w:t>
      </w:r>
      <w:r w:rsidRPr="006E6F49">
        <w:rPr>
          <w:rFonts w:ascii="Calibri" w:eastAsia="Times New Roman" w:hAnsi="Calibri" w:cs="Times New Roman"/>
          <w:sz w:val="24"/>
          <w:szCs w:val="24"/>
        </w:rPr>
        <w:t xml:space="preserve">la comunidad, </w:t>
      </w:r>
      <w:r w:rsidR="007F3E0A">
        <w:rPr>
          <w:rFonts w:ascii="Calibri" w:eastAsia="Times New Roman" w:hAnsi="Calibri" w:cs="Times New Roman"/>
          <w:sz w:val="24"/>
          <w:szCs w:val="24"/>
        </w:rPr>
        <w:t xml:space="preserve">logrando </w:t>
      </w:r>
      <w:r w:rsidR="007F3E0A" w:rsidRPr="006E6F49">
        <w:rPr>
          <w:rFonts w:ascii="Calibri" w:eastAsia="Times New Roman" w:hAnsi="Calibri" w:cs="Times New Roman"/>
          <w:sz w:val="24"/>
          <w:szCs w:val="24"/>
        </w:rPr>
        <w:t xml:space="preserve">la solución de las peticiones </w:t>
      </w:r>
      <w:r w:rsidR="007C39C3">
        <w:rPr>
          <w:rFonts w:ascii="Calibri" w:eastAsia="Times New Roman" w:hAnsi="Calibri" w:cs="Times New Roman"/>
          <w:sz w:val="24"/>
          <w:szCs w:val="24"/>
        </w:rPr>
        <w:t xml:space="preserve">que </w:t>
      </w:r>
      <w:r w:rsidR="007F3E0A">
        <w:rPr>
          <w:rFonts w:ascii="Calibri" w:eastAsia="Times New Roman" w:hAnsi="Calibri" w:cs="Times New Roman"/>
          <w:sz w:val="24"/>
          <w:szCs w:val="24"/>
        </w:rPr>
        <w:t>aquella presentaba como grupo organizado y g</w:t>
      </w:r>
      <w:r w:rsidRPr="006E6F49">
        <w:rPr>
          <w:rFonts w:ascii="Calibri" w:eastAsia="Times New Roman" w:hAnsi="Calibri" w:cs="Times New Roman"/>
          <w:sz w:val="24"/>
          <w:szCs w:val="24"/>
        </w:rPr>
        <w:t>est</w:t>
      </w:r>
      <w:r w:rsidR="007F3E0A">
        <w:rPr>
          <w:rFonts w:ascii="Calibri" w:eastAsia="Times New Roman" w:hAnsi="Calibri" w:cs="Times New Roman"/>
          <w:sz w:val="24"/>
          <w:szCs w:val="24"/>
        </w:rPr>
        <w:t>or de</w:t>
      </w:r>
      <w:r w:rsidRPr="006E6F49">
        <w:rPr>
          <w:rFonts w:ascii="Calibri" w:eastAsia="Times New Roman" w:hAnsi="Calibri" w:cs="Times New Roman"/>
          <w:sz w:val="24"/>
          <w:szCs w:val="24"/>
        </w:rPr>
        <w:t xml:space="preserve"> la construcción </w:t>
      </w:r>
      <w:r w:rsidR="007F3E0A">
        <w:rPr>
          <w:rFonts w:ascii="Calibri" w:eastAsia="Times New Roman" w:hAnsi="Calibri" w:cs="Times New Roman"/>
          <w:sz w:val="24"/>
          <w:szCs w:val="24"/>
        </w:rPr>
        <w:t>de esta infraestructura</w:t>
      </w:r>
      <w:r w:rsidRPr="006E6F49">
        <w:rPr>
          <w:rFonts w:ascii="Calibri" w:eastAsia="Times New Roman" w:hAnsi="Calibri" w:cs="Times New Roman"/>
          <w:sz w:val="24"/>
          <w:szCs w:val="24"/>
        </w:rPr>
        <w:t xml:space="preserve">. El segundo </w:t>
      </w:r>
      <w:r w:rsidR="007F3E0A">
        <w:rPr>
          <w:rFonts w:ascii="Calibri" w:eastAsia="Times New Roman" w:hAnsi="Calibri" w:cs="Times New Roman"/>
          <w:sz w:val="24"/>
          <w:szCs w:val="24"/>
        </w:rPr>
        <w:t>aspecto</w:t>
      </w:r>
      <w:r w:rsidRPr="006E6F49">
        <w:rPr>
          <w:rFonts w:ascii="Calibri" w:eastAsia="Times New Roman" w:hAnsi="Calibri" w:cs="Times New Roman"/>
          <w:sz w:val="24"/>
          <w:szCs w:val="24"/>
        </w:rPr>
        <w:t xml:space="preserve">, correspondió al cierre de la vía Bugá – Loboguerrero, </w:t>
      </w:r>
      <w:r w:rsidR="007F3E0A">
        <w:rPr>
          <w:rFonts w:ascii="Calibri" w:eastAsia="Times New Roman" w:hAnsi="Calibri" w:cs="Times New Roman"/>
          <w:sz w:val="24"/>
          <w:szCs w:val="24"/>
        </w:rPr>
        <w:t>que</w:t>
      </w:r>
      <w:r w:rsidRPr="006E6F49">
        <w:rPr>
          <w:rFonts w:ascii="Calibri" w:eastAsia="Times New Roman" w:hAnsi="Calibri" w:cs="Times New Roman"/>
          <w:sz w:val="24"/>
          <w:szCs w:val="24"/>
        </w:rPr>
        <w:t xml:space="preserve"> causó una afectación a las comunidades localizadas sobre la vía, </w:t>
      </w:r>
      <w:r w:rsidR="007F3E0A">
        <w:rPr>
          <w:rFonts w:ascii="Calibri" w:eastAsia="Times New Roman" w:hAnsi="Calibri" w:cs="Times New Roman"/>
          <w:sz w:val="24"/>
          <w:szCs w:val="24"/>
        </w:rPr>
        <w:t>y que</w:t>
      </w:r>
      <w:r w:rsidR="005B5FBF">
        <w:rPr>
          <w:rFonts w:ascii="Calibri" w:eastAsia="Times New Roman" w:hAnsi="Calibri" w:cs="Times New Roman"/>
          <w:sz w:val="24"/>
          <w:szCs w:val="24"/>
        </w:rPr>
        <w:t>,</w:t>
      </w:r>
      <w:r w:rsidR="007F3E0A">
        <w:rPr>
          <w:rFonts w:ascii="Calibri" w:eastAsia="Times New Roman" w:hAnsi="Calibri" w:cs="Times New Roman"/>
          <w:sz w:val="24"/>
          <w:szCs w:val="24"/>
        </w:rPr>
        <w:t xml:space="preserve"> a través de la participación y trabajo conjunto con la comunidad, </w:t>
      </w:r>
      <w:r w:rsidR="005B5FBF">
        <w:rPr>
          <w:rFonts w:ascii="Calibri" w:eastAsia="Times New Roman" w:hAnsi="Calibri" w:cs="Times New Roman"/>
          <w:sz w:val="24"/>
          <w:szCs w:val="24"/>
        </w:rPr>
        <w:t xml:space="preserve">llevó a </w:t>
      </w:r>
      <w:r w:rsidRPr="006E6F49">
        <w:rPr>
          <w:rFonts w:ascii="Calibri" w:eastAsia="Times New Roman" w:hAnsi="Calibri" w:cs="Times New Roman"/>
          <w:sz w:val="24"/>
          <w:szCs w:val="24"/>
        </w:rPr>
        <w:t xml:space="preserve">pactar los horarios de cierre y </w:t>
      </w:r>
      <w:r w:rsidR="00705AD1">
        <w:rPr>
          <w:rFonts w:ascii="Calibri" w:eastAsia="Times New Roman" w:hAnsi="Calibri" w:cs="Times New Roman"/>
          <w:sz w:val="24"/>
          <w:szCs w:val="24"/>
        </w:rPr>
        <w:t>disponer</w:t>
      </w:r>
      <w:r w:rsidRPr="006E6F49">
        <w:rPr>
          <w:rFonts w:ascii="Calibri" w:eastAsia="Times New Roman" w:hAnsi="Calibri" w:cs="Times New Roman"/>
          <w:sz w:val="24"/>
          <w:szCs w:val="24"/>
        </w:rPr>
        <w:t xml:space="preserve"> de una persona que atendiera permanentemente a la comunidad para la solución de los inconvenientes que se </w:t>
      </w:r>
      <w:r w:rsidR="00705AD1">
        <w:rPr>
          <w:rFonts w:ascii="Calibri" w:eastAsia="Times New Roman" w:hAnsi="Calibri" w:cs="Times New Roman"/>
          <w:sz w:val="24"/>
          <w:szCs w:val="24"/>
        </w:rPr>
        <w:t>llegaren a presentar</w:t>
      </w:r>
      <w:r w:rsidRPr="006E6F49">
        <w:rPr>
          <w:rFonts w:ascii="Calibri" w:eastAsia="Times New Roman" w:hAnsi="Calibri" w:cs="Times New Roman"/>
          <w:sz w:val="24"/>
          <w:szCs w:val="24"/>
        </w:rPr>
        <w:t xml:space="preserve"> con ocasión del desarrollo de las obras.</w:t>
      </w:r>
    </w:p>
    <w:p w14:paraId="3E849252" w14:textId="77777777" w:rsidR="006E6F49" w:rsidRPr="006E6F49" w:rsidRDefault="006E6F49" w:rsidP="006E6F49">
      <w:pPr>
        <w:spacing w:after="0" w:line="240" w:lineRule="auto"/>
        <w:jc w:val="both"/>
        <w:rPr>
          <w:rFonts w:ascii="Calibri" w:eastAsia="Times New Roman" w:hAnsi="Calibri" w:cs="Times New Roman"/>
          <w:sz w:val="24"/>
          <w:szCs w:val="24"/>
        </w:rPr>
      </w:pPr>
    </w:p>
    <w:p w14:paraId="7EEE3199"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Por otra parte, y en desarrollo de la estrategia, la entidad se pronunció en distintos e</w:t>
      </w:r>
      <w:r w:rsidR="00F7431D">
        <w:rPr>
          <w:rFonts w:ascii="Calibri" w:eastAsia="Times New Roman" w:hAnsi="Calibri" w:cs="Times New Roman"/>
          <w:sz w:val="24"/>
          <w:szCs w:val="24"/>
        </w:rPr>
        <w:t xml:space="preserve">ventos presenciales y virtuales, entre los que se destacan: </w:t>
      </w:r>
      <w:r w:rsidR="00F7431D" w:rsidRPr="006E6F49">
        <w:rPr>
          <w:rFonts w:ascii="Calibri" w:eastAsia="Times New Roman" w:hAnsi="Calibri" w:cs="Times New Roman"/>
          <w:sz w:val="24"/>
          <w:szCs w:val="24"/>
        </w:rPr>
        <w:t>Congreso Nacional de Infraestructura, la Vuelta a Colombia en Bicicleta  en el Bus de la Infraestructura, la participación en foros virtuales tales como Urna de Cristal en el Canal Institucional y eventos organizados por el D</w:t>
      </w:r>
      <w:r w:rsidR="00F7431D">
        <w:rPr>
          <w:rFonts w:ascii="Calibri" w:eastAsia="Times New Roman" w:hAnsi="Calibri" w:cs="Times New Roman"/>
          <w:sz w:val="24"/>
          <w:szCs w:val="24"/>
        </w:rPr>
        <w:t xml:space="preserve">iario la República y Portafolio, durante </w:t>
      </w:r>
      <w:r w:rsidRPr="006E6F49">
        <w:rPr>
          <w:rFonts w:ascii="Calibri" w:eastAsia="Times New Roman" w:hAnsi="Calibri" w:cs="Times New Roman"/>
          <w:sz w:val="24"/>
          <w:szCs w:val="24"/>
        </w:rPr>
        <w:t xml:space="preserve">los cuales </w:t>
      </w:r>
      <w:r w:rsidR="00F7431D">
        <w:rPr>
          <w:rFonts w:ascii="Calibri" w:eastAsia="Times New Roman" w:hAnsi="Calibri" w:cs="Times New Roman"/>
          <w:sz w:val="24"/>
          <w:szCs w:val="24"/>
        </w:rPr>
        <w:t xml:space="preserve">la Agencia </w:t>
      </w:r>
      <w:r w:rsidRPr="006E6F49">
        <w:rPr>
          <w:rFonts w:ascii="Calibri" w:eastAsia="Times New Roman" w:hAnsi="Calibri" w:cs="Times New Roman"/>
          <w:sz w:val="24"/>
          <w:szCs w:val="24"/>
        </w:rPr>
        <w:t>tuvo la oportunidad de mostrar a la ciudadanía y partes interesadas sus proyectos y avances en la gestión a</w:t>
      </w:r>
      <w:r w:rsidR="00F7431D">
        <w:rPr>
          <w:rFonts w:ascii="Calibri" w:eastAsia="Times New Roman" w:hAnsi="Calibri" w:cs="Times New Roman"/>
          <w:sz w:val="24"/>
          <w:szCs w:val="24"/>
        </w:rPr>
        <w:t>sí como recibir  inquietudes.</w:t>
      </w:r>
    </w:p>
    <w:p w14:paraId="12F1A44F" w14:textId="77777777" w:rsidR="006E6F49" w:rsidRPr="006E6F49" w:rsidRDefault="006E6F49" w:rsidP="006E6F49">
      <w:pPr>
        <w:spacing w:after="0" w:line="240" w:lineRule="auto"/>
        <w:jc w:val="both"/>
        <w:rPr>
          <w:rFonts w:ascii="Calibri" w:eastAsia="Times New Roman" w:hAnsi="Calibri" w:cs="Times New Roman"/>
          <w:sz w:val="24"/>
          <w:szCs w:val="24"/>
          <w:highlight w:val="yellow"/>
        </w:rPr>
      </w:pPr>
    </w:p>
    <w:p w14:paraId="5B392990" w14:textId="77777777" w:rsidR="006E6F49" w:rsidRP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Para el desarrollo de la estrategia</w:t>
      </w:r>
      <w:r w:rsidR="00F7431D">
        <w:rPr>
          <w:rFonts w:ascii="Calibri" w:eastAsia="Times New Roman" w:hAnsi="Calibri" w:cs="Times New Roman"/>
          <w:sz w:val="24"/>
          <w:szCs w:val="24"/>
        </w:rPr>
        <w:t>,</w:t>
      </w:r>
      <w:r w:rsidRPr="006E6F49">
        <w:rPr>
          <w:rFonts w:ascii="Calibri" w:eastAsia="Times New Roman" w:hAnsi="Calibri" w:cs="Times New Roman"/>
          <w:sz w:val="24"/>
          <w:szCs w:val="24"/>
        </w:rPr>
        <w:t xml:space="preserve"> en 2017 la Agencia ha programado </w:t>
      </w:r>
      <w:r w:rsidR="00F7431D">
        <w:rPr>
          <w:rFonts w:ascii="Calibri" w:eastAsia="Times New Roman" w:hAnsi="Calibri" w:cs="Times New Roman"/>
          <w:sz w:val="24"/>
          <w:szCs w:val="24"/>
        </w:rPr>
        <w:t>llevar a cabo</w:t>
      </w:r>
      <w:r w:rsidRPr="006E6F49">
        <w:rPr>
          <w:rFonts w:ascii="Calibri" w:eastAsia="Times New Roman" w:hAnsi="Calibri" w:cs="Times New Roman"/>
          <w:sz w:val="24"/>
          <w:szCs w:val="24"/>
        </w:rPr>
        <w:t xml:space="preserve"> dos (2) Audiencias Públicas de Rendición de Cuentas, una de carácter virtual correspondiente al segundo semestre y la Audiencia Pública de Rendición de Cuentas Sectorial que se desarrolla en el mes de diciembre; </w:t>
      </w:r>
      <w:r w:rsidR="00F7431D">
        <w:rPr>
          <w:rFonts w:ascii="Calibri" w:eastAsia="Times New Roman" w:hAnsi="Calibri" w:cs="Times New Roman"/>
          <w:sz w:val="24"/>
          <w:szCs w:val="24"/>
        </w:rPr>
        <w:t>y</w:t>
      </w:r>
      <w:r w:rsidRPr="006E6F49">
        <w:rPr>
          <w:rFonts w:ascii="Calibri" w:eastAsia="Times New Roman" w:hAnsi="Calibri" w:cs="Times New Roman"/>
          <w:sz w:val="24"/>
          <w:szCs w:val="24"/>
        </w:rPr>
        <w:t xml:space="preserve"> se espera contar nuevamente con la asistencia de los gremios, contratistas y la ciudadanía </w:t>
      </w:r>
      <w:r w:rsidR="00F7431D">
        <w:rPr>
          <w:rFonts w:ascii="Calibri" w:eastAsia="Times New Roman" w:hAnsi="Calibri" w:cs="Times New Roman"/>
          <w:sz w:val="24"/>
          <w:szCs w:val="24"/>
        </w:rPr>
        <w:t xml:space="preserve">general </w:t>
      </w:r>
      <w:r w:rsidRPr="006E6F49">
        <w:rPr>
          <w:rFonts w:ascii="Calibri" w:eastAsia="Times New Roman" w:hAnsi="Calibri" w:cs="Times New Roman"/>
          <w:sz w:val="24"/>
          <w:szCs w:val="24"/>
        </w:rPr>
        <w:t xml:space="preserve">en </w:t>
      </w:r>
      <w:r w:rsidR="00F7431D">
        <w:rPr>
          <w:rFonts w:ascii="Calibri" w:eastAsia="Times New Roman" w:hAnsi="Calibri" w:cs="Times New Roman"/>
          <w:sz w:val="24"/>
          <w:szCs w:val="24"/>
        </w:rPr>
        <w:t xml:space="preserve">cada uno de los </w:t>
      </w:r>
      <w:r w:rsidRPr="006E6F49">
        <w:rPr>
          <w:rFonts w:ascii="Calibri" w:eastAsia="Times New Roman" w:hAnsi="Calibri" w:cs="Times New Roman"/>
          <w:sz w:val="24"/>
          <w:szCs w:val="24"/>
        </w:rPr>
        <w:t>espacio</w:t>
      </w:r>
      <w:r w:rsidR="00F7431D">
        <w:rPr>
          <w:rFonts w:ascii="Calibri" w:eastAsia="Times New Roman" w:hAnsi="Calibri" w:cs="Times New Roman"/>
          <w:sz w:val="24"/>
          <w:szCs w:val="24"/>
        </w:rPr>
        <w:t>s</w:t>
      </w:r>
      <w:r w:rsidRPr="006E6F49">
        <w:rPr>
          <w:rFonts w:ascii="Calibri" w:eastAsia="Times New Roman" w:hAnsi="Calibri" w:cs="Times New Roman"/>
          <w:sz w:val="24"/>
          <w:szCs w:val="24"/>
        </w:rPr>
        <w:t xml:space="preserve"> destinado </w:t>
      </w:r>
      <w:r w:rsidR="00F7431D">
        <w:rPr>
          <w:rFonts w:ascii="Calibri" w:eastAsia="Times New Roman" w:hAnsi="Calibri" w:cs="Times New Roman"/>
          <w:sz w:val="24"/>
          <w:szCs w:val="24"/>
        </w:rPr>
        <w:t>para su realización</w:t>
      </w:r>
      <w:r w:rsidRPr="006E6F49">
        <w:rPr>
          <w:rFonts w:ascii="Calibri" w:eastAsia="Times New Roman" w:hAnsi="Calibri" w:cs="Times New Roman"/>
          <w:sz w:val="24"/>
          <w:szCs w:val="24"/>
        </w:rPr>
        <w:t xml:space="preserve">. En cuanto a los incentivos, se continuará realizando el reconocimiento a los ciudadanos que participen en nuestros eventos y para los servidores de la entidad se </w:t>
      </w:r>
      <w:r w:rsidR="00F7431D">
        <w:rPr>
          <w:rFonts w:ascii="Calibri" w:eastAsia="Times New Roman" w:hAnsi="Calibri" w:cs="Times New Roman"/>
          <w:sz w:val="24"/>
          <w:szCs w:val="24"/>
        </w:rPr>
        <w:t>adelantarán</w:t>
      </w:r>
      <w:r w:rsidRPr="006E6F49">
        <w:rPr>
          <w:rFonts w:ascii="Calibri" w:eastAsia="Times New Roman" w:hAnsi="Calibri" w:cs="Times New Roman"/>
          <w:sz w:val="24"/>
          <w:szCs w:val="24"/>
        </w:rPr>
        <w:t xml:space="preserve"> concursos en los cuales se premie el conocimiento de la gestión de la entidad y de la estrategia.</w:t>
      </w:r>
    </w:p>
    <w:p w14:paraId="3AFC625D"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08" w:name="_Toc378867808"/>
      <w:bookmarkStart w:id="109" w:name="_Toc441487022"/>
      <w:bookmarkStart w:id="110" w:name="_Toc480982396"/>
      <w:r w:rsidRPr="006E6F49">
        <w:rPr>
          <w:rFonts w:ascii="Cambria" w:eastAsia="Times New Roman" w:hAnsi="Cambria" w:cs="Arial"/>
          <w:b/>
          <w:bCs/>
          <w:i/>
          <w:iCs/>
          <w:sz w:val="24"/>
          <w:szCs w:val="24"/>
          <w:lang w:val="es-ES" w:eastAsia="es-ES"/>
        </w:rPr>
        <w:t>Alcances</w:t>
      </w:r>
      <w:bookmarkEnd w:id="108"/>
      <w:bookmarkEnd w:id="109"/>
      <w:bookmarkEnd w:id="110"/>
    </w:p>
    <w:p w14:paraId="7F565695" w14:textId="77777777" w:rsidR="006E6F49" w:rsidRPr="006E6F49" w:rsidRDefault="007D4EF0" w:rsidP="006E6F49">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La Agencia</w:t>
      </w:r>
      <w:r w:rsidR="006E6F49" w:rsidRPr="006E6F49">
        <w:rPr>
          <w:rFonts w:ascii="Calibri" w:eastAsia="Times New Roman" w:hAnsi="Calibri" w:cs="Times New Roman"/>
          <w:sz w:val="24"/>
          <w:szCs w:val="24"/>
        </w:rPr>
        <w:t xml:space="preserve"> centrará</w:t>
      </w:r>
      <w:r>
        <w:rPr>
          <w:rFonts w:ascii="Calibri" w:eastAsia="Times New Roman" w:hAnsi="Calibri" w:cs="Times New Roman"/>
          <w:sz w:val="24"/>
          <w:szCs w:val="24"/>
        </w:rPr>
        <w:t xml:space="preserve"> los esfuerzos de la estrategia</w:t>
      </w:r>
      <w:r w:rsidR="006E6F49" w:rsidRPr="006E6F49">
        <w:rPr>
          <w:rFonts w:ascii="Calibri" w:eastAsia="Times New Roman" w:hAnsi="Calibri" w:cs="Times New Roman"/>
          <w:sz w:val="24"/>
          <w:szCs w:val="24"/>
        </w:rPr>
        <w:t xml:space="preserve"> en el fortalecimiento de la cultura de seguimiento y autocontrol</w:t>
      </w:r>
      <w:r>
        <w:rPr>
          <w:rFonts w:ascii="Calibri" w:eastAsia="Times New Roman" w:hAnsi="Calibri" w:cs="Times New Roman"/>
          <w:sz w:val="24"/>
          <w:szCs w:val="24"/>
        </w:rPr>
        <w:t xml:space="preserve">, </w:t>
      </w:r>
      <w:r w:rsidR="006E6F49" w:rsidRPr="006E6F49">
        <w:rPr>
          <w:rFonts w:ascii="Calibri" w:eastAsia="Times New Roman" w:hAnsi="Calibri" w:cs="Times New Roman"/>
          <w:sz w:val="24"/>
          <w:szCs w:val="24"/>
        </w:rPr>
        <w:t xml:space="preserve">y </w:t>
      </w:r>
      <w:r w:rsidR="00DF06C4">
        <w:rPr>
          <w:rFonts w:ascii="Calibri" w:eastAsia="Times New Roman" w:hAnsi="Calibri" w:cs="Times New Roman"/>
          <w:sz w:val="24"/>
          <w:szCs w:val="24"/>
        </w:rPr>
        <w:t>afianzar</w:t>
      </w:r>
      <w:r w:rsidR="006E6F49" w:rsidRPr="006E6F49">
        <w:rPr>
          <w:rFonts w:ascii="Calibri" w:eastAsia="Times New Roman" w:hAnsi="Calibri" w:cs="Times New Roman"/>
          <w:sz w:val="24"/>
          <w:szCs w:val="24"/>
        </w:rPr>
        <w:t xml:space="preserve"> los espacios de rendición de cuentas ya implementados</w:t>
      </w:r>
      <w:r>
        <w:rPr>
          <w:rFonts w:ascii="Calibri" w:eastAsia="Times New Roman" w:hAnsi="Calibri" w:cs="Times New Roman"/>
          <w:sz w:val="24"/>
          <w:szCs w:val="24"/>
        </w:rPr>
        <w:t>;</w:t>
      </w:r>
      <w:r w:rsidR="006E6F49" w:rsidRPr="006E6F49">
        <w:rPr>
          <w:rFonts w:ascii="Calibri" w:eastAsia="Times New Roman" w:hAnsi="Calibri" w:cs="Times New Roman"/>
          <w:sz w:val="24"/>
          <w:szCs w:val="24"/>
        </w:rPr>
        <w:t xml:space="preserve"> desarrollará nuevos espacios presenciales, así como la evaluación de los mismos y el acercamiento al ciudadano con la elaboración de piezas comunicativas </w:t>
      </w:r>
      <w:r w:rsidR="00DF06C4">
        <w:rPr>
          <w:rFonts w:ascii="Calibri" w:eastAsia="Times New Roman" w:hAnsi="Calibri" w:cs="Times New Roman"/>
          <w:sz w:val="24"/>
          <w:szCs w:val="24"/>
        </w:rPr>
        <w:t>que contengan</w:t>
      </w:r>
      <w:r w:rsidR="006E6F49" w:rsidRPr="006E6F49">
        <w:rPr>
          <w:rFonts w:ascii="Calibri" w:eastAsia="Times New Roman" w:hAnsi="Calibri" w:cs="Times New Roman"/>
          <w:sz w:val="24"/>
          <w:szCs w:val="24"/>
        </w:rPr>
        <w:t xml:space="preserve"> lenguaje apropiado y cercano a </w:t>
      </w:r>
      <w:r w:rsidR="00DF06C4">
        <w:rPr>
          <w:rFonts w:ascii="Calibri" w:eastAsia="Times New Roman" w:hAnsi="Calibri" w:cs="Times New Roman"/>
          <w:sz w:val="24"/>
          <w:szCs w:val="24"/>
        </w:rPr>
        <w:t>éste</w:t>
      </w:r>
      <w:r w:rsidR="006E6F49" w:rsidRPr="006E6F49">
        <w:rPr>
          <w:rFonts w:ascii="Calibri" w:eastAsia="Times New Roman" w:hAnsi="Calibri" w:cs="Times New Roman"/>
          <w:sz w:val="24"/>
          <w:szCs w:val="24"/>
        </w:rPr>
        <w:t>.</w:t>
      </w:r>
    </w:p>
    <w:p w14:paraId="2E44994D"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1" w:name="_Toc378867809"/>
      <w:bookmarkStart w:id="112" w:name="_Toc441487023"/>
      <w:bookmarkStart w:id="113" w:name="_Toc480982397"/>
      <w:r w:rsidRPr="006E6F49">
        <w:rPr>
          <w:rFonts w:ascii="Cambria" w:eastAsia="Times New Roman" w:hAnsi="Cambria" w:cs="Arial"/>
          <w:b/>
          <w:bCs/>
          <w:i/>
          <w:iCs/>
          <w:sz w:val="24"/>
          <w:szCs w:val="24"/>
          <w:lang w:val="es-ES" w:eastAsia="es-ES"/>
        </w:rPr>
        <w:t>Temas que incluye la rendición de cuentas</w:t>
      </w:r>
      <w:bookmarkStart w:id="114" w:name="_Toc353973018"/>
      <w:bookmarkStart w:id="115" w:name="_Toc353973070"/>
      <w:bookmarkEnd w:id="111"/>
      <w:bookmarkEnd w:id="112"/>
      <w:bookmarkEnd w:id="113"/>
    </w:p>
    <w:bookmarkEnd w:id="114"/>
    <w:bookmarkEnd w:id="115"/>
    <w:p w14:paraId="18B9EC87" w14:textId="77777777" w:rsidR="006E6F49" w:rsidRPr="006E6F49" w:rsidRDefault="006E6F49" w:rsidP="006E6F49">
      <w:pPr>
        <w:autoSpaceDE w:val="0"/>
        <w:autoSpaceDN w:val="0"/>
        <w:adjustRightInd w:val="0"/>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De acuerdo con los lineamientos establecidos en la cartill</w:t>
      </w:r>
      <w:r w:rsidR="0083575E">
        <w:rPr>
          <w:rFonts w:ascii="Calibri" w:eastAsia="Times New Roman" w:hAnsi="Calibri" w:cs="Times New Roman"/>
          <w:sz w:val="24"/>
          <w:szCs w:val="24"/>
          <w:lang w:val="es-ES_tradnl" w:eastAsia="es-ES"/>
        </w:rPr>
        <w:t>a de Audiencias Públicas de la C</w:t>
      </w:r>
      <w:r w:rsidRPr="006E6F49">
        <w:rPr>
          <w:rFonts w:ascii="Calibri" w:eastAsia="Times New Roman" w:hAnsi="Calibri" w:cs="Times New Roman"/>
          <w:sz w:val="24"/>
          <w:szCs w:val="24"/>
          <w:lang w:val="es-ES_tradnl" w:eastAsia="es-ES"/>
        </w:rPr>
        <w:t>ontraloría Gene</w:t>
      </w:r>
      <w:r w:rsidR="0083575E">
        <w:rPr>
          <w:rFonts w:ascii="Calibri" w:eastAsia="Times New Roman" w:hAnsi="Calibri" w:cs="Times New Roman"/>
          <w:sz w:val="24"/>
          <w:szCs w:val="24"/>
          <w:lang w:val="es-ES_tradnl" w:eastAsia="es-ES"/>
        </w:rPr>
        <w:t>ral de la República, el Manual Único</w:t>
      </w:r>
      <w:r w:rsidRPr="006E6F49">
        <w:rPr>
          <w:rFonts w:ascii="Calibri" w:eastAsia="Times New Roman" w:hAnsi="Calibri" w:cs="Times New Roman"/>
          <w:sz w:val="24"/>
          <w:szCs w:val="24"/>
          <w:lang w:val="es-ES_tradnl" w:eastAsia="es-ES"/>
        </w:rPr>
        <w:t xml:space="preserve"> de Rendición de Cuentas del DAFP y en la Guía de “Estrategias para la Construcción del Plan Anticorrupción y de Atención Al Ciudadano” versión 2, los temas que se incluirán en el proceso de rendición de cuentas </w:t>
      </w:r>
      <w:r w:rsidRPr="006E6F49">
        <w:rPr>
          <w:rFonts w:ascii="Calibri" w:eastAsia="Times New Roman" w:hAnsi="Calibri" w:cs="Times New Roman"/>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6E6F49">
        <w:rPr>
          <w:rFonts w:ascii="Calibri" w:eastAsia="Times New Roman" w:hAnsi="Calibri" w:cs="Times New Roman"/>
          <w:sz w:val="24"/>
          <w:szCs w:val="24"/>
          <w:lang w:val="es-ES_tradnl" w:eastAsia="es-ES"/>
        </w:rPr>
        <w:t>serán:</w:t>
      </w:r>
    </w:p>
    <w:p w14:paraId="2FB3AA72"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6E6F49" w:rsidRPr="006E6F49" w14:paraId="601D30E9" w14:textId="77777777" w:rsidTr="00594908">
        <w:tc>
          <w:tcPr>
            <w:tcW w:w="2093" w:type="dxa"/>
            <w:shd w:val="clear" w:color="auto" w:fill="BFBFBF"/>
          </w:tcPr>
          <w:p w14:paraId="1A9EA21F"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Contenidos Básicos</w:t>
            </w:r>
          </w:p>
        </w:tc>
        <w:tc>
          <w:tcPr>
            <w:tcW w:w="2835" w:type="dxa"/>
            <w:shd w:val="clear" w:color="auto" w:fill="BFBFBF"/>
          </w:tcPr>
          <w:p w14:paraId="52BE3668"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Sub-clasificación</w:t>
            </w:r>
          </w:p>
        </w:tc>
        <w:tc>
          <w:tcPr>
            <w:tcW w:w="4694" w:type="dxa"/>
            <w:shd w:val="clear" w:color="auto" w:fill="BFBFBF"/>
          </w:tcPr>
          <w:p w14:paraId="663A27FE" w14:textId="77777777" w:rsidR="006E6F49" w:rsidRPr="006E6F49" w:rsidRDefault="006E6F49" w:rsidP="006E6F49">
            <w:pPr>
              <w:spacing w:after="0" w:line="240" w:lineRule="auto"/>
              <w:jc w:val="center"/>
              <w:rPr>
                <w:rFonts w:ascii="Calibri" w:eastAsia="Times New Roman" w:hAnsi="Calibri" w:cs="Times New Roman"/>
                <w:b/>
                <w:sz w:val="24"/>
                <w:szCs w:val="24"/>
                <w:lang w:val="es-ES_tradnl" w:eastAsia="es-ES"/>
              </w:rPr>
            </w:pPr>
            <w:r w:rsidRPr="006E6F49">
              <w:rPr>
                <w:rFonts w:ascii="Calibri" w:eastAsia="Times New Roman" w:hAnsi="Calibri" w:cs="Times New Roman"/>
                <w:b/>
                <w:sz w:val="24"/>
                <w:szCs w:val="24"/>
                <w:lang w:val="es-ES_tradnl" w:eastAsia="es-ES"/>
              </w:rPr>
              <w:t>Temas</w:t>
            </w:r>
          </w:p>
        </w:tc>
      </w:tr>
      <w:tr w:rsidR="006E6F49" w:rsidRPr="006E6F49" w14:paraId="042E4DAD" w14:textId="77777777" w:rsidTr="00594908">
        <w:tc>
          <w:tcPr>
            <w:tcW w:w="2093" w:type="dxa"/>
            <w:vMerge w:val="restart"/>
          </w:tcPr>
          <w:p w14:paraId="5AEA3B3A"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Mínimos Institucionales Obligatorios</w:t>
            </w:r>
          </w:p>
        </w:tc>
        <w:tc>
          <w:tcPr>
            <w:tcW w:w="2835" w:type="dxa"/>
          </w:tcPr>
          <w:p w14:paraId="66EEFF14"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de desarrollo bajo responsabilidad de la entidad</w:t>
            </w:r>
          </w:p>
        </w:tc>
        <w:tc>
          <w:tcPr>
            <w:tcW w:w="4694" w:type="dxa"/>
          </w:tcPr>
          <w:p w14:paraId="79BC886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Objeto de la entidad y derechos ciudadanos que atiende la entidad</w:t>
            </w:r>
          </w:p>
          <w:p w14:paraId="50C95445"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Situación que se encontró al inicio del periodo (línea base)</w:t>
            </w:r>
          </w:p>
          <w:p w14:paraId="56B2C34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nacional de desarrollo que debe ejecutar la entidad y población beneficiaria</w:t>
            </w:r>
          </w:p>
          <w:p w14:paraId="22FAE12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Metas del plan de acción institucional</w:t>
            </w:r>
          </w:p>
          <w:p w14:paraId="0D9B4A0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Avances y resultados en el cumplimiento del plan de acción</w:t>
            </w:r>
          </w:p>
          <w:p w14:paraId="19742B11"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Inversiones y presupuesto asociados a las metas y resultados de la gestión</w:t>
            </w:r>
          </w:p>
          <w:p w14:paraId="18A4DEF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garantizar la transparencia en la contratación</w:t>
            </w:r>
          </w:p>
          <w:p w14:paraId="0809FDD4"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dificultades en la ejecución y explicación de las mismas</w:t>
            </w:r>
          </w:p>
          <w:p w14:paraId="025B509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Proyecciones para la siguiente vigencia</w:t>
            </w:r>
          </w:p>
        </w:tc>
      </w:tr>
      <w:tr w:rsidR="006E6F49" w:rsidRPr="006E6F49" w14:paraId="6344BCB6" w14:textId="77777777" w:rsidTr="00594908">
        <w:tc>
          <w:tcPr>
            <w:tcW w:w="2093" w:type="dxa"/>
            <w:vMerge/>
          </w:tcPr>
          <w:p w14:paraId="7F66A383"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1F9BDC3B" w14:textId="77777777" w:rsidR="006E6F49" w:rsidRPr="006E6F49" w:rsidRDefault="006E6F49" w:rsidP="006E6F49">
            <w:pPr>
              <w:spacing w:after="0" w:line="240" w:lineRule="auto"/>
              <w:ind w:left="4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Acciones para el fortalecimiento Institucional</w:t>
            </w:r>
          </w:p>
        </w:tc>
        <w:tc>
          <w:tcPr>
            <w:tcW w:w="4694" w:type="dxa"/>
          </w:tcPr>
          <w:p w14:paraId="395C9388"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Plan de Mejoramiento Institucional</w:t>
            </w:r>
          </w:p>
          <w:p w14:paraId="2F94A8EA"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Estado de implementación del MECI y acciones de mejoramiento</w:t>
            </w:r>
          </w:p>
          <w:p w14:paraId="7520F10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Evaluación de la implementación del Sistema de Gestión de Calidad</w:t>
            </w:r>
          </w:p>
          <w:p w14:paraId="0BCC439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Mejoramiento de trámites institucionales</w:t>
            </w:r>
          </w:p>
          <w:p w14:paraId="364A8107" w14:textId="77777777" w:rsidR="006E6F49" w:rsidRPr="006E6F49" w:rsidRDefault="006E6F49" w:rsidP="006E6F49">
            <w:pPr>
              <w:spacing w:after="0" w:line="240" w:lineRule="auto"/>
              <w:ind w:left="360"/>
              <w:rPr>
                <w:rFonts w:ascii="Calibri" w:eastAsia="Times New Roman" w:hAnsi="Calibri" w:cs="Times New Roman"/>
                <w:sz w:val="24"/>
                <w:szCs w:val="24"/>
                <w:lang w:val="es-ES_tradnl" w:eastAsia="es-ES"/>
              </w:rPr>
            </w:pPr>
          </w:p>
        </w:tc>
      </w:tr>
      <w:tr w:rsidR="006E6F49" w:rsidRPr="006E6F49" w14:paraId="5DF92812" w14:textId="77777777" w:rsidTr="00594908">
        <w:tc>
          <w:tcPr>
            <w:tcW w:w="2093" w:type="dxa"/>
            <w:vMerge w:val="restart"/>
          </w:tcPr>
          <w:p w14:paraId="5F0883C8"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Temas de Interés Ciudadano</w:t>
            </w:r>
          </w:p>
        </w:tc>
        <w:tc>
          <w:tcPr>
            <w:tcW w:w="2835" w:type="dxa"/>
          </w:tcPr>
          <w:p w14:paraId="64B47E8C" w14:textId="77777777" w:rsidR="006E6F49" w:rsidRPr="006E6F49" w:rsidRDefault="006E6F49" w:rsidP="006E6F49">
            <w:pPr>
              <w:spacing w:after="0" w:line="240" w:lineRule="auto"/>
              <w:ind w:left="176"/>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Clasificación de quejas y reclamos</w:t>
            </w:r>
          </w:p>
        </w:tc>
        <w:tc>
          <w:tcPr>
            <w:tcW w:w="4694" w:type="dxa"/>
          </w:tcPr>
          <w:p w14:paraId="7B67BA77"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Quejas y peticiones frecuentes por áreas o servicios institucionales</w:t>
            </w:r>
          </w:p>
          <w:p w14:paraId="55695FDD"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 xml:space="preserve">Peticiones de interés general </w:t>
            </w:r>
          </w:p>
          <w:p w14:paraId="468F8C35"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Servicios frente a los cuales hay mayor demanda o queja</w:t>
            </w:r>
          </w:p>
          <w:p w14:paraId="0C02AED0"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Cantidad de usuarios y ciudadanos inconformes por servicio o proceso de la entidad</w:t>
            </w:r>
          </w:p>
        </w:tc>
      </w:tr>
      <w:tr w:rsidR="006E6F49" w:rsidRPr="006E6F49" w14:paraId="74AA297F" w14:textId="77777777" w:rsidTr="00594908">
        <w:tc>
          <w:tcPr>
            <w:tcW w:w="2093" w:type="dxa"/>
            <w:vMerge/>
          </w:tcPr>
          <w:p w14:paraId="3A831175"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514183F4"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Promoción de los Derechos Humanos</w:t>
            </w:r>
          </w:p>
        </w:tc>
        <w:tc>
          <w:tcPr>
            <w:tcW w:w="4694" w:type="dxa"/>
          </w:tcPr>
          <w:p w14:paraId="5970084C"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14:paraId="39FB3196"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A través de la Página WEB se presentarán notas de prensa resaltando los avances en este tema</w:t>
            </w:r>
          </w:p>
        </w:tc>
      </w:tr>
      <w:tr w:rsidR="006E6F49" w:rsidRPr="006E6F49" w14:paraId="6084D534" w14:textId="77777777" w:rsidTr="00367F63">
        <w:trPr>
          <w:trHeight w:val="780"/>
        </w:trPr>
        <w:tc>
          <w:tcPr>
            <w:tcW w:w="2093" w:type="dxa"/>
            <w:vMerge/>
          </w:tcPr>
          <w:p w14:paraId="3F06DD74"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tc>
        <w:tc>
          <w:tcPr>
            <w:tcW w:w="2835" w:type="dxa"/>
          </w:tcPr>
          <w:p w14:paraId="056A8FC6" w14:textId="77777777" w:rsidR="006E6F49" w:rsidRPr="006E6F49" w:rsidRDefault="006E6F49" w:rsidP="006E6F49">
            <w:pPr>
              <w:spacing w:after="0" w:line="240" w:lineRule="auto"/>
              <w:ind w:left="94"/>
              <w:rPr>
                <w:rFonts w:ascii="Calibri" w:eastAsia="Times New Roman" w:hAnsi="Calibri" w:cs="Times New Roman"/>
                <w:sz w:val="24"/>
                <w:szCs w:val="24"/>
                <w:lang w:val="es-ES_tradnl" w:eastAsia="es-ES"/>
              </w:rPr>
            </w:pPr>
            <w:r w:rsidRPr="00367F63">
              <w:rPr>
                <w:rFonts w:ascii="Calibri" w:eastAsia="Times New Roman" w:hAnsi="Calibri" w:cs="Times New Roman"/>
                <w:sz w:val="24"/>
                <w:szCs w:val="24"/>
                <w:lang w:val="es-ES_tradnl" w:eastAsia="es-ES"/>
              </w:rPr>
              <w:t>Consulta de temas específicos de interés ciudadano</w:t>
            </w:r>
          </w:p>
        </w:tc>
        <w:tc>
          <w:tcPr>
            <w:tcW w:w="4694" w:type="dxa"/>
          </w:tcPr>
          <w:p w14:paraId="641A503B" w14:textId="77777777" w:rsidR="006E6F49" w:rsidRPr="006E6F49" w:rsidRDefault="006E6F49" w:rsidP="006E6F49">
            <w:pPr>
              <w:numPr>
                <w:ilvl w:val="0"/>
                <w:numId w:val="5"/>
              </w:numPr>
              <w:spacing w:after="0" w:line="240" w:lineRule="auto"/>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Principales necesidades o temas propuestos por los diversos grupos de interés clasificados por regiones de acuerdo con plan de acción y metas definidas para 2017</w:t>
            </w:r>
          </w:p>
        </w:tc>
      </w:tr>
    </w:tbl>
    <w:p w14:paraId="62F409B3"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472501C0" w14:textId="77777777" w:rsidR="006E6F49" w:rsidRPr="006E6F49" w:rsidRDefault="006E6F49" w:rsidP="006E6F49">
      <w:pPr>
        <w:keepNext/>
        <w:numPr>
          <w:ilvl w:val="2"/>
          <w:numId w:val="20"/>
        </w:numPr>
        <w:spacing w:before="240" w:after="60" w:line="240" w:lineRule="auto"/>
        <w:outlineLvl w:val="1"/>
        <w:rPr>
          <w:rFonts w:ascii="Cambria" w:eastAsia="Times New Roman" w:hAnsi="Cambria" w:cs="Arial"/>
          <w:b/>
          <w:bCs/>
          <w:i/>
          <w:iCs/>
          <w:sz w:val="24"/>
          <w:szCs w:val="24"/>
          <w:lang w:val="es-ES" w:eastAsia="es-ES"/>
        </w:rPr>
      </w:pPr>
      <w:bookmarkStart w:id="116" w:name="_Toc353973016"/>
      <w:bookmarkStart w:id="117" w:name="_Toc353973068"/>
      <w:bookmarkStart w:id="118" w:name="_Toc355014830"/>
      <w:bookmarkStart w:id="119" w:name="_Toc355014911"/>
      <w:bookmarkStart w:id="120" w:name="_Toc355015027"/>
      <w:bookmarkStart w:id="121" w:name="_Toc355015081"/>
      <w:bookmarkStart w:id="122" w:name="_Toc355015243"/>
      <w:bookmarkStart w:id="123" w:name="_Toc361238726"/>
      <w:bookmarkStart w:id="124" w:name="_Toc378867810"/>
      <w:bookmarkStart w:id="125" w:name="_Toc441487024"/>
      <w:bookmarkStart w:id="126" w:name="_Toc480982398"/>
      <w:bookmarkStart w:id="127" w:name="_Toc346013786"/>
      <w:bookmarkEnd w:id="116"/>
      <w:bookmarkEnd w:id="117"/>
      <w:r w:rsidRPr="006E6F49">
        <w:rPr>
          <w:rFonts w:ascii="Cambria" w:eastAsia="Times New Roman" w:hAnsi="Cambria" w:cs="Arial"/>
          <w:b/>
          <w:bCs/>
          <w:i/>
          <w:iCs/>
          <w:sz w:val="24"/>
          <w:szCs w:val="24"/>
          <w:lang w:val="es-ES" w:eastAsia="es-ES"/>
        </w:rPr>
        <w:t>Estrategia</w:t>
      </w:r>
      <w:bookmarkEnd w:id="118"/>
      <w:bookmarkEnd w:id="119"/>
      <w:bookmarkEnd w:id="120"/>
      <w:bookmarkEnd w:id="121"/>
      <w:bookmarkEnd w:id="122"/>
      <w:bookmarkEnd w:id="123"/>
      <w:bookmarkEnd w:id="124"/>
      <w:bookmarkEnd w:id="125"/>
      <w:bookmarkEnd w:id="126"/>
    </w:p>
    <w:p w14:paraId="71C107E7"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28" w:name="_Toc355014831"/>
      <w:bookmarkStart w:id="129" w:name="_Toc355014912"/>
      <w:bookmarkStart w:id="130" w:name="_Toc355014955"/>
      <w:bookmarkStart w:id="131" w:name="_Toc355015028"/>
      <w:bookmarkStart w:id="132" w:name="_Toc355015082"/>
      <w:bookmarkStart w:id="133" w:name="_Toc355015244"/>
      <w:bookmarkStart w:id="134" w:name="_Toc361238727"/>
      <w:bookmarkStart w:id="135" w:name="_Toc361238802"/>
      <w:bookmarkStart w:id="136" w:name="_Toc362876230"/>
      <w:bookmarkStart w:id="137" w:name="_Toc362876441"/>
      <w:bookmarkStart w:id="138" w:name="_Toc363112020"/>
      <w:bookmarkStart w:id="139" w:name="_Toc378867811"/>
      <w:bookmarkStart w:id="140" w:name="_Toc441487025"/>
      <w:bookmarkStart w:id="141" w:name="_Toc441487057"/>
      <w:bookmarkStart w:id="142" w:name="_Toc473643934"/>
      <w:bookmarkStart w:id="143" w:name="_Toc480982082"/>
      <w:bookmarkStart w:id="144" w:name="_Toc48098239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5590B01" w14:textId="77777777" w:rsidR="006E6F49" w:rsidRPr="006E6F49" w:rsidRDefault="006E6F49" w:rsidP="006E6F49">
      <w:pPr>
        <w:keepNext/>
        <w:numPr>
          <w:ilvl w:val="0"/>
          <w:numId w:val="9"/>
        </w:numPr>
        <w:spacing w:before="240" w:after="60" w:line="240" w:lineRule="auto"/>
        <w:jc w:val="both"/>
        <w:outlineLvl w:val="1"/>
        <w:rPr>
          <w:rFonts w:ascii="Calibri" w:eastAsia="Times New Roman" w:hAnsi="Calibri" w:cs="Calibri"/>
          <w:b/>
          <w:vanish/>
          <w:color w:val="4F81BD"/>
          <w:sz w:val="24"/>
          <w:szCs w:val="24"/>
          <w:lang w:val="x-none" w:eastAsia="x-none"/>
        </w:rPr>
      </w:pPr>
      <w:bookmarkStart w:id="145" w:name="_Toc353973017"/>
      <w:bookmarkStart w:id="146" w:name="_Toc353973069"/>
      <w:bookmarkStart w:id="147" w:name="_Toc355014832"/>
      <w:bookmarkStart w:id="148" w:name="_Toc355014913"/>
      <w:bookmarkStart w:id="149" w:name="_Toc355014956"/>
      <w:bookmarkStart w:id="150" w:name="_Toc355015029"/>
      <w:bookmarkStart w:id="151" w:name="_Toc355015083"/>
      <w:bookmarkStart w:id="152" w:name="_Toc355015245"/>
      <w:bookmarkStart w:id="153" w:name="_Toc361238728"/>
      <w:bookmarkStart w:id="154" w:name="_Toc361238803"/>
      <w:bookmarkStart w:id="155" w:name="_Toc362876231"/>
      <w:bookmarkStart w:id="156" w:name="_Toc362876442"/>
      <w:bookmarkStart w:id="157" w:name="_Toc363112021"/>
      <w:bookmarkStart w:id="158" w:name="_Toc378867812"/>
      <w:bookmarkStart w:id="159" w:name="_Toc441487026"/>
      <w:bookmarkStart w:id="160" w:name="_Toc441487058"/>
      <w:bookmarkStart w:id="161" w:name="_Toc473643935"/>
      <w:bookmarkStart w:id="162" w:name="_Toc480982083"/>
      <w:bookmarkStart w:id="163" w:name="_Toc48098240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407D000"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bookmarkStart w:id="164" w:name="_Toc353973019"/>
      <w:bookmarkStart w:id="165" w:name="_Toc346013795"/>
      <w:bookmarkStart w:id="166" w:name="_Toc353973020"/>
      <w:bookmarkStart w:id="167" w:name="_Toc353973071"/>
      <w:bookmarkStart w:id="168" w:name="_Toc355014833"/>
      <w:bookmarkStart w:id="169" w:name="_Toc355014914"/>
      <w:bookmarkStart w:id="170" w:name="_Toc355014957"/>
      <w:bookmarkStart w:id="171" w:name="_Toc355015030"/>
      <w:bookmarkStart w:id="172" w:name="_Toc355015084"/>
      <w:bookmarkStart w:id="173" w:name="_Toc355015246"/>
      <w:bookmarkStart w:id="174" w:name="_Toc361238729"/>
      <w:bookmarkEnd w:id="127"/>
      <w:r w:rsidRPr="006E6F49">
        <w:rPr>
          <w:rFonts w:ascii="Calibri" w:eastAsia="Times New Roman" w:hAnsi="Calibri" w:cs="Times New Roman"/>
          <w:sz w:val="24"/>
          <w:szCs w:val="24"/>
          <w:lang w:val="es-ES_tradnl" w:eastAsia="es-ES"/>
        </w:rPr>
        <w:t xml:space="preserve">Con </w:t>
      </w:r>
      <w:r w:rsidR="000B54C8">
        <w:rPr>
          <w:rFonts w:ascii="Calibri" w:eastAsia="Times New Roman" w:hAnsi="Calibri" w:cs="Times New Roman"/>
          <w:sz w:val="24"/>
          <w:szCs w:val="24"/>
          <w:lang w:val="es-ES_tradnl" w:eastAsia="es-ES"/>
        </w:rPr>
        <w:t xml:space="preserve">el ánimo </w:t>
      </w:r>
      <w:r w:rsidRPr="006E6F49">
        <w:rPr>
          <w:rFonts w:ascii="Calibri" w:eastAsia="Times New Roman" w:hAnsi="Calibri" w:cs="Times New Roman"/>
          <w:sz w:val="24"/>
          <w:szCs w:val="24"/>
          <w:lang w:val="es-ES_tradnl" w:eastAsia="es-ES"/>
        </w:rPr>
        <w:t xml:space="preserve">de realizar el proceso de rendición de cuentas a la ciudadanía, la Agencia desarrollará </w:t>
      </w:r>
      <w:r w:rsidR="000B54C8">
        <w:rPr>
          <w:rFonts w:ascii="Calibri" w:eastAsia="Times New Roman" w:hAnsi="Calibri" w:cs="Times New Roman"/>
          <w:sz w:val="24"/>
          <w:szCs w:val="24"/>
          <w:lang w:val="es-ES_tradnl" w:eastAsia="es-ES"/>
        </w:rPr>
        <w:t>la</w:t>
      </w:r>
      <w:r w:rsidRPr="006E6F49">
        <w:rPr>
          <w:rFonts w:ascii="Calibri" w:eastAsia="Times New Roman" w:hAnsi="Calibri" w:cs="Times New Roman"/>
          <w:sz w:val="24"/>
          <w:szCs w:val="24"/>
          <w:lang w:val="es-ES_tradnl" w:eastAsia="es-ES"/>
        </w:rPr>
        <w:t xml:space="preserve"> estrategia </w:t>
      </w:r>
      <w:r w:rsidR="000B54C8">
        <w:rPr>
          <w:rFonts w:ascii="Calibri" w:eastAsia="Times New Roman" w:hAnsi="Calibri" w:cs="Times New Roman"/>
          <w:sz w:val="24"/>
          <w:szCs w:val="24"/>
          <w:lang w:val="es-ES_tradnl" w:eastAsia="es-ES"/>
        </w:rPr>
        <w:t>que en adelante se expone y que está</w:t>
      </w:r>
      <w:r w:rsidRPr="006E6F49">
        <w:rPr>
          <w:rFonts w:ascii="Calibri" w:eastAsia="Times New Roman" w:hAnsi="Calibri" w:cs="Times New Roman"/>
          <w:sz w:val="24"/>
          <w:szCs w:val="24"/>
          <w:lang w:val="es-ES_tradnl" w:eastAsia="es-ES"/>
        </w:rPr>
        <w:t xml:space="preserve"> compuesta por 4 elementos principales a</w:t>
      </w:r>
      <w:r w:rsidR="000B54C8">
        <w:rPr>
          <w:rFonts w:ascii="Calibri" w:eastAsia="Times New Roman" w:hAnsi="Calibri" w:cs="Times New Roman"/>
          <w:sz w:val="24"/>
          <w:szCs w:val="24"/>
          <w:lang w:val="es-ES_tradnl" w:eastAsia="es-ES"/>
        </w:rPr>
        <w:t xml:space="preserve"> saber</w:t>
      </w:r>
      <w:r w:rsidRPr="006E6F49">
        <w:rPr>
          <w:rFonts w:ascii="Calibri" w:eastAsia="Times New Roman" w:hAnsi="Calibri" w:cs="Times New Roman"/>
          <w:sz w:val="24"/>
          <w:szCs w:val="24"/>
          <w:lang w:val="es-ES_tradnl" w:eastAsia="es-ES"/>
        </w:rPr>
        <w:t>:</w:t>
      </w:r>
      <w:bookmarkEnd w:id="164"/>
    </w:p>
    <w:p w14:paraId="0AC3510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0208B997"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Realización de eventos de divulgación:</w:t>
      </w:r>
      <w:r w:rsidRPr="006E6F49">
        <w:rPr>
          <w:rFonts w:ascii="Calibri" w:eastAsia="Times New Roman" w:hAnsi="Calibri" w:cs="Times New Roman"/>
          <w:sz w:val="24"/>
          <w:szCs w:val="24"/>
          <w:lang w:val="es-ES_tradnl" w:eastAsia="es-ES"/>
        </w:rPr>
        <w:t xml:space="preserve"> </w:t>
      </w:r>
      <w:r w:rsidR="000B54C8">
        <w:rPr>
          <w:rFonts w:ascii="Calibri" w:eastAsia="Times New Roman" w:hAnsi="Calibri" w:cs="Times New Roman"/>
          <w:sz w:val="24"/>
          <w:szCs w:val="24"/>
          <w:lang w:val="es-ES_tradnl" w:eastAsia="es-ES"/>
        </w:rPr>
        <w:t>L</w:t>
      </w:r>
      <w:r w:rsidRPr="006E6F49">
        <w:rPr>
          <w:rFonts w:ascii="Calibri" w:eastAsia="Times New Roman" w:hAnsi="Calibri" w:cs="Times New Roman"/>
          <w:sz w:val="24"/>
          <w:szCs w:val="24"/>
          <w:lang w:val="es-ES_tradnl" w:eastAsia="es-ES"/>
        </w:rPr>
        <w:t xml:space="preserve">a Agencia, </w:t>
      </w:r>
      <w:r w:rsidR="000B54C8" w:rsidRPr="006E6F49">
        <w:rPr>
          <w:rFonts w:ascii="Calibri" w:eastAsia="Times New Roman" w:hAnsi="Calibri" w:cs="Times New Roman"/>
          <w:sz w:val="24"/>
          <w:szCs w:val="24"/>
          <w:lang w:val="es-ES_tradnl" w:eastAsia="es-ES"/>
        </w:rPr>
        <w:t>efectuará</w:t>
      </w:r>
      <w:r w:rsidRPr="006E6F49">
        <w:rPr>
          <w:rFonts w:ascii="Calibri" w:eastAsia="Times New Roman" w:hAnsi="Calibri" w:cs="Times New Roman"/>
          <w:sz w:val="24"/>
          <w:szCs w:val="24"/>
          <w:lang w:val="es-ES_tradnl" w:eastAsia="es-ES"/>
        </w:rPr>
        <w:t xml:space="preserve"> eventos tales como ruedas de prensa y eventos de socialización de los nuevos proyectos, avance en cumplimiento de </w:t>
      </w:r>
      <w:r w:rsidR="000B54C8">
        <w:rPr>
          <w:rFonts w:ascii="Calibri" w:eastAsia="Times New Roman" w:hAnsi="Calibri" w:cs="Times New Roman"/>
          <w:sz w:val="24"/>
          <w:szCs w:val="24"/>
          <w:lang w:val="es-ES_tradnl" w:eastAsia="es-ES"/>
        </w:rPr>
        <w:t>metas y plan de acción, a</w:t>
      </w:r>
      <w:r w:rsidRPr="006E6F49">
        <w:rPr>
          <w:rFonts w:ascii="Calibri" w:eastAsia="Times New Roman" w:hAnsi="Calibri" w:cs="Times New Roman"/>
          <w:sz w:val="24"/>
          <w:szCs w:val="24"/>
          <w:lang w:val="es-ES_tradnl" w:eastAsia="es-ES"/>
        </w:rPr>
        <w:t>udiencias públicas virtuales y presenciales, participación en ferias y eventos especializados del sector.</w:t>
      </w:r>
    </w:p>
    <w:p w14:paraId="23C477E0" w14:textId="77777777" w:rsidR="006E6F49" w:rsidRPr="000B54C8" w:rsidRDefault="006E6F49" w:rsidP="001D343C">
      <w:pPr>
        <w:numPr>
          <w:ilvl w:val="0"/>
          <w:numId w:val="6"/>
        </w:numPr>
        <w:spacing w:after="0" w:line="240" w:lineRule="auto"/>
        <w:ind w:left="708"/>
        <w:jc w:val="both"/>
        <w:rPr>
          <w:rFonts w:ascii="Calibri" w:eastAsia="Times New Roman" w:hAnsi="Calibri" w:cs="Times New Roman"/>
          <w:sz w:val="24"/>
          <w:szCs w:val="24"/>
          <w:lang w:val="es-ES" w:eastAsia="es-ES"/>
        </w:rPr>
      </w:pPr>
      <w:r w:rsidRPr="000B54C8">
        <w:rPr>
          <w:rFonts w:ascii="Calibri" w:eastAsia="Times New Roman" w:hAnsi="Calibri" w:cs="Times New Roman"/>
          <w:i/>
          <w:sz w:val="24"/>
          <w:szCs w:val="24"/>
          <w:u w:val="single"/>
          <w:lang w:val="es-ES_tradnl" w:eastAsia="es-ES"/>
        </w:rPr>
        <w:t>Publicación en medios:</w:t>
      </w:r>
      <w:r w:rsidRPr="000B54C8">
        <w:rPr>
          <w:rFonts w:ascii="Calibri" w:eastAsia="Times New Roman" w:hAnsi="Calibri" w:cs="Times New Roman"/>
          <w:sz w:val="24"/>
          <w:szCs w:val="24"/>
          <w:lang w:val="es-ES_tradnl" w:eastAsia="es-ES"/>
        </w:rPr>
        <w:t xml:space="preserve"> </w:t>
      </w:r>
      <w:r w:rsidR="000B54C8" w:rsidRPr="000B54C8">
        <w:rPr>
          <w:rFonts w:ascii="Calibri" w:eastAsia="Times New Roman" w:hAnsi="Calibri" w:cs="Times New Roman"/>
          <w:sz w:val="24"/>
          <w:szCs w:val="24"/>
          <w:lang w:val="es-ES_tradnl" w:eastAsia="es-ES"/>
        </w:rPr>
        <w:t xml:space="preserve">Para dar continuidad al proceso </w:t>
      </w:r>
      <w:r w:rsidRPr="000B54C8">
        <w:rPr>
          <w:rFonts w:ascii="Calibri" w:eastAsia="Times New Roman" w:hAnsi="Calibri" w:cs="Times New Roman"/>
          <w:sz w:val="24"/>
          <w:szCs w:val="24"/>
          <w:lang w:val="es-ES_tradnl" w:eastAsia="es-ES"/>
        </w:rPr>
        <w:t xml:space="preserve">de acercamiento y divulgación de la información referente a la planeación y gestión de la Entidad, la </w:t>
      </w:r>
      <w:r w:rsidR="000B54C8" w:rsidRPr="000B54C8">
        <w:rPr>
          <w:rFonts w:ascii="Calibri" w:eastAsia="Times New Roman" w:hAnsi="Calibri" w:cs="Times New Roman"/>
          <w:sz w:val="24"/>
          <w:szCs w:val="24"/>
          <w:lang w:val="es-ES_tradnl" w:eastAsia="es-ES"/>
        </w:rPr>
        <w:t>entidad</w:t>
      </w:r>
      <w:r w:rsidRPr="000B54C8">
        <w:rPr>
          <w:rFonts w:ascii="Calibri" w:eastAsia="Times New Roman" w:hAnsi="Calibri" w:cs="Times New Roman"/>
          <w:sz w:val="24"/>
          <w:szCs w:val="24"/>
          <w:lang w:val="es-ES_tradnl" w:eastAsia="es-ES"/>
        </w:rPr>
        <w:t xml:space="preserve"> hará presencia activa en las principales redes sociale</w:t>
      </w:r>
      <w:r w:rsidR="000B54C8" w:rsidRPr="000B54C8">
        <w:rPr>
          <w:rFonts w:ascii="Calibri" w:eastAsia="Times New Roman" w:hAnsi="Calibri" w:cs="Times New Roman"/>
          <w:sz w:val="24"/>
          <w:szCs w:val="24"/>
          <w:lang w:val="es-ES_tradnl" w:eastAsia="es-ES"/>
        </w:rPr>
        <w:t xml:space="preserve">s (Facebook, Twitter, YouTube), </w:t>
      </w:r>
      <w:r w:rsidRPr="000B54C8">
        <w:rPr>
          <w:rFonts w:ascii="Calibri" w:eastAsia="Times New Roman" w:hAnsi="Calibri" w:cs="Times New Roman"/>
          <w:sz w:val="24"/>
          <w:szCs w:val="24"/>
          <w:lang w:val="es-ES_tradnl" w:eastAsia="es-ES"/>
        </w:rPr>
        <w:t>y publicará</w:t>
      </w:r>
      <w:r w:rsidR="000B54C8" w:rsidRPr="000B54C8">
        <w:rPr>
          <w:rFonts w:ascii="Calibri" w:eastAsia="Times New Roman" w:hAnsi="Calibri" w:cs="Times New Roman"/>
          <w:sz w:val="24"/>
          <w:szCs w:val="24"/>
          <w:lang w:val="es-ES_tradnl" w:eastAsia="es-ES"/>
        </w:rPr>
        <w:t>,</w:t>
      </w:r>
      <w:r w:rsidRPr="000B54C8">
        <w:rPr>
          <w:rFonts w:ascii="Calibri" w:eastAsia="Times New Roman" w:hAnsi="Calibri" w:cs="Times New Roman"/>
          <w:sz w:val="24"/>
          <w:szCs w:val="24"/>
          <w:lang w:val="es-ES_tradnl" w:eastAsia="es-ES"/>
        </w:rPr>
        <w:t xml:space="preserve"> en la página</w:t>
      </w:r>
      <w:r w:rsidR="000B54C8" w:rsidRPr="000B54C8">
        <w:rPr>
          <w:rFonts w:ascii="Calibri" w:eastAsia="Times New Roman" w:hAnsi="Calibri" w:cs="Times New Roman"/>
          <w:sz w:val="24"/>
          <w:szCs w:val="24"/>
          <w:lang w:val="es-ES_tradnl" w:eastAsia="es-ES"/>
        </w:rPr>
        <w:t xml:space="preserve"> WEB de la entidad,</w:t>
      </w:r>
      <w:r w:rsidRPr="000B54C8">
        <w:rPr>
          <w:rFonts w:ascii="Calibri" w:eastAsia="Times New Roman" w:hAnsi="Calibri" w:cs="Times New Roman"/>
          <w:sz w:val="24"/>
          <w:szCs w:val="24"/>
          <w:lang w:val="es-ES_tradnl" w:eastAsia="es-ES"/>
        </w:rPr>
        <w:t xml:space="preserve"> la información correspondiente a la planeación y avances en la gestión y los</w:t>
      </w:r>
      <w:r w:rsidR="000B54C8" w:rsidRPr="000B54C8">
        <w:rPr>
          <w:rFonts w:ascii="Calibri" w:eastAsia="Times New Roman" w:hAnsi="Calibri" w:cs="Times New Roman"/>
          <w:sz w:val="24"/>
          <w:szCs w:val="24"/>
          <w:lang w:val="es-ES_tradnl" w:eastAsia="es-ES"/>
        </w:rPr>
        <w:t xml:space="preserve"> nuevos proyectos a desarrollar, no solamente por ajustarse a los lineamientos de </w:t>
      </w:r>
      <w:r w:rsidR="000B54C8" w:rsidRPr="000B54C8">
        <w:rPr>
          <w:rFonts w:ascii="Calibri" w:eastAsia="Times New Roman" w:hAnsi="Calibri" w:cs="Times New Roman"/>
          <w:sz w:val="24"/>
          <w:szCs w:val="24"/>
          <w:lang w:val="es-ES" w:eastAsia="es-ES"/>
        </w:rPr>
        <w:t>buen</w:t>
      </w:r>
      <w:r w:rsidRPr="000B54C8">
        <w:rPr>
          <w:rFonts w:ascii="Calibri" w:eastAsia="Times New Roman" w:hAnsi="Calibri" w:cs="Times New Roman"/>
          <w:sz w:val="24"/>
          <w:szCs w:val="24"/>
          <w:lang w:val="es-ES" w:eastAsia="es-ES"/>
        </w:rPr>
        <w:t xml:space="preserve"> </w:t>
      </w:r>
      <w:r w:rsidR="000B54C8">
        <w:rPr>
          <w:rFonts w:ascii="Calibri" w:eastAsia="Times New Roman" w:hAnsi="Calibri" w:cs="Times New Roman"/>
          <w:sz w:val="24"/>
          <w:szCs w:val="24"/>
          <w:lang w:val="es-ES" w:eastAsia="es-ES"/>
        </w:rPr>
        <w:t>g</w:t>
      </w:r>
      <w:r w:rsidRPr="000B54C8">
        <w:rPr>
          <w:rFonts w:ascii="Calibri" w:eastAsia="Times New Roman" w:hAnsi="Calibri" w:cs="Times New Roman"/>
          <w:sz w:val="24"/>
          <w:szCs w:val="24"/>
          <w:lang w:val="es-ES" w:eastAsia="es-ES"/>
        </w:rPr>
        <w:t xml:space="preserve">obierno </w:t>
      </w:r>
      <w:r w:rsidR="000B54C8">
        <w:rPr>
          <w:rFonts w:ascii="Calibri" w:eastAsia="Times New Roman" w:hAnsi="Calibri" w:cs="Times New Roman"/>
          <w:sz w:val="24"/>
          <w:szCs w:val="24"/>
          <w:lang w:val="es-ES" w:eastAsia="es-ES"/>
        </w:rPr>
        <w:t xml:space="preserve">que </w:t>
      </w:r>
      <w:r w:rsidRPr="000B54C8">
        <w:rPr>
          <w:rFonts w:ascii="Calibri" w:eastAsia="Times New Roman" w:hAnsi="Calibri" w:cs="Times New Roman"/>
          <w:sz w:val="24"/>
          <w:szCs w:val="24"/>
          <w:lang w:val="es-ES" w:eastAsia="es-ES"/>
        </w:rPr>
        <w:t xml:space="preserve">busca generar confianza de las partes interesadas en las entidades y los servidores públicos, ambiente en el que el Estado está al servicio de las necesidades y </w:t>
      </w:r>
      <w:r w:rsidR="000B54C8">
        <w:rPr>
          <w:rFonts w:ascii="Calibri" w:eastAsia="Times New Roman" w:hAnsi="Calibri" w:cs="Times New Roman"/>
          <w:sz w:val="24"/>
          <w:szCs w:val="24"/>
          <w:lang w:val="es-ES" w:eastAsia="es-ES"/>
        </w:rPr>
        <w:t>requerimientos de la comunidad; sino por orientar su actuar h</w:t>
      </w:r>
      <w:r w:rsidR="00776FA1" w:rsidRPr="000B54C8">
        <w:rPr>
          <w:rFonts w:ascii="Calibri" w:eastAsia="Times New Roman" w:hAnsi="Calibri" w:cs="Times New Roman"/>
          <w:sz w:val="24"/>
          <w:szCs w:val="24"/>
          <w:lang w:val="es-ES" w:eastAsia="es-ES"/>
        </w:rPr>
        <w:t>acia</w:t>
      </w:r>
      <w:r w:rsidRPr="000B54C8">
        <w:rPr>
          <w:rFonts w:ascii="Calibri" w:eastAsia="Times New Roman" w:hAnsi="Calibri" w:cs="Times New Roman"/>
          <w:sz w:val="24"/>
          <w:szCs w:val="24"/>
          <w:lang w:val="es-ES" w:eastAsia="es-ES"/>
        </w:rPr>
        <w:t xml:space="preserve"> la mejora continua de sus procesos internos, la entrega de productos y servicios que cumplan con los requisitos y expectativas de los ciudadanos, la calidez, conocimiento y orientación de los servidores públicos y la optimización de los recursos, </w:t>
      </w:r>
      <w:r w:rsidR="000B54C8">
        <w:rPr>
          <w:rFonts w:ascii="Calibri" w:eastAsia="Times New Roman" w:hAnsi="Calibri" w:cs="Times New Roman"/>
          <w:sz w:val="24"/>
          <w:szCs w:val="24"/>
          <w:lang w:val="es-ES" w:eastAsia="es-ES"/>
        </w:rPr>
        <w:t>en aras de</w:t>
      </w:r>
      <w:r w:rsidRPr="000B54C8">
        <w:rPr>
          <w:rFonts w:ascii="Calibri" w:eastAsia="Times New Roman" w:hAnsi="Calibri" w:cs="Times New Roman"/>
          <w:sz w:val="24"/>
          <w:szCs w:val="24"/>
          <w:lang w:val="es-ES" w:eastAsia="es-ES"/>
        </w:rPr>
        <w:t xml:space="preserve"> garantizar la excelencia en el servicio al ciudadano.</w:t>
      </w:r>
    </w:p>
    <w:p w14:paraId="433791B0" w14:textId="77777777" w:rsidR="00CD16D0" w:rsidRDefault="00E825FA" w:rsidP="0003144B">
      <w:pPr>
        <w:spacing w:after="0" w:line="240" w:lineRule="auto"/>
        <w:jc w:val="both"/>
        <w:rPr>
          <w:rFonts w:ascii="Calibri" w:eastAsia="Times New Roman" w:hAnsi="Calibri" w:cs="Times New Roman"/>
          <w:i/>
          <w:sz w:val="20"/>
          <w:szCs w:val="20"/>
          <w:u w:val="single"/>
          <w:lang w:val="es-ES_tradnl" w:eastAsia="es-ES"/>
        </w:rPr>
      </w:pPr>
      <w:r>
        <w:rPr>
          <w:rFonts w:ascii="Calibri" w:eastAsia="Times New Roman" w:hAnsi="Calibri" w:cs="Times New Roman"/>
          <w:i/>
          <w:sz w:val="20"/>
          <w:szCs w:val="20"/>
          <w:u w:val="single"/>
          <w:lang w:val="es-ES_tradnl" w:eastAsia="es-ES"/>
        </w:rPr>
        <w:t xml:space="preserve">  </w:t>
      </w:r>
      <w:r w:rsidR="00CD16D0">
        <w:rPr>
          <w:rFonts w:ascii="Calibri" w:eastAsia="Times New Roman" w:hAnsi="Calibri" w:cs="Times New Roman"/>
          <w:i/>
          <w:sz w:val="20"/>
          <w:szCs w:val="20"/>
          <w:u w:val="single"/>
          <w:lang w:val="es-ES_tradnl" w:eastAsia="es-ES"/>
        </w:rPr>
        <w:t xml:space="preserve"> </w:t>
      </w:r>
    </w:p>
    <w:p w14:paraId="45DCD817" w14:textId="77777777" w:rsidR="006E6F49" w:rsidRPr="006E6F49" w:rsidRDefault="00DF3B1B" w:rsidP="000B54C8">
      <w:pPr>
        <w:spacing w:after="0" w:line="240" w:lineRule="auto"/>
        <w:ind w:left="708"/>
        <w:jc w:val="both"/>
        <w:rPr>
          <w:rFonts w:ascii="Calibri" w:eastAsia="Times New Roman" w:hAnsi="Calibri" w:cs="Times New Roman"/>
          <w:i/>
          <w:sz w:val="24"/>
          <w:szCs w:val="24"/>
          <w:u w:val="single"/>
          <w:lang w:val="es-ES_tradnl" w:eastAsia="es-ES"/>
        </w:rPr>
      </w:pPr>
      <w:r>
        <w:rPr>
          <w:rFonts w:ascii="Calibri" w:eastAsia="Times New Roman" w:hAnsi="Calibri" w:cs="Times New Roman"/>
          <w:i/>
          <w:sz w:val="20"/>
          <w:szCs w:val="20"/>
          <w:u w:val="single"/>
          <w:lang w:val="es-ES_tradnl" w:eastAsia="es-ES"/>
        </w:rPr>
        <w:t xml:space="preserve"> </w:t>
      </w:r>
      <w:r w:rsidR="006E6F49" w:rsidRPr="006E6F49">
        <w:rPr>
          <w:rFonts w:ascii="Calibri" w:eastAsia="Times New Roman" w:hAnsi="Calibri" w:cs="Times New Roman"/>
          <w:i/>
          <w:sz w:val="24"/>
          <w:szCs w:val="24"/>
          <w:u w:val="single"/>
          <w:lang w:val="es-ES_tradnl" w:eastAsia="es-ES"/>
        </w:rPr>
        <w:t>Otros canales de difusión</w:t>
      </w:r>
      <w:r w:rsidR="006E6F49" w:rsidRPr="006E6F49">
        <w:rPr>
          <w:rFonts w:ascii="Calibri" w:eastAsia="Times New Roman" w:hAnsi="Calibri" w:cs="Times New Roman"/>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14:paraId="445ACB50"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Veedurías Ciudadanas:</w:t>
      </w:r>
      <w:r w:rsidRPr="006E6F49">
        <w:rPr>
          <w:rFonts w:ascii="Calibri" w:eastAsia="Times New Roman" w:hAnsi="Calibri" w:cs="Times New Roman"/>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14:paraId="6A36978C"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Evaluación:</w:t>
      </w:r>
      <w:r w:rsidRPr="006E6F49">
        <w:rPr>
          <w:rFonts w:ascii="Calibri" w:eastAsia="Times New Roman" w:hAnsi="Calibri" w:cs="Times New Roman"/>
          <w:i/>
          <w:sz w:val="24"/>
          <w:szCs w:val="24"/>
          <w:lang w:val="es-ES_tradnl" w:eastAsia="es-ES"/>
        </w:rPr>
        <w:t xml:space="preserve"> </w:t>
      </w:r>
      <w:r w:rsidRPr="006E6F49">
        <w:rPr>
          <w:rFonts w:ascii="Calibri" w:eastAsia="Times New Roman" w:hAnsi="Calibri" w:cs="Times New Roman"/>
          <w:sz w:val="24"/>
          <w:szCs w:val="24"/>
          <w:lang w:val="es-ES_tradnl" w:eastAsia="es-ES"/>
        </w:rPr>
        <w:t>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w:t>
      </w:r>
      <w:r w:rsidR="0094222A">
        <w:rPr>
          <w:rFonts w:ascii="Calibri" w:eastAsia="Times New Roman" w:hAnsi="Calibri" w:cs="Times New Roman"/>
          <w:sz w:val="24"/>
          <w:szCs w:val="24"/>
          <w:lang w:val="es-ES_tradnl" w:eastAsia="es-ES"/>
        </w:rPr>
        <w:t xml:space="preserve">ente vigencia. De igual manera, </w:t>
      </w:r>
      <w:r w:rsidRPr="006E6F49">
        <w:rPr>
          <w:rFonts w:ascii="Calibri" w:eastAsia="Times New Roman" w:hAnsi="Calibri" w:cs="Times New Roman"/>
          <w:sz w:val="24"/>
          <w:szCs w:val="24"/>
          <w:lang w:val="es-ES_tradnl" w:eastAsia="es-ES"/>
        </w:rPr>
        <w:t xml:space="preserve">al finalizar las Audiencias Públicas (Presenciales y Virtuales) se realizará una encuesta a los participantes </w:t>
      </w:r>
      <w:r w:rsidR="0094222A">
        <w:rPr>
          <w:rFonts w:ascii="Calibri" w:eastAsia="Times New Roman" w:hAnsi="Calibri" w:cs="Times New Roman"/>
          <w:sz w:val="24"/>
          <w:szCs w:val="24"/>
          <w:lang w:val="es-ES_tradnl" w:eastAsia="es-ES"/>
        </w:rPr>
        <w:t>para</w:t>
      </w:r>
      <w:r w:rsidRPr="006E6F49">
        <w:rPr>
          <w:rFonts w:ascii="Calibri" w:eastAsia="Times New Roman" w:hAnsi="Calibri" w:cs="Times New Roman"/>
          <w:sz w:val="24"/>
          <w:szCs w:val="24"/>
          <w:lang w:val="es-ES_tradnl" w:eastAsia="es-ES"/>
        </w:rPr>
        <w:t xml:space="preserve"> medir la percepción del mismo y </w:t>
      </w:r>
      <w:r w:rsidR="0094222A">
        <w:rPr>
          <w:rFonts w:ascii="Calibri" w:eastAsia="Times New Roman" w:hAnsi="Calibri" w:cs="Times New Roman"/>
          <w:sz w:val="24"/>
          <w:szCs w:val="24"/>
          <w:lang w:val="es-ES_tradnl" w:eastAsia="es-ES"/>
        </w:rPr>
        <w:t xml:space="preserve">acoger </w:t>
      </w:r>
      <w:r w:rsidRPr="006E6F49">
        <w:rPr>
          <w:rFonts w:ascii="Calibri" w:eastAsia="Times New Roman" w:hAnsi="Calibri" w:cs="Times New Roman"/>
          <w:sz w:val="24"/>
          <w:szCs w:val="24"/>
          <w:lang w:val="es-ES_tradnl" w:eastAsia="es-ES"/>
        </w:rPr>
        <w:t xml:space="preserve">las sugerencias </w:t>
      </w:r>
      <w:r w:rsidR="0094222A">
        <w:rPr>
          <w:rFonts w:ascii="Calibri" w:eastAsia="Times New Roman" w:hAnsi="Calibri" w:cs="Times New Roman"/>
          <w:sz w:val="24"/>
          <w:szCs w:val="24"/>
          <w:lang w:val="es-ES_tradnl" w:eastAsia="es-ES"/>
        </w:rPr>
        <w:t xml:space="preserve">que resulten viables </w:t>
      </w:r>
      <w:r w:rsidRPr="006E6F49">
        <w:rPr>
          <w:rFonts w:ascii="Calibri" w:eastAsia="Times New Roman" w:hAnsi="Calibri" w:cs="Times New Roman"/>
          <w:sz w:val="24"/>
          <w:szCs w:val="24"/>
          <w:lang w:val="es-ES_tradnl" w:eastAsia="es-ES"/>
        </w:rPr>
        <w:t xml:space="preserve">para eventos </w:t>
      </w:r>
      <w:r w:rsidR="0094222A">
        <w:rPr>
          <w:rFonts w:ascii="Calibri" w:eastAsia="Times New Roman" w:hAnsi="Calibri" w:cs="Times New Roman"/>
          <w:sz w:val="24"/>
          <w:szCs w:val="24"/>
          <w:lang w:val="es-ES_tradnl" w:eastAsia="es-ES"/>
        </w:rPr>
        <w:t>futuros</w:t>
      </w:r>
      <w:r w:rsidRPr="006E6F49">
        <w:rPr>
          <w:rFonts w:ascii="Calibri" w:eastAsia="Times New Roman" w:hAnsi="Calibri" w:cs="Times New Roman"/>
          <w:sz w:val="24"/>
          <w:szCs w:val="24"/>
          <w:lang w:val="es-ES_tradnl" w:eastAsia="es-ES"/>
        </w:rPr>
        <w:t>.</w:t>
      </w:r>
    </w:p>
    <w:p w14:paraId="4B60CDBF" w14:textId="77777777" w:rsidR="006E6F49" w:rsidRPr="006E6F49" w:rsidRDefault="006E6F49" w:rsidP="006E6F49">
      <w:pPr>
        <w:numPr>
          <w:ilvl w:val="0"/>
          <w:numId w:val="6"/>
        </w:numPr>
        <w:spacing w:after="0" w:line="240" w:lineRule="auto"/>
        <w:jc w:val="both"/>
        <w:rPr>
          <w:rFonts w:ascii="Calibri" w:eastAsia="Times New Roman" w:hAnsi="Calibri" w:cs="Times New Roman"/>
          <w:i/>
          <w:sz w:val="24"/>
          <w:szCs w:val="24"/>
          <w:u w:val="single"/>
          <w:lang w:val="es-ES_tradnl" w:eastAsia="es-ES"/>
        </w:rPr>
      </w:pPr>
      <w:r w:rsidRPr="006E6F49">
        <w:rPr>
          <w:rFonts w:ascii="Calibri" w:eastAsia="Times New Roman" w:hAnsi="Calibri" w:cs="Times New Roman"/>
          <w:i/>
          <w:sz w:val="24"/>
          <w:szCs w:val="24"/>
          <w:u w:val="single"/>
          <w:lang w:val="es-ES_tradnl" w:eastAsia="es-ES"/>
        </w:rPr>
        <w:t>Incentivos:</w:t>
      </w:r>
      <w:r w:rsidRPr="006E6F49">
        <w:rPr>
          <w:rFonts w:ascii="Calibri" w:eastAsia="Times New Roman" w:hAnsi="Calibri" w:cs="Times New Roman"/>
          <w:i/>
          <w:sz w:val="24"/>
          <w:szCs w:val="24"/>
          <w:lang w:val="es-ES_tradnl" w:eastAsia="es-ES"/>
        </w:rPr>
        <w:t xml:space="preserve"> </w:t>
      </w:r>
      <w:r w:rsidR="0094222A">
        <w:rPr>
          <w:rFonts w:ascii="Calibri" w:eastAsia="Times New Roman" w:hAnsi="Calibri" w:cs="Times New Roman"/>
          <w:sz w:val="24"/>
          <w:szCs w:val="24"/>
          <w:lang w:val="es-ES_tradnl" w:eastAsia="es-ES"/>
        </w:rPr>
        <w:t>Para</w:t>
      </w:r>
      <w:r w:rsidRPr="006E6F49">
        <w:rPr>
          <w:rFonts w:ascii="Calibri" w:eastAsia="Times New Roman" w:hAnsi="Calibri" w:cs="Times New Roman"/>
          <w:sz w:val="24"/>
          <w:szCs w:val="24"/>
          <w:lang w:val="es-ES_tradnl" w:eastAsia="es-ES"/>
        </w:rPr>
        <w:t xml:space="preserve"> generar el compromiso y la cultura de la rendición de cuentas y</w:t>
      </w:r>
      <w:r w:rsidRPr="006E6F49">
        <w:rPr>
          <w:rFonts w:ascii="Calibri" w:eastAsia="Times New Roman" w:hAnsi="Calibri" w:cs="Times New Roman"/>
          <w:sz w:val="24"/>
          <w:szCs w:val="24"/>
          <w:lang w:val="es-ES" w:eastAsia="es-ES"/>
        </w:rPr>
        <w:t xml:space="preserve"> afianzar</w:t>
      </w:r>
      <w:r w:rsidR="0094222A">
        <w:rPr>
          <w:rFonts w:ascii="Calibri" w:eastAsia="Times New Roman" w:hAnsi="Calibri" w:cs="Times New Roman"/>
          <w:sz w:val="24"/>
          <w:szCs w:val="24"/>
          <w:lang w:val="es-ES" w:eastAsia="es-ES"/>
        </w:rPr>
        <w:t>,</w:t>
      </w:r>
      <w:r w:rsidRPr="006E6F49">
        <w:rPr>
          <w:rFonts w:ascii="Calibri" w:eastAsia="Times New Roman" w:hAnsi="Calibri" w:cs="Times New Roman"/>
          <w:sz w:val="24"/>
          <w:szCs w:val="24"/>
          <w:lang w:val="es-ES" w:eastAsia="es-ES"/>
        </w:rPr>
        <w:t xml:space="preserve"> </w:t>
      </w:r>
      <w:r w:rsidR="0094222A" w:rsidRPr="006E6F49">
        <w:rPr>
          <w:rFonts w:ascii="Calibri" w:eastAsia="Times New Roman" w:hAnsi="Calibri" w:cs="Times New Roman"/>
          <w:sz w:val="24"/>
          <w:szCs w:val="24"/>
          <w:lang w:val="es-ES_tradnl" w:eastAsia="es-ES"/>
        </w:rPr>
        <w:t>al interior de la entidad</w:t>
      </w:r>
      <w:r w:rsidR="0094222A">
        <w:rPr>
          <w:rFonts w:ascii="Calibri" w:eastAsia="Times New Roman" w:hAnsi="Calibri" w:cs="Times New Roman"/>
          <w:sz w:val="24"/>
          <w:szCs w:val="24"/>
          <w:lang w:val="es-ES_tradnl" w:eastAsia="es-ES"/>
        </w:rPr>
        <w:t>,</w:t>
      </w:r>
      <w:r w:rsidR="0094222A" w:rsidRPr="006E6F49">
        <w:rPr>
          <w:rFonts w:ascii="Calibri" w:eastAsia="Times New Roman" w:hAnsi="Calibri" w:cs="Times New Roman"/>
          <w:sz w:val="24"/>
          <w:szCs w:val="24"/>
          <w:lang w:val="es-ES" w:eastAsia="es-ES"/>
        </w:rPr>
        <w:t xml:space="preserve"> </w:t>
      </w:r>
      <w:r w:rsidRPr="006E6F49">
        <w:rPr>
          <w:rFonts w:ascii="Calibri" w:eastAsia="Times New Roman" w:hAnsi="Calibri" w:cs="Times New Roman"/>
          <w:sz w:val="24"/>
          <w:szCs w:val="24"/>
          <w:lang w:val="es-ES" w:eastAsia="es-ES"/>
        </w:rPr>
        <w:t>la cultura de servicio hacia el ciudadano</w:t>
      </w:r>
      <w:r w:rsidRPr="006E6F49">
        <w:rPr>
          <w:rFonts w:ascii="Calibri" w:eastAsia="Times New Roman" w:hAnsi="Calibri" w:cs="Times New Roman"/>
          <w:sz w:val="24"/>
          <w:szCs w:val="24"/>
          <w:lang w:val="es-ES_tradnl" w:eastAsia="es-ES"/>
        </w:rPr>
        <w:t>, el Grupo Interno de Trabajo de Atención al Ciudadano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65"/>
    </w:p>
    <w:p w14:paraId="5BC1E3D7"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14:paraId="384E8593" w14:textId="77777777" w:rsidR="006E6F49" w:rsidRPr="006E6F49" w:rsidRDefault="006E6F49" w:rsidP="006E6F49">
      <w:pPr>
        <w:spacing w:after="0" w:line="240" w:lineRule="auto"/>
        <w:ind w:left="720"/>
        <w:jc w:val="both"/>
        <w:rPr>
          <w:rFonts w:ascii="Calibri" w:eastAsia="Times New Roman" w:hAnsi="Calibri" w:cs="Times New Roman"/>
          <w:i/>
          <w:sz w:val="24"/>
          <w:szCs w:val="24"/>
          <w:u w:val="single"/>
          <w:lang w:val="es-ES_tradnl" w:eastAsia="es-ES"/>
        </w:rPr>
      </w:pPr>
    </w:p>
    <w:p w14:paraId="37672368" w14:textId="77777777" w:rsid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175" w:name="_Toc480982401"/>
      <w:bookmarkEnd w:id="166"/>
      <w:bookmarkEnd w:id="167"/>
      <w:bookmarkEnd w:id="168"/>
      <w:bookmarkEnd w:id="169"/>
      <w:bookmarkEnd w:id="170"/>
      <w:bookmarkEnd w:id="171"/>
      <w:bookmarkEnd w:id="172"/>
      <w:bookmarkEnd w:id="173"/>
      <w:bookmarkEnd w:id="174"/>
      <w:r>
        <w:rPr>
          <w:rFonts w:ascii="Cambria" w:eastAsia="Times New Roman" w:hAnsi="Cambria" w:cs="Arial"/>
          <w:b/>
          <w:bCs/>
          <w:i/>
          <w:iCs/>
          <w:sz w:val="24"/>
          <w:szCs w:val="24"/>
          <w:lang w:val="es-ES" w:eastAsia="es-ES"/>
        </w:rPr>
        <w:t xml:space="preserve">6.4 </w:t>
      </w:r>
      <w:bookmarkStart w:id="176" w:name="_Toc355014834"/>
      <w:bookmarkStart w:id="177" w:name="_Toc355014915"/>
      <w:bookmarkStart w:id="178" w:name="_Toc355015031"/>
      <w:bookmarkStart w:id="179" w:name="_Toc355015085"/>
      <w:bookmarkStart w:id="180" w:name="_Toc355015247"/>
      <w:bookmarkStart w:id="181" w:name="_Toc361238730"/>
      <w:bookmarkStart w:id="182" w:name="_Toc378867815"/>
      <w:bookmarkStart w:id="183" w:name="_Toc441487028"/>
      <w:r w:rsidRPr="006E6F49">
        <w:rPr>
          <w:rFonts w:ascii="Cambria" w:eastAsia="Times New Roman" w:hAnsi="Cambria" w:cs="Arial"/>
          <w:b/>
          <w:bCs/>
          <w:i/>
          <w:iCs/>
          <w:sz w:val="24"/>
          <w:szCs w:val="24"/>
          <w:lang w:val="es-ES" w:eastAsia="es-ES"/>
        </w:rPr>
        <w:t>ESTRATEGIA ATENCIÓN AL CIUDADANO</w:t>
      </w:r>
      <w:bookmarkEnd w:id="175"/>
      <w:bookmarkEnd w:id="176"/>
      <w:bookmarkEnd w:id="177"/>
      <w:bookmarkEnd w:id="178"/>
      <w:bookmarkEnd w:id="179"/>
      <w:bookmarkEnd w:id="180"/>
      <w:bookmarkEnd w:id="181"/>
      <w:bookmarkEnd w:id="182"/>
      <w:bookmarkEnd w:id="183"/>
    </w:p>
    <w:p w14:paraId="0AC61FCE"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r w:rsidRPr="006E6F49">
        <w:rPr>
          <w:rFonts w:ascii="Cambria" w:eastAsia="Times New Roman" w:hAnsi="Cambria" w:cs="Arial"/>
          <w:b/>
          <w:bCs/>
          <w:i/>
          <w:iCs/>
          <w:sz w:val="24"/>
          <w:szCs w:val="24"/>
          <w:lang w:val="es-ES" w:eastAsia="es-ES"/>
        </w:rPr>
        <w:t xml:space="preserve"> </w:t>
      </w:r>
      <w:bookmarkStart w:id="184" w:name="_Toc441487029"/>
      <w:bookmarkStart w:id="185" w:name="_Toc480982402"/>
      <w:r w:rsidRPr="006E6F49">
        <w:rPr>
          <w:rFonts w:ascii="Cambria" w:eastAsia="Times New Roman" w:hAnsi="Cambria" w:cs="Arial"/>
          <w:b/>
          <w:bCs/>
          <w:i/>
          <w:iCs/>
          <w:sz w:val="24"/>
          <w:szCs w:val="24"/>
          <w:lang w:val="es-ES" w:eastAsia="es-ES"/>
        </w:rPr>
        <w:t>Antecedentes</w:t>
      </w:r>
      <w:bookmarkEnd w:id="184"/>
      <w:bookmarkEnd w:id="185"/>
    </w:p>
    <w:p w14:paraId="6DBEDF33"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4E859EAA" w14:textId="77777777" w:rsidR="006E6F49" w:rsidRPr="006E6F49" w:rsidRDefault="006E6F49" w:rsidP="006E6F49">
      <w:pPr>
        <w:spacing w:after="0" w:line="240" w:lineRule="auto"/>
        <w:jc w:val="both"/>
        <w:rPr>
          <w:rFonts w:ascii="Calibri" w:eastAsia="Times New Roman" w:hAnsi="Calibri" w:cs="Times New Roman"/>
          <w:sz w:val="24"/>
          <w:szCs w:val="24"/>
          <w:lang w:val="es-CR" w:eastAsia="es-CR"/>
        </w:rPr>
      </w:pPr>
      <w:r w:rsidRPr="001D343C">
        <w:rPr>
          <w:rFonts w:ascii="Calibri" w:eastAsia="Times New Roman" w:hAnsi="Calibri" w:cs="Times New Roman"/>
          <w:sz w:val="24"/>
          <w:szCs w:val="24"/>
          <w:lang w:val="es-ES" w:eastAsia="es-ES"/>
        </w:rPr>
        <w:t>En razón del ejercicio juicioso y constante que el Grupo de Atención al Ciudadano ha venido adelantando en conjunto con servidores y colaboradores de la entidad, el relacionamiento de la entidad con la ciudadanía evidencia alto mejoramiento, no solo por el reconocimiento que tienen de la Agencia como comprometida y seria, sino por el miramiento a los canales de atención y servicio y el respeto al derecho de los ciudadanos, que se traduce en el cumplimiento en las respuestas a derechos de petición, el que durante la vigencia 2016 ascendió al 95% respecto de años anteriores, particularmente el año 2011, en que las peticiones que se encontraron como contestadas a los ciudadanos en el sistema Orfeo, llegaban al 15% aproximadamente</w:t>
      </w:r>
      <w:r w:rsidRPr="006E6F49">
        <w:rPr>
          <w:rFonts w:ascii="Calibri" w:eastAsia="Times New Roman" w:hAnsi="Calibri" w:cs="Times New Roman"/>
          <w:sz w:val="24"/>
          <w:szCs w:val="24"/>
          <w:lang w:val="es-CR" w:eastAsia="es-CR"/>
        </w:rPr>
        <w:t>.</w:t>
      </w:r>
    </w:p>
    <w:p w14:paraId="7724B26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55DD00AB"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El dinamismo que en favor de los usuarios y peticionarios se generó desde entonces a hoy, lleva a evidenciar la bondad y eficacia de los mecanismos internos implementados en tanto han permitido al grupo de profesionales de la Agencia comprender la importancia e impacto de la interacción con el ciudadano, la necesidad del cumplimiento de plazos para respuesta y la relevancia en el agotamiento adecuado de los procedimientos de gestión documental y petición.</w:t>
      </w:r>
    </w:p>
    <w:p w14:paraId="1A6F85A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3670FDD"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Pese a la diligencia y compromiso destacados, el Grupo de Atención al Ciudadano debe continuar su ejercicio en la generación las acciones que tiendan a fortalecer el acceso a la información que maneja la entidad, al conocimiento de su quehacer, sus competencias y potestades, de manera que el ciudadano pueda tomar mejores decisiones, participar en la gestión confiada a la Agencia, controlar su actuación y garantizarle sus derechos.</w:t>
      </w:r>
    </w:p>
    <w:p w14:paraId="63D873F7"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01E5AD0A"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En este orden, en la vigencia 2017 está llamada a trabajar la transparencia activa, retroalimentando y mejorando la calidad de la información que publica y la transparencia pasiva, en aumentar el porcentaje de cumplimiento en las contestaciones a peticiones, cualquiera sea su índole. </w:t>
      </w:r>
    </w:p>
    <w:p w14:paraId="632C1818" w14:textId="77777777" w:rsidR="006E6F49" w:rsidRP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86" w:name="_Toc441487030"/>
      <w:bookmarkStart w:id="187" w:name="_Toc480982403"/>
      <w:r w:rsidRPr="006E6F49">
        <w:rPr>
          <w:rFonts w:ascii="Cambria" w:eastAsia="Times New Roman" w:hAnsi="Cambria" w:cs="Arial"/>
          <w:b/>
          <w:bCs/>
          <w:i/>
          <w:iCs/>
          <w:sz w:val="24"/>
          <w:szCs w:val="24"/>
          <w:lang w:val="es-ES" w:eastAsia="es-ES"/>
        </w:rPr>
        <w:t>Objetivo</w:t>
      </w:r>
      <w:bookmarkEnd w:id="186"/>
      <w:bookmarkEnd w:id="187"/>
    </w:p>
    <w:p w14:paraId="2DA54B28" w14:textId="77777777" w:rsidR="006E6F49" w:rsidRPr="006E6F49" w:rsidRDefault="006E6F49" w:rsidP="006E6F49">
      <w:pPr>
        <w:spacing w:after="0" w:line="240" w:lineRule="auto"/>
        <w:jc w:val="both"/>
        <w:rPr>
          <w:rFonts w:ascii="Calibri" w:eastAsia="Times New Roman" w:hAnsi="Calibri" w:cs="Calibri"/>
          <w:sz w:val="24"/>
          <w:szCs w:val="24"/>
          <w:lang w:val="es-ES"/>
        </w:rPr>
      </w:pPr>
      <w:r w:rsidRPr="006E6F49">
        <w:rPr>
          <w:rFonts w:ascii="Calibri" w:eastAsia="Times New Roman" w:hAnsi="Calibri" w:cs="Calibri"/>
          <w:sz w:val="24"/>
          <w:szCs w:val="24"/>
          <w:lang w:val="es-ES"/>
        </w:rPr>
        <w:t>Fortalecer la atención del derecho fundamental de petición ejercido ante la Agencia por los ciudadanos y partes interesadas, y generar una percepción positiva de los ciudadanos frente a la entidad.</w:t>
      </w:r>
    </w:p>
    <w:p w14:paraId="3941005E" w14:textId="77777777" w:rsidR="006E6F49" w:rsidRDefault="006E6F49" w:rsidP="006E6F49">
      <w:pPr>
        <w:keepNext/>
        <w:numPr>
          <w:ilvl w:val="2"/>
          <w:numId w:val="21"/>
        </w:numPr>
        <w:spacing w:before="240" w:after="60" w:line="240" w:lineRule="auto"/>
        <w:outlineLvl w:val="1"/>
        <w:rPr>
          <w:rFonts w:ascii="Cambria" w:eastAsia="Times New Roman" w:hAnsi="Cambria" w:cs="Arial"/>
          <w:b/>
          <w:bCs/>
          <w:i/>
          <w:iCs/>
          <w:sz w:val="24"/>
          <w:szCs w:val="24"/>
          <w:lang w:val="es-ES" w:eastAsia="es-ES"/>
        </w:rPr>
      </w:pPr>
      <w:bookmarkStart w:id="188" w:name="_Toc480982404"/>
      <w:bookmarkStart w:id="189" w:name="_Toc355014837"/>
      <w:bookmarkStart w:id="190" w:name="_Toc355014918"/>
      <w:bookmarkStart w:id="191" w:name="_Toc355014960"/>
      <w:bookmarkStart w:id="192" w:name="_Toc355015034"/>
      <w:bookmarkStart w:id="193" w:name="_Toc355015088"/>
      <w:bookmarkStart w:id="194" w:name="_Toc355015250"/>
      <w:bookmarkStart w:id="195" w:name="_Toc361238733"/>
      <w:bookmarkStart w:id="196" w:name="_Toc378867818"/>
      <w:bookmarkStart w:id="197" w:name="_Toc441487031"/>
      <w:r w:rsidRPr="006E6F49">
        <w:rPr>
          <w:rFonts w:ascii="Cambria" w:eastAsia="Times New Roman" w:hAnsi="Cambria" w:cs="Arial"/>
          <w:b/>
          <w:bCs/>
          <w:i/>
          <w:iCs/>
          <w:sz w:val="24"/>
          <w:szCs w:val="24"/>
          <w:lang w:val="es-ES" w:eastAsia="es-ES"/>
        </w:rPr>
        <w:t>Subcomponentes</w:t>
      </w:r>
      <w:bookmarkEnd w:id="188"/>
    </w:p>
    <w:p w14:paraId="0DB7F0E4" w14:textId="77777777" w:rsidR="00367F63" w:rsidRPr="006E6F49" w:rsidRDefault="00367F63" w:rsidP="00367F63">
      <w:pPr>
        <w:keepNext/>
        <w:spacing w:before="240" w:after="60" w:line="240" w:lineRule="auto"/>
        <w:ind w:left="720"/>
        <w:outlineLvl w:val="1"/>
        <w:rPr>
          <w:rFonts w:ascii="Cambria" w:eastAsia="Times New Roman" w:hAnsi="Cambria" w:cs="Arial"/>
          <w:b/>
          <w:bCs/>
          <w:i/>
          <w:iCs/>
          <w:sz w:val="24"/>
          <w:szCs w:val="24"/>
          <w:lang w:val="es-ES" w:eastAsia="es-ES"/>
        </w:rPr>
      </w:pPr>
    </w:p>
    <w:p w14:paraId="64A10D07" w14:textId="77777777" w:rsidR="006E6F49" w:rsidRPr="006E6F49" w:rsidRDefault="006E6F49" w:rsidP="006E6F49">
      <w:pPr>
        <w:spacing w:after="0" w:line="240" w:lineRule="auto"/>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t>6.4.3.1 Estructura Administrativa y Direccionamiento Estratégico:</w:t>
      </w:r>
    </w:p>
    <w:p w14:paraId="117DBA36"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La Agencia Nacional de Infraestructura cuenta con el Grupo Interno de Trabajo disciplinario, atención al ciudadano y apoyo a la gestión </w:t>
      </w:r>
      <w:r w:rsidR="0094222A">
        <w:rPr>
          <w:rFonts w:ascii="Calibri" w:eastAsia="Times New Roman" w:hAnsi="Calibri" w:cs="Times New Roman"/>
          <w:sz w:val="24"/>
          <w:szCs w:val="24"/>
          <w:lang w:val="es-ES" w:eastAsia="es-ES"/>
        </w:rPr>
        <w:t>que está</w:t>
      </w:r>
      <w:r w:rsidRPr="006E6F49">
        <w:rPr>
          <w:rFonts w:ascii="Calibri" w:eastAsia="Times New Roman" w:hAnsi="Calibri" w:cs="Times New Roman"/>
          <w:sz w:val="24"/>
          <w:szCs w:val="24"/>
          <w:lang w:val="es-ES" w:eastAsia="es-ES"/>
        </w:rPr>
        <w:t xml:space="preserve"> adscrito a la Vicepresidencia Administrativa y Financiera, </w:t>
      </w:r>
      <w:r w:rsidR="0094222A">
        <w:rPr>
          <w:rFonts w:ascii="Calibri" w:eastAsia="Times New Roman" w:hAnsi="Calibri" w:cs="Times New Roman"/>
          <w:sz w:val="24"/>
          <w:szCs w:val="24"/>
          <w:lang w:val="es-ES" w:eastAsia="es-ES"/>
        </w:rPr>
        <w:t>Vicepresidencia que</w:t>
      </w:r>
      <w:r w:rsidRPr="006E6F49">
        <w:rPr>
          <w:rFonts w:ascii="Calibri" w:eastAsia="Times New Roman" w:hAnsi="Calibri" w:cs="Times New Roman"/>
          <w:sz w:val="24"/>
          <w:szCs w:val="24"/>
          <w:lang w:val="es-ES" w:eastAsia="es-ES"/>
        </w:rPr>
        <w:t xml:space="preserve"> hace parte de la Alta Dirección; </w:t>
      </w:r>
      <w:r w:rsidR="0094222A">
        <w:rPr>
          <w:rFonts w:ascii="Calibri" w:eastAsia="Times New Roman" w:hAnsi="Calibri" w:cs="Times New Roman"/>
          <w:sz w:val="24"/>
          <w:szCs w:val="24"/>
          <w:lang w:val="es-ES" w:eastAsia="es-ES"/>
        </w:rPr>
        <w:t>que para</w:t>
      </w:r>
      <w:r w:rsidRPr="006E6F49">
        <w:rPr>
          <w:rFonts w:ascii="Calibri" w:eastAsia="Times New Roman" w:hAnsi="Calibri" w:cs="Times New Roman"/>
          <w:sz w:val="24"/>
          <w:szCs w:val="24"/>
          <w:lang w:val="es-ES" w:eastAsia="es-ES"/>
        </w:rPr>
        <w:t xml:space="preserve"> cumplir sus objetivos, le han sido asignados recursos humanos de la más alta calidad con formación en derecho y experticia en el tema, y recursos presupuestales para cumplir su función.</w:t>
      </w:r>
    </w:p>
    <w:p w14:paraId="1F5D55FA"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5AB81FAD"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6.4.3.2 Fortalecimiento de los canales de atención:</w:t>
      </w:r>
    </w:p>
    <w:p w14:paraId="64A4111A"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La Agencia dentro de sus acciones para el establecimiento y mejora en los canales de servicio ha realizado las siguientes acciones:</w:t>
      </w:r>
    </w:p>
    <w:p w14:paraId="053109CF"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45520B3D"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Ajustó el sistema documental ORFEO con el fin de hacer más eficaz la gestión y la trazabilidad de los requerimientos de los ciudadanos</w:t>
      </w:r>
    </w:p>
    <w:p w14:paraId="7785F01C"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Asignó responsables para la atención de los diferentes canales de atención y se actualizaron y ajustaron los formatos de atención como el procedimiento.</w:t>
      </w:r>
    </w:p>
    <w:p w14:paraId="685950EA"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Estableció indicadores de desempeño de los canales de atención, los cuales son presentados en el informe trimestral publicado</w:t>
      </w:r>
    </w:p>
    <w:p w14:paraId="45820CD4" w14:textId="77777777" w:rsidR="006E6F49" w:rsidRPr="006E6F49" w:rsidRDefault="006E6F49" w:rsidP="006E6F49">
      <w:pPr>
        <w:numPr>
          <w:ilvl w:val="0"/>
          <w:numId w:val="15"/>
        </w:num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Socializó la Guía de protocolos de servicio a través de charlas grupales, se incluyó en la UNIANI para apoyar el conocimiento de </w:t>
      </w:r>
      <w:r w:rsidR="00B25A71" w:rsidRPr="006E6F49">
        <w:rPr>
          <w:rFonts w:ascii="Calibri" w:eastAsia="Times New Roman" w:hAnsi="Calibri" w:cs="Times New Roman"/>
          <w:sz w:val="24"/>
          <w:szCs w:val="24"/>
          <w:lang w:val="es-ES" w:eastAsia="es-ES"/>
        </w:rPr>
        <w:t>todos y</w:t>
      </w:r>
      <w:r w:rsidRPr="006E6F49">
        <w:rPr>
          <w:rFonts w:ascii="Calibri" w:eastAsia="Times New Roman" w:hAnsi="Calibri" w:cs="Times New Roman"/>
          <w:sz w:val="24"/>
          <w:szCs w:val="24"/>
          <w:lang w:val="es-ES" w:eastAsia="es-ES"/>
        </w:rPr>
        <w:t xml:space="preserve"> se mantiene su publicación en web para acceso del público.</w:t>
      </w:r>
    </w:p>
    <w:p w14:paraId="29330978" w14:textId="77777777" w:rsidR="006E6F49" w:rsidRDefault="006E6F49" w:rsidP="006E6F49">
      <w:pPr>
        <w:spacing w:after="0" w:line="240" w:lineRule="auto"/>
        <w:rPr>
          <w:rFonts w:ascii="Calibri" w:eastAsia="Times New Roman" w:hAnsi="Calibri" w:cs="Times New Roman"/>
          <w:b/>
          <w:sz w:val="24"/>
          <w:szCs w:val="24"/>
          <w:lang w:val="es-ES" w:eastAsia="es-ES"/>
        </w:rPr>
      </w:pPr>
    </w:p>
    <w:p w14:paraId="25FEFC04" w14:textId="77777777" w:rsidR="00367F63" w:rsidRPr="006E6F49" w:rsidRDefault="00367F63" w:rsidP="006E6F49">
      <w:pPr>
        <w:spacing w:after="0" w:line="240" w:lineRule="auto"/>
        <w:rPr>
          <w:rFonts w:ascii="Calibri" w:eastAsia="Times New Roman" w:hAnsi="Calibri" w:cs="Times New Roman"/>
          <w:b/>
          <w:sz w:val="24"/>
          <w:szCs w:val="24"/>
          <w:lang w:val="es-ES" w:eastAsia="es-ES"/>
        </w:rPr>
      </w:pPr>
    </w:p>
    <w:p w14:paraId="4216DA81"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r w:rsidRPr="006E6F49">
        <w:rPr>
          <w:rFonts w:ascii="Calibri" w:eastAsia="Times New Roman" w:hAnsi="Calibri" w:cs="Times New Roman"/>
          <w:b/>
          <w:sz w:val="24"/>
          <w:szCs w:val="24"/>
          <w:lang w:val="es-ES" w:eastAsia="es-ES"/>
        </w:rPr>
        <w:t>6.4.3.3 Talento Humano</w:t>
      </w:r>
    </w:p>
    <w:p w14:paraId="01C9516C"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Con el fin de mejorar la prestación del servicio al ciudadano, se han desarrollado las siguientes actividades:</w:t>
      </w:r>
    </w:p>
    <w:p w14:paraId="23454572"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3385FC83"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Fortaleció las competencias de los servidores públicos a través de charlas de capacitación temas de protocolos de servicio, lenguaje claro, derechos de petición y anticorrupción</w:t>
      </w:r>
    </w:p>
    <w:p w14:paraId="3634ECC1"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Fijó en la UNIANI la información para la sensibilización de los servidores que ingresan a la entidad, de manera que puedan acceder sin restricción a su conocimiento.</w:t>
      </w:r>
    </w:p>
    <w:p w14:paraId="276B86AD"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Incluyó en el Plan Institucional de Capacitación los temas relacionados con la atención al ciudadano.</w:t>
      </w:r>
    </w:p>
    <w:p w14:paraId="631A572A" w14:textId="77777777" w:rsidR="006E6F49" w:rsidRPr="006E6F49" w:rsidRDefault="006E6F49" w:rsidP="006E6F49">
      <w:pPr>
        <w:spacing w:after="0" w:line="240" w:lineRule="auto"/>
        <w:ind w:left="720"/>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w:t>
      </w:r>
    </w:p>
    <w:p w14:paraId="048EC891" w14:textId="77777777" w:rsidR="006E6F49" w:rsidRPr="006E6F49" w:rsidRDefault="006E6F49" w:rsidP="006E6F49">
      <w:pPr>
        <w:spacing w:after="0" w:line="240" w:lineRule="auto"/>
        <w:jc w:val="both"/>
        <w:rPr>
          <w:rFonts w:ascii="Calibri" w:eastAsia="Times New Roman" w:hAnsi="Calibri" w:cs="Times New Roman"/>
          <w:b/>
          <w:sz w:val="24"/>
          <w:szCs w:val="24"/>
          <w:lang w:val="es-ES" w:eastAsia="es-ES"/>
        </w:rPr>
      </w:pPr>
      <w:r w:rsidRPr="006E6F49">
        <w:rPr>
          <w:rFonts w:ascii="Calibri" w:eastAsia="Times New Roman" w:hAnsi="Calibri" w:cs="Times New Roman"/>
          <w:b/>
          <w:sz w:val="24"/>
          <w:szCs w:val="24"/>
          <w:lang w:val="es-ES" w:eastAsia="es-ES"/>
        </w:rPr>
        <w:t>6.4.3.4 Normativo y procedimental</w:t>
      </w:r>
    </w:p>
    <w:p w14:paraId="74B12223" w14:textId="77777777" w:rsidR="006E6F49" w:rsidRPr="006E6F49" w:rsidRDefault="006E6F49" w:rsidP="006E6F49">
      <w:pPr>
        <w:spacing w:after="0" w:line="240" w:lineRule="auto"/>
        <w:jc w:val="both"/>
        <w:rPr>
          <w:rFonts w:ascii="Calibri" w:eastAsia="Times New Roman" w:hAnsi="Calibri" w:cs="Times New Roman"/>
          <w:sz w:val="24"/>
          <w:szCs w:val="24"/>
          <w:lang w:val="es-ES" w:eastAsia="es-ES"/>
        </w:rPr>
      </w:pPr>
    </w:p>
    <w:p w14:paraId="4A77932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Expidió la Resolución 776 de 2016 que reglamenta el derecho de petición al interior de la Agencia Nacional de Infraestructura.</w:t>
      </w:r>
    </w:p>
    <w:p w14:paraId="6854EB26"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 Divulgó y socializó la resolución 776 de 2016 al interior de la entidad y se publicó para conocimiento del público.</w:t>
      </w:r>
    </w:p>
    <w:p w14:paraId="1CCE028C" w14:textId="77777777" w:rsidR="006E6F49" w:rsidRDefault="00C22A26" w:rsidP="006E6F49">
      <w:pPr>
        <w:numPr>
          <w:ilvl w:val="0"/>
          <w:numId w:val="15"/>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 xml:space="preserve">Elaboró, </w:t>
      </w:r>
      <w:r w:rsidR="006E6F49" w:rsidRPr="006E6F49">
        <w:rPr>
          <w:rFonts w:ascii="Calibri" w:eastAsia="Times New Roman" w:hAnsi="Calibri" w:cs="Times New Roman"/>
          <w:sz w:val="24"/>
          <w:szCs w:val="24"/>
          <w:lang w:val="es-ES" w:eastAsia="es-ES"/>
        </w:rPr>
        <w:t xml:space="preserve"> presentó </w:t>
      </w:r>
      <w:r>
        <w:rPr>
          <w:rFonts w:ascii="Calibri" w:eastAsia="Times New Roman" w:hAnsi="Calibri" w:cs="Times New Roman"/>
          <w:sz w:val="24"/>
          <w:szCs w:val="24"/>
          <w:lang w:val="es-ES" w:eastAsia="es-ES"/>
        </w:rPr>
        <w:t xml:space="preserve">y publicó </w:t>
      </w:r>
      <w:r w:rsidR="006E6F49" w:rsidRPr="006E6F49">
        <w:rPr>
          <w:rFonts w:ascii="Calibri" w:eastAsia="Times New Roman" w:hAnsi="Calibri" w:cs="Times New Roman"/>
          <w:sz w:val="24"/>
          <w:szCs w:val="24"/>
          <w:lang w:val="es-ES" w:eastAsia="es-ES"/>
        </w:rPr>
        <w:t>en cada trimestre los in</w:t>
      </w:r>
      <w:r>
        <w:rPr>
          <w:rFonts w:ascii="Calibri" w:eastAsia="Times New Roman" w:hAnsi="Calibri" w:cs="Times New Roman"/>
          <w:sz w:val="24"/>
          <w:szCs w:val="24"/>
          <w:lang w:val="es-ES" w:eastAsia="es-ES"/>
        </w:rPr>
        <w:t>formes de atención al ciudadano.</w:t>
      </w:r>
    </w:p>
    <w:p w14:paraId="2644845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Revisó y ajustó del procedimiento de atención al ciudadano en lo que respecta a accesibilidad.</w:t>
      </w:r>
    </w:p>
    <w:p w14:paraId="2D968C8C"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Envío de recordatorios a todos los servidores de la entidad que tienen a su cargo la atención de peticiones, a fin de garantizar su respuesta y comunicación.</w:t>
      </w:r>
    </w:p>
    <w:p w14:paraId="039AA982" w14:textId="77777777" w:rsidR="00C22A26"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 xml:space="preserve">Publicó y socializó la política de protección de datos personales. </w:t>
      </w:r>
    </w:p>
    <w:p w14:paraId="5F65A11D" w14:textId="77777777" w:rsidR="006E6F49" w:rsidRPr="006E6F49" w:rsidRDefault="00C22A26" w:rsidP="006E6F49">
      <w:pPr>
        <w:numPr>
          <w:ilvl w:val="0"/>
          <w:numId w:val="15"/>
        </w:numPr>
        <w:spacing w:after="0" w:line="240" w:lineRule="auto"/>
        <w:jc w:val="both"/>
        <w:rPr>
          <w:rFonts w:ascii="Calibri" w:eastAsia="Times New Roman" w:hAnsi="Calibri" w:cs="Times New Roman"/>
          <w:sz w:val="24"/>
          <w:szCs w:val="24"/>
          <w:lang w:val="es-ES" w:eastAsia="es-ES"/>
        </w:rPr>
      </w:pPr>
      <w:r>
        <w:rPr>
          <w:rFonts w:ascii="Calibri" w:eastAsia="Times New Roman" w:hAnsi="Calibri" w:cs="Times New Roman"/>
          <w:sz w:val="24"/>
          <w:szCs w:val="24"/>
          <w:lang w:val="es-ES" w:eastAsia="es-ES"/>
        </w:rPr>
        <w:t>A</w:t>
      </w:r>
      <w:r w:rsidR="006E6F49" w:rsidRPr="006E6F49">
        <w:rPr>
          <w:rFonts w:ascii="Calibri" w:eastAsia="Times New Roman" w:hAnsi="Calibri" w:cs="Times New Roman"/>
          <w:sz w:val="24"/>
          <w:szCs w:val="24"/>
          <w:lang w:val="es-ES" w:eastAsia="es-ES"/>
        </w:rPr>
        <w:t>ctualiz</w:t>
      </w:r>
      <w:r>
        <w:rPr>
          <w:rFonts w:ascii="Calibri" w:eastAsia="Times New Roman" w:hAnsi="Calibri" w:cs="Times New Roman"/>
          <w:sz w:val="24"/>
          <w:szCs w:val="24"/>
          <w:lang w:val="es-ES" w:eastAsia="es-ES"/>
        </w:rPr>
        <w:t>ó y publicó</w:t>
      </w:r>
      <w:r w:rsidR="006E6F49" w:rsidRPr="006E6F49">
        <w:rPr>
          <w:rFonts w:ascii="Calibri" w:eastAsia="Times New Roman" w:hAnsi="Calibri" w:cs="Times New Roman"/>
          <w:sz w:val="24"/>
          <w:szCs w:val="24"/>
          <w:lang w:val="es-ES" w:eastAsia="es-ES"/>
        </w:rPr>
        <w:t xml:space="preserve"> la carta de Trato Digno al ciudadano, tanto en cartelera como en la página web de la entidad.</w:t>
      </w:r>
    </w:p>
    <w:p w14:paraId="58E2BAE9" w14:textId="77777777" w:rsidR="006E6F49" w:rsidRP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14:paraId="0D2973A2" w14:textId="77777777" w:rsidR="006E6F49" w:rsidRDefault="006E6F49" w:rsidP="006E6F49">
      <w:pPr>
        <w:numPr>
          <w:ilvl w:val="0"/>
          <w:numId w:val="15"/>
        </w:numPr>
        <w:spacing w:after="0" w:line="240" w:lineRule="auto"/>
        <w:jc w:val="both"/>
        <w:rPr>
          <w:rFonts w:ascii="Calibri" w:eastAsia="Times New Roman" w:hAnsi="Calibri" w:cs="Times New Roman"/>
          <w:sz w:val="24"/>
          <w:szCs w:val="24"/>
          <w:lang w:val="es-ES" w:eastAsia="es-ES"/>
        </w:rPr>
      </w:pPr>
      <w:r w:rsidRPr="006E6F49">
        <w:rPr>
          <w:rFonts w:ascii="Calibri" w:eastAsia="Times New Roman" w:hAnsi="Calibri" w:cs="Times New Roman"/>
          <w:sz w:val="24"/>
          <w:szCs w:val="24"/>
          <w:lang w:val="es-ES" w:eastAsia="es-ES"/>
        </w:rPr>
        <w:t>Ajustó los formatos de atención directa al público en la página web y se dejaron en físico disponibles para ciudadanos y/o usuarios, en cada una de las recepciones de la ANI.</w:t>
      </w:r>
    </w:p>
    <w:p w14:paraId="0A45D26A" w14:textId="77777777" w:rsidR="00367F63" w:rsidRDefault="00367F63" w:rsidP="00367F63">
      <w:pPr>
        <w:spacing w:after="0" w:line="240" w:lineRule="auto"/>
        <w:jc w:val="both"/>
        <w:rPr>
          <w:rFonts w:ascii="Calibri" w:eastAsia="Times New Roman" w:hAnsi="Calibri" w:cs="Times New Roman"/>
          <w:sz w:val="24"/>
          <w:szCs w:val="24"/>
          <w:lang w:val="es-ES" w:eastAsia="es-ES"/>
        </w:rPr>
      </w:pPr>
    </w:p>
    <w:p w14:paraId="33A5E7B4"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198" w:name="_Toc441487032"/>
      <w:bookmarkStart w:id="199" w:name="_Toc480982405"/>
      <w:bookmarkStart w:id="200" w:name="_Toc355014822"/>
      <w:bookmarkStart w:id="201" w:name="_Toc355014903"/>
      <w:bookmarkStart w:id="202" w:name="_Toc355015019"/>
      <w:bookmarkStart w:id="203" w:name="_Toc355015073"/>
      <w:bookmarkStart w:id="204" w:name="_Toc355015235"/>
      <w:bookmarkStart w:id="205" w:name="_Toc361238718"/>
      <w:bookmarkStart w:id="206" w:name="_Toc378867800"/>
      <w:bookmarkEnd w:id="189"/>
      <w:bookmarkEnd w:id="190"/>
      <w:bookmarkEnd w:id="191"/>
      <w:bookmarkEnd w:id="192"/>
      <w:bookmarkEnd w:id="193"/>
      <w:bookmarkEnd w:id="194"/>
      <w:bookmarkEnd w:id="195"/>
      <w:bookmarkEnd w:id="196"/>
      <w:bookmarkEnd w:id="197"/>
      <w:r>
        <w:rPr>
          <w:rFonts w:ascii="Cambria" w:eastAsia="Times New Roman" w:hAnsi="Cambria" w:cs="Arial"/>
          <w:b/>
          <w:bCs/>
          <w:i/>
          <w:iCs/>
          <w:sz w:val="24"/>
          <w:szCs w:val="24"/>
          <w:lang w:val="es-ES" w:eastAsia="es-ES"/>
        </w:rPr>
        <w:t xml:space="preserve">6.5 </w:t>
      </w:r>
      <w:r w:rsidRPr="006E6F49">
        <w:rPr>
          <w:rFonts w:ascii="Cambria" w:eastAsia="Times New Roman" w:hAnsi="Cambria" w:cs="Arial"/>
          <w:b/>
          <w:bCs/>
          <w:i/>
          <w:iCs/>
          <w:sz w:val="24"/>
          <w:szCs w:val="24"/>
          <w:lang w:val="es-ES" w:eastAsia="es-ES"/>
        </w:rPr>
        <w:t>MECANISMOS PARA LA TRANSPARENCIA Y EL ACCESO A LA INFORMACIÓN</w:t>
      </w:r>
      <w:bookmarkEnd w:id="198"/>
      <w:bookmarkEnd w:id="199"/>
    </w:p>
    <w:p w14:paraId="7EB6AAE5" w14:textId="77777777" w:rsidR="006E6F49" w:rsidRPr="006E6F49" w:rsidRDefault="006E6F49" w:rsidP="006E6F49">
      <w:pPr>
        <w:keepNext/>
        <w:numPr>
          <w:ilvl w:val="2"/>
          <w:numId w:val="25"/>
        </w:numPr>
        <w:spacing w:before="240" w:after="60" w:line="240" w:lineRule="auto"/>
        <w:outlineLvl w:val="1"/>
        <w:rPr>
          <w:rFonts w:ascii="Cambria" w:eastAsia="Times New Roman" w:hAnsi="Cambria" w:cs="Arial"/>
          <w:b/>
          <w:bCs/>
          <w:i/>
          <w:iCs/>
          <w:sz w:val="24"/>
          <w:szCs w:val="24"/>
          <w:lang w:val="es-ES" w:eastAsia="es-ES"/>
        </w:rPr>
      </w:pPr>
      <w:bookmarkStart w:id="207" w:name="_Toc441487033"/>
      <w:bookmarkStart w:id="208" w:name="_Toc480982406"/>
      <w:r w:rsidRPr="006E6F49">
        <w:rPr>
          <w:rFonts w:ascii="Cambria" w:eastAsia="Times New Roman" w:hAnsi="Cambria" w:cs="Arial"/>
          <w:b/>
          <w:bCs/>
          <w:i/>
          <w:iCs/>
          <w:sz w:val="24"/>
          <w:szCs w:val="24"/>
          <w:lang w:val="es-ES" w:eastAsia="es-ES"/>
        </w:rPr>
        <w:t>Objetivo</w:t>
      </w:r>
      <w:bookmarkEnd w:id="207"/>
      <w:bookmarkEnd w:id="208"/>
    </w:p>
    <w:p w14:paraId="40C71079"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2FCFC069" w14:textId="77777777" w:rsidR="006E6F49" w:rsidRDefault="006E6F49" w:rsidP="006E6F49">
      <w:pPr>
        <w:spacing w:after="0" w:line="240" w:lineRule="auto"/>
        <w:jc w:val="both"/>
        <w:rPr>
          <w:rFonts w:ascii="Calibri" w:eastAsia="Times New Roman" w:hAnsi="Calibri" w:cs="Times New Roman"/>
          <w:sz w:val="24"/>
          <w:szCs w:val="24"/>
        </w:rPr>
      </w:pPr>
      <w:r w:rsidRPr="006E6F49">
        <w:rPr>
          <w:rFonts w:ascii="Calibri" w:eastAsia="Times New Roman" w:hAnsi="Calibri" w:cs="Times New Roman"/>
          <w:sz w:val="24"/>
          <w:szCs w:val="24"/>
        </w:rPr>
        <w:t xml:space="preserve">La Agencia en </w:t>
      </w:r>
      <w:r w:rsidR="00D85F9F">
        <w:rPr>
          <w:rFonts w:ascii="Calibri" w:eastAsia="Times New Roman" w:hAnsi="Calibri" w:cs="Times New Roman"/>
          <w:sz w:val="24"/>
          <w:szCs w:val="24"/>
        </w:rPr>
        <w:t>impulso</w:t>
      </w:r>
      <w:r w:rsidRPr="006E6F49">
        <w:rPr>
          <w:rFonts w:ascii="Calibri" w:eastAsia="Times New Roman" w:hAnsi="Calibri" w:cs="Times New Roman"/>
          <w:sz w:val="24"/>
          <w:szCs w:val="24"/>
        </w:rPr>
        <w:t xml:space="preserve"> de su Estrategia de transparencia y de acceso a la información </w:t>
      </w:r>
      <w:r w:rsidR="00D85F9F">
        <w:rPr>
          <w:rFonts w:ascii="Calibri" w:eastAsia="Times New Roman" w:hAnsi="Calibri" w:cs="Times New Roman"/>
          <w:sz w:val="24"/>
          <w:szCs w:val="24"/>
        </w:rPr>
        <w:t xml:space="preserve">ha venido efectuando procesos de mejora a sus canales virtuales, y en el </w:t>
      </w:r>
      <w:r w:rsidRPr="006E6F49">
        <w:rPr>
          <w:rFonts w:ascii="Calibri" w:eastAsia="Times New Roman" w:hAnsi="Calibri" w:cs="Times New Roman"/>
          <w:sz w:val="24"/>
          <w:szCs w:val="24"/>
        </w:rPr>
        <w:t xml:space="preserve">2015 </w:t>
      </w:r>
      <w:r w:rsidR="00D85F9F">
        <w:rPr>
          <w:rFonts w:ascii="Calibri" w:eastAsia="Times New Roman" w:hAnsi="Calibri" w:cs="Times New Roman"/>
          <w:sz w:val="24"/>
          <w:szCs w:val="24"/>
        </w:rPr>
        <w:t xml:space="preserve">tuvo oportunidad de </w:t>
      </w:r>
      <w:r w:rsidR="00334C57">
        <w:rPr>
          <w:rFonts w:ascii="Calibri" w:eastAsia="Times New Roman" w:hAnsi="Calibri" w:cs="Times New Roman"/>
          <w:sz w:val="24"/>
          <w:szCs w:val="24"/>
        </w:rPr>
        <w:t>materializar el</w:t>
      </w:r>
      <w:r w:rsidRPr="006E6F49">
        <w:rPr>
          <w:rFonts w:ascii="Calibri" w:eastAsia="Times New Roman" w:hAnsi="Calibri" w:cs="Times New Roman"/>
          <w:sz w:val="24"/>
          <w:szCs w:val="24"/>
        </w:rPr>
        <w:t xml:space="preserve"> rediseño de la página WEB, </w:t>
      </w:r>
      <w:r w:rsidR="00334C57">
        <w:rPr>
          <w:rFonts w:ascii="Calibri" w:eastAsia="Times New Roman" w:hAnsi="Calibri" w:cs="Times New Roman"/>
          <w:sz w:val="24"/>
          <w:szCs w:val="24"/>
        </w:rPr>
        <w:t>incorporando</w:t>
      </w:r>
      <w:r w:rsidRPr="006E6F49">
        <w:rPr>
          <w:rFonts w:ascii="Calibri" w:eastAsia="Times New Roman" w:hAnsi="Calibri" w:cs="Times New Roman"/>
          <w:sz w:val="24"/>
          <w:szCs w:val="24"/>
        </w:rPr>
        <w:t xml:space="preserve"> nuevas funcionalidades, </w:t>
      </w:r>
      <w:r w:rsidR="00334C57">
        <w:rPr>
          <w:rFonts w:ascii="Calibri" w:eastAsia="Times New Roman" w:hAnsi="Calibri" w:cs="Times New Roman"/>
          <w:sz w:val="24"/>
          <w:szCs w:val="24"/>
        </w:rPr>
        <w:t xml:space="preserve">retroalimentando y ampliando los contenidos de información, </w:t>
      </w:r>
      <w:r w:rsidRPr="006E6F49">
        <w:rPr>
          <w:rFonts w:ascii="Calibri" w:eastAsia="Times New Roman" w:hAnsi="Calibri" w:cs="Times New Roman"/>
          <w:sz w:val="24"/>
          <w:szCs w:val="24"/>
        </w:rPr>
        <w:t>facilita</w:t>
      </w:r>
      <w:r w:rsidR="00334C57">
        <w:rPr>
          <w:rFonts w:ascii="Calibri" w:eastAsia="Times New Roman" w:hAnsi="Calibri" w:cs="Times New Roman"/>
          <w:sz w:val="24"/>
          <w:szCs w:val="24"/>
        </w:rPr>
        <w:t>ndo</w:t>
      </w:r>
      <w:r w:rsidRPr="006E6F49">
        <w:rPr>
          <w:rFonts w:ascii="Calibri" w:eastAsia="Times New Roman" w:hAnsi="Calibri" w:cs="Times New Roman"/>
          <w:sz w:val="24"/>
          <w:szCs w:val="24"/>
        </w:rPr>
        <w:t xml:space="preserve"> el acceso a la información pública y promov</w:t>
      </w:r>
      <w:r w:rsidR="00334C57">
        <w:rPr>
          <w:rFonts w:ascii="Calibri" w:eastAsia="Times New Roman" w:hAnsi="Calibri" w:cs="Times New Roman"/>
          <w:sz w:val="24"/>
          <w:szCs w:val="24"/>
        </w:rPr>
        <w:t>iendo</w:t>
      </w:r>
      <w:r w:rsidRPr="006E6F49">
        <w:rPr>
          <w:rFonts w:ascii="Calibri" w:eastAsia="Times New Roman" w:hAnsi="Calibri" w:cs="Times New Roman"/>
          <w:sz w:val="24"/>
          <w:szCs w:val="24"/>
        </w:rPr>
        <w:t xml:space="preserve"> </w:t>
      </w:r>
      <w:r w:rsidR="00334C57">
        <w:rPr>
          <w:rFonts w:ascii="Calibri" w:eastAsia="Times New Roman" w:hAnsi="Calibri" w:cs="Times New Roman"/>
          <w:sz w:val="24"/>
          <w:szCs w:val="24"/>
        </w:rPr>
        <w:t xml:space="preserve">con soporte en esta herramienta </w:t>
      </w:r>
      <w:r w:rsidRPr="006E6F49">
        <w:rPr>
          <w:rFonts w:ascii="Calibri" w:eastAsia="Times New Roman" w:hAnsi="Calibri" w:cs="Times New Roman"/>
          <w:sz w:val="24"/>
          <w:szCs w:val="24"/>
        </w:rPr>
        <w:t>el proceso de rendición de cuentas</w:t>
      </w:r>
      <w:r w:rsidR="00334C57">
        <w:rPr>
          <w:rFonts w:ascii="Calibri" w:eastAsia="Times New Roman" w:hAnsi="Calibri" w:cs="Times New Roman"/>
          <w:sz w:val="24"/>
          <w:szCs w:val="24"/>
        </w:rPr>
        <w:t>.</w:t>
      </w:r>
    </w:p>
    <w:p w14:paraId="50153670" w14:textId="77777777" w:rsidR="00776FA1" w:rsidRDefault="00776FA1" w:rsidP="006E6F49">
      <w:pPr>
        <w:spacing w:after="0" w:line="240" w:lineRule="auto"/>
        <w:jc w:val="both"/>
        <w:rPr>
          <w:rFonts w:ascii="Calibri" w:eastAsia="Times New Roman" w:hAnsi="Calibri" w:cs="Times New Roman"/>
          <w:sz w:val="24"/>
          <w:szCs w:val="24"/>
        </w:rPr>
      </w:pPr>
    </w:p>
    <w:p w14:paraId="58D64CAA" w14:textId="77777777" w:rsidR="006E6F49" w:rsidRPr="006E6F49" w:rsidRDefault="004B3D05" w:rsidP="004B3D05">
      <w:pPr>
        <w:keepNext/>
        <w:spacing w:before="240" w:after="60" w:line="240" w:lineRule="auto"/>
        <w:outlineLvl w:val="1"/>
        <w:rPr>
          <w:rFonts w:ascii="Cambria" w:eastAsia="Times New Roman" w:hAnsi="Cambria" w:cs="Arial"/>
          <w:b/>
          <w:bCs/>
          <w:i/>
          <w:iCs/>
          <w:sz w:val="24"/>
          <w:szCs w:val="24"/>
          <w:lang w:val="es-ES" w:eastAsia="es-ES"/>
        </w:rPr>
      </w:pPr>
      <w:bookmarkStart w:id="209" w:name="_Toc441487035"/>
      <w:bookmarkStart w:id="210" w:name="_Toc480982407"/>
      <w:r>
        <w:rPr>
          <w:rFonts w:ascii="Cambria" w:eastAsia="Times New Roman" w:hAnsi="Cambria" w:cs="Arial"/>
          <w:b/>
          <w:bCs/>
          <w:i/>
          <w:iCs/>
          <w:sz w:val="24"/>
          <w:szCs w:val="24"/>
          <w:lang w:val="es-ES" w:eastAsia="es-ES"/>
        </w:rPr>
        <w:t xml:space="preserve">6.6 </w:t>
      </w:r>
      <w:r w:rsidRPr="006E6F49">
        <w:rPr>
          <w:rFonts w:ascii="Cambria" w:eastAsia="Times New Roman" w:hAnsi="Cambria" w:cs="Arial"/>
          <w:b/>
          <w:bCs/>
          <w:i/>
          <w:iCs/>
          <w:sz w:val="24"/>
          <w:szCs w:val="24"/>
          <w:lang w:val="es-ES" w:eastAsia="es-ES"/>
        </w:rPr>
        <w:t>INICIATIVAS ADICIONALES</w:t>
      </w:r>
      <w:bookmarkEnd w:id="209"/>
      <w:bookmarkEnd w:id="210"/>
    </w:p>
    <w:p w14:paraId="3047F7C4" w14:textId="77777777" w:rsidR="006E6F49" w:rsidRPr="005D0FD9" w:rsidRDefault="006E6F49" w:rsidP="005D0FD9">
      <w:pPr>
        <w:pStyle w:val="Prrafodelista"/>
        <w:keepNext/>
        <w:numPr>
          <w:ilvl w:val="2"/>
          <w:numId w:val="28"/>
        </w:numPr>
        <w:spacing w:before="240" w:after="60"/>
        <w:outlineLvl w:val="1"/>
        <w:rPr>
          <w:rFonts w:ascii="Cambria" w:hAnsi="Cambria" w:cs="Arial"/>
          <w:b/>
          <w:bCs/>
          <w:i/>
          <w:iCs/>
        </w:rPr>
      </w:pPr>
      <w:bookmarkStart w:id="211" w:name="_Toc441487036"/>
      <w:bookmarkStart w:id="212" w:name="_Toc480982408"/>
      <w:r w:rsidRPr="005D0FD9">
        <w:rPr>
          <w:rFonts w:ascii="Cambria" w:hAnsi="Cambria" w:cs="Arial"/>
          <w:b/>
          <w:bCs/>
          <w:i/>
          <w:iCs/>
        </w:rPr>
        <w:t>Plan de Transparencia en la Contratación</w:t>
      </w:r>
      <w:bookmarkEnd w:id="200"/>
      <w:bookmarkEnd w:id="201"/>
      <w:bookmarkEnd w:id="202"/>
      <w:bookmarkEnd w:id="203"/>
      <w:bookmarkEnd w:id="204"/>
      <w:bookmarkEnd w:id="205"/>
      <w:bookmarkEnd w:id="206"/>
      <w:bookmarkEnd w:id="211"/>
      <w:bookmarkEnd w:id="212"/>
    </w:p>
    <w:p w14:paraId="53F8E428" w14:textId="77777777" w:rsidR="006E6F49" w:rsidRPr="006E6F49" w:rsidRDefault="006E6F49" w:rsidP="006E6F49">
      <w:pPr>
        <w:spacing w:after="0" w:line="240" w:lineRule="auto"/>
        <w:rPr>
          <w:rFonts w:ascii="Calibri" w:eastAsia="Times New Roman" w:hAnsi="Calibri" w:cs="Times New Roman"/>
          <w:sz w:val="24"/>
          <w:szCs w:val="24"/>
          <w:lang w:val="es-ES" w:eastAsia="es-ES"/>
        </w:rPr>
      </w:pPr>
    </w:p>
    <w:p w14:paraId="0E55B717" w14:textId="77777777" w:rsidR="006E6F49" w:rsidRPr="006E6F49" w:rsidRDefault="006E6F49" w:rsidP="006E6F49">
      <w:pPr>
        <w:spacing w:after="0" w:line="240" w:lineRule="auto"/>
        <w:jc w:val="both"/>
        <w:rPr>
          <w:rFonts w:ascii="Calibri" w:eastAsia="Times New Roman" w:hAnsi="Calibri" w:cs="Times New Roman"/>
          <w:lang w:val="es-MX"/>
        </w:rPr>
      </w:pPr>
      <w:r w:rsidRPr="006E6F49">
        <w:rPr>
          <w:rFonts w:ascii="Calibri" w:eastAsia="Times New Roman" w:hAnsi="Calibri" w:cs="Times New Roman"/>
          <w:sz w:val="24"/>
          <w:szCs w:val="24"/>
          <w:lang w:val="es-ES" w:eastAsia="es-ES"/>
        </w:rPr>
        <w:t xml:space="preserve">La Agencia Nacional de Infraestructura, </w:t>
      </w:r>
      <w:r w:rsidR="00383A82">
        <w:rPr>
          <w:rFonts w:ascii="Calibri" w:eastAsia="Times New Roman" w:hAnsi="Calibri" w:cs="Times New Roman"/>
          <w:sz w:val="24"/>
          <w:szCs w:val="24"/>
          <w:lang w:val="es-ES" w:eastAsia="es-ES"/>
        </w:rPr>
        <w:t>incluye en s</w:t>
      </w:r>
      <w:r w:rsidRPr="006E6F49">
        <w:rPr>
          <w:rFonts w:ascii="Calibri" w:eastAsia="Times New Roman" w:hAnsi="Calibri" w:cs="Times New Roman"/>
          <w:sz w:val="24"/>
          <w:szCs w:val="24"/>
          <w:lang w:val="es-ES" w:eastAsia="es-ES"/>
        </w:rPr>
        <w:t>u Plan de Acción</w:t>
      </w:r>
      <w:r w:rsidR="00383A82">
        <w:rPr>
          <w:rFonts w:ascii="Calibri" w:eastAsia="Times New Roman" w:hAnsi="Calibri" w:cs="Times New Roman"/>
          <w:sz w:val="24"/>
          <w:szCs w:val="24"/>
          <w:lang w:val="es-ES" w:eastAsia="es-ES"/>
        </w:rPr>
        <w:t xml:space="preserve"> 2017</w:t>
      </w:r>
      <w:r w:rsidRPr="006E6F49">
        <w:rPr>
          <w:rFonts w:ascii="Calibri" w:eastAsia="Times New Roman" w:hAnsi="Calibri" w:cs="Times New Roman"/>
          <w:sz w:val="24"/>
          <w:szCs w:val="24"/>
          <w:lang w:val="es-ES" w:eastAsia="es-ES"/>
        </w:rPr>
        <w:t>, la adjudicación del proyecto de Tercera Ola (Cúcuta-Pamplona), así como las IPs Ruta Caribe 2, Pasto-Chachag</w:t>
      </w:r>
      <w:r w:rsidR="00211E45">
        <w:rPr>
          <w:rFonts w:ascii="Calibri" w:eastAsia="Times New Roman" w:hAnsi="Calibri" w:cs="Times New Roman"/>
          <w:sz w:val="24"/>
          <w:szCs w:val="24"/>
          <w:lang w:val="es-ES" w:eastAsia="es-ES"/>
        </w:rPr>
        <w:t>ü</w:t>
      </w:r>
      <w:r w:rsidRPr="006E6F49">
        <w:rPr>
          <w:rFonts w:ascii="Calibri" w:eastAsia="Times New Roman" w:hAnsi="Calibri" w:cs="Times New Roman"/>
          <w:sz w:val="24"/>
          <w:szCs w:val="24"/>
          <w:lang w:val="es-ES" w:eastAsia="es-ES"/>
        </w:rPr>
        <w:t xml:space="preserve">í-El Manzano, Cerritos-La Virginia y Villeta-Guaduas, </w:t>
      </w:r>
      <w:r w:rsidR="00383A82">
        <w:rPr>
          <w:rFonts w:ascii="Calibri" w:eastAsia="Times New Roman" w:hAnsi="Calibri" w:cs="Times New Roman"/>
          <w:sz w:val="24"/>
          <w:szCs w:val="24"/>
          <w:lang w:val="es-ES" w:eastAsia="es-ES"/>
        </w:rPr>
        <w:t xml:space="preserve">y mantiene el ejercicio de la gestión de </w:t>
      </w:r>
      <w:r w:rsidRPr="006E6F49">
        <w:rPr>
          <w:rFonts w:ascii="Calibri" w:eastAsia="Times New Roman" w:hAnsi="Calibri" w:cs="Times New Roman"/>
          <w:sz w:val="24"/>
          <w:szCs w:val="24"/>
          <w:lang w:val="es-ES" w:eastAsia="es-ES"/>
        </w:rPr>
        <w:t>proceso</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transparente</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y ajustado</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a lo establecido en la Ley 1506 de 2012 y su Decreto Reglamentario 1467, </w:t>
      </w:r>
      <w:r w:rsidR="00383A82">
        <w:rPr>
          <w:rFonts w:ascii="Calibri" w:eastAsia="Times New Roman" w:hAnsi="Calibri" w:cs="Times New Roman"/>
          <w:sz w:val="24"/>
          <w:szCs w:val="24"/>
          <w:lang w:val="es-ES" w:eastAsia="es-ES"/>
        </w:rPr>
        <w:t xml:space="preserve">poniendo en marcha </w:t>
      </w:r>
      <w:r w:rsidRPr="006E6F49">
        <w:rPr>
          <w:rFonts w:ascii="Calibri" w:eastAsia="Times New Roman" w:hAnsi="Calibri" w:cs="Times New Roman"/>
          <w:sz w:val="24"/>
          <w:szCs w:val="24"/>
          <w:lang w:val="es-ES" w:eastAsia="es-ES"/>
        </w:rPr>
        <w:t xml:space="preserve">desde la Presidencia de la Agencia </w:t>
      </w:r>
      <w:r w:rsidR="00383A82">
        <w:rPr>
          <w:rFonts w:ascii="Calibri" w:eastAsia="Times New Roman" w:hAnsi="Calibri" w:cs="Times New Roman"/>
          <w:sz w:val="24"/>
          <w:szCs w:val="24"/>
          <w:lang w:val="es-ES" w:eastAsia="es-ES"/>
        </w:rPr>
        <w:t>la aplicación de todas las</w:t>
      </w:r>
      <w:r w:rsidRPr="006E6F49">
        <w:rPr>
          <w:rFonts w:ascii="Calibri" w:eastAsia="Times New Roman" w:hAnsi="Calibri" w:cs="Times New Roman"/>
          <w:sz w:val="24"/>
          <w:szCs w:val="24"/>
          <w:lang w:val="es-ES" w:eastAsia="es-ES"/>
        </w:rPr>
        <w:t xml:space="preserve"> estrategia</w:t>
      </w:r>
      <w:r w:rsidR="00383A82">
        <w:rPr>
          <w:rFonts w:ascii="Calibri" w:eastAsia="Times New Roman" w:hAnsi="Calibri" w:cs="Times New Roman"/>
          <w:sz w:val="24"/>
          <w:szCs w:val="24"/>
          <w:lang w:val="es-ES" w:eastAsia="es-ES"/>
        </w:rPr>
        <w:t>s</w:t>
      </w:r>
      <w:r w:rsidRPr="006E6F49">
        <w:rPr>
          <w:rFonts w:ascii="Calibri" w:eastAsia="Times New Roman" w:hAnsi="Calibri" w:cs="Times New Roman"/>
          <w:sz w:val="24"/>
          <w:szCs w:val="24"/>
          <w:lang w:val="es-ES" w:eastAsia="es-ES"/>
        </w:rPr>
        <w:t xml:space="preserve"> de transparencia</w:t>
      </w:r>
      <w:r w:rsidR="00383A82">
        <w:rPr>
          <w:rFonts w:ascii="Calibri" w:eastAsia="Times New Roman" w:hAnsi="Calibri" w:cs="Times New Roman"/>
          <w:sz w:val="24"/>
          <w:szCs w:val="24"/>
          <w:lang w:val="es-ES" w:eastAsia="es-ES"/>
        </w:rPr>
        <w:t xml:space="preserve"> que en materia de</w:t>
      </w:r>
      <w:r w:rsidRPr="006E6F49">
        <w:rPr>
          <w:rFonts w:ascii="Calibri" w:eastAsia="Times New Roman" w:hAnsi="Calibri" w:cs="Times New Roman"/>
          <w:sz w:val="24"/>
          <w:szCs w:val="24"/>
          <w:lang w:val="es-ES" w:eastAsia="es-ES"/>
        </w:rPr>
        <w:t xml:space="preserve"> contratación </w:t>
      </w:r>
      <w:r w:rsidR="00383A82">
        <w:rPr>
          <w:rFonts w:ascii="Calibri" w:eastAsia="Times New Roman" w:hAnsi="Calibri" w:cs="Times New Roman"/>
          <w:sz w:val="24"/>
          <w:szCs w:val="24"/>
          <w:lang w:val="es-ES" w:eastAsia="es-ES"/>
        </w:rPr>
        <w:t>ha concebido para los mencionados proyectos. Paralelamente,</w:t>
      </w:r>
      <w:r w:rsidRPr="006E6F49">
        <w:rPr>
          <w:rFonts w:ascii="Calibri" w:eastAsia="Times New Roman" w:hAnsi="Calibri" w:cs="Times New Roman"/>
          <w:sz w:val="24"/>
          <w:szCs w:val="24"/>
          <w:lang w:val="es-ES" w:eastAsia="es-ES"/>
        </w:rPr>
        <w:t xml:space="preserve"> continuará socializando los proyectos de Asociación Público Privada, en los espacios y con los actores involucrados en el desarrollo de la infraestructura de transporte</w:t>
      </w:r>
      <w:r w:rsidR="00383A82">
        <w:rPr>
          <w:rFonts w:ascii="Calibri" w:eastAsia="Times New Roman" w:hAnsi="Calibri" w:cs="Times New Roman"/>
          <w:sz w:val="24"/>
          <w:szCs w:val="24"/>
          <w:lang w:val="es-ES" w:eastAsia="es-ES"/>
        </w:rPr>
        <w:t>, buscando capturar en</w:t>
      </w:r>
      <w:r w:rsidRPr="006E6F49">
        <w:rPr>
          <w:rFonts w:ascii="Calibri" w:eastAsia="Times New Roman" w:hAnsi="Calibri" w:cs="Times New Roman"/>
          <w:sz w:val="24"/>
          <w:szCs w:val="24"/>
          <w:lang w:val="es-ES" w:eastAsia="es-ES"/>
        </w:rPr>
        <w:t xml:space="preserve"> cada uno de los eventos </w:t>
      </w:r>
      <w:r w:rsidR="00383A82">
        <w:rPr>
          <w:rFonts w:ascii="Calibri" w:eastAsia="Times New Roman" w:hAnsi="Calibri" w:cs="Times New Roman"/>
          <w:sz w:val="24"/>
          <w:szCs w:val="24"/>
          <w:lang w:val="es-ES" w:eastAsia="es-ES"/>
        </w:rPr>
        <w:t xml:space="preserve">el máximo posible de </w:t>
      </w:r>
      <w:r w:rsidRPr="006E6F49">
        <w:rPr>
          <w:rFonts w:ascii="Calibri" w:eastAsia="Times New Roman" w:hAnsi="Calibri" w:cs="Times New Roman"/>
          <w:sz w:val="24"/>
          <w:szCs w:val="24"/>
          <w:lang w:val="es-ES" w:eastAsia="es-ES"/>
        </w:rPr>
        <w:t xml:space="preserve">sugerencias y </w:t>
      </w:r>
      <w:r w:rsidR="00383A82">
        <w:rPr>
          <w:rFonts w:ascii="Calibri" w:eastAsia="Times New Roman" w:hAnsi="Calibri" w:cs="Times New Roman"/>
          <w:sz w:val="24"/>
          <w:szCs w:val="24"/>
          <w:lang w:val="es-ES" w:eastAsia="es-ES"/>
        </w:rPr>
        <w:t xml:space="preserve">adelantar el análisis de las </w:t>
      </w:r>
      <w:r w:rsidRPr="006E6F49">
        <w:rPr>
          <w:rFonts w:ascii="Calibri" w:eastAsia="Times New Roman" w:hAnsi="Calibri" w:cs="Times New Roman"/>
          <w:sz w:val="24"/>
          <w:szCs w:val="24"/>
          <w:lang w:val="es-ES" w:eastAsia="es-ES"/>
        </w:rPr>
        <w:t xml:space="preserve">modificaciones que se identifiquen como beneficiosas y que sean susceptibles de ser incorporados en </w:t>
      </w:r>
      <w:r w:rsidR="00383A82">
        <w:rPr>
          <w:rFonts w:ascii="Calibri" w:eastAsia="Times New Roman" w:hAnsi="Calibri" w:cs="Times New Roman"/>
          <w:sz w:val="24"/>
          <w:szCs w:val="24"/>
          <w:lang w:val="es-ES" w:eastAsia="es-ES"/>
        </w:rPr>
        <w:t>ellos</w:t>
      </w:r>
      <w:r w:rsidRPr="006E6F49">
        <w:rPr>
          <w:rFonts w:ascii="Calibri" w:eastAsia="Times New Roman" w:hAnsi="Calibri" w:cs="Times New Roman"/>
          <w:sz w:val="24"/>
          <w:szCs w:val="24"/>
          <w:lang w:val="es-ES" w:eastAsia="es-ES"/>
        </w:rPr>
        <w:t>.</w:t>
      </w:r>
    </w:p>
    <w:p w14:paraId="095D97B2" w14:textId="77777777" w:rsidR="006E6F49" w:rsidRPr="006E6F49" w:rsidRDefault="006E6F49" w:rsidP="006E6F49">
      <w:pPr>
        <w:spacing w:after="0" w:line="240" w:lineRule="auto"/>
        <w:jc w:val="both"/>
        <w:rPr>
          <w:rFonts w:ascii="Calibri" w:eastAsia="Times New Roman" w:hAnsi="Calibri" w:cs="Times New Roman"/>
          <w:sz w:val="24"/>
          <w:szCs w:val="24"/>
          <w:lang w:val="es-MX" w:eastAsia="es-ES"/>
        </w:rPr>
      </w:pPr>
      <w:r w:rsidRPr="006E6F49">
        <w:rPr>
          <w:rFonts w:ascii="Calibri" w:eastAsia="Times New Roman" w:hAnsi="Calibri" w:cs="Times New Roman"/>
          <w:sz w:val="24"/>
          <w:szCs w:val="24"/>
          <w:lang w:val="es-ES" w:eastAsia="es-ES"/>
        </w:rPr>
        <w:t> </w:t>
      </w:r>
    </w:p>
    <w:p w14:paraId="66912CD4" w14:textId="77777777" w:rsidR="008118E7" w:rsidRPr="008118E7" w:rsidRDefault="008118E7" w:rsidP="008118E7">
      <w:pPr>
        <w:pStyle w:val="Prrafodelista"/>
        <w:keepNext/>
        <w:numPr>
          <w:ilvl w:val="2"/>
          <w:numId w:val="28"/>
        </w:numPr>
        <w:spacing w:before="240" w:after="60"/>
        <w:outlineLvl w:val="1"/>
        <w:rPr>
          <w:rFonts w:ascii="Cambria" w:hAnsi="Cambria" w:cs="Arial"/>
          <w:b/>
          <w:bCs/>
          <w:i/>
          <w:iCs/>
        </w:rPr>
      </w:pPr>
      <w:bookmarkStart w:id="213" w:name="_Toc480982409"/>
      <w:r w:rsidRPr="008118E7">
        <w:rPr>
          <w:rFonts w:ascii="Cambria" w:hAnsi="Cambria" w:cs="Arial"/>
          <w:b/>
          <w:bCs/>
          <w:i/>
          <w:iCs/>
        </w:rPr>
        <w:t>Consideraciones de seguridad de la información</w:t>
      </w:r>
      <w:bookmarkEnd w:id="213"/>
    </w:p>
    <w:p w14:paraId="6A719E73" w14:textId="77777777" w:rsidR="008118E7" w:rsidRPr="003E1653" w:rsidRDefault="008118E7" w:rsidP="008118E7">
      <w:pPr>
        <w:spacing w:after="0" w:line="240" w:lineRule="auto"/>
        <w:jc w:val="both"/>
        <w:rPr>
          <w:rFonts w:ascii="Calibri" w:eastAsia="Times New Roman" w:hAnsi="Calibri" w:cs="Times New Roman"/>
          <w:sz w:val="24"/>
          <w:szCs w:val="24"/>
          <w:highlight w:val="yellow"/>
          <w:lang w:val="es-ES_tradnl" w:eastAsia="es-ES"/>
        </w:rPr>
      </w:pPr>
    </w:p>
    <w:p w14:paraId="23D88F06" w14:textId="77777777" w:rsidR="008118E7" w:rsidRPr="008118E7" w:rsidRDefault="008118E7" w:rsidP="008118E7">
      <w:pPr>
        <w:spacing w:after="0" w:line="240" w:lineRule="auto"/>
        <w:jc w:val="both"/>
        <w:rPr>
          <w:rFonts w:ascii="Calibri" w:eastAsia="Times New Roman" w:hAnsi="Calibri" w:cs="Times New Roman"/>
          <w:sz w:val="24"/>
          <w:szCs w:val="24"/>
          <w:lang w:val="es-ES_tradnl" w:eastAsia="es-ES"/>
        </w:rPr>
      </w:pPr>
      <w:r w:rsidRPr="008118E7">
        <w:rPr>
          <w:rFonts w:ascii="Calibri" w:eastAsia="Times New Roman" w:hAnsi="Calibri" w:cs="Times New Roman"/>
          <w:sz w:val="24"/>
          <w:szCs w:val="24"/>
          <w:lang w:val="es-ES_tradnl" w:eastAsia="es-ES"/>
        </w:rPr>
        <w:t xml:space="preserve">Todas las actividades descritas en el presente plan deberán tener en cuenta y </w:t>
      </w:r>
      <w:r w:rsidR="00B1265B">
        <w:rPr>
          <w:rFonts w:ascii="Calibri" w:eastAsia="Times New Roman" w:hAnsi="Calibri" w:cs="Times New Roman"/>
          <w:sz w:val="24"/>
          <w:szCs w:val="24"/>
          <w:lang w:val="es-ES_tradnl" w:eastAsia="es-ES"/>
        </w:rPr>
        <w:t>acoger</w:t>
      </w:r>
      <w:r w:rsidRPr="008118E7">
        <w:rPr>
          <w:rFonts w:ascii="Calibri" w:eastAsia="Times New Roman" w:hAnsi="Calibri" w:cs="Times New Roman"/>
          <w:sz w:val="24"/>
          <w:szCs w:val="24"/>
          <w:lang w:val="es-ES_tradnl" w:eastAsia="es-ES"/>
        </w:rPr>
        <w:t xml:space="preserve"> las diferentes políticas y lineamientos definidos dentro del sistema de gestión de seguridad de la información </w:t>
      </w:r>
      <w:r w:rsidR="00B1265B">
        <w:rPr>
          <w:rFonts w:ascii="Calibri" w:eastAsia="Times New Roman" w:hAnsi="Calibri" w:cs="Times New Roman"/>
          <w:sz w:val="24"/>
          <w:szCs w:val="24"/>
          <w:lang w:val="es-ES_tradnl" w:eastAsia="es-ES"/>
        </w:rPr>
        <w:t xml:space="preserve">establecido </w:t>
      </w:r>
      <w:r w:rsidRPr="008118E7">
        <w:rPr>
          <w:rFonts w:ascii="Calibri" w:eastAsia="Times New Roman" w:hAnsi="Calibri" w:cs="Times New Roman"/>
          <w:sz w:val="24"/>
          <w:szCs w:val="24"/>
          <w:lang w:val="es-ES_tradnl" w:eastAsia="es-ES"/>
        </w:rPr>
        <w:t>por la Entidad; de ésta manera, se deberán identificar y gestionar los riesgos asociados a seguridad de la información que puedan impactar el cumplimiento de las actividades del presente plan.</w:t>
      </w:r>
    </w:p>
    <w:p w14:paraId="45F3AC93" w14:textId="77777777" w:rsidR="00B1265B" w:rsidRDefault="00B1265B" w:rsidP="008118E7">
      <w:pPr>
        <w:spacing w:after="0" w:line="240" w:lineRule="auto"/>
        <w:jc w:val="both"/>
        <w:rPr>
          <w:rFonts w:ascii="Calibri" w:eastAsia="Times New Roman" w:hAnsi="Calibri" w:cs="Times New Roman"/>
          <w:sz w:val="24"/>
          <w:szCs w:val="24"/>
          <w:lang w:val="es-ES_tradnl" w:eastAsia="es-ES"/>
        </w:rPr>
      </w:pPr>
    </w:p>
    <w:p w14:paraId="3030639D" w14:textId="77777777" w:rsidR="008118E7" w:rsidRPr="0003144B" w:rsidRDefault="00B1265B" w:rsidP="008118E7">
      <w:pPr>
        <w:spacing w:after="0" w:line="240" w:lineRule="auto"/>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La</w:t>
      </w:r>
      <w:r w:rsidR="008118E7" w:rsidRPr="008118E7">
        <w:rPr>
          <w:rFonts w:ascii="Calibri" w:eastAsia="Times New Roman" w:hAnsi="Calibri" w:cs="Times New Roman"/>
          <w:sz w:val="24"/>
          <w:szCs w:val="24"/>
          <w:lang w:val="es-ES_tradnl" w:eastAsia="es-ES"/>
        </w:rPr>
        <w:t>s buenas prácticas de seguridad de la información asegurarán que toda aquella producida, almacenada y administrada por la Entidad, y que bien deba ser com</w:t>
      </w:r>
      <w:r>
        <w:rPr>
          <w:rFonts w:ascii="Calibri" w:eastAsia="Times New Roman" w:hAnsi="Calibri" w:cs="Times New Roman"/>
          <w:sz w:val="24"/>
          <w:szCs w:val="24"/>
          <w:lang w:val="es-ES_tradnl" w:eastAsia="es-ES"/>
        </w:rPr>
        <w:t>unicada, entregada, transmitida</w:t>
      </w:r>
      <w:r w:rsidR="008118E7" w:rsidRPr="008118E7">
        <w:rPr>
          <w:rFonts w:ascii="Calibri" w:eastAsia="Times New Roman" w:hAnsi="Calibri" w:cs="Times New Roman"/>
          <w:sz w:val="24"/>
          <w:szCs w:val="24"/>
          <w:lang w:val="es-ES_tradnl" w:eastAsia="es-ES"/>
        </w:rPr>
        <w:t xml:space="preserve"> o publicada, se realice </w:t>
      </w:r>
      <w:r>
        <w:rPr>
          <w:rFonts w:ascii="Calibri" w:eastAsia="Times New Roman" w:hAnsi="Calibri" w:cs="Times New Roman"/>
          <w:sz w:val="24"/>
          <w:szCs w:val="24"/>
          <w:lang w:val="es-ES_tradnl" w:eastAsia="es-ES"/>
        </w:rPr>
        <w:t>con observancia de</w:t>
      </w:r>
      <w:r w:rsidR="008118E7" w:rsidRPr="008118E7">
        <w:rPr>
          <w:rFonts w:ascii="Calibri" w:eastAsia="Times New Roman" w:hAnsi="Calibri" w:cs="Times New Roman"/>
          <w:sz w:val="24"/>
          <w:szCs w:val="24"/>
          <w:lang w:val="es-ES_tradnl" w:eastAsia="es-ES"/>
        </w:rPr>
        <w:t xml:space="preserve"> los protocolos internos para </w:t>
      </w:r>
      <w:r>
        <w:rPr>
          <w:rFonts w:ascii="Calibri" w:eastAsia="Times New Roman" w:hAnsi="Calibri" w:cs="Times New Roman"/>
          <w:sz w:val="24"/>
          <w:szCs w:val="24"/>
          <w:lang w:val="es-ES_tradnl" w:eastAsia="es-ES"/>
        </w:rPr>
        <w:t>garantiza</w:t>
      </w:r>
      <w:r w:rsidR="008118E7" w:rsidRPr="008118E7">
        <w:rPr>
          <w:rFonts w:ascii="Calibri" w:eastAsia="Times New Roman" w:hAnsi="Calibri" w:cs="Times New Roman"/>
          <w:sz w:val="24"/>
          <w:szCs w:val="24"/>
          <w:lang w:val="es-ES_tradnl" w:eastAsia="es-ES"/>
        </w:rPr>
        <w:t>r su disponibilidad y acceso por parte de funci</w:t>
      </w:r>
      <w:r>
        <w:rPr>
          <w:rFonts w:ascii="Calibri" w:eastAsia="Times New Roman" w:hAnsi="Calibri" w:cs="Times New Roman"/>
          <w:sz w:val="24"/>
          <w:szCs w:val="24"/>
          <w:lang w:val="es-ES_tradnl" w:eastAsia="es-ES"/>
        </w:rPr>
        <w:t>onarios y/o terceros en general.</w:t>
      </w:r>
      <w:r w:rsidR="008118E7" w:rsidRPr="008118E7">
        <w:rPr>
          <w:rFonts w:ascii="Calibri" w:eastAsia="Times New Roman" w:hAnsi="Calibri" w:cs="Times New Roman"/>
          <w:sz w:val="24"/>
          <w:szCs w:val="24"/>
          <w:lang w:val="es-ES_tradnl" w:eastAsia="es-ES"/>
        </w:rPr>
        <w:t xml:space="preserve"> </w:t>
      </w:r>
      <w:r>
        <w:rPr>
          <w:rFonts w:ascii="Calibri" w:eastAsia="Times New Roman" w:hAnsi="Calibri" w:cs="Times New Roman"/>
          <w:sz w:val="24"/>
          <w:szCs w:val="24"/>
          <w:lang w:val="es-ES_tradnl" w:eastAsia="es-ES"/>
        </w:rPr>
        <w:t>A</w:t>
      </w:r>
      <w:r w:rsidR="008118E7" w:rsidRPr="008118E7">
        <w:rPr>
          <w:rFonts w:ascii="Calibri" w:eastAsia="Times New Roman" w:hAnsi="Calibri" w:cs="Times New Roman"/>
          <w:sz w:val="24"/>
          <w:szCs w:val="24"/>
          <w:lang w:val="es-ES_tradnl" w:eastAsia="es-ES"/>
        </w:rPr>
        <w:t xml:space="preserve">dicionalmente, y en beneficio de la imagen de </w:t>
      </w:r>
      <w:r>
        <w:rPr>
          <w:rFonts w:ascii="Calibri" w:eastAsia="Times New Roman" w:hAnsi="Calibri" w:cs="Times New Roman"/>
          <w:sz w:val="24"/>
          <w:szCs w:val="24"/>
          <w:lang w:val="es-ES_tradnl" w:eastAsia="es-ES"/>
        </w:rPr>
        <w:t>la entidad</w:t>
      </w:r>
      <w:r w:rsidR="008118E7" w:rsidRPr="008118E7">
        <w:rPr>
          <w:rFonts w:ascii="Calibri" w:eastAsia="Times New Roman" w:hAnsi="Calibri" w:cs="Times New Roman"/>
          <w:sz w:val="24"/>
          <w:szCs w:val="24"/>
          <w:lang w:val="es-ES_tradnl" w:eastAsia="es-ES"/>
        </w:rPr>
        <w:t xml:space="preserve"> se desarrollarán actividades de socialización y sensibilización de prácticas de seguridad de la información para la adecuada protección de la información y reducción de riesgos de impactos no deseados por la </w:t>
      </w:r>
      <w:r>
        <w:rPr>
          <w:rFonts w:ascii="Calibri" w:eastAsia="Times New Roman" w:hAnsi="Calibri" w:cs="Times New Roman"/>
          <w:sz w:val="24"/>
          <w:szCs w:val="24"/>
          <w:lang w:val="es-ES_tradnl" w:eastAsia="es-ES"/>
        </w:rPr>
        <w:t>Agencia</w:t>
      </w:r>
      <w:r w:rsidR="008118E7" w:rsidRPr="008118E7">
        <w:rPr>
          <w:rFonts w:ascii="Calibri" w:eastAsia="Times New Roman" w:hAnsi="Calibri" w:cs="Times New Roman"/>
          <w:sz w:val="24"/>
          <w:szCs w:val="24"/>
          <w:lang w:val="es-ES_tradnl" w:eastAsia="es-ES"/>
        </w:rPr>
        <w:t>, basados en la definición y para su estricto cumplimiento de lineamientos de control tanto internos, como los legales aplicables.</w:t>
      </w:r>
    </w:p>
    <w:p w14:paraId="4B6A3A34" w14:textId="77777777" w:rsidR="008118E7" w:rsidRDefault="008118E7" w:rsidP="006E6F49">
      <w:pPr>
        <w:spacing w:after="0" w:line="240" w:lineRule="auto"/>
        <w:jc w:val="both"/>
        <w:rPr>
          <w:rFonts w:ascii="Calibri" w:eastAsia="Times New Roman" w:hAnsi="Calibri" w:cs="Calibri"/>
          <w:sz w:val="24"/>
          <w:szCs w:val="24"/>
          <w:lang w:val="es-ES"/>
        </w:rPr>
      </w:pPr>
    </w:p>
    <w:p w14:paraId="6A681F0B" w14:textId="2BE6123A" w:rsidR="00AC2A3E" w:rsidRPr="00D8171D" w:rsidRDefault="00AC2A3E" w:rsidP="00D8171D">
      <w:pPr>
        <w:pStyle w:val="Prrafodelista"/>
        <w:keepNext/>
        <w:numPr>
          <w:ilvl w:val="2"/>
          <w:numId w:val="28"/>
        </w:numPr>
        <w:spacing w:before="240" w:after="60"/>
        <w:outlineLvl w:val="1"/>
        <w:rPr>
          <w:b/>
          <w:bCs/>
          <w:i/>
          <w:iCs/>
        </w:rPr>
      </w:pPr>
      <w:bookmarkStart w:id="214" w:name="_Toc480982410"/>
      <w:r w:rsidRPr="00D8171D">
        <w:rPr>
          <w:b/>
          <w:bCs/>
          <w:i/>
          <w:iCs/>
        </w:rPr>
        <w:t>Participación Ciudadana</w:t>
      </w:r>
      <w:bookmarkEnd w:id="214"/>
    </w:p>
    <w:p w14:paraId="377BE2AE" w14:textId="77777777" w:rsidR="00AC2A3E" w:rsidRDefault="00AC2A3E" w:rsidP="00AC2A3E">
      <w:pPr>
        <w:jc w:val="both"/>
        <w:rPr>
          <w:rFonts w:ascii="Calibri" w:hAnsi="Calibri" w:cs="Calibri"/>
        </w:rPr>
      </w:pPr>
    </w:p>
    <w:p w14:paraId="26B40674"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4B3D05">
        <w:rPr>
          <w:rFonts w:ascii="Calibri" w:eastAsia="Times New Roman" w:hAnsi="Calibri" w:cs="Times New Roman"/>
          <w:sz w:val="24"/>
          <w:szCs w:val="24"/>
          <w:lang w:val="es-ES" w:eastAsia="es-ES"/>
        </w:rPr>
        <w:t>Para promover la transparencia al interior de la entidad y fundamentalmente de cara al ciudadano, en el Plan Anticorrupción y de Atención al Ciudadano de la Agencia se dispone la 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CA1B0F">
        <w:rPr>
          <w:rFonts w:ascii="Calibri" w:eastAsia="Times New Roman" w:hAnsi="Calibri" w:cs="Times New Roman"/>
          <w:sz w:val="24"/>
          <w:szCs w:val="24"/>
          <w:lang w:val="es-ES_tradnl" w:eastAsia="es-ES"/>
        </w:rPr>
        <w:t xml:space="preserve"> y opiniones presentados, mejorar la relación y generar confianza.</w:t>
      </w:r>
    </w:p>
    <w:p w14:paraId="6368506D"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CA1B0F">
        <w:rPr>
          <w:rFonts w:ascii="Calibri" w:eastAsia="Times New Roman" w:hAnsi="Calibri" w:cs="Times New Roman"/>
          <w:sz w:val="24"/>
          <w:szCs w:val="24"/>
          <w:lang w:val="es-ES_tradnl" w:eastAsia="es-ES"/>
        </w:rPr>
        <w:t xml:space="preserve">En este orden, la ANI durante la vigencia </w:t>
      </w:r>
      <w:r w:rsidR="00B1265B">
        <w:rPr>
          <w:rFonts w:ascii="Calibri" w:eastAsia="Times New Roman" w:hAnsi="Calibri" w:cs="Times New Roman"/>
          <w:sz w:val="24"/>
          <w:szCs w:val="24"/>
          <w:lang w:val="es-ES_tradnl" w:eastAsia="es-ES"/>
        </w:rPr>
        <w:t xml:space="preserve">2017 </w:t>
      </w:r>
      <w:r w:rsidRPr="00CA1B0F">
        <w:rPr>
          <w:rFonts w:ascii="Calibri" w:eastAsia="Times New Roman" w:hAnsi="Calibri" w:cs="Times New Roman"/>
          <w:sz w:val="24"/>
          <w:szCs w:val="24"/>
          <w:lang w:val="es-ES_tradnl" w:eastAsia="es-ES"/>
        </w:rPr>
        <w:t>busca que la ciudadanía participe en:</w:t>
      </w:r>
    </w:p>
    <w:p w14:paraId="33E25FF5"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t>Procesos de Planeación. En éste ámbito se pretende que la ciudadanía, especialmente las veedurías ciudadanas,  consulten, opinen y brinden sus aportes a los planes, programas y proyectos de la entidad, ejerciendo la oportuna vigilancia y el control de sus actuaciones.</w:t>
      </w:r>
    </w:p>
    <w:p w14:paraId="0E88053C"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 xml:space="preserve"> </w:t>
      </w:r>
    </w:p>
    <w:p w14:paraId="133D905D"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14:paraId="3BD7F0CA" w14:textId="77777777" w:rsidR="00CA1B0F" w:rsidRPr="00CA1B0F" w:rsidRDefault="00CA1B0F" w:rsidP="004B3D05">
      <w:pPr>
        <w:pStyle w:val="Prrafodelista"/>
        <w:rPr>
          <w:rFonts w:ascii="Calibri" w:hAnsi="Calibri"/>
          <w:lang w:val="es-ES_tradnl"/>
        </w:rPr>
      </w:pPr>
    </w:p>
    <w:p w14:paraId="663D4747" w14:textId="77777777" w:rsidR="00CA1B0F" w:rsidRPr="00CA1B0F" w:rsidRDefault="00CA1B0F" w:rsidP="004B3D05">
      <w:pPr>
        <w:pStyle w:val="Prrafodelista"/>
        <w:jc w:val="both"/>
        <w:rPr>
          <w:rFonts w:ascii="Calibri" w:hAnsi="Calibri"/>
          <w:lang w:val="es-ES_tradnl"/>
        </w:rPr>
      </w:pPr>
    </w:p>
    <w:p w14:paraId="57E45D16" w14:textId="77777777" w:rsidR="00CA1B0F" w:rsidRPr="00CA1B0F" w:rsidRDefault="00CA1B0F" w:rsidP="004B3D05">
      <w:pPr>
        <w:pStyle w:val="Prrafodelista"/>
        <w:numPr>
          <w:ilvl w:val="0"/>
          <w:numId w:val="30"/>
        </w:numPr>
        <w:spacing w:after="160"/>
        <w:jc w:val="both"/>
        <w:rPr>
          <w:rFonts w:ascii="Calibri" w:hAnsi="Calibri"/>
          <w:lang w:val="es-ES_tradnl"/>
        </w:rPr>
      </w:pPr>
      <w:r w:rsidRPr="00CA1B0F">
        <w:rPr>
          <w:rFonts w:ascii="Calibri" w:hAnsi="Calibri"/>
          <w:lang w:val="es-ES_tradnl"/>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14:paraId="6ED3FD37" w14:textId="77777777" w:rsidR="00CA1B0F" w:rsidRPr="00CA1B0F" w:rsidRDefault="00CA1B0F" w:rsidP="004B3D05">
      <w:pPr>
        <w:pStyle w:val="Prrafodelista"/>
        <w:jc w:val="both"/>
        <w:rPr>
          <w:rFonts w:ascii="Calibri" w:hAnsi="Calibri"/>
          <w:lang w:val="es-ES_tradnl"/>
        </w:rPr>
      </w:pPr>
    </w:p>
    <w:p w14:paraId="55A61A38"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Información: Generamos datos y contenidos a través de nuestros canales de comunicación y redes sociales sobre la gestión de la entidad.</w:t>
      </w:r>
    </w:p>
    <w:p w14:paraId="6048BE45" w14:textId="77777777" w:rsidR="00CA1B0F" w:rsidRPr="00CA1B0F" w:rsidRDefault="00CA1B0F" w:rsidP="004B3D05">
      <w:pPr>
        <w:pStyle w:val="Prrafodelista"/>
        <w:jc w:val="both"/>
        <w:rPr>
          <w:rFonts w:ascii="Calibri" w:hAnsi="Calibri"/>
          <w:lang w:val="es-ES_tradnl"/>
        </w:rPr>
      </w:pPr>
    </w:p>
    <w:p w14:paraId="61B8346E"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Dialogo: Creación de espacios para interactuar y dar lugar a la escucha empática, a la presentación de inquietudes, a brindar explicaciones y retroalimentar al ciudadano sobre la gestión de la Agencia.</w:t>
      </w:r>
    </w:p>
    <w:p w14:paraId="72C05838" w14:textId="77777777" w:rsidR="00CA1B0F" w:rsidRPr="00CA1B0F" w:rsidRDefault="00CA1B0F" w:rsidP="004B3D05">
      <w:pPr>
        <w:pStyle w:val="Prrafodelista"/>
        <w:jc w:val="both"/>
        <w:rPr>
          <w:rFonts w:ascii="Calibri" w:hAnsi="Calibri"/>
          <w:lang w:val="es-ES_tradnl"/>
        </w:rPr>
      </w:pPr>
    </w:p>
    <w:p w14:paraId="58054AA3" w14:textId="77777777" w:rsidR="00CA1B0F" w:rsidRPr="00CA1B0F" w:rsidRDefault="00CA1B0F" w:rsidP="004B3D05">
      <w:pPr>
        <w:pStyle w:val="Prrafodelista"/>
        <w:jc w:val="both"/>
        <w:rPr>
          <w:rFonts w:ascii="Calibri" w:hAnsi="Calibri"/>
          <w:lang w:val="es-ES_tradnl"/>
        </w:rPr>
      </w:pPr>
      <w:r w:rsidRPr="00CA1B0F">
        <w:rPr>
          <w:rFonts w:ascii="Calibri" w:hAnsi="Calibri"/>
          <w:lang w:val="es-ES_tradnl"/>
        </w:rPr>
        <w:t>Incentivos: Desarrollar actividades que refuercen la cultura de los servidores y de los ciudadanos hacia la rendición de cuentas, especialmente las veedurías ciudadanas</w:t>
      </w:r>
    </w:p>
    <w:p w14:paraId="5E0D3770" w14:textId="77777777" w:rsidR="00CA1B0F" w:rsidRPr="00CA1B0F" w:rsidRDefault="00CA1B0F" w:rsidP="004B3D05">
      <w:pPr>
        <w:pStyle w:val="Prrafodelista"/>
        <w:jc w:val="both"/>
        <w:rPr>
          <w:rFonts w:ascii="Calibri" w:hAnsi="Calibri"/>
          <w:lang w:val="es-ES_tradnl"/>
        </w:rPr>
      </w:pPr>
    </w:p>
    <w:p w14:paraId="3C14B6EE" w14:textId="77777777" w:rsidR="00CA1B0F" w:rsidRPr="00CA1B0F" w:rsidRDefault="00CA1B0F" w:rsidP="004B3D05">
      <w:pPr>
        <w:spacing w:line="240" w:lineRule="auto"/>
        <w:jc w:val="both"/>
        <w:rPr>
          <w:rFonts w:ascii="Calibri" w:eastAsia="Times New Roman" w:hAnsi="Calibri" w:cs="Times New Roman"/>
          <w:sz w:val="24"/>
          <w:szCs w:val="24"/>
          <w:lang w:val="es-ES_tradnl" w:eastAsia="es-ES"/>
        </w:rPr>
      </w:pPr>
      <w:r w:rsidRPr="00CA1B0F">
        <w:rPr>
          <w:rFonts w:ascii="Calibri" w:eastAsia="Times New Roman" w:hAnsi="Calibri" w:cs="Times New Roman"/>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14:paraId="01BA89E1" w14:textId="77777777" w:rsidR="00CA1B0F" w:rsidRDefault="00CA1B0F" w:rsidP="00CA1B0F">
      <w:pPr>
        <w:jc w:val="both"/>
      </w:pPr>
    </w:p>
    <w:p w14:paraId="6C481FCD"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15" w:name="_Toc441487038"/>
      <w:bookmarkStart w:id="216" w:name="_Toc480982411"/>
      <w:bookmarkStart w:id="217" w:name="_Toc355014838"/>
      <w:bookmarkStart w:id="218" w:name="_Toc355014919"/>
      <w:bookmarkStart w:id="219" w:name="_Toc355014961"/>
      <w:bookmarkStart w:id="220" w:name="_Toc355015035"/>
      <w:bookmarkStart w:id="221" w:name="_Toc355015089"/>
      <w:bookmarkStart w:id="222" w:name="_Toc355015251"/>
      <w:bookmarkStart w:id="223" w:name="_Toc361238735"/>
      <w:bookmarkStart w:id="224" w:name="_Toc378867819"/>
      <w:r w:rsidRPr="006E6F49">
        <w:rPr>
          <w:rFonts w:ascii="Cambria" w:eastAsia="Times New Roman" w:hAnsi="Cambria" w:cs="Calibri"/>
          <w:b/>
          <w:bCs/>
          <w:iCs/>
          <w:sz w:val="24"/>
          <w:szCs w:val="24"/>
          <w:lang w:val="es-ES_tradnl" w:eastAsia="es-ES"/>
        </w:rPr>
        <w:t>PRESUPUESTO</w:t>
      </w:r>
      <w:bookmarkEnd w:id="215"/>
      <w:bookmarkEnd w:id="216"/>
    </w:p>
    <w:p w14:paraId="25F8FBFB"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5BE78401" w14:textId="77777777" w:rsid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la presente vigencia se han destinado recursos por $400.000.000 asignados a la Oficina de Comunicaciones, recursos con los cuales se atenderán los temas relacionados con el Plan Anticorrupción y Atención al Ciudadano.</w:t>
      </w:r>
    </w:p>
    <w:p w14:paraId="34DF837A" w14:textId="77777777" w:rsidR="00284828" w:rsidRDefault="00284828" w:rsidP="006E6F49">
      <w:pPr>
        <w:spacing w:after="0" w:line="240" w:lineRule="auto"/>
        <w:jc w:val="both"/>
        <w:rPr>
          <w:rFonts w:ascii="Calibri" w:eastAsia="Times New Roman" w:hAnsi="Calibri" w:cs="Times New Roman"/>
          <w:sz w:val="24"/>
          <w:szCs w:val="24"/>
          <w:lang w:val="es-ES_tradnl" w:eastAsia="es-ES"/>
        </w:rPr>
      </w:pPr>
    </w:p>
    <w:p w14:paraId="1DB1B84C" w14:textId="77777777" w:rsidR="00284828" w:rsidRPr="006E6F49" w:rsidRDefault="00284828" w:rsidP="006E6F49">
      <w:pPr>
        <w:spacing w:after="0" w:line="240" w:lineRule="auto"/>
        <w:jc w:val="both"/>
        <w:rPr>
          <w:rFonts w:ascii="Calibri" w:eastAsia="Times New Roman" w:hAnsi="Calibri" w:cs="Times New Roman"/>
          <w:sz w:val="24"/>
          <w:szCs w:val="24"/>
          <w:lang w:val="es-ES_tradnl" w:eastAsia="es-ES"/>
        </w:rPr>
      </w:pPr>
    </w:p>
    <w:p w14:paraId="5BC00090" w14:textId="77777777" w:rsidR="006E6F49" w:rsidRPr="006E6F49" w:rsidRDefault="006E6F49" w:rsidP="005D0FD9">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25" w:name="_Toc441487039"/>
      <w:bookmarkStart w:id="226" w:name="_Toc480982412"/>
      <w:r w:rsidRPr="006E6F49">
        <w:rPr>
          <w:rFonts w:ascii="Cambria" w:eastAsia="Times New Roman" w:hAnsi="Cambria" w:cs="Calibri"/>
          <w:b/>
          <w:bCs/>
          <w:iCs/>
          <w:sz w:val="24"/>
          <w:szCs w:val="24"/>
          <w:lang w:val="es-ES_tradnl" w:eastAsia="es-ES"/>
        </w:rPr>
        <w:t>CONSOLIDACIÓN, SEGUIMIENTO Y CONTROL</w:t>
      </w:r>
      <w:bookmarkEnd w:id="217"/>
      <w:bookmarkEnd w:id="218"/>
      <w:bookmarkEnd w:id="219"/>
      <w:bookmarkEnd w:id="220"/>
      <w:bookmarkEnd w:id="221"/>
      <w:bookmarkEnd w:id="222"/>
      <w:bookmarkEnd w:id="223"/>
      <w:bookmarkEnd w:id="224"/>
      <w:bookmarkEnd w:id="225"/>
      <w:bookmarkEnd w:id="226"/>
    </w:p>
    <w:p w14:paraId="6FE28B39" w14:textId="77777777" w:rsidR="006E6F49" w:rsidRPr="006E6F49" w:rsidRDefault="006E6F49" w:rsidP="006E6F49">
      <w:pPr>
        <w:spacing w:after="0" w:line="240" w:lineRule="auto"/>
        <w:rPr>
          <w:rFonts w:ascii="Calibri" w:eastAsia="Times New Roman" w:hAnsi="Calibri" w:cs="Times New Roman"/>
          <w:sz w:val="24"/>
          <w:szCs w:val="24"/>
          <w:lang w:val="es-ES_tradnl" w:eastAsia="es-ES"/>
        </w:rPr>
      </w:pPr>
    </w:p>
    <w:p w14:paraId="6103EDA9"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14:paraId="6EC15238"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097C28C8"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r w:rsidRPr="006E6F49">
        <w:rPr>
          <w:rFonts w:ascii="Calibri" w:eastAsia="Times New Roman" w:hAnsi="Calibri" w:cs="Times New Roman"/>
          <w:sz w:val="24"/>
          <w:szCs w:val="24"/>
          <w:lang w:val="es-ES_tradnl" w:eastAsia="es-ES"/>
        </w:rPr>
        <w:t>Para efectos de publicidad y seguimiento por parte de la ciudadanía y las partes interesadas, el presente plan de acción y sus respectivos seguimientos serán publicados en el siguiente link de nuestra página WEB https://www.ani.gov.co/planes/plan-anticorrupcion-ani-21718.</w:t>
      </w:r>
    </w:p>
    <w:p w14:paraId="7B352CA3" w14:textId="77777777" w:rsidR="006E6F49" w:rsidRPr="006E6F49" w:rsidRDefault="006E6F49" w:rsidP="006E6F49">
      <w:pPr>
        <w:spacing w:after="0" w:line="240" w:lineRule="auto"/>
        <w:jc w:val="both"/>
        <w:rPr>
          <w:rFonts w:ascii="Calibri" w:eastAsia="Times New Roman" w:hAnsi="Calibri" w:cs="Times New Roman"/>
          <w:sz w:val="24"/>
          <w:szCs w:val="24"/>
          <w:lang w:val="es-ES_tradnl" w:eastAsia="es-ES"/>
        </w:rPr>
      </w:pPr>
    </w:p>
    <w:p w14:paraId="41FE5AF5" w14:textId="77777777" w:rsidR="0003144B" w:rsidRDefault="004B3D05" w:rsidP="00CA55BA">
      <w:pPr>
        <w:keepNext/>
        <w:numPr>
          <w:ilvl w:val="0"/>
          <w:numId w:val="28"/>
        </w:numPr>
        <w:spacing w:before="240" w:after="60" w:line="240" w:lineRule="auto"/>
        <w:jc w:val="both"/>
        <w:outlineLvl w:val="0"/>
        <w:rPr>
          <w:rFonts w:ascii="Cambria" w:eastAsia="Times New Roman" w:hAnsi="Cambria" w:cs="Calibri"/>
          <w:b/>
          <w:bCs/>
          <w:iCs/>
          <w:sz w:val="24"/>
          <w:szCs w:val="24"/>
          <w:lang w:val="es-ES_tradnl" w:eastAsia="es-ES"/>
        </w:rPr>
      </w:pPr>
      <w:bookmarkStart w:id="227" w:name="_Toc480982413"/>
      <w:r w:rsidRPr="00CA55BA">
        <w:rPr>
          <w:rFonts w:ascii="Cambria" w:eastAsia="Times New Roman" w:hAnsi="Cambria" w:cs="Calibri"/>
          <w:b/>
          <w:bCs/>
          <w:iCs/>
          <w:sz w:val="24"/>
          <w:szCs w:val="24"/>
          <w:lang w:val="es-ES_tradnl" w:eastAsia="es-ES"/>
        </w:rPr>
        <w:t>PLANES DE ACCIÓN</w:t>
      </w:r>
      <w:bookmarkEnd w:id="227"/>
    </w:p>
    <w:p w14:paraId="55F438A7" w14:textId="77777777" w:rsidR="00EB230E" w:rsidRDefault="00EB230E" w:rsidP="00CA55BA">
      <w:pPr>
        <w:keepNext/>
        <w:spacing w:before="240" w:after="60" w:line="240" w:lineRule="auto"/>
        <w:jc w:val="both"/>
        <w:outlineLvl w:val="0"/>
        <w:rPr>
          <w:rFonts w:ascii="Cambria" w:eastAsia="Times New Roman" w:hAnsi="Cambria" w:cs="Calibri"/>
          <w:b/>
          <w:bCs/>
          <w:iCs/>
          <w:sz w:val="24"/>
          <w:szCs w:val="24"/>
          <w:lang w:val="es-ES_tradnl" w:eastAsia="es-ES"/>
        </w:rPr>
      </w:pPr>
    </w:p>
    <w:p w14:paraId="152E3BBB" w14:textId="77777777" w:rsidR="00EB230E" w:rsidRDefault="00EB230E" w:rsidP="00CA55BA">
      <w:pPr>
        <w:keepNext/>
        <w:spacing w:before="240" w:after="60" w:line="240" w:lineRule="auto"/>
        <w:jc w:val="both"/>
        <w:outlineLvl w:val="0"/>
        <w:rPr>
          <w:rFonts w:ascii="Cambria" w:eastAsia="Times New Roman" w:hAnsi="Cambria" w:cs="Calibri"/>
          <w:b/>
          <w:bCs/>
          <w:iCs/>
          <w:sz w:val="24"/>
          <w:szCs w:val="24"/>
          <w:lang w:val="es-ES_tradnl" w:eastAsia="es-ES"/>
        </w:rPr>
        <w:sectPr w:rsidR="00EB230E" w:rsidSect="00594908">
          <w:headerReference w:type="even" r:id="rId20"/>
          <w:headerReference w:type="default" r:id="rId21"/>
          <w:footerReference w:type="default" r:id="rId22"/>
          <w:pgSz w:w="12242" w:h="15842" w:code="1"/>
          <w:pgMar w:top="1916" w:right="1418" w:bottom="1134" w:left="1418" w:header="567" w:footer="527" w:gutter="0"/>
          <w:cols w:space="708"/>
          <w:titlePg/>
          <w:docGrid w:linePitch="360"/>
        </w:sectPr>
      </w:pPr>
    </w:p>
    <w:tbl>
      <w:tblPr>
        <w:tblW w:w="13775" w:type="dxa"/>
        <w:tblCellMar>
          <w:left w:w="70" w:type="dxa"/>
          <w:right w:w="70" w:type="dxa"/>
        </w:tblCellMar>
        <w:tblLook w:val="04A0" w:firstRow="1" w:lastRow="0" w:firstColumn="1" w:lastColumn="0" w:noHBand="0" w:noVBand="1"/>
      </w:tblPr>
      <w:tblGrid>
        <w:gridCol w:w="1833"/>
        <w:gridCol w:w="2763"/>
        <w:gridCol w:w="444"/>
        <w:gridCol w:w="2747"/>
        <w:gridCol w:w="2126"/>
        <w:gridCol w:w="1733"/>
        <w:gridCol w:w="2129"/>
      </w:tblGrid>
      <w:tr w:rsidR="00EB230E" w:rsidRPr="00EB230E" w14:paraId="4FA8AE3E" w14:textId="77777777" w:rsidTr="00EB230E">
        <w:trPr>
          <w:trHeight w:val="390"/>
        </w:trPr>
        <w:tc>
          <w:tcPr>
            <w:tcW w:w="1377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B63F57" w14:textId="77777777" w:rsidR="00EB230E" w:rsidRPr="00EB230E" w:rsidRDefault="00EB230E" w:rsidP="00EB230E">
            <w:pPr>
              <w:spacing w:after="0" w:line="240" w:lineRule="auto"/>
              <w:jc w:val="center"/>
              <w:rPr>
                <w:rFonts w:ascii="Calibri" w:eastAsia="Times New Roman" w:hAnsi="Calibri" w:cs="Times New Roman"/>
                <w:b/>
                <w:bCs/>
                <w:color w:val="000000"/>
                <w:sz w:val="32"/>
                <w:szCs w:val="32"/>
                <w:lang w:eastAsia="es-CO"/>
              </w:rPr>
            </w:pPr>
            <w:r w:rsidRPr="00EB230E">
              <w:rPr>
                <w:rFonts w:ascii="Calibri" w:eastAsia="Times New Roman" w:hAnsi="Calibri" w:cs="Times New Roman"/>
                <w:b/>
                <w:bCs/>
                <w:color w:val="000000"/>
                <w:sz w:val="32"/>
                <w:szCs w:val="32"/>
                <w:lang w:eastAsia="es-CO"/>
              </w:rPr>
              <w:t>Plan Anticorrupción y de Atención al Ciudadano 2017</w:t>
            </w:r>
          </w:p>
        </w:tc>
      </w:tr>
      <w:tr w:rsidR="00EB230E" w:rsidRPr="00EB230E" w14:paraId="2210EBB3" w14:textId="77777777" w:rsidTr="00EB230E">
        <w:trPr>
          <w:trHeight w:val="390"/>
        </w:trPr>
        <w:tc>
          <w:tcPr>
            <w:tcW w:w="13775"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315EDC" w14:textId="77777777" w:rsidR="00EB230E" w:rsidRPr="00EB230E" w:rsidRDefault="00EB230E" w:rsidP="00EB230E">
            <w:pPr>
              <w:spacing w:after="0" w:line="240" w:lineRule="auto"/>
              <w:jc w:val="center"/>
              <w:rPr>
                <w:rFonts w:ascii="Calibri" w:eastAsia="Times New Roman" w:hAnsi="Calibri" w:cs="Times New Roman"/>
                <w:b/>
                <w:bCs/>
                <w:color w:val="000000"/>
                <w:sz w:val="32"/>
                <w:szCs w:val="32"/>
                <w:lang w:eastAsia="es-CO"/>
              </w:rPr>
            </w:pPr>
            <w:r w:rsidRPr="00EB230E">
              <w:rPr>
                <w:rFonts w:ascii="Calibri" w:eastAsia="Times New Roman" w:hAnsi="Calibri" w:cs="Times New Roman"/>
                <w:b/>
                <w:bCs/>
                <w:color w:val="000000"/>
                <w:sz w:val="32"/>
                <w:szCs w:val="32"/>
                <w:lang w:eastAsia="es-CO"/>
              </w:rPr>
              <w:t>Plan de acción</w:t>
            </w:r>
          </w:p>
        </w:tc>
      </w:tr>
      <w:tr w:rsidR="00EB230E" w:rsidRPr="00EB230E" w14:paraId="4CBA3CFC" w14:textId="77777777" w:rsidTr="00EB230E">
        <w:trPr>
          <w:trHeight w:val="780"/>
        </w:trPr>
        <w:tc>
          <w:tcPr>
            <w:tcW w:w="1833" w:type="dxa"/>
            <w:tcBorders>
              <w:top w:val="nil"/>
              <w:left w:val="single" w:sz="8" w:space="0" w:color="auto"/>
              <w:bottom w:val="single" w:sz="8" w:space="0" w:color="auto"/>
              <w:right w:val="single" w:sz="8" w:space="0" w:color="auto"/>
            </w:tcBorders>
            <w:shd w:val="clear" w:color="000000" w:fill="D9D9D9"/>
            <w:vAlign w:val="center"/>
            <w:hideMark/>
          </w:tcPr>
          <w:p w14:paraId="7E2EFA54"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Componente</w:t>
            </w:r>
          </w:p>
        </w:tc>
        <w:tc>
          <w:tcPr>
            <w:tcW w:w="2763" w:type="dxa"/>
            <w:tcBorders>
              <w:top w:val="nil"/>
              <w:left w:val="nil"/>
              <w:bottom w:val="single" w:sz="8" w:space="0" w:color="auto"/>
              <w:right w:val="single" w:sz="8" w:space="0" w:color="auto"/>
            </w:tcBorders>
            <w:shd w:val="clear" w:color="000000" w:fill="D9D9D9"/>
            <w:vAlign w:val="center"/>
            <w:hideMark/>
          </w:tcPr>
          <w:p w14:paraId="6B467395"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Subcomponente/Procesos</w:t>
            </w:r>
          </w:p>
        </w:tc>
        <w:tc>
          <w:tcPr>
            <w:tcW w:w="3191" w:type="dxa"/>
            <w:gridSpan w:val="2"/>
            <w:tcBorders>
              <w:top w:val="single" w:sz="8" w:space="0" w:color="auto"/>
              <w:left w:val="nil"/>
              <w:bottom w:val="single" w:sz="8" w:space="0" w:color="auto"/>
              <w:right w:val="single" w:sz="8" w:space="0" w:color="000000"/>
            </w:tcBorders>
            <w:shd w:val="clear" w:color="000000" w:fill="D9D9D9"/>
            <w:vAlign w:val="center"/>
            <w:hideMark/>
          </w:tcPr>
          <w:p w14:paraId="08CCF9C4"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Actividades</w:t>
            </w:r>
          </w:p>
        </w:tc>
        <w:tc>
          <w:tcPr>
            <w:tcW w:w="2126" w:type="dxa"/>
            <w:tcBorders>
              <w:top w:val="nil"/>
              <w:left w:val="nil"/>
              <w:bottom w:val="single" w:sz="8" w:space="0" w:color="auto"/>
              <w:right w:val="single" w:sz="8" w:space="0" w:color="auto"/>
            </w:tcBorders>
            <w:shd w:val="clear" w:color="000000" w:fill="D9D9D9"/>
            <w:vAlign w:val="center"/>
            <w:hideMark/>
          </w:tcPr>
          <w:p w14:paraId="3A969790"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Producto</w:t>
            </w:r>
          </w:p>
        </w:tc>
        <w:tc>
          <w:tcPr>
            <w:tcW w:w="1733" w:type="dxa"/>
            <w:tcBorders>
              <w:top w:val="nil"/>
              <w:left w:val="nil"/>
              <w:bottom w:val="single" w:sz="8" w:space="0" w:color="auto"/>
              <w:right w:val="single" w:sz="8" w:space="0" w:color="auto"/>
            </w:tcBorders>
            <w:shd w:val="clear" w:color="000000" w:fill="D9D9D9"/>
            <w:vAlign w:val="center"/>
            <w:hideMark/>
          </w:tcPr>
          <w:p w14:paraId="3E415477"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Responsable</w:t>
            </w:r>
          </w:p>
        </w:tc>
        <w:tc>
          <w:tcPr>
            <w:tcW w:w="2129" w:type="dxa"/>
            <w:tcBorders>
              <w:top w:val="nil"/>
              <w:left w:val="nil"/>
              <w:bottom w:val="single" w:sz="8" w:space="0" w:color="auto"/>
              <w:right w:val="single" w:sz="8" w:space="0" w:color="auto"/>
            </w:tcBorders>
            <w:shd w:val="clear" w:color="000000" w:fill="D9D9D9"/>
            <w:vAlign w:val="center"/>
            <w:hideMark/>
          </w:tcPr>
          <w:p w14:paraId="6B523B4F" w14:textId="77777777" w:rsidR="00EB230E" w:rsidRPr="00EB230E" w:rsidRDefault="00EB230E" w:rsidP="00EB230E">
            <w:pPr>
              <w:spacing w:after="0" w:line="240" w:lineRule="auto"/>
              <w:jc w:val="center"/>
              <w:rPr>
                <w:rFonts w:ascii="Calibri" w:eastAsia="Times New Roman" w:hAnsi="Calibri" w:cs="Times New Roman"/>
                <w:b/>
                <w:bCs/>
                <w:color w:val="000000"/>
                <w:sz w:val="24"/>
                <w:szCs w:val="24"/>
                <w:lang w:eastAsia="es-CO"/>
              </w:rPr>
            </w:pPr>
            <w:r w:rsidRPr="00EB230E">
              <w:rPr>
                <w:rFonts w:ascii="Calibri" w:eastAsia="Times New Roman" w:hAnsi="Calibri" w:cs="Times New Roman"/>
                <w:b/>
                <w:bCs/>
                <w:color w:val="000000"/>
                <w:sz w:val="24"/>
                <w:szCs w:val="24"/>
                <w:lang w:eastAsia="es-CO"/>
              </w:rPr>
              <w:t>Fecha Programada</w:t>
            </w:r>
          </w:p>
        </w:tc>
      </w:tr>
      <w:tr w:rsidR="00EB230E" w:rsidRPr="00EB230E" w14:paraId="45E7BFC9" w14:textId="77777777" w:rsidTr="00EB230E">
        <w:trPr>
          <w:trHeight w:val="99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C26FFB"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1: Gestión del Riesgo de Corrupción - Mapa de Riesgos de Corrupción</w:t>
            </w:r>
          </w:p>
        </w:tc>
        <w:tc>
          <w:tcPr>
            <w:tcW w:w="2763" w:type="dxa"/>
            <w:tcBorders>
              <w:top w:val="nil"/>
              <w:left w:val="nil"/>
              <w:bottom w:val="single" w:sz="8" w:space="0" w:color="auto"/>
              <w:right w:val="single" w:sz="8" w:space="0" w:color="auto"/>
            </w:tcBorders>
            <w:shd w:val="clear" w:color="auto" w:fill="auto"/>
            <w:vAlign w:val="center"/>
            <w:hideMark/>
          </w:tcPr>
          <w:p w14:paraId="014EC14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Política de Administración de Riesgos</w:t>
            </w:r>
          </w:p>
        </w:tc>
        <w:tc>
          <w:tcPr>
            <w:tcW w:w="444" w:type="dxa"/>
            <w:tcBorders>
              <w:top w:val="nil"/>
              <w:left w:val="nil"/>
              <w:bottom w:val="single" w:sz="8" w:space="0" w:color="auto"/>
              <w:right w:val="single" w:sz="8" w:space="0" w:color="auto"/>
            </w:tcBorders>
            <w:shd w:val="clear" w:color="auto" w:fill="auto"/>
            <w:vAlign w:val="center"/>
            <w:hideMark/>
          </w:tcPr>
          <w:p w14:paraId="4558C8F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A23346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Documentar y Divulgar la política anticorrupción de la Agencia </w:t>
            </w:r>
          </w:p>
        </w:tc>
        <w:tc>
          <w:tcPr>
            <w:tcW w:w="2126" w:type="dxa"/>
            <w:tcBorders>
              <w:top w:val="nil"/>
              <w:left w:val="nil"/>
              <w:bottom w:val="single" w:sz="8" w:space="0" w:color="auto"/>
              <w:right w:val="single" w:sz="8" w:space="0" w:color="auto"/>
            </w:tcBorders>
            <w:shd w:val="clear" w:color="auto" w:fill="auto"/>
            <w:vAlign w:val="center"/>
            <w:hideMark/>
          </w:tcPr>
          <w:p w14:paraId="339D417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Política implementada </w:t>
            </w:r>
          </w:p>
        </w:tc>
        <w:tc>
          <w:tcPr>
            <w:tcW w:w="1733" w:type="dxa"/>
            <w:tcBorders>
              <w:top w:val="nil"/>
              <w:left w:val="nil"/>
              <w:bottom w:val="single" w:sz="8" w:space="0" w:color="auto"/>
              <w:right w:val="single" w:sz="8" w:space="0" w:color="auto"/>
            </w:tcBorders>
            <w:shd w:val="clear" w:color="auto" w:fill="auto"/>
            <w:vAlign w:val="center"/>
            <w:hideMark/>
          </w:tcPr>
          <w:p w14:paraId="32E505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Asesor Presidencia </w:t>
            </w:r>
          </w:p>
        </w:tc>
        <w:tc>
          <w:tcPr>
            <w:tcW w:w="2129" w:type="dxa"/>
            <w:tcBorders>
              <w:top w:val="nil"/>
              <w:left w:val="nil"/>
              <w:bottom w:val="single" w:sz="8" w:space="0" w:color="auto"/>
              <w:right w:val="single" w:sz="8" w:space="0" w:color="auto"/>
            </w:tcBorders>
            <w:shd w:val="clear" w:color="auto" w:fill="auto"/>
            <w:hideMark/>
          </w:tcPr>
          <w:p w14:paraId="171619C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7C09C271"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66B5495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3CBD88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Construcción del Mapa de Riesgos Anticorrupción</w:t>
            </w:r>
          </w:p>
        </w:tc>
        <w:tc>
          <w:tcPr>
            <w:tcW w:w="444" w:type="dxa"/>
            <w:tcBorders>
              <w:top w:val="nil"/>
              <w:left w:val="nil"/>
              <w:bottom w:val="single" w:sz="4" w:space="0" w:color="auto"/>
              <w:right w:val="single" w:sz="8" w:space="0" w:color="auto"/>
            </w:tcBorders>
            <w:shd w:val="clear" w:color="auto" w:fill="auto"/>
            <w:vAlign w:val="center"/>
            <w:hideMark/>
          </w:tcPr>
          <w:p w14:paraId="4E3EED9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F2E84D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Análisis y ajustes pertinentes de los formatos relacionados con mapas anticorrupción</w:t>
            </w:r>
          </w:p>
        </w:tc>
        <w:tc>
          <w:tcPr>
            <w:tcW w:w="2126" w:type="dxa"/>
            <w:tcBorders>
              <w:top w:val="nil"/>
              <w:left w:val="nil"/>
              <w:bottom w:val="single" w:sz="8" w:space="0" w:color="auto"/>
              <w:right w:val="single" w:sz="8" w:space="0" w:color="auto"/>
            </w:tcBorders>
            <w:shd w:val="clear" w:color="auto" w:fill="auto"/>
            <w:vAlign w:val="center"/>
            <w:hideMark/>
          </w:tcPr>
          <w:p w14:paraId="16AA052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Formatos de anticorrupción ajustados</w:t>
            </w:r>
          </w:p>
        </w:tc>
        <w:tc>
          <w:tcPr>
            <w:tcW w:w="1733" w:type="dxa"/>
            <w:tcBorders>
              <w:top w:val="nil"/>
              <w:left w:val="nil"/>
              <w:bottom w:val="single" w:sz="8" w:space="0" w:color="auto"/>
              <w:right w:val="single" w:sz="8" w:space="0" w:color="auto"/>
            </w:tcBorders>
            <w:shd w:val="clear" w:color="auto" w:fill="auto"/>
            <w:vAlign w:val="center"/>
            <w:hideMark/>
          </w:tcPr>
          <w:p w14:paraId="139501C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56725A9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abr-17</w:t>
            </w:r>
          </w:p>
        </w:tc>
      </w:tr>
      <w:tr w:rsidR="00EB230E" w:rsidRPr="00EB230E" w14:paraId="2B78330D" w14:textId="77777777" w:rsidTr="00EB230E">
        <w:trPr>
          <w:trHeight w:val="1050"/>
        </w:trPr>
        <w:tc>
          <w:tcPr>
            <w:tcW w:w="1833" w:type="dxa"/>
            <w:vMerge/>
            <w:tcBorders>
              <w:top w:val="nil"/>
              <w:left w:val="single" w:sz="8" w:space="0" w:color="auto"/>
              <w:bottom w:val="single" w:sz="8" w:space="0" w:color="000000"/>
              <w:right w:val="single" w:sz="8" w:space="0" w:color="auto"/>
            </w:tcBorders>
            <w:vAlign w:val="center"/>
            <w:hideMark/>
          </w:tcPr>
          <w:p w14:paraId="1D7571B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D9885A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1F4CEB8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64F578C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Acompañamiento a los equipos de trabajo que por nuevas funciones requieren cambio en los mapas de riesgo y medidas anticorrupción</w:t>
            </w:r>
          </w:p>
        </w:tc>
        <w:tc>
          <w:tcPr>
            <w:tcW w:w="2126" w:type="dxa"/>
            <w:tcBorders>
              <w:top w:val="nil"/>
              <w:left w:val="nil"/>
              <w:bottom w:val="single" w:sz="8" w:space="0" w:color="auto"/>
              <w:right w:val="single" w:sz="8" w:space="0" w:color="auto"/>
            </w:tcBorders>
            <w:shd w:val="clear" w:color="auto" w:fill="auto"/>
            <w:vAlign w:val="center"/>
            <w:hideMark/>
          </w:tcPr>
          <w:p w14:paraId="3827747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Porcentaje de gestión que obtenga el cambio en los mapas anticorrupción ajustados </w:t>
            </w:r>
          </w:p>
        </w:tc>
        <w:tc>
          <w:tcPr>
            <w:tcW w:w="1733" w:type="dxa"/>
            <w:tcBorders>
              <w:top w:val="nil"/>
              <w:left w:val="nil"/>
              <w:bottom w:val="single" w:sz="8" w:space="0" w:color="auto"/>
              <w:right w:val="single" w:sz="8" w:space="0" w:color="auto"/>
            </w:tcBorders>
            <w:shd w:val="clear" w:color="auto" w:fill="auto"/>
            <w:vAlign w:val="center"/>
            <w:hideMark/>
          </w:tcPr>
          <w:p w14:paraId="5CABAA9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40BCF10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78D733E6" w14:textId="77777777" w:rsidTr="00EB230E">
        <w:trPr>
          <w:trHeight w:val="1575"/>
        </w:trPr>
        <w:tc>
          <w:tcPr>
            <w:tcW w:w="1833" w:type="dxa"/>
            <w:vMerge/>
            <w:tcBorders>
              <w:top w:val="nil"/>
              <w:left w:val="single" w:sz="8" w:space="0" w:color="auto"/>
              <w:bottom w:val="single" w:sz="8" w:space="0" w:color="000000"/>
              <w:right w:val="single" w:sz="8" w:space="0" w:color="auto"/>
            </w:tcBorders>
            <w:vAlign w:val="center"/>
            <w:hideMark/>
          </w:tcPr>
          <w:p w14:paraId="3D4B3D7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A81932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7F673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34ADF1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Ajustes al “Manual Para Administración de Riesgos Institucionales y Anticorrupción en la ANI” de acuerdo con los parámetros suministrados por la Presidencia de la Republica y las pautas indicadas por la alta Dirección de la ANI</w:t>
            </w:r>
          </w:p>
        </w:tc>
        <w:tc>
          <w:tcPr>
            <w:tcW w:w="2126" w:type="dxa"/>
            <w:tcBorders>
              <w:top w:val="nil"/>
              <w:left w:val="nil"/>
              <w:bottom w:val="single" w:sz="8" w:space="0" w:color="auto"/>
              <w:right w:val="single" w:sz="8" w:space="0" w:color="auto"/>
            </w:tcBorders>
            <w:shd w:val="clear" w:color="auto" w:fill="auto"/>
            <w:vAlign w:val="center"/>
            <w:hideMark/>
          </w:tcPr>
          <w:p w14:paraId="101A496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 ajustado para aprobación</w:t>
            </w:r>
          </w:p>
        </w:tc>
        <w:tc>
          <w:tcPr>
            <w:tcW w:w="1733" w:type="dxa"/>
            <w:tcBorders>
              <w:top w:val="nil"/>
              <w:left w:val="nil"/>
              <w:bottom w:val="single" w:sz="8" w:space="0" w:color="auto"/>
              <w:right w:val="single" w:sz="8" w:space="0" w:color="auto"/>
            </w:tcBorders>
            <w:shd w:val="clear" w:color="auto" w:fill="auto"/>
            <w:vAlign w:val="center"/>
            <w:hideMark/>
          </w:tcPr>
          <w:p w14:paraId="5B7EF7E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30F9C3B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28A1C3A" w14:textId="77777777" w:rsidTr="00EB230E">
        <w:trPr>
          <w:trHeight w:val="1305"/>
        </w:trPr>
        <w:tc>
          <w:tcPr>
            <w:tcW w:w="1833" w:type="dxa"/>
            <w:vMerge/>
            <w:tcBorders>
              <w:top w:val="nil"/>
              <w:left w:val="single" w:sz="8" w:space="0" w:color="auto"/>
              <w:bottom w:val="single" w:sz="8" w:space="0" w:color="000000"/>
              <w:right w:val="single" w:sz="8" w:space="0" w:color="auto"/>
            </w:tcBorders>
            <w:vAlign w:val="center"/>
            <w:hideMark/>
          </w:tcPr>
          <w:p w14:paraId="72EF03A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66B01B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Consulta y Divulgación</w:t>
            </w:r>
          </w:p>
        </w:tc>
        <w:tc>
          <w:tcPr>
            <w:tcW w:w="444" w:type="dxa"/>
            <w:tcBorders>
              <w:top w:val="nil"/>
              <w:left w:val="nil"/>
              <w:bottom w:val="single" w:sz="4" w:space="0" w:color="auto"/>
              <w:right w:val="single" w:sz="8" w:space="0" w:color="auto"/>
            </w:tcBorders>
            <w:shd w:val="clear" w:color="auto" w:fill="auto"/>
            <w:vAlign w:val="center"/>
            <w:hideMark/>
          </w:tcPr>
          <w:p w14:paraId="622EB02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3429027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Publicación del borrador del Mapa se Riesgo y Medidas Anticorrupción para recibir las observaciones pertinentes, surtiendo así la etapa de participación y consulta a la ciudadanía </w:t>
            </w:r>
          </w:p>
        </w:tc>
        <w:tc>
          <w:tcPr>
            <w:tcW w:w="2126" w:type="dxa"/>
            <w:tcBorders>
              <w:top w:val="nil"/>
              <w:left w:val="nil"/>
              <w:bottom w:val="single" w:sz="8" w:space="0" w:color="auto"/>
              <w:right w:val="single" w:sz="8" w:space="0" w:color="auto"/>
            </w:tcBorders>
            <w:shd w:val="clear" w:color="auto" w:fill="auto"/>
            <w:vAlign w:val="center"/>
            <w:hideMark/>
          </w:tcPr>
          <w:p w14:paraId="244F71F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Publicación del borrador del Mapa de Riesgos y Medidas Anticorrupción 2017</w:t>
            </w:r>
          </w:p>
        </w:tc>
        <w:tc>
          <w:tcPr>
            <w:tcW w:w="1733" w:type="dxa"/>
            <w:tcBorders>
              <w:top w:val="nil"/>
              <w:left w:val="nil"/>
              <w:bottom w:val="single" w:sz="8" w:space="0" w:color="auto"/>
              <w:right w:val="single" w:sz="8" w:space="0" w:color="auto"/>
            </w:tcBorders>
            <w:shd w:val="clear" w:color="auto" w:fill="auto"/>
            <w:vAlign w:val="center"/>
            <w:hideMark/>
          </w:tcPr>
          <w:p w14:paraId="16D393B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4DD72A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0C6F209B"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1769C57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FC8813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A126D9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3.2</w:t>
            </w:r>
          </w:p>
        </w:tc>
        <w:tc>
          <w:tcPr>
            <w:tcW w:w="2747" w:type="dxa"/>
            <w:tcBorders>
              <w:top w:val="nil"/>
              <w:left w:val="nil"/>
              <w:bottom w:val="single" w:sz="8" w:space="0" w:color="auto"/>
              <w:right w:val="single" w:sz="8" w:space="0" w:color="auto"/>
            </w:tcBorders>
            <w:shd w:val="clear" w:color="auto" w:fill="auto"/>
            <w:hideMark/>
          </w:tcPr>
          <w:p w14:paraId="10039D7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Mapa y Matriz de Riesgos ajustado en la Página WEB</w:t>
            </w:r>
          </w:p>
        </w:tc>
        <w:tc>
          <w:tcPr>
            <w:tcW w:w="2126" w:type="dxa"/>
            <w:tcBorders>
              <w:top w:val="nil"/>
              <w:left w:val="nil"/>
              <w:bottom w:val="single" w:sz="8" w:space="0" w:color="auto"/>
              <w:right w:val="single" w:sz="8" w:space="0" w:color="auto"/>
            </w:tcBorders>
            <w:shd w:val="clear" w:color="auto" w:fill="auto"/>
            <w:vAlign w:val="center"/>
            <w:hideMark/>
          </w:tcPr>
          <w:p w14:paraId="75BD978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Mapa / Matriz</w:t>
            </w:r>
          </w:p>
        </w:tc>
        <w:tc>
          <w:tcPr>
            <w:tcW w:w="1733" w:type="dxa"/>
            <w:tcBorders>
              <w:top w:val="nil"/>
              <w:left w:val="nil"/>
              <w:bottom w:val="single" w:sz="8" w:space="0" w:color="auto"/>
              <w:right w:val="single" w:sz="8" w:space="0" w:color="auto"/>
            </w:tcBorders>
            <w:shd w:val="clear" w:color="auto" w:fill="auto"/>
            <w:vAlign w:val="center"/>
            <w:hideMark/>
          </w:tcPr>
          <w:p w14:paraId="056A1A9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single" w:sz="8" w:space="0" w:color="auto"/>
              <w:right w:val="single" w:sz="8" w:space="0" w:color="auto"/>
            </w:tcBorders>
            <w:shd w:val="clear" w:color="auto" w:fill="auto"/>
            <w:hideMark/>
          </w:tcPr>
          <w:p w14:paraId="5289D2F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ene-17</w:t>
            </w:r>
          </w:p>
        </w:tc>
      </w:tr>
      <w:tr w:rsidR="00EB230E" w:rsidRPr="00EB230E" w14:paraId="296BABB7" w14:textId="77777777" w:rsidTr="00EB230E">
        <w:trPr>
          <w:trHeight w:val="900"/>
        </w:trPr>
        <w:tc>
          <w:tcPr>
            <w:tcW w:w="1833" w:type="dxa"/>
            <w:vMerge/>
            <w:tcBorders>
              <w:top w:val="nil"/>
              <w:left w:val="single" w:sz="8" w:space="0" w:color="auto"/>
              <w:bottom w:val="single" w:sz="8" w:space="0" w:color="000000"/>
              <w:right w:val="single" w:sz="8" w:space="0" w:color="auto"/>
            </w:tcBorders>
            <w:vAlign w:val="center"/>
            <w:hideMark/>
          </w:tcPr>
          <w:p w14:paraId="1E4289B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nil"/>
              <w:right w:val="single" w:sz="8" w:space="0" w:color="auto"/>
            </w:tcBorders>
            <w:shd w:val="clear" w:color="auto" w:fill="auto"/>
            <w:vAlign w:val="center"/>
            <w:hideMark/>
          </w:tcPr>
          <w:p w14:paraId="79AAF0A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 y Revisión</w:t>
            </w:r>
          </w:p>
        </w:tc>
        <w:tc>
          <w:tcPr>
            <w:tcW w:w="444" w:type="dxa"/>
            <w:tcBorders>
              <w:top w:val="nil"/>
              <w:left w:val="nil"/>
              <w:bottom w:val="nil"/>
              <w:right w:val="single" w:sz="8" w:space="0" w:color="auto"/>
            </w:tcBorders>
            <w:shd w:val="clear" w:color="auto" w:fill="auto"/>
            <w:vAlign w:val="center"/>
            <w:hideMark/>
          </w:tcPr>
          <w:p w14:paraId="2DDFEE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nil"/>
              <w:right w:val="single" w:sz="8" w:space="0" w:color="auto"/>
            </w:tcBorders>
            <w:shd w:val="clear" w:color="auto" w:fill="auto"/>
            <w:hideMark/>
          </w:tcPr>
          <w:p w14:paraId="02D11DA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Monitoreo/Seguimiento al mapa y/o matriz de riesgos de corrupción.</w:t>
            </w:r>
          </w:p>
        </w:tc>
        <w:tc>
          <w:tcPr>
            <w:tcW w:w="2126" w:type="dxa"/>
            <w:tcBorders>
              <w:top w:val="nil"/>
              <w:left w:val="nil"/>
              <w:bottom w:val="nil"/>
              <w:right w:val="single" w:sz="8" w:space="0" w:color="auto"/>
            </w:tcBorders>
            <w:shd w:val="clear" w:color="auto" w:fill="auto"/>
            <w:hideMark/>
          </w:tcPr>
          <w:p w14:paraId="2B6B60B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Seguimiento y/o monitoreo en formatos avalados</w:t>
            </w:r>
          </w:p>
        </w:tc>
        <w:tc>
          <w:tcPr>
            <w:tcW w:w="1733" w:type="dxa"/>
            <w:tcBorders>
              <w:top w:val="nil"/>
              <w:left w:val="nil"/>
              <w:bottom w:val="single" w:sz="8" w:space="0" w:color="auto"/>
              <w:right w:val="single" w:sz="8" w:space="0" w:color="auto"/>
            </w:tcBorders>
            <w:shd w:val="clear" w:color="auto" w:fill="auto"/>
            <w:vAlign w:val="center"/>
            <w:hideMark/>
          </w:tcPr>
          <w:p w14:paraId="516B210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Riesgos</w:t>
            </w:r>
          </w:p>
        </w:tc>
        <w:tc>
          <w:tcPr>
            <w:tcW w:w="2129" w:type="dxa"/>
            <w:tcBorders>
              <w:top w:val="nil"/>
              <w:left w:val="nil"/>
              <w:bottom w:val="nil"/>
              <w:right w:val="single" w:sz="8" w:space="0" w:color="auto"/>
            </w:tcBorders>
            <w:shd w:val="clear" w:color="auto" w:fill="auto"/>
            <w:hideMark/>
          </w:tcPr>
          <w:p w14:paraId="15DF0FBE"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Permanente en el caso de que se requiera (De manera oficial dos veces al año)</w:t>
            </w:r>
          </w:p>
        </w:tc>
      </w:tr>
      <w:tr w:rsidR="00EB230E" w:rsidRPr="00EB230E" w14:paraId="3FF464F8" w14:textId="77777777" w:rsidTr="00EB230E">
        <w:trPr>
          <w:trHeight w:val="1635"/>
        </w:trPr>
        <w:tc>
          <w:tcPr>
            <w:tcW w:w="1833" w:type="dxa"/>
            <w:vMerge/>
            <w:tcBorders>
              <w:top w:val="nil"/>
              <w:left w:val="single" w:sz="8" w:space="0" w:color="auto"/>
              <w:bottom w:val="single" w:sz="8" w:space="0" w:color="000000"/>
              <w:right w:val="single" w:sz="8" w:space="0" w:color="auto"/>
            </w:tcBorders>
            <w:vAlign w:val="center"/>
            <w:hideMark/>
          </w:tcPr>
          <w:p w14:paraId="22A74E1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076BB48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single" w:sz="8" w:space="0" w:color="auto"/>
              <w:left w:val="nil"/>
              <w:bottom w:val="single" w:sz="8" w:space="0" w:color="auto"/>
              <w:right w:val="single" w:sz="8" w:space="0" w:color="auto"/>
            </w:tcBorders>
            <w:shd w:val="clear" w:color="auto" w:fill="auto"/>
            <w:hideMark/>
          </w:tcPr>
          <w:p w14:paraId="49FA6A2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single" w:sz="8" w:space="0" w:color="auto"/>
              <w:left w:val="nil"/>
              <w:bottom w:val="single" w:sz="8" w:space="0" w:color="auto"/>
              <w:right w:val="single" w:sz="8" w:space="0" w:color="auto"/>
            </w:tcBorders>
            <w:shd w:val="clear" w:color="auto" w:fill="auto"/>
            <w:hideMark/>
          </w:tcPr>
          <w:p w14:paraId="26C7275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Identificación de factores de riesgo o hechos significativos relacionados con corrupción. (riesgos materializados, investigaciones relacionadas con corrupción, cambios importantes en el entorno que puedan generar riesgo)</w:t>
            </w:r>
          </w:p>
        </w:tc>
        <w:tc>
          <w:tcPr>
            <w:tcW w:w="2126" w:type="dxa"/>
            <w:tcBorders>
              <w:top w:val="single" w:sz="8" w:space="0" w:color="auto"/>
              <w:left w:val="nil"/>
              <w:bottom w:val="single" w:sz="8" w:space="0" w:color="auto"/>
              <w:right w:val="single" w:sz="8" w:space="0" w:color="auto"/>
            </w:tcBorders>
            <w:shd w:val="clear" w:color="auto" w:fill="auto"/>
            <w:hideMark/>
          </w:tcPr>
          <w:p w14:paraId="413D384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Formato de riesgos Materializados</w:t>
            </w:r>
          </w:p>
        </w:tc>
        <w:tc>
          <w:tcPr>
            <w:tcW w:w="1733" w:type="dxa"/>
            <w:tcBorders>
              <w:top w:val="nil"/>
              <w:left w:val="nil"/>
              <w:bottom w:val="single" w:sz="8" w:space="0" w:color="auto"/>
              <w:right w:val="single" w:sz="8" w:space="0" w:color="auto"/>
            </w:tcBorders>
            <w:shd w:val="clear" w:color="auto" w:fill="auto"/>
            <w:hideMark/>
          </w:tcPr>
          <w:p w14:paraId="64A3F4E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Riesgos,</w:t>
            </w:r>
            <w:r w:rsidRPr="00EB230E">
              <w:rPr>
                <w:rFonts w:ascii="Calibri" w:eastAsia="Times New Roman" w:hAnsi="Calibri" w:cs="Times New Roman"/>
                <w:color w:val="000000"/>
                <w:sz w:val="24"/>
                <w:szCs w:val="24"/>
                <w:lang w:eastAsia="es-CO"/>
              </w:rPr>
              <w:br/>
              <w:t>GIT Disciplinario,</w:t>
            </w:r>
            <w:r w:rsidRPr="00EB230E">
              <w:rPr>
                <w:rFonts w:ascii="Calibri" w:eastAsia="Times New Roman" w:hAnsi="Calibri" w:cs="Times New Roman"/>
                <w:color w:val="000000"/>
                <w:sz w:val="24"/>
                <w:szCs w:val="24"/>
                <w:lang w:eastAsia="es-CO"/>
              </w:rPr>
              <w:br/>
              <w:t>Oficina de Control Interno</w:t>
            </w:r>
          </w:p>
        </w:tc>
        <w:tc>
          <w:tcPr>
            <w:tcW w:w="2129" w:type="dxa"/>
            <w:tcBorders>
              <w:top w:val="single" w:sz="8" w:space="0" w:color="auto"/>
              <w:left w:val="nil"/>
              <w:bottom w:val="single" w:sz="8" w:space="0" w:color="auto"/>
              <w:right w:val="single" w:sz="8" w:space="0" w:color="auto"/>
            </w:tcBorders>
            <w:shd w:val="clear" w:color="auto" w:fill="auto"/>
            <w:hideMark/>
          </w:tcPr>
          <w:p w14:paraId="00F7DD6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 en el caso de que se requiera (mínimo una vez al año)</w:t>
            </w:r>
          </w:p>
        </w:tc>
      </w:tr>
      <w:tr w:rsidR="00EB230E" w:rsidRPr="00EB230E" w14:paraId="1616D67F" w14:textId="77777777" w:rsidTr="00EB230E">
        <w:trPr>
          <w:trHeight w:val="75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D267AC"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2: Racionalización de Trámites</w:t>
            </w:r>
          </w:p>
        </w:tc>
        <w:tc>
          <w:tcPr>
            <w:tcW w:w="2763" w:type="dxa"/>
            <w:tcBorders>
              <w:top w:val="single" w:sz="8" w:space="0" w:color="auto"/>
              <w:left w:val="nil"/>
              <w:bottom w:val="nil"/>
              <w:right w:val="single" w:sz="8" w:space="0" w:color="auto"/>
            </w:tcBorders>
            <w:shd w:val="clear" w:color="auto" w:fill="auto"/>
            <w:vAlign w:val="center"/>
            <w:hideMark/>
          </w:tcPr>
          <w:p w14:paraId="2BDFEDC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Racionalización de Trámites</w:t>
            </w:r>
          </w:p>
        </w:tc>
        <w:tc>
          <w:tcPr>
            <w:tcW w:w="444" w:type="dxa"/>
            <w:tcBorders>
              <w:top w:val="nil"/>
              <w:left w:val="nil"/>
              <w:bottom w:val="nil"/>
              <w:right w:val="single" w:sz="8" w:space="0" w:color="auto"/>
            </w:tcBorders>
            <w:shd w:val="clear" w:color="auto" w:fill="auto"/>
            <w:vAlign w:val="center"/>
            <w:hideMark/>
          </w:tcPr>
          <w:p w14:paraId="48B2B3C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nil"/>
              <w:right w:val="single" w:sz="8" w:space="0" w:color="auto"/>
            </w:tcBorders>
            <w:shd w:val="clear" w:color="auto" w:fill="auto"/>
            <w:hideMark/>
          </w:tcPr>
          <w:p w14:paraId="0AA7BF2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Identificación de nuevas cadenas de trámites </w:t>
            </w:r>
          </w:p>
        </w:tc>
        <w:tc>
          <w:tcPr>
            <w:tcW w:w="2126" w:type="dxa"/>
            <w:tcBorders>
              <w:top w:val="nil"/>
              <w:left w:val="nil"/>
              <w:bottom w:val="nil"/>
              <w:right w:val="single" w:sz="8" w:space="0" w:color="auto"/>
            </w:tcBorders>
            <w:shd w:val="clear" w:color="auto" w:fill="auto"/>
            <w:vAlign w:val="center"/>
            <w:hideMark/>
          </w:tcPr>
          <w:p w14:paraId="605BDC5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Cadenas Identificadas (1)</w:t>
            </w:r>
          </w:p>
        </w:tc>
        <w:tc>
          <w:tcPr>
            <w:tcW w:w="1733" w:type="dxa"/>
            <w:tcBorders>
              <w:top w:val="nil"/>
              <w:left w:val="nil"/>
              <w:bottom w:val="single" w:sz="8" w:space="0" w:color="auto"/>
              <w:right w:val="single" w:sz="8" w:space="0" w:color="auto"/>
            </w:tcBorders>
            <w:shd w:val="clear" w:color="auto" w:fill="auto"/>
            <w:vAlign w:val="center"/>
            <w:hideMark/>
          </w:tcPr>
          <w:p w14:paraId="3F207B1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nil"/>
              <w:right w:val="single" w:sz="8" w:space="0" w:color="auto"/>
            </w:tcBorders>
            <w:shd w:val="clear" w:color="auto" w:fill="auto"/>
            <w:hideMark/>
          </w:tcPr>
          <w:p w14:paraId="5C1E6BB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23DAF98D" w14:textId="77777777" w:rsidTr="00EB230E">
        <w:trPr>
          <w:trHeight w:val="1095"/>
        </w:trPr>
        <w:tc>
          <w:tcPr>
            <w:tcW w:w="1833" w:type="dxa"/>
            <w:vMerge/>
            <w:tcBorders>
              <w:top w:val="nil"/>
              <w:left w:val="single" w:sz="8" w:space="0" w:color="auto"/>
              <w:bottom w:val="single" w:sz="8" w:space="0" w:color="000000"/>
              <w:right w:val="single" w:sz="8" w:space="0" w:color="auto"/>
            </w:tcBorders>
            <w:vAlign w:val="center"/>
            <w:hideMark/>
          </w:tcPr>
          <w:p w14:paraId="052F948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613F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Racionalización Tecnológica de Trámites</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66C570E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single" w:sz="8" w:space="0" w:color="auto"/>
              <w:left w:val="nil"/>
              <w:bottom w:val="single" w:sz="8" w:space="0" w:color="auto"/>
              <w:right w:val="single" w:sz="8" w:space="0" w:color="auto"/>
            </w:tcBorders>
            <w:shd w:val="clear" w:color="auto" w:fill="auto"/>
            <w:hideMark/>
          </w:tcPr>
          <w:p w14:paraId="3F88BC7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la expedición gratuita de los certificados de Existencia y Representación Legal (Confecámaras)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7BB2C85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Contraseña y Usuario asignados</w:t>
            </w:r>
          </w:p>
        </w:tc>
        <w:tc>
          <w:tcPr>
            <w:tcW w:w="1733" w:type="dxa"/>
            <w:tcBorders>
              <w:top w:val="nil"/>
              <w:left w:val="nil"/>
              <w:bottom w:val="nil"/>
              <w:right w:val="single" w:sz="8" w:space="0" w:color="auto"/>
            </w:tcBorders>
            <w:shd w:val="clear" w:color="auto" w:fill="auto"/>
            <w:vAlign w:val="center"/>
            <w:hideMark/>
          </w:tcPr>
          <w:p w14:paraId="14BCAAC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Atención al Ciudadano</w:t>
            </w:r>
          </w:p>
        </w:tc>
        <w:tc>
          <w:tcPr>
            <w:tcW w:w="2129" w:type="dxa"/>
            <w:tcBorders>
              <w:top w:val="single" w:sz="8" w:space="0" w:color="auto"/>
              <w:left w:val="nil"/>
              <w:bottom w:val="single" w:sz="8" w:space="0" w:color="auto"/>
              <w:right w:val="single" w:sz="8" w:space="0" w:color="auto"/>
            </w:tcBorders>
            <w:shd w:val="clear" w:color="auto" w:fill="auto"/>
            <w:hideMark/>
          </w:tcPr>
          <w:p w14:paraId="24EFF01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33FF3D87" w14:textId="77777777" w:rsidTr="00EB230E">
        <w:trPr>
          <w:trHeight w:val="960"/>
        </w:trPr>
        <w:tc>
          <w:tcPr>
            <w:tcW w:w="1833" w:type="dxa"/>
            <w:vMerge/>
            <w:tcBorders>
              <w:top w:val="nil"/>
              <w:left w:val="single" w:sz="8" w:space="0" w:color="auto"/>
              <w:bottom w:val="single" w:sz="8" w:space="0" w:color="000000"/>
              <w:right w:val="single" w:sz="8" w:space="0" w:color="auto"/>
            </w:tcBorders>
            <w:vAlign w:val="center"/>
            <w:hideMark/>
          </w:tcPr>
          <w:p w14:paraId="22A4637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single" w:sz="8" w:space="0" w:color="auto"/>
              <w:left w:val="single" w:sz="8" w:space="0" w:color="auto"/>
              <w:bottom w:val="single" w:sz="8" w:space="0" w:color="000000"/>
              <w:right w:val="single" w:sz="8" w:space="0" w:color="auto"/>
            </w:tcBorders>
            <w:vAlign w:val="center"/>
            <w:hideMark/>
          </w:tcPr>
          <w:p w14:paraId="1788FD3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7D66DBC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6E0B49D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Ajustar trámite registrado en SUIT (Uso intervención y ocupación temporal de infraestructura vial y/o férrea)</w:t>
            </w:r>
          </w:p>
        </w:tc>
        <w:tc>
          <w:tcPr>
            <w:tcW w:w="2126" w:type="dxa"/>
            <w:tcBorders>
              <w:top w:val="nil"/>
              <w:left w:val="nil"/>
              <w:bottom w:val="single" w:sz="8" w:space="0" w:color="auto"/>
              <w:right w:val="single" w:sz="8" w:space="0" w:color="auto"/>
            </w:tcBorders>
            <w:shd w:val="clear" w:color="auto" w:fill="auto"/>
            <w:vAlign w:val="center"/>
            <w:hideMark/>
          </w:tcPr>
          <w:p w14:paraId="421CE5C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Trámite ajustado</w:t>
            </w:r>
          </w:p>
        </w:tc>
        <w:tc>
          <w:tcPr>
            <w:tcW w:w="1733" w:type="dxa"/>
            <w:tcBorders>
              <w:top w:val="single" w:sz="8" w:space="0" w:color="auto"/>
              <w:left w:val="nil"/>
              <w:bottom w:val="single" w:sz="8" w:space="0" w:color="auto"/>
              <w:right w:val="single" w:sz="8" w:space="0" w:color="auto"/>
            </w:tcBorders>
            <w:shd w:val="clear" w:color="auto" w:fill="auto"/>
            <w:vAlign w:val="center"/>
            <w:hideMark/>
          </w:tcPr>
          <w:p w14:paraId="69A78B9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Atención al Ciudadano</w:t>
            </w:r>
          </w:p>
        </w:tc>
        <w:tc>
          <w:tcPr>
            <w:tcW w:w="2129" w:type="dxa"/>
            <w:tcBorders>
              <w:top w:val="nil"/>
              <w:left w:val="nil"/>
              <w:bottom w:val="single" w:sz="8" w:space="0" w:color="auto"/>
              <w:right w:val="single" w:sz="8" w:space="0" w:color="auto"/>
            </w:tcBorders>
            <w:shd w:val="clear" w:color="auto" w:fill="auto"/>
            <w:hideMark/>
          </w:tcPr>
          <w:p w14:paraId="5BA3BFB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0959FD41"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61E840A7"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single" w:sz="8" w:space="0" w:color="auto"/>
              <w:left w:val="single" w:sz="8" w:space="0" w:color="auto"/>
              <w:bottom w:val="single" w:sz="8" w:space="0" w:color="000000"/>
              <w:right w:val="single" w:sz="8" w:space="0" w:color="auto"/>
            </w:tcBorders>
            <w:vAlign w:val="center"/>
            <w:hideMark/>
          </w:tcPr>
          <w:p w14:paraId="260533F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30A84B4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435C988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SI VIRTUAL encuesta.</w:t>
            </w:r>
          </w:p>
        </w:tc>
        <w:tc>
          <w:tcPr>
            <w:tcW w:w="2126" w:type="dxa"/>
            <w:tcBorders>
              <w:top w:val="nil"/>
              <w:left w:val="nil"/>
              <w:bottom w:val="single" w:sz="8" w:space="0" w:color="auto"/>
              <w:right w:val="single" w:sz="8" w:space="0" w:color="auto"/>
            </w:tcBorders>
            <w:shd w:val="clear" w:color="auto" w:fill="auto"/>
            <w:vAlign w:val="center"/>
            <w:hideMark/>
          </w:tcPr>
          <w:p w14:paraId="5253E2D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Encuesta</w:t>
            </w:r>
          </w:p>
        </w:tc>
        <w:tc>
          <w:tcPr>
            <w:tcW w:w="1733" w:type="dxa"/>
            <w:tcBorders>
              <w:top w:val="nil"/>
              <w:left w:val="nil"/>
              <w:bottom w:val="single" w:sz="8" w:space="0" w:color="auto"/>
              <w:right w:val="single" w:sz="8" w:space="0" w:color="auto"/>
            </w:tcBorders>
            <w:shd w:val="clear" w:color="auto" w:fill="auto"/>
            <w:vAlign w:val="center"/>
            <w:hideMark/>
          </w:tcPr>
          <w:p w14:paraId="7732E2C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Permisos</w:t>
            </w:r>
          </w:p>
        </w:tc>
        <w:tc>
          <w:tcPr>
            <w:tcW w:w="2129" w:type="dxa"/>
            <w:tcBorders>
              <w:top w:val="nil"/>
              <w:left w:val="nil"/>
              <w:bottom w:val="single" w:sz="8" w:space="0" w:color="auto"/>
              <w:right w:val="single" w:sz="8" w:space="0" w:color="auto"/>
            </w:tcBorders>
            <w:shd w:val="clear" w:color="auto" w:fill="auto"/>
            <w:hideMark/>
          </w:tcPr>
          <w:p w14:paraId="7632790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0116407E" w14:textId="77777777" w:rsidTr="00EB230E">
        <w:trPr>
          <w:trHeight w:val="885"/>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5555E4"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3: Rendición de Cuentas</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50CCFD4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Dialogo de doble vía y sus organizaciones</w:t>
            </w:r>
          </w:p>
        </w:tc>
        <w:tc>
          <w:tcPr>
            <w:tcW w:w="444" w:type="dxa"/>
            <w:tcBorders>
              <w:top w:val="nil"/>
              <w:left w:val="nil"/>
              <w:bottom w:val="single" w:sz="4" w:space="0" w:color="auto"/>
              <w:right w:val="single" w:sz="8" w:space="0" w:color="auto"/>
            </w:tcBorders>
            <w:shd w:val="clear" w:color="auto" w:fill="auto"/>
            <w:vAlign w:val="center"/>
            <w:hideMark/>
          </w:tcPr>
          <w:p w14:paraId="631D1A0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4" w:space="0" w:color="auto"/>
              <w:right w:val="single" w:sz="8" w:space="0" w:color="auto"/>
            </w:tcBorders>
            <w:shd w:val="clear" w:color="auto" w:fill="auto"/>
            <w:hideMark/>
          </w:tcPr>
          <w:p w14:paraId="6E7D6AB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Realización de Audiencias Públicas Virtuales de Rendición de Cuentas</w:t>
            </w:r>
          </w:p>
        </w:tc>
        <w:tc>
          <w:tcPr>
            <w:tcW w:w="2126" w:type="dxa"/>
            <w:tcBorders>
              <w:top w:val="nil"/>
              <w:left w:val="nil"/>
              <w:bottom w:val="single" w:sz="4" w:space="0" w:color="auto"/>
              <w:right w:val="single" w:sz="8" w:space="0" w:color="auto"/>
            </w:tcBorders>
            <w:shd w:val="clear" w:color="auto" w:fill="auto"/>
            <w:vAlign w:val="center"/>
            <w:hideMark/>
          </w:tcPr>
          <w:p w14:paraId="5C72FFC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Audiencia realizada (1)</w:t>
            </w:r>
          </w:p>
        </w:tc>
        <w:tc>
          <w:tcPr>
            <w:tcW w:w="1733" w:type="dxa"/>
            <w:tcBorders>
              <w:top w:val="nil"/>
              <w:left w:val="nil"/>
              <w:bottom w:val="single" w:sz="8" w:space="0" w:color="auto"/>
              <w:right w:val="single" w:sz="8" w:space="0" w:color="auto"/>
            </w:tcBorders>
            <w:shd w:val="clear" w:color="auto" w:fill="auto"/>
            <w:vAlign w:val="center"/>
            <w:hideMark/>
          </w:tcPr>
          <w:p w14:paraId="42CC9D9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4" w:space="0" w:color="auto"/>
              <w:right w:val="single" w:sz="8" w:space="0" w:color="auto"/>
            </w:tcBorders>
            <w:shd w:val="clear" w:color="auto" w:fill="auto"/>
            <w:hideMark/>
          </w:tcPr>
          <w:p w14:paraId="3EC75BB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 de 2017</w:t>
            </w:r>
          </w:p>
        </w:tc>
      </w:tr>
      <w:tr w:rsidR="00EB230E" w:rsidRPr="00EB230E" w14:paraId="5CD20DE2" w14:textId="77777777" w:rsidTr="00EB230E">
        <w:trPr>
          <w:trHeight w:val="510"/>
        </w:trPr>
        <w:tc>
          <w:tcPr>
            <w:tcW w:w="1833" w:type="dxa"/>
            <w:vMerge/>
            <w:tcBorders>
              <w:top w:val="nil"/>
              <w:left w:val="single" w:sz="8" w:space="0" w:color="auto"/>
              <w:bottom w:val="single" w:sz="8" w:space="0" w:color="000000"/>
              <w:right w:val="single" w:sz="8" w:space="0" w:color="auto"/>
            </w:tcBorders>
            <w:vAlign w:val="center"/>
            <w:hideMark/>
          </w:tcPr>
          <w:p w14:paraId="4DB4E06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F1216A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3FBE94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5231E04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Participación en la Audiencia Pública Sectorial</w:t>
            </w:r>
          </w:p>
        </w:tc>
        <w:tc>
          <w:tcPr>
            <w:tcW w:w="2126" w:type="dxa"/>
            <w:tcBorders>
              <w:top w:val="nil"/>
              <w:left w:val="nil"/>
              <w:bottom w:val="single" w:sz="8" w:space="0" w:color="auto"/>
              <w:right w:val="single" w:sz="8" w:space="0" w:color="auto"/>
            </w:tcBorders>
            <w:shd w:val="clear" w:color="auto" w:fill="auto"/>
            <w:vAlign w:val="center"/>
            <w:hideMark/>
          </w:tcPr>
          <w:p w14:paraId="5E75CB3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Audiencia realizada (1)</w:t>
            </w:r>
          </w:p>
        </w:tc>
        <w:tc>
          <w:tcPr>
            <w:tcW w:w="1733" w:type="dxa"/>
            <w:tcBorders>
              <w:top w:val="nil"/>
              <w:left w:val="nil"/>
              <w:bottom w:val="single" w:sz="8" w:space="0" w:color="auto"/>
              <w:right w:val="single" w:sz="8" w:space="0" w:color="auto"/>
            </w:tcBorders>
            <w:shd w:val="clear" w:color="auto" w:fill="auto"/>
            <w:vAlign w:val="center"/>
            <w:hideMark/>
          </w:tcPr>
          <w:p w14:paraId="680141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8" w:space="0" w:color="auto"/>
              <w:right w:val="single" w:sz="8" w:space="0" w:color="auto"/>
            </w:tcBorders>
            <w:shd w:val="clear" w:color="auto" w:fill="auto"/>
            <w:hideMark/>
          </w:tcPr>
          <w:p w14:paraId="133469F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6B4840E5" w14:textId="77777777" w:rsidTr="00EB230E">
        <w:trPr>
          <w:trHeight w:val="840"/>
        </w:trPr>
        <w:tc>
          <w:tcPr>
            <w:tcW w:w="1833" w:type="dxa"/>
            <w:vMerge/>
            <w:tcBorders>
              <w:top w:val="nil"/>
              <w:left w:val="single" w:sz="8" w:space="0" w:color="auto"/>
              <w:bottom w:val="single" w:sz="8" w:space="0" w:color="000000"/>
              <w:right w:val="single" w:sz="8" w:space="0" w:color="auto"/>
            </w:tcBorders>
            <w:vAlign w:val="center"/>
            <w:hideMark/>
          </w:tcPr>
          <w:p w14:paraId="016B793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1314D10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0A2A71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1AF03A1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en la Página WEB de la Agencia la información relevante y pertinente</w:t>
            </w:r>
          </w:p>
        </w:tc>
        <w:tc>
          <w:tcPr>
            <w:tcW w:w="2126" w:type="dxa"/>
            <w:tcBorders>
              <w:top w:val="nil"/>
              <w:left w:val="nil"/>
              <w:bottom w:val="single" w:sz="8" w:space="0" w:color="auto"/>
              <w:right w:val="single" w:sz="8" w:space="0" w:color="auto"/>
            </w:tcBorders>
            <w:shd w:val="clear" w:color="auto" w:fill="auto"/>
            <w:vAlign w:val="center"/>
            <w:hideMark/>
          </w:tcPr>
          <w:p w14:paraId="0CF241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Página Web Actualizada</w:t>
            </w:r>
          </w:p>
        </w:tc>
        <w:tc>
          <w:tcPr>
            <w:tcW w:w="1733" w:type="dxa"/>
            <w:tcBorders>
              <w:top w:val="nil"/>
              <w:left w:val="nil"/>
              <w:bottom w:val="single" w:sz="8" w:space="0" w:color="auto"/>
              <w:right w:val="single" w:sz="8" w:space="0" w:color="auto"/>
            </w:tcBorders>
            <w:shd w:val="clear" w:color="auto" w:fill="auto"/>
            <w:vAlign w:val="center"/>
            <w:hideMark/>
          </w:tcPr>
          <w:p w14:paraId="44BBBE0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Responsables</w:t>
            </w:r>
          </w:p>
        </w:tc>
        <w:tc>
          <w:tcPr>
            <w:tcW w:w="2129" w:type="dxa"/>
            <w:tcBorders>
              <w:top w:val="nil"/>
              <w:left w:val="nil"/>
              <w:bottom w:val="single" w:sz="8" w:space="0" w:color="auto"/>
              <w:right w:val="single" w:sz="8" w:space="0" w:color="auto"/>
            </w:tcBorders>
            <w:shd w:val="clear" w:color="auto" w:fill="auto"/>
            <w:hideMark/>
          </w:tcPr>
          <w:p w14:paraId="717687E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5C89482A" w14:textId="77777777" w:rsidTr="00EB230E">
        <w:trPr>
          <w:trHeight w:val="840"/>
        </w:trPr>
        <w:tc>
          <w:tcPr>
            <w:tcW w:w="1833" w:type="dxa"/>
            <w:vMerge/>
            <w:tcBorders>
              <w:top w:val="nil"/>
              <w:left w:val="single" w:sz="8" w:space="0" w:color="auto"/>
              <w:bottom w:val="single" w:sz="8" w:space="0" w:color="000000"/>
              <w:right w:val="single" w:sz="8" w:space="0" w:color="auto"/>
            </w:tcBorders>
            <w:vAlign w:val="center"/>
            <w:hideMark/>
          </w:tcPr>
          <w:p w14:paraId="4DEE6FD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F44DB6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FA0D70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2.4</w:t>
            </w:r>
          </w:p>
        </w:tc>
        <w:tc>
          <w:tcPr>
            <w:tcW w:w="2747" w:type="dxa"/>
            <w:tcBorders>
              <w:top w:val="nil"/>
              <w:left w:val="nil"/>
              <w:bottom w:val="single" w:sz="8" w:space="0" w:color="auto"/>
              <w:right w:val="single" w:sz="8" w:space="0" w:color="auto"/>
            </w:tcBorders>
            <w:shd w:val="clear" w:color="auto" w:fill="auto"/>
            <w:hideMark/>
          </w:tcPr>
          <w:p w14:paraId="7866099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Fortalecimiento de las Veedurías Ciudadanas en los proyectos a cargo de la Agencia</w:t>
            </w:r>
          </w:p>
        </w:tc>
        <w:tc>
          <w:tcPr>
            <w:tcW w:w="2126" w:type="dxa"/>
            <w:tcBorders>
              <w:top w:val="nil"/>
              <w:left w:val="nil"/>
              <w:bottom w:val="single" w:sz="8" w:space="0" w:color="auto"/>
              <w:right w:val="single" w:sz="8" w:space="0" w:color="auto"/>
            </w:tcBorders>
            <w:shd w:val="clear" w:color="auto" w:fill="auto"/>
            <w:vAlign w:val="center"/>
            <w:hideMark/>
          </w:tcPr>
          <w:p w14:paraId="7D8C100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Reuniones de coordinación y seguimiento</w:t>
            </w:r>
          </w:p>
        </w:tc>
        <w:tc>
          <w:tcPr>
            <w:tcW w:w="1733" w:type="dxa"/>
            <w:tcBorders>
              <w:top w:val="nil"/>
              <w:left w:val="nil"/>
              <w:bottom w:val="single" w:sz="8" w:space="0" w:color="auto"/>
              <w:right w:val="single" w:sz="8" w:space="0" w:color="auto"/>
            </w:tcBorders>
            <w:shd w:val="clear" w:color="auto" w:fill="auto"/>
            <w:vAlign w:val="center"/>
            <w:hideMark/>
          </w:tcPr>
          <w:p w14:paraId="01507CC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 Social</w:t>
            </w:r>
          </w:p>
        </w:tc>
        <w:tc>
          <w:tcPr>
            <w:tcW w:w="2129" w:type="dxa"/>
            <w:tcBorders>
              <w:top w:val="nil"/>
              <w:left w:val="nil"/>
              <w:bottom w:val="single" w:sz="8" w:space="0" w:color="auto"/>
              <w:right w:val="single" w:sz="8" w:space="0" w:color="auto"/>
            </w:tcBorders>
            <w:shd w:val="clear" w:color="auto" w:fill="auto"/>
            <w:hideMark/>
          </w:tcPr>
          <w:p w14:paraId="07D048E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0DA9C3F5" w14:textId="77777777" w:rsidTr="00EB230E">
        <w:trPr>
          <w:trHeight w:val="705"/>
        </w:trPr>
        <w:tc>
          <w:tcPr>
            <w:tcW w:w="1833" w:type="dxa"/>
            <w:vMerge/>
            <w:tcBorders>
              <w:top w:val="nil"/>
              <w:left w:val="single" w:sz="8" w:space="0" w:color="auto"/>
              <w:bottom w:val="single" w:sz="8" w:space="0" w:color="000000"/>
              <w:right w:val="single" w:sz="8" w:space="0" w:color="auto"/>
            </w:tcBorders>
            <w:vAlign w:val="center"/>
            <w:hideMark/>
          </w:tcPr>
          <w:p w14:paraId="19A269D6"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6C2E83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7E529B8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2.5</w:t>
            </w:r>
          </w:p>
        </w:tc>
        <w:tc>
          <w:tcPr>
            <w:tcW w:w="2747" w:type="dxa"/>
            <w:tcBorders>
              <w:top w:val="nil"/>
              <w:left w:val="nil"/>
              <w:bottom w:val="single" w:sz="8" w:space="0" w:color="auto"/>
              <w:right w:val="single" w:sz="8" w:space="0" w:color="auto"/>
            </w:tcBorders>
            <w:shd w:val="clear" w:color="auto" w:fill="auto"/>
            <w:hideMark/>
          </w:tcPr>
          <w:p w14:paraId="42249FC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Participar en otros espacios de rendición de cuentas.</w:t>
            </w:r>
          </w:p>
        </w:tc>
        <w:tc>
          <w:tcPr>
            <w:tcW w:w="2126" w:type="dxa"/>
            <w:tcBorders>
              <w:top w:val="nil"/>
              <w:left w:val="nil"/>
              <w:bottom w:val="single" w:sz="8" w:space="0" w:color="auto"/>
              <w:right w:val="single" w:sz="8" w:space="0" w:color="auto"/>
            </w:tcBorders>
            <w:shd w:val="clear" w:color="auto" w:fill="auto"/>
            <w:vAlign w:val="center"/>
            <w:hideMark/>
          </w:tcPr>
          <w:p w14:paraId="1213195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Eventos (2)</w:t>
            </w:r>
          </w:p>
        </w:tc>
        <w:tc>
          <w:tcPr>
            <w:tcW w:w="1733" w:type="dxa"/>
            <w:tcBorders>
              <w:top w:val="nil"/>
              <w:left w:val="nil"/>
              <w:bottom w:val="single" w:sz="8" w:space="0" w:color="auto"/>
              <w:right w:val="single" w:sz="8" w:space="0" w:color="auto"/>
            </w:tcBorders>
            <w:shd w:val="clear" w:color="auto" w:fill="auto"/>
            <w:vAlign w:val="center"/>
            <w:hideMark/>
          </w:tcPr>
          <w:p w14:paraId="01C1173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Equipo de trabajo</w:t>
            </w:r>
          </w:p>
        </w:tc>
        <w:tc>
          <w:tcPr>
            <w:tcW w:w="2129" w:type="dxa"/>
            <w:tcBorders>
              <w:top w:val="nil"/>
              <w:left w:val="nil"/>
              <w:bottom w:val="single" w:sz="8" w:space="0" w:color="auto"/>
              <w:right w:val="single" w:sz="8" w:space="0" w:color="auto"/>
            </w:tcBorders>
            <w:shd w:val="clear" w:color="auto" w:fill="auto"/>
            <w:hideMark/>
          </w:tcPr>
          <w:p w14:paraId="67A3B02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74C597D"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44CF34D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nil"/>
              <w:right w:val="single" w:sz="8" w:space="0" w:color="auto"/>
            </w:tcBorders>
            <w:shd w:val="clear" w:color="auto" w:fill="auto"/>
            <w:vAlign w:val="center"/>
            <w:hideMark/>
          </w:tcPr>
          <w:p w14:paraId="5C2A133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Incentivos para motivar la cultura de la rendición y petición de cuentas</w:t>
            </w:r>
          </w:p>
        </w:tc>
        <w:tc>
          <w:tcPr>
            <w:tcW w:w="444" w:type="dxa"/>
            <w:tcBorders>
              <w:top w:val="nil"/>
              <w:left w:val="nil"/>
              <w:bottom w:val="single" w:sz="8" w:space="0" w:color="auto"/>
              <w:right w:val="single" w:sz="8" w:space="0" w:color="auto"/>
            </w:tcBorders>
            <w:shd w:val="clear" w:color="auto" w:fill="auto"/>
            <w:vAlign w:val="center"/>
            <w:hideMark/>
          </w:tcPr>
          <w:p w14:paraId="552FDDE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2861A8B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concurso interno, sobre los contenidos de la rendición de cuenta.</w:t>
            </w:r>
          </w:p>
        </w:tc>
        <w:tc>
          <w:tcPr>
            <w:tcW w:w="2126" w:type="dxa"/>
            <w:tcBorders>
              <w:top w:val="nil"/>
              <w:left w:val="nil"/>
              <w:bottom w:val="single" w:sz="8" w:space="0" w:color="auto"/>
              <w:right w:val="single" w:sz="8" w:space="0" w:color="auto"/>
            </w:tcBorders>
            <w:shd w:val="clear" w:color="auto" w:fill="auto"/>
            <w:vAlign w:val="center"/>
            <w:hideMark/>
          </w:tcPr>
          <w:p w14:paraId="459313C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Concurso</w:t>
            </w:r>
          </w:p>
        </w:tc>
        <w:tc>
          <w:tcPr>
            <w:tcW w:w="1733" w:type="dxa"/>
            <w:tcBorders>
              <w:top w:val="nil"/>
              <w:left w:val="nil"/>
              <w:bottom w:val="single" w:sz="8" w:space="0" w:color="auto"/>
              <w:right w:val="single" w:sz="8" w:space="0" w:color="auto"/>
            </w:tcBorders>
            <w:shd w:val="clear" w:color="auto" w:fill="auto"/>
            <w:vAlign w:val="center"/>
            <w:hideMark/>
          </w:tcPr>
          <w:p w14:paraId="3669BCB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Grupo Interno de Trabajo Planeación</w:t>
            </w:r>
          </w:p>
        </w:tc>
        <w:tc>
          <w:tcPr>
            <w:tcW w:w="2129" w:type="dxa"/>
            <w:tcBorders>
              <w:top w:val="nil"/>
              <w:left w:val="nil"/>
              <w:bottom w:val="single" w:sz="8" w:space="0" w:color="auto"/>
              <w:right w:val="single" w:sz="8" w:space="0" w:color="auto"/>
            </w:tcBorders>
            <w:shd w:val="clear" w:color="auto" w:fill="auto"/>
            <w:hideMark/>
          </w:tcPr>
          <w:p w14:paraId="1178832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 de 2017</w:t>
            </w:r>
          </w:p>
        </w:tc>
      </w:tr>
      <w:tr w:rsidR="00EB230E" w:rsidRPr="00EB230E" w14:paraId="4225DA34"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71206F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79A1596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3DEF254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3.2</w:t>
            </w:r>
          </w:p>
        </w:tc>
        <w:tc>
          <w:tcPr>
            <w:tcW w:w="2747" w:type="dxa"/>
            <w:tcBorders>
              <w:top w:val="nil"/>
              <w:left w:val="nil"/>
              <w:bottom w:val="single" w:sz="8" w:space="0" w:color="auto"/>
              <w:right w:val="single" w:sz="8" w:space="0" w:color="auto"/>
            </w:tcBorders>
            <w:shd w:val="clear" w:color="auto" w:fill="auto"/>
            <w:hideMark/>
          </w:tcPr>
          <w:p w14:paraId="1A74CC8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encuesta externa, sobre los contenidos de la rendición de cuenta.</w:t>
            </w:r>
          </w:p>
        </w:tc>
        <w:tc>
          <w:tcPr>
            <w:tcW w:w="2126" w:type="dxa"/>
            <w:tcBorders>
              <w:top w:val="nil"/>
              <w:left w:val="nil"/>
              <w:bottom w:val="single" w:sz="8" w:space="0" w:color="auto"/>
              <w:right w:val="single" w:sz="8" w:space="0" w:color="auto"/>
            </w:tcBorders>
            <w:shd w:val="clear" w:color="auto" w:fill="auto"/>
            <w:vAlign w:val="center"/>
            <w:hideMark/>
          </w:tcPr>
          <w:p w14:paraId="0DD6834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Concurso</w:t>
            </w:r>
          </w:p>
        </w:tc>
        <w:tc>
          <w:tcPr>
            <w:tcW w:w="1733" w:type="dxa"/>
            <w:tcBorders>
              <w:top w:val="nil"/>
              <w:left w:val="nil"/>
              <w:bottom w:val="single" w:sz="8" w:space="0" w:color="auto"/>
              <w:right w:val="single" w:sz="8" w:space="0" w:color="auto"/>
            </w:tcBorders>
            <w:shd w:val="clear" w:color="auto" w:fill="auto"/>
            <w:vAlign w:val="center"/>
            <w:hideMark/>
          </w:tcPr>
          <w:p w14:paraId="7976EB6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Grupo Interno de Trabajo Planeación</w:t>
            </w:r>
          </w:p>
        </w:tc>
        <w:tc>
          <w:tcPr>
            <w:tcW w:w="2129" w:type="dxa"/>
            <w:tcBorders>
              <w:top w:val="nil"/>
              <w:left w:val="nil"/>
              <w:bottom w:val="single" w:sz="8" w:space="0" w:color="auto"/>
              <w:right w:val="single" w:sz="8" w:space="0" w:color="auto"/>
            </w:tcBorders>
            <w:shd w:val="clear" w:color="auto" w:fill="auto"/>
            <w:hideMark/>
          </w:tcPr>
          <w:p w14:paraId="623263A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2017-Enero 2018</w:t>
            </w:r>
          </w:p>
        </w:tc>
      </w:tr>
      <w:tr w:rsidR="00EB230E" w:rsidRPr="00EB230E" w14:paraId="0CEF4DE8" w14:textId="77777777" w:rsidTr="00EB230E">
        <w:trPr>
          <w:trHeight w:val="600"/>
        </w:trPr>
        <w:tc>
          <w:tcPr>
            <w:tcW w:w="1833" w:type="dxa"/>
            <w:vMerge/>
            <w:tcBorders>
              <w:top w:val="nil"/>
              <w:left w:val="single" w:sz="8" w:space="0" w:color="auto"/>
              <w:bottom w:val="single" w:sz="8" w:space="0" w:color="000000"/>
              <w:right w:val="single" w:sz="8" w:space="0" w:color="auto"/>
            </w:tcBorders>
            <w:vAlign w:val="center"/>
            <w:hideMark/>
          </w:tcPr>
          <w:p w14:paraId="4130E33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nil"/>
              <w:right w:val="single" w:sz="8" w:space="0" w:color="auto"/>
            </w:tcBorders>
            <w:vAlign w:val="center"/>
            <w:hideMark/>
          </w:tcPr>
          <w:p w14:paraId="0B8AA00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nil"/>
              <w:right w:val="single" w:sz="8" w:space="0" w:color="auto"/>
            </w:tcBorders>
            <w:shd w:val="clear" w:color="auto" w:fill="auto"/>
            <w:vAlign w:val="center"/>
            <w:hideMark/>
          </w:tcPr>
          <w:p w14:paraId="6029487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3.3</w:t>
            </w:r>
          </w:p>
        </w:tc>
        <w:tc>
          <w:tcPr>
            <w:tcW w:w="2747" w:type="dxa"/>
            <w:tcBorders>
              <w:top w:val="nil"/>
              <w:left w:val="nil"/>
              <w:bottom w:val="nil"/>
              <w:right w:val="single" w:sz="8" w:space="0" w:color="auto"/>
            </w:tcBorders>
            <w:shd w:val="clear" w:color="auto" w:fill="auto"/>
            <w:hideMark/>
          </w:tcPr>
          <w:p w14:paraId="2ACCD71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Publicación de respuestas a temas propuestos por los ciudadanos.</w:t>
            </w:r>
          </w:p>
        </w:tc>
        <w:tc>
          <w:tcPr>
            <w:tcW w:w="2126" w:type="dxa"/>
            <w:tcBorders>
              <w:top w:val="nil"/>
              <w:left w:val="nil"/>
              <w:bottom w:val="nil"/>
              <w:right w:val="single" w:sz="8" w:space="0" w:color="auto"/>
            </w:tcBorders>
            <w:shd w:val="clear" w:color="auto" w:fill="auto"/>
            <w:vAlign w:val="center"/>
            <w:hideMark/>
          </w:tcPr>
          <w:p w14:paraId="0F6558F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w:t>
            </w:r>
          </w:p>
        </w:tc>
        <w:tc>
          <w:tcPr>
            <w:tcW w:w="1733" w:type="dxa"/>
            <w:tcBorders>
              <w:top w:val="nil"/>
              <w:left w:val="nil"/>
              <w:bottom w:val="single" w:sz="8" w:space="0" w:color="auto"/>
              <w:right w:val="single" w:sz="8" w:space="0" w:color="auto"/>
            </w:tcBorders>
            <w:shd w:val="clear" w:color="auto" w:fill="auto"/>
            <w:vAlign w:val="center"/>
            <w:hideMark/>
          </w:tcPr>
          <w:p w14:paraId="3E13B98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4" w:space="0" w:color="auto"/>
              <w:right w:val="single" w:sz="8" w:space="0" w:color="auto"/>
            </w:tcBorders>
            <w:shd w:val="clear" w:color="auto" w:fill="auto"/>
            <w:hideMark/>
          </w:tcPr>
          <w:p w14:paraId="15C04A4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Agosto-Diciembre de 2017</w:t>
            </w:r>
          </w:p>
        </w:tc>
      </w:tr>
      <w:tr w:rsidR="00EB230E" w:rsidRPr="00EB230E" w14:paraId="2FEE1E67" w14:textId="77777777" w:rsidTr="00EB230E">
        <w:trPr>
          <w:trHeight w:val="930"/>
        </w:trPr>
        <w:tc>
          <w:tcPr>
            <w:tcW w:w="1833" w:type="dxa"/>
            <w:vMerge/>
            <w:tcBorders>
              <w:top w:val="nil"/>
              <w:left w:val="single" w:sz="8" w:space="0" w:color="auto"/>
              <w:bottom w:val="single" w:sz="8" w:space="0" w:color="000000"/>
              <w:right w:val="single" w:sz="8" w:space="0" w:color="auto"/>
            </w:tcBorders>
            <w:vAlign w:val="center"/>
            <w:hideMark/>
          </w:tcPr>
          <w:p w14:paraId="538C804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1996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y retroalimentación a la gestión institucional</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3405EE9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single" w:sz="8" w:space="0" w:color="auto"/>
              <w:left w:val="nil"/>
              <w:bottom w:val="single" w:sz="4" w:space="0" w:color="auto"/>
              <w:right w:val="single" w:sz="8" w:space="0" w:color="auto"/>
            </w:tcBorders>
            <w:shd w:val="clear" w:color="auto" w:fill="auto"/>
            <w:hideMark/>
          </w:tcPr>
          <w:p w14:paraId="629DD95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Audiencias públicas virtuales y presenciales.</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5CA8907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 (2)</w:t>
            </w:r>
          </w:p>
        </w:tc>
        <w:tc>
          <w:tcPr>
            <w:tcW w:w="1733" w:type="dxa"/>
            <w:tcBorders>
              <w:top w:val="nil"/>
              <w:left w:val="nil"/>
              <w:bottom w:val="single" w:sz="8" w:space="0" w:color="auto"/>
              <w:right w:val="single" w:sz="8" w:space="0" w:color="auto"/>
            </w:tcBorders>
            <w:shd w:val="clear" w:color="auto" w:fill="auto"/>
            <w:vAlign w:val="center"/>
            <w:hideMark/>
          </w:tcPr>
          <w:p w14:paraId="49BAEA3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single" w:sz="8" w:space="0" w:color="auto"/>
              <w:left w:val="nil"/>
              <w:bottom w:val="single" w:sz="4" w:space="0" w:color="auto"/>
              <w:right w:val="single" w:sz="8" w:space="0" w:color="auto"/>
            </w:tcBorders>
            <w:shd w:val="clear" w:color="auto" w:fill="auto"/>
            <w:hideMark/>
          </w:tcPr>
          <w:p w14:paraId="22B90B2A"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Agosto-Diciembre de 2017</w:t>
            </w:r>
          </w:p>
        </w:tc>
      </w:tr>
      <w:tr w:rsidR="00EB230E" w:rsidRPr="00EB230E" w14:paraId="5CD3A1E0"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5D112E9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single" w:sz="8" w:space="0" w:color="auto"/>
              <w:left w:val="single" w:sz="8" w:space="0" w:color="auto"/>
              <w:bottom w:val="single" w:sz="8" w:space="0" w:color="000000"/>
              <w:right w:val="single" w:sz="8" w:space="0" w:color="auto"/>
            </w:tcBorders>
            <w:vAlign w:val="center"/>
            <w:hideMark/>
          </w:tcPr>
          <w:p w14:paraId="7734E9C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3FAA8A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nil"/>
              <w:left w:val="nil"/>
              <w:bottom w:val="single" w:sz="8" w:space="0" w:color="auto"/>
              <w:right w:val="single" w:sz="8" w:space="0" w:color="auto"/>
            </w:tcBorders>
            <w:shd w:val="clear" w:color="auto" w:fill="auto"/>
            <w:hideMark/>
          </w:tcPr>
          <w:p w14:paraId="0225E61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Evaluación de la estrategia de rendición de cuentas.</w:t>
            </w:r>
          </w:p>
        </w:tc>
        <w:tc>
          <w:tcPr>
            <w:tcW w:w="2126" w:type="dxa"/>
            <w:tcBorders>
              <w:top w:val="nil"/>
              <w:left w:val="nil"/>
              <w:bottom w:val="single" w:sz="8" w:space="0" w:color="auto"/>
              <w:right w:val="single" w:sz="8" w:space="0" w:color="auto"/>
            </w:tcBorders>
            <w:shd w:val="clear" w:color="auto" w:fill="auto"/>
            <w:vAlign w:val="center"/>
            <w:hideMark/>
          </w:tcPr>
          <w:p w14:paraId="02F7DF4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Documento (1)</w:t>
            </w:r>
          </w:p>
        </w:tc>
        <w:tc>
          <w:tcPr>
            <w:tcW w:w="1733" w:type="dxa"/>
            <w:tcBorders>
              <w:top w:val="nil"/>
              <w:left w:val="nil"/>
              <w:bottom w:val="single" w:sz="8" w:space="0" w:color="auto"/>
              <w:right w:val="single" w:sz="8" w:space="0" w:color="auto"/>
            </w:tcBorders>
            <w:shd w:val="clear" w:color="auto" w:fill="auto"/>
            <w:vAlign w:val="center"/>
            <w:hideMark/>
          </w:tcPr>
          <w:p w14:paraId="7A3CD2F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8" w:space="0" w:color="auto"/>
              <w:right w:val="single" w:sz="8" w:space="0" w:color="auto"/>
            </w:tcBorders>
            <w:shd w:val="clear" w:color="auto" w:fill="auto"/>
            <w:hideMark/>
          </w:tcPr>
          <w:p w14:paraId="0A759B4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ene-18</w:t>
            </w:r>
          </w:p>
        </w:tc>
      </w:tr>
      <w:tr w:rsidR="00EB230E" w:rsidRPr="00EB230E" w14:paraId="465ADAED" w14:textId="77777777" w:rsidTr="00EB230E">
        <w:trPr>
          <w:trHeight w:val="645"/>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60476"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4: Atención al Ciudadano</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221606E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Estructura Administrativa</w:t>
            </w:r>
          </w:p>
        </w:tc>
        <w:tc>
          <w:tcPr>
            <w:tcW w:w="444" w:type="dxa"/>
            <w:tcBorders>
              <w:top w:val="nil"/>
              <w:left w:val="nil"/>
              <w:bottom w:val="single" w:sz="8" w:space="0" w:color="auto"/>
              <w:right w:val="single" w:sz="8" w:space="0" w:color="auto"/>
            </w:tcBorders>
            <w:shd w:val="clear" w:color="auto" w:fill="auto"/>
            <w:vAlign w:val="center"/>
            <w:hideMark/>
          </w:tcPr>
          <w:p w14:paraId="42136BD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E1CD91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Presentar el informe trimestral de PQSR al Comité MIPG</w:t>
            </w:r>
          </w:p>
        </w:tc>
        <w:tc>
          <w:tcPr>
            <w:tcW w:w="2126" w:type="dxa"/>
            <w:tcBorders>
              <w:top w:val="nil"/>
              <w:left w:val="nil"/>
              <w:bottom w:val="single" w:sz="8" w:space="0" w:color="auto"/>
              <w:right w:val="single" w:sz="8" w:space="0" w:color="auto"/>
            </w:tcBorders>
            <w:shd w:val="clear" w:color="auto" w:fill="auto"/>
            <w:vAlign w:val="center"/>
            <w:hideMark/>
          </w:tcPr>
          <w:p w14:paraId="33C22EB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(4)</w:t>
            </w:r>
          </w:p>
        </w:tc>
        <w:tc>
          <w:tcPr>
            <w:tcW w:w="1733" w:type="dxa"/>
            <w:tcBorders>
              <w:top w:val="nil"/>
              <w:left w:val="nil"/>
              <w:bottom w:val="single" w:sz="8" w:space="0" w:color="auto"/>
              <w:right w:val="single" w:sz="8" w:space="0" w:color="auto"/>
            </w:tcBorders>
            <w:shd w:val="clear" w:color="auto" w:fill="auto"/>
            <w:vAlign w:val="center"/>
            <w:hideMark/>
          </w:tcPr>
          <w:p w14:paraId="3B86DBA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3FA55FD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abril, julio, octubre de 2017</w:t>
            </w:r>
          </w:p>
        </w:tc>
      </w:tr>
      <w:tr w:rsidR="00EB230E" w:rsidRPr="00EB230E" w14:paraId="13BF07F2" w14:textId="77777777" w:rsidTr="00EB230E">
        <w:trPr>
          <w:trHeight w:val="705"/>
        </w:trPr>
        <w:tc>
          <w:tcPr>
            <w:tcW w:w="1833" w:type="dxa"/>
            <w:vMerge/>
            <w:tcBorders>
              <w:top w:val="nil"/>
              <w:left w:val="single" w:sz="8" w:space="0" w:color="auto"/>
              <w:bottom w:val="single" w:sz="8" w:space="0" w:color="000000"/>
              <w:right w:val="single" w:sz="8" w:space="0" w:color="auto"/>
            </w:tcBorders>
            <w:vAlign w:val="center"/>
            <w:hideMark/>
          </w:tcPr>
          <w:p w14:paraId="268DA0C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5E7EC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E31D1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8" w:space="0" w:color="auto"/>
              <w:right w:val="single" w:sz="8" w:space="0" w:color="auto"/>
            </w:tcBorders>
            <w:shd w:val="clear" w:color="auto" w:fill="auto"/>
            <w:hideMark/>
          </w:tcPr>
          <w:p w14:paraId="784708E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estrategia que impacte la atención oportuna a PQRS</w:t>
            </w:r>
          </w:p>
        </w:tc>
        <w:tc>
          <w:tcPr>
            <w:tcW w:w="2126" w:type="dxa"/>
            <w:tcBorders>
              <w:top w:val="nil"/>
              <w:left w:val="nil"/>
              <w:bottom w:val="single" w:sz="8" w:space="0" w:color="auto"/>
              <w:right w:val="single" w:sz="8" w:space="0" w:color="auto"/>
            </w:tcBorders>
            <w:shd w:val="clear" w:color="auto" w:fill="auto"/>
            <w:vAlign w:val="center"/>
            <w:hideMark/>
          </w:tcPr>
          <w:p w14:paraId="582DABA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(1)</w:t>
            </w:r>
          </w:p>
        </w:tc>
        <w:tc>
          <w:tcPr>
            <w:tcW w:w="1733" w:type="dxa"/>
            <w:tcBorders>
              <w:top w:val="nil"/>
              <w:left w:val="nil"/>
              <w:bottom w:val="single" w:sz="8" w:space="0" w:color="auto"/>
              <w:right w:val="single" w:sz="8" w:space="0" w:color="auto"/>
            </w:tcBorders>
            <w:shd w:val="clear" w:color="auto" w:fill="auto"/>
            <w:vAlign w:val="center"/>
            <w:hideMark/>
          </w:tcPr>
          <w:p w14:paraId="6B1F442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2985F97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a diciembre 2017</w:t>
            </w:r>
          </w:p>
        </w:tc>
      </w:tr>
      <w:tr w:rsidR="00EB230E" w:rsidRPr="00EB230E" w14:paraId="450AF0A1" w14:textId="77777777" w:rsidTr="00EB230E">
        <w:trPr>
          <w:trHeight w:val="885"/>
        </w:trPr>
        <w:tc>
          <w:tcPr>
            <w:tcW w:w="1833" w:type="dxa"/>
            <w:vMerge/>
            <w:tcBorders>
              <w:top w:val="nil"/>
              <w:left w:val="single" w:sz="8" w:space="0" w:color="auto"/>
              <w:bottom w:val="single" w:sz="8" w:space="0" w:color="000000"/>
              <w:right w:val="single" w:sz="8" w:space="0" w:color="auto"/>
            </w:tcBorders>
            <w:vAlign w:val="center"/>
            <w:hideMark/>
          </w:tcPr>
          <w:p w14:paraId="22A0829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02BFA79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Fortalecimiento de los Canales de Atención</w:t>
            </w:r>
          </w:p>
        </w:tc>
        <w:tc>
          <w:tcPr>
            <w:tcW w:w="444" w:type="dxa"/>
            <w:tcBorders>
              <w:top w:val="nil"/>
              <w:left w:val="nil"/>
              <w:bottom w:val="single" w:sz="8" w:space="0" w:color="auto"/>
              <w:right w:val="single" w:sz="8" w:space="0" w:color="auto"/>
            </w:tcBorders>
            <w:shd w:val="clear" w:color="auto" w:fill="auto"/>
            <w:vAlign w:val="center"/>
            <w:hideMark/>
          </w:tcPr>
          <w:p w14:paraId="0D8DFF1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1B7ED82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uso aplicativo Centro de Relevo para atención de personas con discapacidad auditiva</w:t>
            </w:r>
          </w:p>
        </w:tc>
        <w:tc>
          <w:tcPr>
            <w:tcW w:w="2126" w:type="dxa"/>
            <w:tcBorders>
              <w:top w:val="nil"/>
              <w:left w:val="nil"/>
              <w:bottom w:val="single" w:sz="8" w:space="0" w:color="auto"/>
              <w:right w:val="single" w:sz="8" w:space="0" w:color="auto"/>
            </w:tcBorders>
            <w:shd w:val="clear" w:color="auto" w:fill="auto"/>
            <w:vAlign w:val="center"/>
            <w:hideMark/>
          </w:tcPr>
          <w:p w14:paraId="6C379B7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Capacitación UNIANI</w:t>
            </w:r>
          </w:p>
        </w:tc>
        <w:tc>
          <w:tcPr>
            <w:tcW w:w="1733" w:type="dxa"/>
            <w:tcBorders>
              <w:top w:val="nil"/>
              <w:left w:val="nil"/>
              <w:bottom w:val="single" w:sz="8" w:space="0" w:color="auto"/>
              <w:right w:val="single" w:sz="8" w:space="0" w:color="auto"/>
            </w:tcBorders>
            <w:shd w:val="clear" w:color="auto" w:fill="auto"/>
            <w:vAlign w:val="center"/>
            <w:hideMark/>
          </w:tcPr>
          <w:p w14:paraId="2C535C9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151440E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6EFC9FBE" w14:textId="77777777" w:rsidTr="00EB230E">
        <w:trPr>
          <w:trHeight w:val="1380"/>
        </w:trPr>
        <w:tc>
          <w:tcPr>
            <w:tcW w:w="1833" w:type="dxa"/>
            <w:vMerge/>
            <w:tcBorders>
              <w:top w:val="nil"/>
              <w:left w:val="single" w:sz="8" w:space="0" w:color="auto"/>
              <w:bottom w:val="single" w:sz="8" w:space="0" w:color="000000"/>
              <w:right w:val="single" w:sz="8" w:space="0" w:color="auto"/>
            </w:tcBorders>
            <w:vAlign w:val="center"/>
            <w:hideMark/>
          </w:tcPr>
          <w:p w14:paraId="4FBE1CFD"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B6B013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31A2C4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7E21EB2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Organizar reunión interna ANI orientada a consolidar interoperabilidad con los equipos de atención al ciudadano de concesiones e interventorías.</w:t>
            </w:r>
          </w:p>
        </w:tc>
        <w:tc>
          <w:tcPr>
            <w:tcW w:w="2126" w:type="dxa"/>
            <w:tcBorders>
              <w:top w:val="nil"/>
              <w:left w:val="nil"/>
              <w:bottom w:val="single" w:sz="8" w:space="0" w:color="auto"/>
              <w:right w:val="single" w:sz="8" w:space="0" w:color="auto"/>
            </w:tcBorders>
            <w:shd w:val="clear" w:color="auto" w:fill="auto"/>
            <w:vAlign w:val="center"/>
            <w:hideMark/>
          </w:tcPr>
          <w:p w14:paraId="7646E99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Reunión (1)</w:t>
            </w:r>
          </w:p>
        </w:tc>
        <w:tc>
          <w:tcPr>
            <w:tcW w:w="1733" w:type="dxa"/>
            <w:tcBorders>
              <w:top w:val="nil"/>
              <w:left w:val="nil"/>
              <w:bottom w:val="single" w:sz="8" w:space="0" w:color="auto"/>
              <w:right w:val="single" w:sz="8" w:space="0" w:color="auto"/>
            </w:tcBorders>
            <w:shd w:val="clear" w:color="auto" w:fill="auto"/>
            <w:vAlign w:val="center"/>
            <w:hideMark/>
          </w:tcPr>
          <w:p w14:paraId="197C4F8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5102AEE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4BA0E24C" w14:textId="77777777" w:rsidTr="00EB230E">
        <w:trPr>
          <w:trHeight w:val="1110"/>
        </w:trPr>
        <w:tc>
          <w:tcPr>
            <w:tcW w:w="1833" w:type="dxa"/>
            <w:vMerge/>
            <w:tcBorders>
              <w:top w:val="nil"/>
              <w:left w:val="single" w:sz="8" w:space="0" w:color="auto"/>
              <w:bottom w:val="single" w:sz="8" w:space="0" w:color="000000"/>
              <w:right w:val="single" w:sz="8" w:space="0" w:color="auto"/>
            </w:tcBorders>
            <w:vAlign w:val="center"/>
            <w:hideMark/>
          </w:tcPr>
          <w:p w14:paraId="6C89355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66CFDA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Talento Humano</w:t>
            </w:r>
          </w:p>
        </w:tc>
        <w:tc>
          <w:tcPr>
            <w:tcW w:w="444" w:type="dxa"/>
            <w:tcBorders>
              <w:top w:val="nil"/>
              <w:left w:val="nil"/>
              <w:bottom w:val="single" w:sz="8" w:space="0" w:color="auto"/>
              <w:right w:val="single" w:sz="8" w:space="0" w:color="auto"/>
            </w:tcBorders>
            <w:shd w:val="clear" w:color="auto" w:fill="auto"/>
            <w:vAlign w:val="center"/>
            <w:hideMark/>
          </w:tcPr>
          <w:p w14:paraId="4F067A6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46932FD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Afianzar la cultura de servicio al ciudadano – protocolos de servicio - lenguaje claro - derecho de petición</w:t>
            </w:r>
          </w:p>
        </w:tc>
        <w:tc>
          <w:tcPr>
            <w:tcW w:w="2126" w:type="dxa"/>
            <w:tcBorders>
              <w:top w:val="nil"/>
              <w:left w:val="nil"/>
              <w:bottom w:val="single" w:sz="8" w:space="0" w:color="auto"/>
              <w:right w:val="single" w:sz="8" w:space="0" w:color="auto"/>
            </w:tcBorders>
            <w:shd w:val="clear" w:color="auto" w:fill="auto"/>
            <w:vAlign w:val="center"/>
            <w:hideMark/>
          </w:tcPr>
          <w:p w14:paraId="179F243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Actividad</w:t>
            </w:r>
          </w:p>
        </w:tc>
        <w:tc>
          <w:tcPr>
            <w:tcW w:w="1733" w:type="dxa"/>
            <w:tcBorders>
              <w:top w:val="nil"/>
              <w:left w:val="nil"/>
              <w:bottom w:val="single" w:sz="8" w:space="0" w:color="auto"/>
              <w:right w:val="single" w:sz="8" w:space="0" w:color="auto"/>
            </w:tcBorders>
            <w:shd w:val="clear" w:color="auto" w:fill="auto"/>
            <w:vAlign w:val="center"/>
            <w:hideMark/>
          </w:tcPr>
          <w:p w14:paraId="4F3C6AE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5BDD15F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a diciembre 2017</w:t>
            </w:r>
          </w:p>
        </w:tc>
      </w:tr>
      <w:tr w:rsidR="00EB230E" w:rsidRPr="00EB230E" w14:paraId="00F74FBE" w14:textId="77777777" w:rsidTr="00EB230E">
        <w:trPr>
          <w:trHeight w:val="1485"/>
        </w:trPr>
        <w:tc>
          <w:tcPr>
            <w:tcW w:w="1833" w:type="dxa"/>
            <w:vMerge/>
            <w:tcBorders>
              <w:top w:val="nil"/>
              <w:left w:val="single" w:sz="8" w:space="0" w:color="auto"/>
              <w:bottom w:val="single" w:sz="8" w:space="0" w:color="000000"/>
              <w:right w:val="single" w:sz="8" w:space="0" w:color="auto"/>
            </w:tcBorders>
            <w:vAlign w:val="center"/>
            <w:hideMark/>
          </w:tcPr>
          <w:p w14:paraId="76166C9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4" w:space="0" w:color="000000"/>
              <w:right w:val="single" w:sz="8" w:space="0" w:color="auto"/>
            </w:tcBorders>
            <w:shd w:val="clear" w:color="auto" w:fill="auto"/>
            <w:vAlign w:val="center"/>
            <w:hideMark/>
          </w:tcPr>
          <w:p w14:paraId="555043F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Normativo y Procedimental</w:t>
            </w:r>
          </w:p>
        </w:tc>
        <w:tc>
          <w:tcPr>
            <w:tcW w:w="444" w:type="dxa"/>
            <w:tcBorders>
              <w:top w:val="nil"/>
              <w:left w:val="nil"/>
              <w:bottom w:val="single" w:sz="8" w:space="0" w:color="auto"/>
              <w:right w:val="single" w:sz="8" w:space="0" w:color="auto"/>
            </w:tcBorders>
            <w:shd w:val="clear" w:color="auto" w:fill="auto"/>
            <w:vAlign w:val="center"/>
            <w:hideMark/>
          </w:tcPr>
          <w:p w14:paraId="034CC25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single" w:sz="8" w:space="0" w:color="auto"/>
              <w:right w:val="single" w:sz="8" w:space="0" w:color="auto"/>
            </w:tcBorders>
            <w:shd w:val="clear" w:color="auto" w:fill="auto"/>
            <w:hideMark/>
          </w:tcPr>
          <w:p w14:paraId="32C8220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Verificar los ajustes a los procedimientos de la gerencia social, estructuración y atención al ciudadano en lo correspondiente a la inclusión de acción sobre interprete lengua indígena</w:t>
            </w:r>
          </w:p>
        </w:tc>
        <w:tc>
          <w:tcPr>
            <w:tcW w:w="2126" w:type="dxa"/>
            <w:tcBorders>
              <w:top w:val="nil"/>
              <w:left w:val="nil"/>
              <w:bottom w:val="single" w:sz="8" w:space="0" w:color="auto"/>
              <w:right w:val="single" w:sz="8" w:space="0" w:color="auto"/>
            </w:tcBorders>
            <w:shd w:val="clear" w:color="auto" w:fill="auto"/>
            <w:vAlign w:val="center"/>
            <w:hideMark/>
          </w:tcPr>
          <w:p w14:paraId="42CE36A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Procedimientos ajustados</w:t>
            </w:r>
          </w:p>
        </w:tc>
        <w:tc>
          <w:tcPr>
            <w:tcW w:w="1733" w:type="dxa"/>
            <w:tcBorders>
              <w:top w:val="nil"/>
              <w:left w:val="nil"/>
              <w:bottom w:val="single" w:sz="8" w:space="0" w:color="auto"/>
              <w:right w:val="single" w:sz="8" w:space="0" w:color="auto"/>
            </w:tcBorders>
            <w:shd w:val="clear" w:color="auto" w:fill="auto"/>
            <w:vAlign w:val="center"/>
            <w:hideMark/>
          </w:tcPr>
          <w:p w14:paraId="7C13291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061C265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2F9B734"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ABADCB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4" w:space="0" w:color="000000"/>
              <w:right w:val="single" w:sz="8" w:space="0" w:color="auto"/>
            </w:tcBorders>
            <w:vAlign w:val="center"/>
            <w:hideMark/>
          </w:tcPr>
          <w:p w14:paraId="5DB2A7F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29E245EC"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4.2</w:t>
            </w:r>
          </w:p>
        </w:tc>
        <w:tc>
          <w:tcPr>
            <w:tcW w:w="2747" w:type="dxa"/>
            <w:tcBorders>
              <w:top w:val="nil"/>
              <w:left w:val="nil"/>
              <w:bottom w:val="single" w:sz="4" w:space="0" w:color="auto"/>
              <w:right w:val="single" w:sz="8" w:space="0" w:color="auto"/>
            </w:tcBorders>
            <w:shd w:val="clear" w:color="auto" w:fill="auto"/>
            <w:hideMark/>
          </w:tcPr>
          <w:p w14:paraId="68A13DB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Difundir la Política de Protección de Datos</w:t>
            </w:r>
          </w:p>
        </w:tc>
        <w:tc>
          <w:tcPr>
            <w:tcW w:w="2126" w:type="dxa"/>
            <w:tcBorders>
              <w:top w:val="nil"/>
              <w:left w:val="nil"/>
              <w:bottom w:val="single" w:sz="4" w:space="0" w:color="auto"/>
              <w:right w:val="single" w:sz="8" w:space="0" w:color="auto"/>
            </w:tcBorders>
            <w:shd w:val="clear" w:color="auto" w:fill="auto"/>
            <w:vAlign w:val="center"/>
            <w:hideMark/>
          </w:tcPr>
          <w:p w14:paraId="0CC933D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Correo Electrónico (2)</w:t>
            </w:r>
            <w:r w:rsidRPr="00EB230E">
              <w:rPr>
                <w:rFonts w:ascii="Calibri" w:eastAsia="Times New Roman" w:hAnsi="Calibri" w:cs="Times New Roman"/>
                <w:color w:val="000000"/>
                <w:sz w:val="24"/>
                <w:szCs w:val="24"/>
                <w:lang w:eastAsia="es-CO"/>
              </w:rPr>
              <w:br/>
              <w:t>Página WEB (1)</w:t>
            </w:r>
          </w:p>
        </w:tc>
        <w:tc>
          <w:tcPr>
            <w:tcW w:w="1733" w:type="dxa"/>
            <w:tcBorders>
              <w:top w:val="nil"/>
              <w:left w:val="nil"/>
              <w:bottom w:val="single" w:sz="8" w:space="0" w:color="auto"/>
              <w:right w:val="single" w:sz="8" w:space="0" w:color="auto"/>
            </w:tcBorders>
            <w:shd w:val="clear" w:color="auto" w:fill="auto"/>
            <w:vAlign w:val="center"/>
            <w:hideMark/>
          </w:tcPr>
          <w:p w14:paraId="1DD6152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4" w:space="0" w:color="auto"/>
              <w:right w:val="single" w:sz="8" w:space="0" w:color="auto"/>
            </w:tcBorders>
            <w:shd w:val="clear" w:color="auto" w:fill="auto"/>
            <w:hideMark/>
          </w:tcPr>
          <w:p w14:paraId="38F6111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Correo Electrónico: Mayo y octubre</w:t>
            </w:r>
            <w:r w:rsidRPr="00EB230E">
              <w:rPr>
                <w:rFonts w:ascii="Calibri" w:eastAsia="Times New Roman" w:hAnsi="Calibri" w:cs="Times New Roman"/>
                <w:color w:val="000000"/>
                <w:sz w:val="24"/>
                <w:szCs w:val="24"/>
                <w:lang w:eastAsia="es-CO"/>
              </w:rPr>
              <w:br/>
              <w:t>Página WEB: Permanente</w:t>
            </w:r>
          </w:p>
        </w:tc>
      </w:tr>
      <w:tr w:rsidR="00EB230E" w:rsidRPr="00EB230E" w14:paraId="40B537EE" w14:textId="77777777" w:rsidTr="00EB230E">
        <w:trPr>
          <w:trHeight w:val="750"/>
        </w:trPr>
        <w:tc>
          <w:tcPr>
            <w:tcW w:w="1833" w:type="dxa"/>
            <w:vMerge/>
            <w:tcBorders>
              <w:top w:val="nil"/>
              <w:left w:val="single" w:sz="8" w:space="0" w:color="auto"/>
              <w:bottom w:val="single" w:sz="8" w:space="0" w:color="000000"/>
              <w:right w:val="single" w:sz="8" w:space="0" w:color="auto"/>
            </w:tcBorders>
            <w:vAlign w:val="center"/>
            <w:hideMark/>
          </w:tcPr>
          <w:p w14:paraId="50F633A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1028B83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Relacionamiento con el Ciudadano</w:t>
            </w:r>
          </w:p>
        </w:tc>
        <w:tc>
          <w:tcPr>
            <w:tcW w:w="444" w:type="dxa"/>
            <w:tcBorders>
              <w:top w:val="nil"/>
              <w:left w:val="nil"/>
              <w:bottom w:val="single" w:sz="8" w:space="0" w:color="auto"/>
              <w:right w:val="single" w:sz="8" w:space="0" w:color="auto"/>
            </w:tcBorders>
            <w:shd w:val="clear" w:color="auto" w:fill="auto"/>
            <w:vAlign w:val="center"/>
            <w:hideMark/>
          </w:tcPr>
          <w:p w14:paraId="052F8C9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5.1</w:t>
            </w:r>
          </w:p>
        </w:tc>
        <w:tc>
          <w:tcPr>
            <w:tcW w:w="2747" w:type="dxa"/>
            <w:tcBorders>
              <w:top w:val="nil"/>
              <w:left w:val="nil"/>
              <w:bottom w:val="single" w:sz="8" w:space="0" w:color="auto"/>
              <w:right w:val="single" w:sz="8" w:space="0" w:color="auto"/>
            </w:tcBorders>
            <w:shd w:val="clear" w:color="auto" w:fill="auto"/>
            <w:hideMark/>
          </w:tcPr>
          <w:p w14:paraId="0C3248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la Caracterización de usuarios por parte de todas las áreas de la ANI</w:t>
            </w:r>
          </w:p>
        </w:tc>
        <w:tc>
          <w:tcPr>
            <w:tcW w:w="2126" w:type="dxa"/>
            <w:tcBorders>
              <w:top w:val="nil"/>
              <w:left w:val="nil"/>
              <w:bottom w:val="single" w:sz="8" w:space="0" w:color="auto"/>
              <w:right w:val="single" w:sz="8" w:space="0" w:color="auto"/>
            </w:tcBorders>
            <w:shd w:val="clear" w:color="auto" w:fill="auto"/>
            <w:vAlign w:val="center"/>
            <w:hideMark/>
          </w:tcPr>
          <w:p w14:paraId="00083B8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Matriz (1)</w:t>
            </w:r>
          </w:p>
        </w:tc>
        <w:tc>
          <w:tcPr>
            <w:tcW w:w="1733" w:type="dxa"/>
            <w:tcBorders>
              <w:top w:val="nil"/>
              <w:left w:val="nil"/>
              <w:bottom w:val="single" w:sz="8" w:space="0" w:color="auto"/>
              <w:right w:val="single" w:sz="8" w:space="0" w:color="auto"/>
            </w:tcBorders>
            <w:shd w:val="clear" w:color="auto" w:fill="auto"/>
            <w:vAlign w:val="center"/>
            <w:hideMark/>
          </w:tcPr>
          <w:p w14:paraId="56E02E3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8" w:space="0" w:color="auto"/>
              <w:right w:val="single" w:sz="8" w:space="0" w:color="auto"/>
            </w:tcBorders>
            <w:shd w:val="clear" w:color="auto" w:fill="auto"/>
            <w:hideMark/>
          </w:tcPr>
          <w:p w14:paraId="715ABA9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may-17</w:t>
            </w:r>
          </w:p>
        </w:tc>
      </w:tr>
      <w:tr w:rsidR="00EB230E" w:rsidRPr="00EB230E" w14:paraId="36C42800" w14:textId="77777777" w:rsidTr="00EB230E">
        <w:trPr>
          <w:trHeight w:val="93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F6FB8"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5: Transparencia y Acceso a la Información</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DDD998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Lineamientos de</w:t>
            </w:r>
            <w:r w:rsidRPr="00EB230E">
              <w:rPr>
                <w:rFonts w:ascii="Arial" w:eastAsia="Times New Roman" w:hAnsi="Arial" w:cs="Arial"/>
                <w:color w:val="000000"/>
                <w:sz w:val="16"/>
                <w:szCs w:val="16"/>
                <w:lang w:eastAsia="es-CO"/>
              </w:rPr>
              <w:t xml:space="preserve"> </w:t>
            </w:r>
            <w:r w:rsidRPr="00EB230E">
              <w:rPr>
                <w:rFonts w:ascii="Calibri" w:eastAsia="Times New Roman" w:hAnsi="Calibri" w:cs="Times New Roman"/>
                <w:color w:val="000000"/>
                <w:sz w:val="24"/>
                <w:szCs w:val="24"/>
                <w:lang w:eastAsia="es-CO"/>
              </w:rPr>
              <w:t>Transparencia Activa</w:t>
            </w:r>
          </w:p>
        </w:tc>
        <w:tc>
          <w:tcPr>
            <w:tcW w:w="444" w:type="dxa"/>
            <w:tcBorders>
              <w:top w:val="nil"/>
              <w:left w:val="nil"/>
              <w:bottom w:val="single" w:sz="4" w:space="0" w:color="auto"/>
              <w:right w:val="single" w:sz="8" w:space="0" w:color="auto"/>
            </w:tcBorders>
            <w:shd w:val="clear" w:color="auto" w:fill="auto"/>
            <w:vAlign w:val="center"/>
            <w:hideMark/>
          </w:tcPr>
          <w:p w14:paraId="4958501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4" w:space="0" w:color="auto"/>
              <w:right w:val="single" w:sz="8" w:space="0" w:color="auto"/>
            </w:tcBorders>
            <w:shd w:val="clear" w:color="auto" w:fill="auto"/>
            <w:hideMark/>
          </w:tcPr>
          <w:p w14:paraId="5C04CCE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Actualización permanente de la información en la página WEB</w:t>
            </w:r>
          </w:p>
        </w:tc>
        <w:tc>
          <w:tcPr>
            <w:tcW w:w="2126" w:type="dxa"/>
            <w:tcBorders>
              <w:top w:val="nil"/>
              <w:left w:val="nil"/>
              <w:bottom w:val="single" w:sz="4" w:space="0" w:color="auto"/>
              <w:right w:val="single" w:sz="8" w:space="0" w:color="auto"/>
            </w:tcBorders>
            <w:shd w:val="clear" w:color="auto" w:fill="auto"/>
            <w:vAlign w:val="center"/>
            <w:hideMark/>
          </w:tcPr>
          <w:p w14:paraId="3F36B31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Actualización Página Web (2)</w:t>
            </w:r>
          </w:p>
        </w:tc>
        <w:tc>
          <w:tcPr>
            <w:tcW w:w="1733" w:type="dxa"/>
            <w:tcBorders>
              <w:top w:val="nil"/>
              <w:left w:val="nil"/>
              <w:bottom w:val="single" w:sz="8" w:space="0" w:color="auto"/>
              <w:right w:val="single" w:sz="8" w:space="0" w:color="auto"/>
            </w:tcBorders>
            <w:shd w:val="clear" w:color="auto" w:fill="auto"/>
            <w:vAlign w:val="center"/>
            <w:hideMark/>
          </w:tcPr>
          <w:p w14:paraId="3081FB2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Oficina de Comunicaciones</w:t>
            </w:r>
          </w:p>
        </w:tc>
        <w:tc>
          <w:tcPr>
            <w:tcW w:w="2129" w:type="dxa"/>
            <w:tcBorders>
              <w:top w:val="nil"/>
              <w:left w:val="nil"/>
              <w:bottom w:val="single" w:sz="4" w:space="0" w:color="auto"/>
              <w:right w:val="single" w:sz="8" w:space="0" w:color="auto"/>
            </w:tcBorders>
            <w:shd w:val="clear" w:color="auto" w:fill="auto"/>
            <w:hideMark/>
          </w:tcPr>
          <w:p w14:paraId="058E14E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Julio Diciembre</w:t>
            </w:r>
          </w:p>
        </w:tc>
      </w:tr>
      <w:tr w:rsidR="00EB230E" w:rsidRPr="00EB230E" w14:paraId="539533E5"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1E3F522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E4081C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BC0A68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8" w:space="0" w:color="auto"/>
              <w:right w:val="single" w:sz="8" w:space="0" w:color="auto"/>
            </w:tcBorders>
            <w:shd w:val="clear" w:color="auto" w:fill="auto"/>
            <w:hideMark/>
          </w:tcPr>
          <w:p w14:paraId="78C1A26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Diligenciamiento de la Matriz de autodiagnóstico de la Ley 1712 - PGR</w:t>
            </w:r>
          </w:p>
        </w:tc>
        <w:tc>
          <w:tcPr>
            <w:tcW w:w="2126" w:type="dxa"/>
            <w:tcBorders>
              <w:top w:val="nil"/>
              <w:left w:val="nil"/>
              <w:bottom w:val="single" w:sz="8" w:space="0" w:color="auto"/>
              <w:right w:val="single" w:sz="8" w:space="0" w:color="auto"/>
            </w:tcBorders>
            <w:shd w:val="clear" w:color="auto" w:fill="auto"/>
            <w:vAlign w:val="center"/>
            <w:hideMark/>
          </w:tcPr>
          <w:p w14:paraId="3780DC1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Matriz diligenciada (1)</w:t>
            </w:r>
          </w:p>
        </w:tc>
        <w:tc>
          <w:tcPr>
            <w:tcW w:w="1733" w:type="dxa"/>
            <w:tcBorders>
              <w:top w:val="nil"/>
              <w:left w:val="nil"/>
              <w:bottom w:val="single" w:sz="8" w:space="0" w:color="auto"/>
              <w:right w:val="single" w:sz="8" w:space="0" w:color="auto"/>
            </w:tcBorders>
            <w:shd w:val="clear" w:color="auto" w:fill="auto"/>
            <w:vAlign w:val="center"/>
            <w:hideMark/>
          </w:tcPr>
          <w:p w14:paraId="6588CDC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Planeación</w:t>
            </w:r>
          </w:p>
        </w:tc>
        <w:tc>
          <w:tcPr>
            <w:tcW w:w="2129" w:type="dxa"/>
            <w:tcBorders>
              <w:top w:val="nil"/>
              <w:left w:val="nil"/>
              <w:bottom w:val="single" w:sz="8" w:space="0" w:color="auto"/>
              <w:right w:val="single" w:sz="8" w:space="0" w:color="auto"/>
            </w:tcBorders>
            <w:shd w:val="clear" w:color="auto" w:fill="auto"/>
            <w:hideMark/>
          </w:tcPr>
          <w:p w14:paraId="4C4A25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0EE3C59B" w14:textId="77777777" w:rsidTr="00EB230E">
        <w:trPr>
          <w:trHeight w:val="405"/>
        </w:trPr>
        <w:tc>
          <w:tcPr>
            <w:tcW w:w="1833" w:type="dxa"/>
            <w:vMerge/>
            <w:tcBorders>
              <w:top w:val="nil"/>
              <w:left w:val="single" w:sz="8" w:space="0" w:color="auto"/>
              <w:bottom w:val="single" w:sz="8" w:space="0" w:color="000000"/>
              <w:right w:val="single" w:sz="8" w:space="0" w:color="auto"/>
            </w:tcBorders>
            <w:vAlign w:val="center"/>
            <w:hideMark/>
          </w:tcPr>
          <w:p w14:paraId="1DF4B94D"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5075820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70A5C8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1.3</w:t>
            </w:r>
          </w:p>
        </w:tc>
        <w:tc>
          <w:tcPr>
            <w:tcW w:w="2747" w:type="dxa"/>
            <w:tcBorders>
              <w:top w:val="nil"/>
              <w:left w:val="nil"/>
              <w:bottom w:val="single" w:sz="8" w:space="0" w:color="auto"/>
              <w:right w:val="single" w:sz="8" w:space="0" w:color="auto"/>
            </w:tcBorders>
            <w:shd w:val="clear" w:color="auto" w:fill="auto"/>
            <w:hideMark/>
          </w:tcPr>
          <w:p w14:paraId="738D596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módulo de Hojas de Vida SIGEP</w:t>
            </w:r>
          </w:p>
        </w:tc>
        <w:tc>
          <w:tcPr>
            <w:tcW w:w="2126" w:type="dxa"/>
            <w:tcBorders>
              <w:top w:val="nil"/>
              <w:left w:val="nil"/>
              <w:bottom w:val="single" w:sz="8" w:space="0" w:color="auto"/>
              <w:right w:val="single" w:sz="8" w:space="0" w:color="auto"/>
            </w:tcBorders>
            <w:shd w:val="clear" w:color="auto" w:fill="auto"/>
            <w:vAlign w:val="center"/>
            <w:hideMark/>
          </w:tcPr>
          <w:p w14:paraId="10AC7A0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43D200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6A63BA0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w:t>
            </w:r>
          </w:p>
        </w:tc>
      </w:tr>
      <w:tr w:rsidR="00EB230E" w:rsidRPr="00EB230E" w14:paraId="37896070" w14:textId="77777777" w:rsidTr="00EB230E">
        <w:trPr>
          <w:trHeight w:val="405"/>
        </w:trPr>
        <w:tc>
          <w:tcPr>
            <w:tcW w:w="1833" w:type="dxa"/>
            <w:vMerge/>
            <w:tcBorders>
              <w:top w:val="nil"/>
              <w:left w:val="single" w:sz="8" w:space="0" w:color="auto"/>
              <w:bottom w:val="single" w:sz="8" w:space="0" w:color="000000"/>
              <w:right w:val="single" w:sz="8" w:space="0" w:color="auto"/>
            </w:tcBorders>
            <w:vAlign w:val="center"/>
            <w:hideMark/>
          </w:tcPr>
          <w:p w14:paraId="53208DD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EE7C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3232A1B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1.4</w:t>
            </w:r>
          </w:p>
        </w:tc>
        <w:tc>
          <w:tcPr>
            <w:tcW w:w="2747" w:type="dxa"/>
            <w:tcBorders>
              <w:top w:val="nil"/>
              <w:left w:val="nil"/>
              <w:bottom w:val="single" w:sz="8" w:space="0" w:color="auto"/>
              <w:right w:val="single" w:sz="8" w:space="0" w:color="auto"/>
            </w:tcBorders>
            <w:shd w:val="clear" w:color="auto" w:fill="auto"/>
            <w:hideMark/>
          </w:tcPr>
          <w:p w14:paraId="5B72B64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el módulo de Bienes y Rentas</w:t>
            </w:r>
          </w:p>
        </w:tc>
        <w:tc>
          <w:tcPr>
            <w:tcW w:w="2126" w:type="dxa"/>
            <w:tcBorders>
              <w:top w:val="nil"/>
              <w:left w:val="nil"/>
              <w:bottom w:val="single" w:sz="8" w:space="0" w:color="auto"/>
              <w:right w:val="single" w:sz="8" w:space="0" w:color="auto"/>
            </w:tcBorders>
            <w:shd w:val="clear" w:color="auto" w:fill="auto"/>
            <w:vAlign w:val="center"/>
            <w:hideMark/>
          </w:tcPr>
          <w:p w14:paraId="5AC7C8F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3D7579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5EBA98E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Marzo de 2017</w:t>
            </w:r>
          </w:p>
        </w:tc>
      </w:tr>
      <w:tr w:rsidR="00EB230E" w:rsidRPr="00EB230E" w14:paraId="5386A4EB"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C45863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23A2062"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AF8F88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1.5</w:t>
            </w:r>
          </w:p>
        </w:tc>
        <w:tc>
          <w:tcPr>
            <w:tcW w:w="2747" w:type="dxa"/>
            <w:tcBorders>
              <w:top w:val="nil"/>
              <w:left w:val="nil"/>
              <w:bottom w:val="single" w:sz="8" w:space="0" w:color="auto"/>
              <w:right w:val="single" w:sz="8" w:space="0" w:color="auto"/>
            </w:tcBorders>
            <w:shd w:val="clear" w:color="auto" w:fill="auto"/>
            <w:hideMark/>
          </w:tcPr>
          <w:p w14:paraId="0C629A2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Gestionar el módulo de Vinculación y Desvinculación</w:t>
            </w:r>
          </w:p>
        </w:tc>
        <w:tc>
          <w:tcPr>
            <w:tcW w:w="2126" w:type="dxa"/>
            <w:tcBorders>
              <w:top w:val="nil"/>
              <w:left w:val="nil"/>
              <w:bottom w:val="single" w:sz="8" w:space="0" w:color="auto"/>
              <w:right w:val="single" w:sz="8" w:space="0" w:color="auto"/>
            </w:tcBorders>
            <w:shd w:val="clear" w:color="auto" w:fill="auto"/>
            <w:vAlign w:val="center"/>
            <w:hideMark/>
          </w:tcPr>
          <w:p w14:paraId="3DC17FFD"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Módulo actualizado</w:t>
            </w:r>
          </w:p>
        </w:tc>
        <w:tc>
          <w:tcPr>
            <w:tcW w:w="1733" w:type="dxa"/>
            <w:tcBorders>
              <w:top w:val="nil"/>
              <w:left w:val="nil"/>
              <w:bottom w:val="single" w:sz="8" w:space="0" w:color="auto"/>
              <w:right w:val="single" w:sz="8" w:space="0" w:color="auto"/>
            </w:tcBorders>
            <w:shd w:val="clear" w:color="auto" w:fill="auto"/>
            <w:vAlign w:val="center"/>
            <w:hideMark/>
          </w:tcPr>
          <w:p w14:paraId="4357DAB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Talento Humano</w:t>
            </w:r>
          </w:p>
        </w:tc>
        <w:tc>
          <w:tcPr>
            <w:tcW w:w="2129" w:type="dxa"/>
            <w:tcBorders>
              <w:top w:val="nil"/>
              <w:left w:val="nil"/>
              <w:bottom w:val="single" w:sz="8" w:space="0" w:color="auto"/>
              <w:right w:val="single" w:sz="8" w:space="0" w:color="auto"/>
            </w:tcBorders>
            <w:shd w:val="clear" w:color="auto" w:fill="auto"/>
            <w:hideMark/>
          </w:tcPr>
          <w:p w14:paraId="1C6E6E3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Permanente</w:t>
            </w:r>
          </w:p>
        </w:tc>
      </w:tr>
      <w:tr w:rsidR="00EB230E" w:rsidRPr="00EB230E" w14:paraId="38A40AF6" w14:textId="77777777" w:rsidTr="00EB230E">
        <w:trPr>
          <w:trHeight w:val="960"/>
        </w:trPr>
        <w:tc>
          <w:tcPr>
            <w:tcW w:w="1833" w:type="dxa"/>
            <w:vMerge/>
            <w:tcBorders>
              <w:top w:val="nil"/>
              <w:left w:val="single" w:sz="8" w:space="0" w:color="auto"/>
              <w:bottom w:val="single" w:sz="8" w:space="0" w:color="000000"/>
              <w:right w:val="single" w:sz="8" w:space="0" w:color="auto"/>
            </w:tcBorders>
            <w:vAlign w:val="center"/>
            <w:hideMark/>
          </w:tcPr>
          <w:p w14:paraId="6F71B804"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8AD59D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2D5BF4E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1.6</w:t>
            </w:r>
          </w:p>
        </w:tc>
        <w:tc>
          <w:tcPr>
            <w:tcW w:w="2747" w:type="dxa"/>
            <w:tcBorders>
              <w:top w:val="nil"/>
              <w:left w:val="nil"/>
              <w:bottom w:val="single" w:sz="8" w:space="0" w:color="auto"/>
              <w:right w:val="single" w:sz="8" w:space="0" w:color="auto"/>
            </w:tcBorders>
            <w:shd w:val="clear" w:color="auto" w:fill="auto"/>
            <w:hideMark/>
          </w:tcPr>
          <w:p w14:paraId="3BCF287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Proponer estrategias para motivar la aplicación de la Ley 1712 de 2014 y el Decreto 103 de 2015 por parte de concesionarios e interventorías.</w:t>
            </w:r>
          </w:p>
        </w:tc>
        <w:tc>
          <w:tcPr>
            <w:tcW w:w="2126" w:type="dxa"/>
            <w:tcBorders>
              <w:top w:val="nil"/>
              <w:left w:val="nil"/>
              <w:bottom w:val="single" w:sz="8" w:space="0" w:color="auto"/>
              <w:right w:val="single" w:sz="8" w:space="0" w:color="auto"/>
            </w:tcBorders>
            <w:shd w:val="clear" w:color="auto" w:fill="auto"/>
            <w:vAlign w:val="center"/>
            <w:hideMark/>
          </w:tcPr>
          <w:p w14:paraId="15515D2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Estrategia implementada</w:t>
            </w:r>
          </w:p>
        </w:tc>
        <w:tc>
          <w:tcPr>
            <w:tcW w:w="1733" w:type="dxa"/>
            <w:tcBorders>
              <w:top w:val="nil"/>
              <w:left w:val="nil"/>
              <w:bottom w:val="single" w:sz="8" w:space="0" w:color="auto"/>
              <w:right w:val="single" w:sz="8" w:space="0" w:color="auto"/>
            </w:tcBorders>
            <w:shd w:val="clear" w:color="auto" w:fill="auto"/>
            <w:vAlign w:val="center"/>
            <w:hideMark/>
          </w:tcPr>
          <w:p w14:paraId="6D6FE39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Asesor de presidencia.</w:t>
            </w:r>
          </w:p>
        </w:tc>
        <w:tc>
          <w:tcPr>
            <w:tcW w:w="2129" w:type="dxa"/>
            <w:tcBorders>
              <w:top w:val="nil"/>
              <w:left w:val="nil"/>
              <w:bottom w:val="single" w:sz="8" w:space="0" w:color="auto"/>
              <w:right w:val="single" w:sz="8" w:space="0" w:color="auto"/>
            </w:tcBorders>
            <w:shd w:val="clear" w:color="auto" w:fill="auto"/>
            <w:hideMark/>
          </w:tcPr>
          <w:p w14:paraId="787B98D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48203991"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08454D85"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65BBAC1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Lineamientos de transparencia pasiva</w:t>
            </w:r>
          </w:p>
        </w:tc>
        <w:tc>
          <w:tcPr>
            <w:tcW w:w="444" w:type="dxa"/>
            <w:tcBorders>
              <w:top w:val="nil"/>
              <w:left w:val="nil"/>
              <w:bottom w:val="single" w:sz="4" w:space="0" w:color="auto"/>
              <w:right w:val="single" w:sz="8" w:space="0" w:color="auto"/>
            </w:tcBorders>
            <w:shd w:val="clear" w:color="auto" w:fill="auto"/>
            <w:vAlign w:val="center"/>
            <w:hideMark/>
          </w:tcPr>
          <w:p w14:paraId="6BC6318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4" w:space="0" w:color="auto"/>
              <w:right w:val="single" w:sz="8" w:space="0" w:color="auto"/>
            </w:tcBorders>
            <w:shd w:val="clear" w:color="auto" w:fill="auto"/>
            <w:hideMark/>
          </w:tcPr>
          <w:p w14:paraId="2D67820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informes PQRS</w:t>
            </w:r>
          </w:p>
        </w:tc>
        <w:tc>
          <w:tcPr>
            <w:tcW w:w="2126" w:type="dxa"/>
            <w:tcBorders>
              <w:top w:val="nil"/>
              <w:left w:val="nil"/>
              <w:bottom w:val="single" w:sz="4" w:space="0" w:color="auto"/>
              <w:right w:val="single" w:sz="8" w:space="0" w:color="auto"/>
            </w:tcBorders>
            <w:shd w:val="clear" w:color="auto" w:fill="auto"/>
            <w:vAlign w:val="center"/>
            <w:hideMark/>
          </w:tcPr>
          <w:p w14:paraId="76F3386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Informes (4)</w:t>
            </w:r>
          </w:p>
        </w:tc>
        <w:tc>
          <w:tcPr>
            <w:tcW w:w="1733" w:type="dxa"/>
            <w:tcBorders>
              <w:top w:val="nil"/>
              <w:left w:val="nil"/>
              <w:bottom w:val="single" w:sz="8" w:space="0" w:color="auto"/>
              <w:right w:val="single" w:sz="8" w:space="0" w:color="auto"/>
            </w:tcBorders>
            <w:shd w:val="clear" w:color="auto" w:fill="auto"/>
            <w:vAlign w:val="center"/>
            <w:hideMark/>
          </w:tcPr>
          <w:p w14:paraId="6BC7B1A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single" w:sz="4" w:space="0" w:color="auto"/>
              <w:right w:val="single" w:sz="8" w:space="0" w:color="auto"/>
            </w:tcBorders>
            <w:shd w:val="clear" w:color="auto" w:fill="auto"/>
            <w:hideMark/>
          </w:tcPr>
          <w:p w14:paraId="66F7B67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w:t>
            </w:r>
          </w:p>
        </w:tc>
      </w:tr>
      <w:tr w:rsidR="00EB230E" w:rsidRPr="00EB230E" w14:paraId="65CA97DF" w14:textId="77777777" w:rsidTr="00EB230E">
        <w:trPr>
          <w:trHeight w:val="1590"/>
        </w:trPr>
        <w:tc>
          <w:tcPr>
            <w:tcW w:w="1833" w:type="dxa"/>
            <w:vMerge/>
            <w:tcBorders>
              <w:top w:val="nil"/>
              <w:left w:val="single" w:sz="8" w:space="0" w:color="auto"/>
              <w:bottom w:val="single" w:sz="8" w:space="0" w:color="000000"/>
              <w:right w:val="single" w:sz="8" w:space="0" w:color="auto"/>
            </w:tcBorders>
            <w:vAlign w:val="center"/>
            <w:hideMark/>
          </w:tcPr>
          <w:p w14:paraId="174D41F3"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09E7CBB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C7DF28F"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26CF26B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Revisar e incluir en los casos que sea necesario la obligatoriedad de publicar en la página Web de la Entidad la información relacionada con transparencia en los procedimientos de las dependencias.</w:t>
            </w:r>
          </w:p>
        </w:tc>
        <w:tc>
          <w:tcPr>
            <w:tcW w:w="2126" w:type="dxa"/>
            <w:tcBorders>
              <w:top w:val="nil"/>
              <w:left w:val="nil"/>
              <w:bottom w:val="single" w:sz="8" w:space="0" w:color="auto"/>
              <w:right w:val="single" w:sz="8" w:space="0" w:color="auto"/>
            </w:tcBorders>
            <w:shd w:val="clear" w:color="auto" w:fill="auto"/>
            <w:vAlign w:val="center"/>
            <w:hideMark/>
          </w:tcPr>
          <w:p w14:paraId="740C77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Procedimiento actualizado</w:t>
            </w:r>
          </w:p>
        </w:tc>
        <w:tc>
          <w:tcPr>
            <w:tcW w:w="1733" w:type="dxa"/>
            <w:tcBorders>
              <w:top w:val="nil"/>
              <w:left w:val="nil"/>
              <w:bottom w:val="single" w:sz="8" w:space="0" w:color="auto"/>
              <w:right w:val="single" w:sz="8" w:space="0" w:color="auto"/>
            </w:tcBorders>
            <w:shd w:val="clear" w:color="auto" w:fill="auto"/>
            <w:vAlign w:val="center"/>
            <w:hideMark/>
          </w:tcPr>
          <w:p w14:paraId="1D458EA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Dependencias responsables</w:t>
            </w:r>
          </w:p>
        </w:tc>
        <w:tc>
          <w:tcPr>
            <w:tcW w:w="2129" w:type="dxa"/>
            <w:tcBorders>
              <w:top w:val="nil"/>
              <w:left w:val="nil"/>
              <w:bottom w:val="single" w:sz="8" w:space="0" w:color="auto"/>
              <w:right w:val="single" w:sz="8" w:space="0" w:color="auto"/>
            </w:tcBorders>
            <w:shd w:val="clear" w:color="auto" w:fill="auto"/>
            <w:hideMark/>
          </w:tcPr>
          <w:p w14:paraId="107EA69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312902E3" w14:textId="77777777" w:rsidTr="00EB230E">
        <w:trPr>
          <w:trHeight w:val="1080"/>
        </w:trPr>
        <w:tc>
          <w:tcPr>
            <w:tcW w:w="1833" w:type="dxa"/>
            <w:vMerge/>
            <w:tcBorders>
              <w:top w:val="nil"/>
              <w:left w:val="single" w:sz="8" w:space="0" w:color="auto"/>
              <w:bottom w:val="single" w:sz="8" w:space="0" w:color="000000"/>
              <w:right w:val="single" w:sz="8" w:space="0" w:color="auto"/>
            </w:tcBorders>
            <w:vAlign w:val="center"/>
            <w:hideMark/>
          </w:tcPr>
          <w:p w14:paraId="283120C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7FC23E5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9DD77B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8" w:space="0" w:color="auto"/>
              <w:right w:val="single" w:sz="8" w:space="0" w:color="auto"/>
            </w:tcBorders>
            <w:shd w:val="clear" w:color="auto" w:fill="auto"/>
            <w:hideMark/>
          </w:tcPr>
          <w:p w14:paraId="2046ED5E"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Documentar el plan de acción para la implementación de la norma ISO 37001. “Sistema de gestión anti-soborno”.</w:t>
            </w:r>
          </w:p>
        </w:tc>
        <w:tc>
          <w:tcPr>
            <w:tcW w:w="2126" w:type="dxa"/>
            <w:tcBorders>
              <w:top w:val="nil"/>
              <w:left w:val="nil"/>
              <w:bottom w:val="single" w:sz="8" w:space="0" w:color="auto"/>
              <w:right w:val="single" w:sz="8" w:space="0" w:color="auto"/>
            </w:tcBorders>
            <w:shd w:val="clear" w:color="auto" w:fill="auto"/>
            <w:vAlign w:val="center"/>
            <w:hideMark/>
          </w:tcPr>
          <w:p w14:paraId="5C0CFDF9"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Plan de acción aprobado</w:t>
            </w:r>
          </w:p>
        </w:tc>
        <w:tc>
          <w:tcPr>
            <w:tcW w:w="1733" w:type="dxa"/>
            <w:tcBorders>
              <w:top w:val="nil"/>
              <w:left w:val="nil"/>
              <w:bottom w:val="single" w:sz="8" w:space="0" w:color="auto"/>
              <w:right w:val="single" w:sz="8" w:space="0" w:color="auto"/>
            </w:tcBorders>
            <w:shd w:val="clear" w:color="auto" w:fill="auto"/>
            <w:vAlign w:val="center"/>
            <w:hideMark/>
          </w:tcPr>
          <w:p w14:paraId="79781697"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Asesor de presidencia.</w:t>
            </w:r>
          </w:p>
        </w:tc>
        <w:tc>
          <w:tcPr>
            <w:tcW w:w="2129" w:type="dxa"/>
            <w:tcBorders>
              <w:top w:val="nil"/>
              <w:left w:val="nil"/>
              <w:bottom w:val="single" w:sz="8" w:space="0" w:color="auto"/>
              <w:right w:val="single" w:sz="8" w:space="0" w:color="auto"/>
            </w:tcBorders>
            <w:shd w:val="clear" w:color="auto" w:fill="auto"/>
            <w:hideMark/>
          </w:tcPr>
          <w:p w14:paraId="0F07969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5FE170DF" w14:textId="77777777" w:rsidTr="00EB230E">
        <w:trPr>
          <w:trHeight w:val="1350"/>
        </w:trPr>
        <w:tc>
          <w:tcPr>
            <w:tcW w:w="1833" w:type="dxa"/>
            <w:vMerge/>
            <w:tcBorders>
              <w:top w:val="nil"/>
              <w:left w:val="single" w:sz="8" w:space="0" w:color="auto"/>
              <w:bottom w:val="single" w:sz="8" w:space="0" w:color="000000"/>
              <w:right w:val="single" w:sz="8" w:space="0" w:color="auto"/>
            </w:tcBorders>
            <w:vAlign w:val="center"/>
            <w:hideMark/>
          </w:tcPr>
          <w:p w14:paraId="0D6084C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4AD17BC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Elaboración de los instrumentos de gestión de la información</w:t>
            </w:r>
          </w:p>
        </w:tc>
        <w:tc>
          <w:tcPr>
            <w:tcW w:w="444" w:type="dxa"/>
            <w:tcBorders>
              <w:top w:val="nil"/>
              <w:left w:val="nil"/>
              <w:bottom w:val="single" w:sz="8" w:space="0" w:color="auto"/>
              <w:right w:val="single" w:sz="8" w:space="0" w:color="auto"/>
            </w:tcBorders>
            <w:shd w:val="clear" w:color="auto" w:fill="auto"/>
            <w:vAlign w:val="center"/>
            <w:hideMark/>
          </w:tcPr>
          <w:p w14:paraId="6185C2A7"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3.1</w:t>
            </w:r>
          </w:p>
        </w:tc>
        <w:tc>
          <w:tcPr>
            <w:tcW w:w="2747" w:type="dxa"/>
            <w:tcBorders>
              <w:top w:val="nil"/>
              <w:left w:val="nil"/>
              <w:bottom w:val="single" w:sz="8" w:space="0" w:color="auto"/>
              <w:right w:val="single" w:sz="8" w:space="0" w:color="auto"/>
            </w:tcBorders>
            <w:shd w:val="clear" w:color="auto" w:fill="auto"/>
            <w:hideMark/>
          </w:tcPr>
          <w:p w14:paraId="6389603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y publicar el Programa de Gestión Documental</w:t>
            </w:r>
          </w:p>
        </w:tc>
        <w:tc>
          <w:tcPr>
            <w:tcW w:w="2126" w:type="dxa"/>
            <w:tcBorders>
              <w:top w:val="nil"/>
              <w:left w:val="nil"/>
              <w:bottom w:val="single" w:sz="8" w:space="0" w:color="auto"/>
              <w:right w:val="single" w:sz="8" w:space="0" w:color="auto"/>
            </w:tcBorders>
            <w:shd w:val="clear" w:color="auto" w:fill="auto"/>
            <w:vAlign w:val="center"/>
            <w:hideMark/>
          </w:tcPr>
          <w:p w14:paraId="283C7512"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Programa publicado (1)</w:t>
            </w:r>
          </w:p>
        </w:tc>
        <w:tc>
          <w:tcPr>
            <w:tcW w:w="1733" w:type="dxa"/>
            <w:tcBorders>
              <w:top w:val="nil"/>
              <w:left w:val="nil"/>
              <w:bottom w:val="single" w:sz="8" w:space="0" w:color="auto"/>
              <w:right w:val="single" w:sz="8" w:space="0" w:color="auto"/>
            </w:tcBorders>
            <w:shd w:val="clear" w:color="auto" w:fill="auto"/>
            <w:vAlign w:val="center"/>
            <w:hideMark/>
          </w:tcPr>
          <w:p w14:paraId="326406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Archivo</w:t>
            </w:r>
          </w:p>
        </w:tc>
        <w:tc>
          <w:tcPr>
            <w:tcW w:w="2129" w:type="dxa"/>
            <w:tcBorders>
              <w:top w:val="nil"/>
              <w:left w:val="nil"/>
              <w:bottom w:val="single" w:sz="8" w:space="0" w:color="auto"/>
              <w:right w:val="single" w:sz="8" w:space="0" w:color="auto"/>
            </w:tcBorders>
            <w:shd w:val="clear" w:color="auto" w:fill="auto"/>
            <w:hideMark/>
          </w:tcPr>
          <w:p w14:paraId="425F5F8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Abril de 2017</w:t>
            </w:r>
          </w:p>
        </w:tc>
      </w:tr>
      <w:tr w:rsidR="00EB230E" w:rsidRPr="00EB230E" w14:paraId="00EA9013" w14:textId="77777777" w:rsidTr="00EB230E">
        <w:trPr>
          <w:trHeight w:val="915"/>
        </w:trPr>
        <w:tc>
          <w:tcPr>
            <w:tcW w:w="1833" w:type="dxa"/>
            <w:vMerge/>
            <w:tcBorders>
              <w:top w:val="nil"/>
              <w:left w:val="single" w:sz="8" w:space="0" w:color="auto"/>
              <w:bottom w:val="single" w:sz="8" w:space="0" w:color="000000"/>
              <w:right w:val="single" w:sz="8" w:space="0" w:color="auto"/>
            </w:tcBorders>
            <w:vAlign w:val="center"/>
            <w:hideMark/>
          </w:tcPr>
          <w:p w14:paraId="66B4143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4" w:space="0" w:color="auto"/>
              <w:right w:val="single" w:sz="8" w:space="0" w:color="auto"/>
            </w:tcBorders>
            <w:shd w:val="clear" w:color="auto" w:fill="auto"/>
            <w:vAlign w:val="center"/>
            <w:hideMark/>
          </w:tcPr>
          <w:p w14:paraId="25798AA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Criterio Diferencial de Accesibilidad</w:t>
            </w:r>
          </w:p>
        </w:tc>
        <w:tc>
          <w:tcPr>
            <w:tcW w:w="444" w:type="dxa"/>
            <w:tcBorders>
              <w:top w:val="nil"/>
              <w:left w:val="nil"/>
              <w:bottom w:val="nil"/>
              <w:right w:val="single" w:sz="8" w:space="0" w:color="auto"/>
            </w:tcBorders>
            <w:shd w:val="clear" w:color="auto" w:fill="auto"/>
            <w:vAlign w:val="center"/>
            <w:hideMark/>
          </w:tcPr>
          <w:p w14:paraId="42CA0E3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4.1</w:t>
            </w:r>
          </w:p>
        </w:tc>
        <w:tc>
          <w:tcPr>
            <w:tcW w:w="2747" w:type="dxa"/>
            <w:tcBorders>
              <w:top w:val="nil"/>
              <w:left w:val="nil"/>
              <w:bottom w:val="nil"/>
              <w:right w:val="single" w:sz="8" w:space="0" w:color="auto"/>
            </w:tcBorders>
            <w:shd w:val="clear" w:color="auto" w:fill="auto"/>
            <w:hideMark/>
          </w:tcPr>
          <w:p w14:paraId="5C9098D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uso aplicativo Centro de Relevo para atención de personas con discapacidad auditiva</w:t>
            </w:r>
          </w:p>
        </w:tc>
        <w:tc>
          <w:tcPr>
            <w:tcW w:w="2126" w:type="dxa"/>
            <w:tcBorders>
              <w:top w:val="nil"/>
              <w:left w:val="nil"/>
              <w:bottom w:val="nil"/>
              <w:right w:val="single" w:sz="8" w:space="0" w:color="auto"/>
            </w:tcBorders>
            <w:shd w:val="clear" w:color="auto" w:fill="auto"/>
            <w:vAlign w:val="center"/>
            <w:hideMark/>
          </w:tcPr>
          <w:p w14:paraId="32436A4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Capacitación UNIANI</w:t>
            </w:r>
          </w:p>
        </w:tc>
        <w:tc>
          <w:tcPr>
            <w:tcW w:w="1733" w:type="dxa"/>
            <w:tcBorders>
              <w:top w:val="nil"/>
              <w:left w:val="nil"/>
              <w:bottom w:val="single" w:sz="8" w:space="0" w:color="auto"/>
              <w:right w:val="single" w:sz="8" w:space="0" w:color="auto"/>
            </w:tcBorders>
            <w:shd w:val="clear" w:color="auto" w:fill="auto"/>
            <w:vAlign w:val="center"/>
            <w:hideMark/>
          </w:tcPr>
          <w:p w14:paraId="5F513C9F"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nil"/>
              <w:left w:val="nil"/>
              <w:bottom w:val="nil"/>
              <w:right w:val="single" w:sz="8" w:space="0" w:color="auto"/>
            </w:tcBorders>
            <w:shd w:val="clear" w:color="auto" w:fill="auto"/>
            <w:hideMark/>
          </w:tcPr>
          <w:p w14:paraId="4A8F924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5815F578" w14:textId="77777777" w:rsidTr="00EB230E">
        <w:trPr>
          <w:trHeight w:val="1335"/>
        </w:trPr>
        <w:tc>
          <w:tcPr>
            <w:tcW w:w="1833" w:type="dxa"/>
            <w:vMerge/>
            <w:tcBorders>
              <w:top w:val="nil"/>
              <w:left w:val="single" w:sz="8" w:space="0" w:color="auto"/>
              <w:bottom w:val="single" w:sz="8" w:space="0" w:color="000000"/>
              <w:right w:val="single" w:sz="8" w:space="0" w:color="auto"/>
            </w:tcBorders>
            <w:vAlign w:val="center"/>
            <w:hideMark/>
          </w:tcPr>
          <w:p w14:paraId="41A5CED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10FBFE5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Monitoreo del Acceso a la Información Pública</w:t>
            </w:r>
          </w:p>
        </w:tc>
        <w:tc>
          <w:tcPr>
            <w:tcW w:w="444" w:type="dxa"/>
            <w:tcBorders>
              <w:top w:val="single" w:sz="8" w:space="0" w:color="auto"/>
              <w:left w:val="nil"/>
              <w:bottom w:val="single" w:sz="8" w:space="0" w:color="auto"/>
              <w:right w:val="single" w:sz="8" w:space="0" w:color="auto"/>
            </w:tcBorders>
            <w:shd w:val="clear" w:color="auto" w:fill="auto"/>
            <w:vAlign w:val="center"/>
            <w:hideMark/>
          </w:tcPr>
          <w:p w14:paraId="2E585F4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5.1 </w:t>
            </w:r>
          </w:p>
        </w:tc>
        <w:tc>
          <w:tcPr>
            <w:tcW w:w="2747" w:type="dxa"/>
            <w:tcBorders>
              <w:top w:val="single" w:sz="8" w:space="0" w:color="auto"/>
              <w:left w:val="nil"/>
              <w:bottom w:val="single" w:sz="8" w:space="0" w:color="auto"/>
              <w:right w:val="single" w:sz="8" w:space="0" w:color="auto"/>
            </w:tcBorders>
            <w:shd w:val="clear" w:color="auto" w:fill="auto"/>
            <w:hideMark/>
          </w:tcPr>
          <w:p w14:paraId="0F4C690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Publicar informe de solicitudes de acceso a la información </w:t>
            </w:r>
            <w:r w:rsidRPr="00EB230E">
              <w:rPr>
                <w:rFonts w:ascii="Calibri" w:eastAsia="Times New Roman" w:hAnsi="Calibri" w:cs="Times New Roman"/>
                <w:color w:val="000000"/>
                <w:lang w:eastAsia="es-CO"/>
              </w:rPr>
              <w:t>(</w:t>
            </w:r>
            <w:r w:rsidRPr="00EB230E">
              <w:rPr>
                <w:rFonts w:ascii="Calibri" w:eastAsia="Times New Roman" w:hAnsi="Calibri" w:cs="Times New Roman"/>
                <w:color w:val="000000"/>
                <w:sz w:val="12"/>
                <w:szCs w:val="12"/>
                <w:lang w:eastAsia="es-CO"/>
              </w:rPr>
              <w:t>este informe corresponde al incluido en la acción 1.1 del componente 4</w:t>
            </w:r>
            <w:r w:rsidRPr="00EB230E">
              <w:rPr>
                <w:rFonts w:ascii="Calibri" w:eastAsia="Times New Roman" w:hAnsi="Calibri" w:cs="Times New Roman"/>
                <w:color w:val="000000"/>
                <w:lang w:eastAsia="es-CO"/>
              </w:rPr>
              <w:t xml:space="preserve">)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165446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(4)</w:t>
            </w:r>
          </w:p>
        </w:tc>
        <w:tc>
          <w:tcPr>
            <w:tcW w:w="1733" w:type="dxa"/>
            <w:tcBorders>
              <w:top w:val="nil"/>
              <w:left w:val="nil"/>
              <w:bottom w:val="single" w:sz="8" w:space="0" w:color="auto"/>
              <w:right w:val="single" w:sz="8" w:space="0" w:color="auto"/>
            </w:tcBorders>
            <w:shd w:val="clear" w:color="auto" w:fill="auto"/>
            <w:vAlign w:val="center"/>
            <w:hideMark/>
          </w:tcPr>
          <w:p w14:paraId="24FCD7C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Atención al Ciudadano</w:t>
            </w:r>
          </w:p>
        </w:tc>
        <w:tc>
          <w:tcPr>
            <w:tcW w:w="2129" w:type="dxa"/>
            <w:tcBorders>
              <w:top w:val="single" w:sz="8" w:space="0" w:color="auto"/>
              <w:left w:val="nil"/>
              <w:bottom w:val="single" w:sz="8" w:space="0" w:color="auto"/>
              <w:right w:val="single" w:sz="8" w:space="0" w:color="auto"/>
            </w:tcBorders>
            <w:shd w:val="clear" w:color="auto" w:fill="auto"/>
            <w:hideMark/>
          </w:tcPr>
          <w:p w14:paraId="12EE393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abril, julio, octubre de 2017</w:t>
            </w:r>
          </w:p>
        </w:tc>
      </w:tr>
      <w:tr w:rsidR="00EB230E" w:rsidRPr="00EB230E" w14:paraId="4093BE4D" w14:textId="77777777" w:rsidTr="00EB230E">
        <w:trPr>
          <w:trHeight w:val="960"/>
        </w:trPr>
        <w:tc>
          <w:tcPr>
            <w:tcW w:w="18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76CFCD" w14:textId="77777777" w:rsidR="00EB230E" w:rsidRPr="00EB230E" w:rsidRDefault="00EB230E" w:rsidP="00EB230E">
            <w:pPr>
              <w:spacing w:after="0" w:line="240" w:lineRule="auto"/>
              <w:jc w:val="both"/>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Componente 6: Iniciativas Adicionales</w:t>
            </w: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320ECD7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Transparencia en la Contratación</w:t>
            </w:r>
          </w:p>
        </w:tc>
        <w:tc>
          <w:tcPr>
            <w:tcW w:w="444" w:type="dxa"/>
            <w:tcBorders>
              <w:top w:val="nil"/>
              <w:left w:val="nil"/>
              <w:bottom w:val="single" w:sz="8" w:space="0" w:color="auto"/>
              <w:right w:val="single" w:sz="8" w:space="0" w:color="auto"/>
            </w:tcBorders>
            <w:shd w:val="clear" w:color="auto" w:fill="auto"/>
            <w:vAlign w:val="center"/>
            <w:hideMark/>
          </w:tcPr>
          <w:p w14:paraId="7CEDB1A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45C49EC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Mantener el Mecanismo de Reporte de Alto Nivel (MRAN) con la Secretaría de Transparencia de la Presidencia</w:t>
            </w:r>
          </w:p>
        </w:tc>
        <w:tc>
          <w:tcPr>
            <w:tcW w:w="2126" w:type="dxa"/>
            <w:tcBorders>
              <w:top w:val="nil"/>
              <w:left w:val="nil"/>
              <w:bottom w:val="single" w:sz="8" w:space="0" w:color="auto"/>
              <w:right w:val="single" w:sz="8" w:space="0" w:color="auto"/>
            </w:tcBorders>
            <w:shd w:val="clear" w:color="auto" w:fill="auto"/>
            <w:vAlign w:val="center"/>
            <w:hideMark/>
          </w:tcPr>
          <w:p w14:paraId="230BBC6B"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Expertos contratados (ANI, Secretaria de transparencia de la presidencia de la república)</w:t>
            </w:r>
          </w:p>
        </w:tc>
        <w:tc>
          <w:tcPr>
            <w:tcW w:w="1733" w:type="dxa"/>
            <w:tcBorders>
              <w:top w:val="nil"/>
              <w:left w:val="nil"/>
              <w:bottom w:val="single" w:sz="8" w:space="0" w:color="auto"/>
              <w:right w:val="single" w:sz="8" w:space="0" w:color="auto"/>
            </w:tcBorders>
            <w:shd w:val="clear" w:color="auto" w:fill="auto"/>
            <w:vAlign w:val="center"/>
            <w:hideMark/>
          </w:tcPr>
          <w:p w14:paraId="144807FA"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Presidencia Agencia</w:t>
            </w:r>
          </w:p>
        </w:tc>
        <w:tc>
          <w:tcPr>
            <w:tcW w:w="2129" w:type="dxa"/>
            <w:tcBorders>
              <w:top w:val="nil"/>
              <w:left w:val="nil"/>
              <w:bottom w:val="single" w:sz="8" w:space="0" w:color="auto"/>
              <w:right w:val="single" w:sz="8" w:space="0" w:color="auto"/>
            </w:tcBorders>
            <w:shd w:val="clear" w:color="auto" w:fill="auto"/>
            <w:hideMark/>
          </w:tcPr>
          <w:p w14:paraId="2A66B0A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Diciembre de 2017</w:t>
            </w:r>
          </w:p>
        </w:tc>
      </w:tr>
      <w:tr w:rsidR="00EB230E" w:rsidRPr="00EB230E" w14:paraId="6EBEFB1F"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7EF85C52"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18FAB98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65ABBD04"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1.2</w:t>
            </w:r>
          </w:p>
        </w:tc>
        <w:tc>
          <w:tcPr>
            <w:tcW w:w="2747" w:type="dxa"/>
            <w:tcBorders>
              <w:top w:val="nil"/>
              <w:left w:val="nil"/>
              <w:bottom w:val="single" w:sz="4" w:space="0" w:color="auto"/>
              <w:right w:val="single" w:sz="8" w:space="0" w:color="auto"/>
            </w:tcBorders>
            <w:shd w:val="clear" w:color="auto" w:fill="auto"/>
            <w:hideMark/>
          </w:tcPr>
          <w:p w14:paraId="087F27E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Comité de Contratación</w:t>
            </w:r>
          </w:p>
        </w:tc>
        <w:tc>
          <w:tcPr>
            <w:tcW w:w="2126" w:type="dxa"/>
            <w:tcBorders>
              <w:top w:val="nil"/>
              <w:left w:val="nil"/>
              <w:bottom w:val="single" w:sz="4" w:space="0" w:color="auto"/>
              <w:right w:val="single" w:sz="8" w:space="0" w:color="auto"/>
            </w:tcBorders>
            <w:shd w:val="clear" w:color="auto" w:fill="auto"/>
            <w:vAlign w:val="center"/>
            <w:hideMark/>
          </w:tcPr>
          <w:p w14:paraId="112AC6E0"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 comité (48)</w:t>
            </w:r>
          </w:p>
        </w:tc>
        <w:tc>
          <w:tcPr>
            <w:tcW w:w="1733" w:type="dxa"/>
            <w:tcBorders>
              <w:top w:val="nil"/>
              <w:left w:val="nil"/>
              <w:bottom w:val="single" w:sz="8" w:space="0" w:color="auto"/>
              <w:right w:val="single" w:sz="8" w:space="0" w:color="auto"/>
            </w:tcBorders>
            <w:shd w:val="clear" w:color="auto" w:fill="auto"/>
            <w:vAlign w:val="center"/>
            <w:hideMark/>
          </w:tcPr>
          <w:p w14:paraId="311C3FD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4" w:space="0" w:color="auto"/>
              <w:right w:val="single" w:sz="8" w:space="0" w:color="auto"/>
            </w:tcBorders>
            <w:shd w:val="clear" w:color="auto" w:fill="auto"/>
            <w:hideMark/>
          </w:tcPr>
          <w:p w14:paraId="23C8F07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45B0FA78"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2FB4BCF0"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43C1139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1193782"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1.3</w:t>
            </w:r>
          </w:p>
        </w:tc>
        <w:tc>
          <w:tcPr>
            <w:tcW w:w="2747" w:type="dxa"/>
            <w:tcBorders>
              <w:top w:val="nil"/>
              <w:left w:val="nil"/>
              <w:bottom w:val="single" w:sz="8" w:space="0" w:color="auto"/>
              <w:right w:val="single" w:sz="8" w:space="0" w:color="auto"/>
            </w:tcBorders>
            <w:shd w:val="clear" w:color="auto" w:fill="auto"/>
            <w:hideMark/>
          </w:tcPr>
          <w:p w14:paraId="1F73642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una guía de evaluación de ofertas</w:t>
            </w:r>
          </w:p>
        </w:tc>
        <w:tc>
          <w:tcPr>
            <w:tcW w:w="2126" w:type="dxa"/>
            <w:tcBorders>
              <w:top w:val="nil"/>
              <w:left w:val="nil"/>
              <w:bottom w:val="single" w:sz="8" w:space="0" w:color="auto"/>
              <w:right w:val="single" w:sz="8" w:space="0" w:color="auto"/>
            </w:tcBorders>
            <w:shd w:val="clear" w:color="auto" w:fill="auto"/>
            <w:vAlign w:val="center"/>
            <w:hideMark/>
          </w:tcPr>
          <w:p w14:paraId="28D5CB3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Guía (1)</w:t>
            </w:r>
          </w:p>
        </w:tc>
        <w:tc>
          <w:tcPr>
            <w:tcW w:w="1733" w:type="dxa"/>
            <w:tcBorders>
              <w:top w:val="nil"/>
              <w:left w:val="nil"/>
              <w:bottom w:val="single" w:sz="8" w:space="0" w:color="auto"/>
              <w:right w:val="single" w:sz="8" w:space="0" w:color="auto"/>
            </w:tcBorders>
            <w:shd w:val="clear" w:color="auto" w:fill="auto"/>
            <w:vAlign w:val="center"/>
            <w:hideMark/>
          </w:tcPr>
          <w:p w14:paraId="2CE0D1E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47E20A4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Octubre de 2017</w:t>
            </w:r>
          </w:p>
        </w:tc>
      </w:tr>
      <w:tr w:rsidR="00EB230E" w:rsidRPr="00EB230E" w14:paraId="1E751D96" w14:textId="77777777" w:rsidTr="00EB230E">
        <w:trPr>
          <w:trHeight w:val="870"/>
        </w:trPr>
        <w:tc>
          <w:tcPr>
            <w:tcW w:w="1833" w:type="dxa"/>
            <w:vMerge/>
            <w:tcBorders>
              <w:top w:val="nil"/>
              <w:left w:val="single" w:sz="8" w:space="0" w:color="auto"/>
              <w:bottom w:val="single" w:sz="8" w:space="0" w:color="000000"/>
              <w:right w:val="single" w:sz="8" w:space="0" w:color="auto"/>
            </w:tcBorders>
            <w:vAlign w:val="center"/>
            <w:hideMark/>
          </w:tcPr>
          <w:p w14:paraId="31859BA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DB1D34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5A04053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1.4</w:t>
            </w:r>
          </w:p>
        </w:tc>
        <w:tc>
          <w:tcPr>
            <w:tcW w:w="2747" w:type="dxa"/>
            <w:tcBorders>
              <w:top w:val="nil"/>
              <w:left w:val="nil"/>
              <w:bottom w:val="single" w:sz="8" w:space="0" w:color="auto"/>
              <w:right w:val="single" w:sz="8" w:space="0" w:color="auto"/>
            </w:tcBorders>
            <w:shd w:val="clear" w:color="auto" w:fill="auto"/>
            <w:hideMark/>
          </w:tcPr>
          <w:p w14:paraId="674808E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Suscribir actas de confidencialidad de los servidores del GIT de contratación</w:t>
            </w:r>
          </w:p>
        </w:tc>
        <w:tc>
          <w:tcPr>
            <w:tcW w:w="2126" w:type="dxa"/>
            <w:tcBorders>
              <w:top w:val="nil"/>
              <w:left w:val="nil"/>
              <w:bottom w:val="single" w:sz="8" w:space="0" w:color="auto"/>
              <w:right w:val="single" w:sz="8" w:space="0" w:color="auto"/>
            </w:tcBorders>
            <w:shd w:val="clear" w:color="auto" w:fill="auto"/>
            <w:vAlign w:val="center"/>
            <w:hideMark/>
          </w:tcPr>
          <w:p w14:paraId="518B946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Actas suscritas</w:t>
            </w:r>
          </w:p>
        </w:tc>
        <w:tc>
          <w:tcPr>
            <w:tcW w:w="1733" w:type="dxa"/>
            <w:tcBorders>
              <w:top w:val="nil"/>
              <w:left w:val="nil"/>
              <w:bottom w:val="single" w:sz="8" w:space="0" w:color="auto"/>
              <w:right w:val="single" w:sz="8" w:space="0" w:color="auto"/>
            </w:tcBorders>
            <w:shd w:val="clear" w:color="auto" w:fill="auto"/>
            <w:vAlign w:val="center"/>
            <w:hideMark/>
          </w:tcPr>
          <w:p w14:paraId="72C8727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0EDBB9D7"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797B1237" w14:textId="77777777" w:rsidTr="00EB230E">
        <w:trPr>
          <w:trHeight w:val="855"/>
        </w:trPr>
        <w:tc>
          <w:tcPr>
            <w:tcW w:w="1833" w:type="dxa"/>
            <w:vMerge/>
            <w:tcBorders>
              <w:top w:val="nil"/>
              <w:left w:val="single" w:sz="8" w:space="0" w:color="auto"/>
              <w:bottom w:val="single" w:sz="8" w:space="0" w:color="000000"/>
              <w:right w:val="single" w:sz="8" w:space="0" w:color="auto"/>
            </w:tcBorders>
            <w:vAlign w:val="center"/>
            <w:hideMark/>
          </w:tcPr>
          <w:p w14:paraId="0DFCCAFA"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603973D"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42CDBE6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1.5</w:t>
            </w:r>
          </w:p>
        </w:tc>
        <w:tc>
          <w:tcPr>
            <w:tcW w:w="2747" w:type="dxa"/>
            <w:tcBorders>
              <w:top w:val="nil"/>
              <w:left w:val="nil"/>
              <w:bottom w:val="single" w:sz="8" w:space="0" w:color="auto"/>
              <w:right w:val="single" w:sz="8" w:space="0" w:color="auto"/>
            </w:tcBorders>
            <w:shd w:val="clear" w:color="auto" w:fill="auto"/>
            <w:hideMark/>
          </w:tcPr>
          <w:p w14:paraId="6A0E3495"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Presentar informe de gestión del proceso de contratación</w:t>
            </w:r>
          </w:p>
        </w:tc>
        <w:tc>
          <w:tcPr>
            <w:tcW w:w="2126" w:type="dxa"/>
            <w:tcBorders>
              <w:top w:val="nil"/>
              <w:left w:val="nil"/>
              <w:bottom w:val="single" w:sz="8" w:space="0" w:color="auto"/>
              <w:right w:val="single" w:sz="8" w:space="0" w:color="auto"/>
            </w:tcBorders>
            <w:shd w:val="clear" w:color="auto" w:fill="auto"/>
            <w:vAlign w:val="center"/>
            <w:hideMark/>
          </w:tcPr>
          <w:p w14:paraId="3E0416B0"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Informe (11)</w:t>
            </w:r>
          </w:p>
        </w:tc>
        <w:tc>
          <w:tcPr>
            <w:tcW w:w="1733" w:type="dxa"/>
            <w:tcBorders>
              <w:top w:val="nil"/>
              <w:left w:val="nil"/>
              <w:bottom w:val="single" w:sz="8" w:space="0" w:color="auto"/>
              <w:right w:val="single" w:sz="8" w:space="0" w:color="auto"/>
            </w:tcBorders>
            <w:shd w:val="clear" w:color="auto" w:fill="auto"/>
            <w:vAlign w:val="center"/>
            <w:hideMark/>
          </w:tcPr>
          <w:p w14:paraId="3DE7409E"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Contratación</w:t>
            </w:r>
          </w:p>
        </w:tc>
        <w:tc>
          <w:tcPr>
            <w:tcW w:w="2129" w:type="dxa"/>
            <w:tcBorders>
              <w:top w:val="nil"/>
              <w:left w:val="nil"/>
              <w:bottom w:val="single" w:sz="8" w:space="0" w:color="auto"/>
              <w:right w:val="single" w:sz="8" w:space="0" w:color="auto"/>
            </w:tcBorders>
            <w:shd w:val="clear" w:color="auto" w:fill="auto"/>
            <w:hideMark/>
          </w:tcPr>
          <w:p w14:paraId="6BA6CFB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Febrero a Diciembre de 2017</w:t>
            </w:r>
          </w:p>
        </w:tc>
      </w:tr>
      <w:tr w:rsidR="00EB230E" w:rsidRPr="00EB230E" w14:paraId="67833BB7"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0176C27E"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val="restart"/>
            <w:tcBorders>
              <w:top w:val="nil"/>
              <w:left w:val="single" w:sz="8" w:space="0" w:color="auto"/>
              <w:bottom w:val="single" w:sz="8" w:space="0" w:color="000000"/>
              <w:right w:val="single" w:sz="8" w:space="0" w:color="auto"/>
            </w:tcBorders>
            <w:shd w:val="clear" w:color="auto" w:fill="auto"/>
            <w:vAlign w:val="center"/>
            <w:hideMark/>
          </w:tcPr>
          <w:p w14:paraId="44100EA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Otras iniciativas</w:t>
            </w:r>
          </w:p>
        </w:tc>
        <w:tc>
          <w:tcPr>
            <w:tcW w:w="444" w:type="dxa"/>
            <w:tcBorders>
              <w:top w:val="nil"/>
              <w:left w:val="nil"/>
              <w:bottom w:val="single" w:sz="8" w:space="0" w:color="auto"/>
              <w:right w:val="single" w:sz="8" w:space="0" w:color="auto"/>
            </w:tcBorders>
            <w:shd w:val="clear" w:color="auto" w:fill="auto"/>
            <w:vAlign w:val="center"/>
            <w:hideMark/>
          </w:tcPr>
          <w:p w14:paraId="370EDCF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03F827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Actualizar el Código de Ética</w:t>
            </w:r>
          </w:p>
        </w:tc>
        <w:tc>
          <w:tcPr>
            <w:tcW w:w="2126" w:type="dxa"/>
            <w:tcBorders>
              <w:top w:val="nil"/>
              <w:left w:val="nil"/>
              <w:bottom w:val="single" w:sz="8" w:space="0" w:color="auto"/>
              <w:right w:val="single" w:sz="8" w:space="0" w:color="auto"/>
            </w:tcBorders>
            <w:shd w:val="clear" w:color="auto" w:fill="auto"/>
            <w:vAlign w:val="center"/>
            <w:hideMark/>
          </w:tcPr>
          <w:p w14:paraId="2F7CD271"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Código (1)</w:t>
            </w:r>
          </w:p>
        </w:tc>
        <w:tc>
          <w:tcPr>
            <w:tcW w:w="1733" w:type="dxa"/>
            <w:tcBorders>
              <w:top w:val="nil"/>
              <w:left w:val="nil"/>
              <w:bottom w:val="single" w:sz="8" w:space="0" w:color="auto"/>
              <w:right w:val="single" w:sz="8" w:space="0" w:color="auto"/>
            </w:tcBorders>
            <w:shd w:val="clear" w:color="auto" w:fill="auto"/>
            <w:vAlign w:val="center"/>
            <w:hideMark/>
          </w:tcPr>
          <w:p w14:paraId="62A21044"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VPRE-Calidad</w:t>
            </w:r>
          </w:p>
        </w:tc>
        <w:tc>
          <w:tcPr>
            <w:tcW w:w="2129" w:type="dxa"/>
            <w:tcBorders>
              <w:top w:val="nil"/>
              <w:left w:val="nil"/>
              <w:bottom w:val="single" w:sz="8" w:space="0" w:color="auto"/>
              <w:right w:val="single" w:sz="8" w:space="0" w:color="auto"/>
            </w:tcBorders>
            <w:shd w:val="clear" w:color="auto" w:fill="auto"/>
            <w:hideMark/>
          </w:tcPr>
          <w:p w14:paraId="7E56EB06"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jun-17</w:t>
            </w:r>
          </w:p>
        </w:tc>
      </w:tr>
      <w:tr w:rsidR="00EB230E" w:rsidRPr="00EB230E" w14:paraId="1685A4FC" w14:textId="77777777" w:rsidTr="00EB230E">
        <w:trPr>
          <w:trHeight w:val="330"/>
        </w:trPr>
        <w:tc>
          <w:tcPr>
            <w:tcW w:w="1833" w:type="dxa"/>
            <w:vMerge/>
            <w:tcBorders>
              <w:top w:val="nil"/>
              <w:left w:val="single" w:sz="8" w:space="0" w:color="auto"/>
              <w:bottom w:val="single" w:sz="8" w:space="0" w:color="000000"/>
              <w:right w:val="single" w:sz="8" w:space="0" w:color="auto"/>
            </w:tcBorders>
            <w:vAlign w:val="center"/>
            <w:hideMark/>
          </w:tcPr>
          <w:p w14:paraId="3096C31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2C7C4A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64D09023"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2.2</w:t>
            </w:r>
          </w:p>
        </w:tc>
        <w:tc>
          <w:tcPr>
            <w:tcW w:w="2747" w:type="dxa"/>
            <w:tcBorders>
              <w:top w:val="nil"/>
              <w:left w:val="nil"/>
              <w:bottom w:val="single" w:sz="8" w:space="0" w:color="auto"/>
              <w:right w:val="single" w:sz="8" w:space="0" w:color="auto"/>
            </w:tcBorders>
            <w:shd w:val="clear" w:color="auto" w:fill="auto"/>
            <w:hideMark/>
          </w:tcPr>
          <w:p w14:paraId="30367B8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Socializar el Código de Ética</w:t>
            </w:r>
          </w:p>
        </w:tc>
        <w:tc>
          <w:tcPr>
            <w:tcW w:w="2126" w:type="dxa"/>
            <w:tcBorders>
              <w:top w:val="nil"/>
              <w:left w:val="nil"/>
              <w:bottom w:val="single" w:sz="8" w:space="0" w:color="auto"/>
              <w:right w:val="single" w:sz="8" w:space="0" w:color="auto"/>
            </w:tcBorders>
            <w:shd w:val="clear" w:color="auto" w:fill="auto"/>
            <w:vAlign w:val="center"/>
            <w:hideMark/>
          </w:tcPr>
          <w:p w14:paraId="352D208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Socializaciones (7)</w:t>
            </w:r>
          </w:p>
        </w:tc>
        <w:tc>
          <w:tcPr>
            <w:tcW w:w="1733" w:type="dxa"/>
            <w:tcBorders>
              <w:top w:val="nil"/>
              <w:left w:val="nil"/>
              <w:bottom w:val="single" w:sz="8" w:space="0" w:color="auto"/>
              <w:right w:val="single" w:sz="8" w:space="0" w:color="auto"/>
            </w:tcBorders>
            <w:shd w:val="clear" w:color="auto" w:fill="auto"/>
            <w:vAlign w:val="center"/>
            <w:hideMark/>
          </w:tcPr>
          <w:p w14:paraId="1F4620B5"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VPRE-Calidad</w:t>
            </w:r>
          </w:p>
        </w:tc>
        <w:tc>
          <w:tcPr>
            <w:tcW w:w="2129" w:type="dxa"/>
            <w:tcBorders>
              <w:top w:val="nil"/>
              <w:left w:val="nil"/>
              <w:bottom w:val="single" w:sz="8" w:space="0" w:color="auto"/>
              <w:right w:val="single" w:sz="8" w:space="0" w:color="auto"/>
            </w:tcBorders>
            <w:shd w:val="clear" w:color="auto" w:fill="auto"/>
            <w:hideMark/>
          </w:tcPr>
          <w:p w14:paraId="606179AC"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Mayo-diciembre de 2017</w:t>
            </w:r>
          </w:p>
        </w:tc>
      </w:tr>
      <w:tr w:rsidR="00EB230E" w:rsidRPr="00EB230E" w14:paraId="28C4111D" w14:textId="77777777" w:rsidTr="00EB230E">
        <w:trPr>
          <w:trHeight w:val="645"/>
        </w:trPr>
        <w:tc>
          <w:tcPr>
            <w:tcW w:w="1833" w:type="dxa"/>
            <w:vMerge/>
            <w:tcBorders>
              <w:top w:val="nil"/>
              <w:left w:val="single" w:sz="8" w:space="0" w:color="auto"/>
              <w:bottom w:val="single" w:sz="8" w:space="0" w:color="000000"/>
              <w:right w:val="single" w:sz="8" w:space="0" w:color="auto"/>
            </w:tcBorders>
            <w:vAlign w:val="center"/>
            <w:hideMark/>
          </w:tcPr>
          <w:p w14:paraId="201727CC"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335E853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4" w:space="0" w:color="auto"/>
              <w:right w:val="single" w:sz="8" w:space="0" w:color="auto"/>
            </w:tcBorders>
            <w:shd w:val="clear" w:color="auto" w:fill="auto"/>
            <w:vAlign w:val="center"/>
            <w:hideMark/>
          </w:tcPr>
          <w:p w14:paraId="4C28789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2.3</w:t>
            </w:r>
          </w:p>
        </w:tc>
        <w:tc>
          <w:tcPr>
            <w:tcW w:w="2747" w:type="dxa"/>
            <w:tcBorders>
              <w:top w:val="nil"/>
              <w:left w:val="nil"/>
              <w:bottom w:val="single" w:sz="4" w:space="0" w:color="auto"/>
              <w:right w:val="single" w:sz="8" w:space="0" w:color="auto"/>
            </w:tcBorders>
            <w:shd w:val="clear" w:color="auto" w:fill="auto"/>
            <w:hideMark/>
          </w:tcPr>
          <w:p w14:paraId="47A77094"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Aplicación de pruebas de polígrafo a los aspirantes a ocupar cargos en la Agencia</w:t>
            </w:r>
          </w:p>
        </w:tc>
        <w:tc>
          <w:tcPr>
            <w:tcW w:w="2126" w:type="dxa"/>
            <w:tcBorders>
              <w:top w:val="nil"/>
              <w:left w:val="nil"/>
              <w:bottom w:val="single" w:sz="4" w:space="0" w:color="auto"/>
              <w:right w:val="single" w:sz="8" w:space="0" w:color="auto"/>
            </w:tcBorders>
            <w:shd w:val="clear" w:color="auto" w:fill="auto"/>
            <w:vAlign w:val="center"/>
            <w:hideMark/>
          </w:tcPr>
          <w:p w14:paraId="7D96C64A"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Pruebas</w:t>
            </w:r>
          </w:p>
        </w:tc>
        <w:tc>
          <w:tcPr>
            <w:tcW w:w="1733" w:type="dxa"/>
            <w:tcBorders>
              <w:top w:val="nil"/>
              <w:left w:val="nil"/>
              <w:bottom w:val="single" w:sz="8" w:space="0" w:color="auto"/>
              <w:right w:val="single" w:sz="8" w:space="0" w:color="auto"/>
            </w:tcBorders>
            <w:shd w:val="clear" w:color="auto" w:fill="auto"/>
            <w:vAlign w:val="center"/>
            <w:hideMark/>
          </w:tcPr>
          <w:p w14:paraId="1C41EDA3"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Talento Humano</w:t>
            </w:r>
          </w:p>
        </w:tc>
        <w:tc>
          <w:tcPr>
            <w:tcW w:w="2129" w:type="dxa"/>
            <w:tcBorders>
              <w:top w:val="nil"/>
              <w:left w:val="nil"/>
              <w:bottom w:val="single" w:sz="4" w:space="0" w:color="auto"/>
              <w:right w:val="single" w:sz="8" w:space="0" w:color="auto"/>
            </w:tcBorders>
            <w:shd w:val="clear" w:color="auto" w:fill="auto"/>
            <w:hideMark/>
          </w:tcPr>
          <w:p w14:paraId="2846374B"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 a diciembre de 2017</w:t>
            </w:r>
          </w:p>
        </w:tc>
      </w:tr>
      <w:tr w:rsidR="00EB230E" w:rsidRPr="00EB230E" w14:paraId="3E2BE042" w14:textId="77777777" w:rsidTr="00EB230E">
        <w:trPr>
          <w:trHeight w:val="1035"/>
        </w:trPr>
        <w:tc>
          <w:tcPr>
            <w:tcW w:w="1833" w:type="dxa"/>
            <w:vMerge/>
            <w:tcBorders>
              <w:top w:val="nil"/>
              <w:left w:val="single" w:sz="8" w:space="0" w:color="auto"/>
              <w:bottom w:val="single" w:sz="8" w:space="0" w:color="000000"/>
              <w:right w:val="single" w:sz="8" w:space="0" w:color="auto"/>
            </w:tcBorders>
            <w:vAlign w:val="center"/>
            <w:hideMark/>
          </w:tcPr>
          <w:p w14:paraId="04D14959"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BF79D9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564B36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2.4</w:t>
            </w:r>
          </w:p>
        </w:tc>
        <w:tc>
          <w:tcPr>
            <w:tcW w:w="2747" w:type="dxa"/>
            <w:tcBorders>
              <w:top w:val="nil"/>
              <w:left w:val="nil"/>
              <w:bottom w:val="single" w:sz="8" w:space="0" w:color="auto"/>
              <w:right w:val="single" w:sz="8" w:space="0" w:color="auto"/>
            </w:tcBorders>
            <w:shd w:val="clear" w:color="auto" w:fill="auto"/>
            <w:hideMark/>
          </w:tcPr>
          <w:p w14:paraId="5342FCF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buenas prácticas de seguridad de la información, basados en la norma ISO 27001 “Seguridad informática” al interior de la ANI.</w:t>
            </w:r>
          </w:p>
        </w:tc>
        <w:tc>
          <w:tcPr>
            <w:tcW w:w="2126" w:type="dxa"/>
            <w:tcBorders>
              <w:top w:val="nil"/>
              <w:left w:val="nil"/>
              <w:bottom w:val="single" w:sz="8" w:space="0" w:color="auto"/>
              <w:right w:val="single" w:sz="8" w:space="0" w:color="auto"/>
            </w:tcBorders>
            <w:shd w:val="clear" w:color="auto" w:fill="auto"/>
            <w:vAlign w:val="center"/>
            <w:hideMark/>
          </w:tcPr>
          <w:p w14:paraId="4BEE5575"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-SGSI- Sistema de Gestión de Seguridad de la Información.</w:t>
            </w:r>
          </w:p>
        </w:tc>
        <w:tc>
          <w:tcPr>
            <w:tcW w:w="1733" w:type="dxa"/>
            <w:tcBorders>
              <w:top w:val="nil"/>
              <w:left w:val="nil"/>
              <w:bottom w:val="single" w:sz="8" w:space="0" w:color="auto"/>
              <w:right w:val="single" w:sz="8" w:space="0" w:color="auto"/>
            </w:tcBorders>
            <w:shd w:val="clear" w:color="auto" w:fill="auto"/>
            <w:vAlign w:val="center"/>
            <w:hideMark/>
          </w:tcPr>
          <w:p w14:paraId="11515448"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de Sistemas</w:t>
            </w:r>
          </w:p>
        </w:tc>
        <w:tc>
          <w:tcPr>
            <w:tcW w:w="2129" w:type="dxa"/>
            <w:tcBorders>
              <w:top w:val="nil"/>
              <w:left w:val="nil"/>
              <w:bottom w:val="single" w:sz="8" w:space="0" w:color="auto"/>
              <w:right w:val="single" w:sz="8" w:space="0" w:color="auto"/>
            </w:tcBorders>
            <w:shd w:val="clear" w:color="auto" w:fill="auto"/>
            <w:hideMark/>
          </w:tcPr>
          <w:p w14:paraId="781AFB6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dic-17</w:t>
            </w:r>
          </w:p>
        </w:tc>
      </w:tr>
      <w:tr w:rsidR="00EB230E" w:rsidRPr="00EB230E" w14:paraId="6488B23D" w14:textId="77777777" w:rsidTr="00EB230E">
        <w:trPr>
          <w:trHeight w:val="1035"/>
        </w:trPr>
        <w:tc>
          <w:tcPr>
            <w:tcW w:w="1833" w:type="dxa"/>
            <w:vMerge/>
            <w:tcBorders>
              <w:top w:val="nil"/>
              <w:left w:val="single" w:sz="8" w:space="0" w:color="auto"/>
              <w:bottom w:val="single" w:sz="8" w:space="0" w:color="000000"/>
              <w:right w:val="single" w:sz="8" w:space="0" w:color="auto"/>
            </w:tcBorders>
            <w:vAlign w:val="center"/>
            <w:hideMark/>
          </w:tcPr>
          <w:p w14:paraId="34471A38"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26C5B2C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09696839"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2.5</w:t>
            </w:r>
          </w:p>
        </w:tc>
        <w:tc>
          <w:tcPr>
            <w:tcW w:w="2747" w:type="dxa"/>
            <w:tcBorders>
              <w:top w:val="nil"/>
              <w:left w:val="nil"/>
              <w:bottom w:val="single" w:sz="8" w:space="0" w:color="auto"/>
              <w:right w:val="single" w:sz="8" w:space="0" w:color="auto"/>
            </w:tcBorders>
            <w:shd w:val="clear" w:color="auto" w:fill="auto"/>
            <w:hideMark/>
          </w:tcPr>
          <w:p w14:paraId="2BD00EF3"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Implementar mejoras en el contenido del apéndice técnico predial conforme a la experiencia del desarrollo de los actuales contratos 4G</w:t>
            </w:r>
          </w:p>
        </w:tc>
        <w:tc>
          <w:tcPr>
            <w:tcW w:w="2126" w:type="dxa"/>
            <w:tcBorders>
              <w:top w:val="nil"/>
              <w:left w:val="nil"/>
              <w:bottom w:val="single" w:sz="8" w:space="0" w:color="auto"/>
              <w:right w:val="single" w:sz="8" w:space="0" w:color="auto"/>
            </w:tcBorders>
            <w:shd w:val="clear" w:color="auto" w:fill="auto"/>
            <w:vAlign w:val="center"/>
            <w:hideMark/>
          </w:tcPr>
          <w:p w14:paraId="67DA5B9D"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 xml:space="preserve">Documento </w:t>
            </w:r>
          </w:p>
        </w:tc>
        <w:tc>
          <w:tcPr>
            <w:tcW w:w="1733" w:type="dxa"/>
            <w:tcBorders>
              <w:top w:val="nil"/>
              <w:left w:val="nil"/>
              <w:bottom w:val="single" w:sz="8" w:space="0" w:color="auto"/>
              <w:right w:val="single" w:sz="8" w:space="0" w:color="auto"/>
            </w:tcBorders>
            <w:shd w:val="clear" w:color="auto" w:fill="auto"/>
            <w:vAlign w:val="center"/>
            <w:hideMark/>
          </w:tcPr>
          <w:p w14:paraId="3EF97FFC"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GIT Predial</w:t>
            </w:r>
          </w:p>
        </w:tc>
        <w:tc>
          <w:tcPr>
            <w:tcW w:w="2129" w:type="dxa"/>
            <w:tcBorders>
              <w:top w:val="nil"/>
              <w:left w:val="nil"/>
              <w:bottom w:val="single" w:sz="8" w:space="0" w:color="auto"/>
              <w:right w:val="single" w:sz="8" w:space="0" w:color="auto"/>
            </w:tcBorders>
            <w:shd w:val="clear" w:color="auto" w:fill="auto"/>
            <w:hideMark/>
          </w:tcPr>
          <w:p w14:paraId="04AFBA3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Noviembre de 2017</w:t>
            </w:r>
          </w:p>
        </w:tc>
      </w:tr>
      <w:tr w:rsidR="00EB230E" w:rsidRPr="00EB230E" w14:paraId="6E567DBC" w14:textId="77777777" w:rsidTr="00EB230E">
        <w:trPr>
          <w:trHeight w:val="1125"/>
        </w:trPr>
        <w:tc>
          <w:tcPr>
            <w:tcW w:w="1833" w:type="dxa"/>
            <w:vMerge/>
            <w:tcBorders>
              <w:top w:val="nil"/>
              <w:left w:val="single" w:sz="8" w:space="0" w:color="auto"/>
              <w:bottom w:val="single" w:sz="8" w:space="0" w:color="000000"/>
              <w:right w:val="single" w:sz="8" w:space="0" w:color="auto"/>
            </w:tcBorders>
            <w:vAlign w:val="center"/>
            <w:hideMark/>
          </w:tcPr>
          <w:p w14:paraId="6B2AC691"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vMerge/>
            <w:tcBorders>
              <w:top w:val="nil"/>
              <w:left w:val="single" w:sz="8" w:space="0" w:color="auto"/>
              <w:bottom w:val="single" w:sz="8" w:space="0" w:color="000000"/>
              <w:right w:val="single" w:sz="8" w:space="0" w:color="auto"/>
            </w:tcBorders>
            <w:vAlign w:val="center"/>
            <w:hideMark/>
          </w:tcPr>
          <w:p w14:paraId="6310A4E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p>
        </w:tc>
        <w:tc>
          <w:tcPr>
            <w:tcW w:w="444" w:type="dxa"/>
            <w:tcBorders>
              <w:top w:val="nil"/>
              <w:left w:val="nil"/>
              <w:bottom w:val="single" w:sz="8" w:space="0" w:color="auto"/>
              <w:right w:val="single" w:sz="8" w:space="0" w:color="auto"/>
            </w:tcBorders>
            <w:shd w:val="clear" w:color="auto" w:fill="auto"/>
            <w:vAlign w:val="center"/>
            <w:hideMark/>
          </w:tcPr>
          <w:p w14:paraId="1093386B"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2.6</w:t>
            </w:r>
          </w:p>
        </w:tc>
        <w:tc>
          <w:tcPr>
            <w:tcW w:w="2747" w:type="dxa"/>
            <w:tcBorders>
              <w:top w:val="nil"/>
              <w:left w:val="nil"/>
              <w:bottom w:val="single" w:sz="8" w:space="0" w:color="auto"/>
              <w:right w:val="single" w:sz="8" w:space="0" w:color="auto"/>
            </w:tcBorders>
            <w:shd w:val="clear" w:color="auto" w:fill="auto"/>
            <w:hideMark/>
          </w:tcPr>
          <w:p w14:paraId="7AE81611"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Realizar la socialización de proyectos que hacen parte de la cuarta generación de concesiones de iniciativa privada.</w:t>
            </w:r>
          </w:p>
        </w:tc>
        <w:tc>
          <w:tcPr>
            <w:tcW w:w="2126" w:type="dxa"/>
            <w:tcBorders>
              <w:top w:val="nil"/>
              <w:left w:val="nil"/>
              <w:bottom w:val="single" w:sz="8" w:space="0" w:color="auto"/>
              <w:right w:val="single" w:sz="8" w:space="0" w:color="auto"/>
            </w:tcBorders>
            <w:shd w:val="clear" w:color="auto" w:fill="auto"/>
            <w:vAlign w:val="center"/>
            <w:hideMark/>
          </w:tcPr>
          <w:p w14:paraId="34A3890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Socializaciones (10)</w:t>
            </w:r>
          </w:p>
        </w:tc>
        <w:tc>
          <w:tcPr>
            <w:tcW w:w="1733" w:type="dxa"/>
            <w:tcBorders>
              <w:top w:val="nil"/>
              <w:left w:val="nil"/>
              <w:bottom w:val="single" w:sz="8" w:space="0" w:color="auto"/>
              <w:right w:val="single" w:sz="8" w:space="0" w:color="auto"/>
            </w:tcBorders>
            <w:shd w:val="clear" w:color="auto" w:fill="auto"/>
            <w:vAlign w:val="center"/>
            <w:hideMark/>
          </w:tcPr>
          <w:p w14:paraId="00CCBF51"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Vicepresidencia de Estructuración.</w:t>
            </w:r>
          </w:p>
        </w:tc>
        <w:tc>
          <w:tcPr>
            <w:tcW w:w="2129" w:type="dxa"/>
            <w:tcBorders>
              <w:top w:val="nil"/>
              <w:left w:val="nil"/>
              <w:bottom w:val="single" w:sz="8" w:space="0" w:color="auto"/>
              <w:right w:val="single" w:sz="8" w:space="0" w:color="auto"/>
            </w:tcBorders>
            <w:shd w:val="clear" w:color="auto" w:fill="auto"/>
            <w:hideMark/>
          </w:tcPr>
          <w:p w14:paraId="49D43DDF"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Abril-diciembre de 2017</w:t>
            </w:r>
          </w:p>
        </w:tc>
      </w:tr>
      <w:tr w:rsidR="00EB230E" w:rsidRPr="00EB230E" w14:paraId="5A4410ED" w14:textId="77777777" w:rsidTr="00EB230E">
        <w:trPr>
          <w:trHeight w:val="127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72285EB" w14:textId="77777777" w:rsidR="00EB230E" w:rsidRPr="00EB230E" w:rsidRDefault="00EB230E" w:rsidP="00EB230E">
            <w:pPr>
              <w:spacing w:after="0" w:line="240" w:lineRule="auto"/>
              <w:jc w:val="center"/>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Participación Ciudadana</w:t>
            </w:r>
          </w:p>
        </w:tc>
        <w:tc>
          <w:tcPr>
            <w:tcW w:w="2763" w:type="dxa"/>
            <w:tcBorders>
              <w:top w:val="nil"/>
              <w:left w:val="nil"/>
              <w:bottom w:val="single" w:sz="8" w:space="0" w:color="auto"/>
              <w:right w:val="single" w:sz="8" w:space="0" w:color="auto"/>
            </w:tcBorders>
            <w:shd w:val="clear" w:color="auto" w:fill="auto"/>
            <w:vAlign w:val="center"/>
            <w:hideMark/>
          </w:tcPr>
          <w:p w14:paraId="52783C25"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t>Procesos de Planeación</w:t>
            </w:r>
          </w:p>
        </w:tc>
        <w:tc>
          <w:tcPr>
            <w:tcW w:w="444" w:type="dxa"/>
            <w:tcBorders>
              <w:top w:val="nil"/>
              <w:left w:val="nil"/>
              <w:bottom w:val="single" w:sz="8" w:space="0" w:color="auto"/>
              <w:right w:val="single" w:sz="8" w:space="0" w:color="auto"/>
            </w:tcBorders>
            <w:shd w:val="clear" w:color="auto" w:fill="auto"/>
            <w:vAlign w:val="center"/>
            <w:hideMark/>
          </w:tcPr>
          <w:p w14:paraId="69A844FC"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1.1</w:t>
            </w:r>
          </w:p>
        </w:tc>
        <w:tc>
          <w:tcPr>
            <w:tcW w:w="2747" w:type="dxa"/>
            <w:tcBorders>
              <w:top w:val="nil"/>
              <w:left w:val="nil"/>
              <w:bottom w:val="single" w:sz="8" w:space="0" w:color="auto"/>
              <w:right w:val="single" w:sz="8" w:space="0" w:color="auto"/>
            </w:tcBorders>
            <w:shd w:val="clear" w:color="auto" w:fill="auto"/>
            <w:hideMark/>
          </w:tcPr>
          <w:p w14:paraId="776B66D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Someter a consideración del público en general el proyecto del Plan Anticorrupción y Atención al Ciudadano 2017 para recibir sugerencias y observaciones</w:t>
            </w:r>
          </w:p>
        </w:tc>
        <w:tc>
          <w:tcPr>
            <w:tcW w:w="2126" w:type="dxa"/>
            <w:tcBorders>
              <w:top w:val="nil"/>
              <w:left w:val="nil"/>
              <w:bottom w:val="single" w:sz="8" w:space="0" w:color="auto"/>
              <w:right w:val="single" w:sz="8" w:space="0" w:color="auto"/>
            </w:tcBorders>
            <w:shd w:val="clear" w:color="auto" w:fill="auto"/>
            <w:vAlign w:val="center"/>
            <w:hideMark/>
          </w:tcPr>
          <w:p w14:paraId="6E542FA6"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Observaciones</w:t>
            </w:r>
          </w:p>
        </w:tc>
        <w:tc>
          <w:tcPr>
            <w:tcW w:w="1733" w:type="dxa"/>
            <w:tcBorders>
              <w:top w:val="nil"/>
              <w:left w:val="nil"/>
              <w:bottom w:val="single" w:sz="8" w:space="0" w:color="auto"/>
              <w:right w:val="single" w:sz="8" w:space="0" w:color="auto"/>
            </w:tcBorders>
            <w:shd w:val="clear" w:color="auto" w:fill="auto"/>
            <w:vAlign w:val="center"/>
            <w:hideMark/>
          </w:tcPr>
          <w:p w14:paraId="2EB4D756"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Gerencia Planeación/GIT Riesgos/GIT de Atención al Ciudadano</w:t>
            </w:r>
          </w:p>
        </w:tc>
        <w:tc>
          <w:tcPr>
            <w:tcW w:w="2129" w:type="dxa"/>
            <w:tcBorders>
              <w:top w:val="nil"/>
              <w:left w:val="nil"/>
              <w:bottom w:val="single" w:sz="8" w:space="0" w:color="auto"/>
              <w:right w:val="single" w:sz="8" w:space="0" w:color="auto"/>
            </w:tcBorders>
            <w:shd w:val="clear" w:color="auto" w:fill="auto"/>
            <w:hideMark/>
          </w:tcPr>
          <w:p w14:paraId="6AB5C499"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Enero-Abril de 2017</w:t>
            </w:r>
          </w:p>
        </w:tc>
      </w:tr>
      <w:tr w:rsidR="00EB230E" w:rsidRPr="00EB230E" w14:paraId="54422A2B" w14:textId="77777777" w:rsidTr="00EB230E">
        <w:trPr>
          <w:trHeight w:val="1215"/>
        </w:trPr>
        <w:tc>
          <w:tcPr>
            <w:tcW w:w="1833" w:type="dxa"/>
            <w:vMerge/>
            <w:tcBorders>
              <w:top w:val="nil"/>
              <w:left w:val="single" w:sz="8" w:space="0" w:color="auto"/>
              <w:bottom w:val="single" w:sz="8" w:space="0" w:color="000000"/>
              <w:right w:val="single" w:sz="8" w:space="0" w:color="auto"/>
            </w:tcBorders>
            <w:vAlign w:val="center"/>
            <w:hideMark/>
          </w:tcPr>
          <w:p w14:paraId="004A2ACB" w14:textId="77777777" w:rsidR="00EB230E" w:rsidRPr="00EB230E" w:rsidRDefault="00EB230E" w:rsidP="00EB230E">
            <w:pPr>
              <w:spacing w:after="0" w:line="240" w:lineRule="auto"/>
              <w:rPr>
                <w:rFonts w:ascii="Calibri" w:eastAsia="Times New Roman" w:hAnsi="Calibri" w:cs="Times New Roman"/>
                <w:color w:val="000000"/>
                <w:lang w:eastAsia="es-CO"/>
              </w:rPr>
            </w:pPr>
          </w:p>
        </w:tc>
        <w:tc>
          <w:tcPr>
            <w:tcW w:w="2763" w:type="dxa"/>
            <w:tcBorders>
              <w:top w:val="nil"/>
              <w:left w:val="nil"/>
              <w:bottom w:val="single" w:sz="8" w:space="0" w:color="auto"/>
              <w:right w:val="single" w:sz="8" w:space="0" w:color="auto"/>
            </w:tcBorders>
            <w:shd w:val="clear" w:color="auto" w:fill="auto"/>
            <w:vAlign w:val="center"/>
            <w:hideMark/>
          </w:tcPr>
          <w:p w14:paraId="3858674B" w14:textId="77777777" w:rsidR="00EB230E" w:rsidRPr="00EB230E" w:rsidRDefault="00EB230E" w:rsidP="00EB230E">
            <w:pPr>
              <w:spacing w:after="0" w:line="240" w:lineRule="auto"/>
              <w:rPr>
                <w:rFonts w:ascii="Calibri" w:eastAsia="Times New Roman" w:hAnsi="Calibri" w:cs="Times New Roman"/>
                <w:color w:val="000000"/>
                <w:lang w:eastAsia="es-CO"/>
              </w:rPr>
            </w:pPr>
            <w:r w:rsidRPr="00EB230E">
              <w:rPr>
                <w:rFonts w:ascii="Calibri" w:eastAsia="Times New Roman" w:hAnsi="Calibri" w:cs="Times New Roman"/>
                <w:color w:val="000000"/>
                <w:lang w:eastAsia="es-CO"/>
              </w:rPr>
              <w:br/>
              <w:t>Construcción de normatividad</w:t>
            </w:r>
          </w:p>
        </w:tc>
        <w:tc>
          <w:tcPr>
            <w:tcW w:w="444" w:type="dxa"/>
            <w:tcBorders>
              <w:top w:val="nil"/>
              <w:left w:val="nil"/>
              <w:bottom w:val="single" w:sz="8" w:space="0" w:color="auto"/>
              <w:right w:val="single" w:sz="8" w:space="0" w:color="auto"/>
            </w:tcBorders>
            <w:shd w:val="clear" w:color="auto" w:fill="auto"/>
            <w:vAlign w:val="center"/>
            <w:hideMark/>
          </w:tcPr>
          <w:p w14:paraId="327F6EE8"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2.1</w:t>
            </w:r>
          </w:p>
        </w:tc>
        <w:tc>
          <w:tcPr>
            <w:tcW w:w="2747" w:type="dxa"/>
            <w:tcBorders>
              <w:top w:val="nil"/>
              <w:left w:val="nil"/>
              <w:bottom w:val="single" w:sz="8" w:space="0" w:color="auto"/>
              <w:right w:val="single" w:sz="8" w:space="0" w:color="auto"/>
            </w:tcBorders>
            <w:shd w:val="clear" w:color="auto" w:fill="auto"/>
            <w:hideMark/>
          </w:tcPr>
          <w:p w14:paraId="5DCE8728"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Publicar los proyectos de actos administrativos que involucren a la comunidad en general para recibir sus observaciones y sugerencias</w:t>
            </w:r>
          </w:p>
        </w:tc>
        <w:tc>
          <w:tcPr>
            <w:tcW w:w="2126" w:type="dxa"/>
            <w:tcBorders>
              <w:top w:val="nil"/>
              <w:left w:val="nil"/>
              <w:bottom w:val="single" w:sz="8" w:space="0" w:color="auto"/>
              <w:right w:val="single" w:sz="8" w:space="0" w:color="auto"/>
            </w:tcBorders>
            <w:shd w:val="clear" w:color="auto" w:fill="auto"/>
            <w:vAlign w:val="center"/>
            <w:hideMark/>
          </w:tcPr>
          <w:p w14:paraId="5723F14E" w14:textId="77777777" w:rsidR="00EB230E" w:rsidRPr="00EB230E" w:rsidRDefault="00EB230E" w:rsidP="00EB230E">
            <w:pPr>
              <w:spacing w:after="0" w:line="240" w:lineRule="auto"/>
              <w:jc w:val="both"/>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Observaciones</w:t>
            </w:r>
          </w:p>
        </w:tc>
        <w:tc>
          <w:tcPr>
            <w:tcW w:w="1733" w:type="dxa"/>
            <w:tcBorders>
              <w:top w:val="nil"/>
              <w:left w:val="nil"/>
              <w:bottom w:val="single" w:sz="8" w:space="0" w:color="auto"/>
              <w:right w:val="single" w:sz="8" w:space="0" w:color="auto"/>
            </w:tcBorders>
            <w:shd w:val="clear" w:color="auto" w:fill="auto"/>
            <w:vAlign w:val="center"/>
            <w:hideMark/>
          </w:tcPr>
          <w:p w14:paraId="18ED2D22" w14:textId="77777777" w:rsidR="00EB230E" w:rsidRPr="00EB230E" w:rsidRDefault="00EB230E" w:rsidP="00EB230E">
            <w:pPr>
              <w:spacing w:after="0" w:line="240" w:lineRule="auto"/>
              <w:jc w:val="center"/>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Área de la ANI que someta a consideración el acto administrativo</w:t>
            </w:r>
          </w:p>
        </w:tc>
        <w:tc>
          <w:tcPr>
            <w:tcW w:w="2129" w:type="dxa"/>
            <w:tcBorders>
              <w:top w:val="nil"/>
              <w:left w:val="nil"/>
              <w:bottom w:val="single" w:sz="8" w:space="0" w:color="auto"/>
              <w:right w:val="single" w:sz="8" w:space="0" w:color="auto"/>
            </w:tcBorders>
            <w:shd w:val="clear" w:color="auto" w:fill="auto"/>
            <w:hideMark/>
          </w:tcPr>
          <w:p w14:paraId="5DE92520" w14:textId="77777777" w:rsidR="00EB230E" w:rsidRPr="00EB230E" w:rsidRDefault="00EB230E" w:rsidP="00EB230E">
            <w:pPr>
              <w:spacing w:after="0" w:line="240" w:lineRule="auto"/>
              <w:rPr>
                <w:rFonts w:ascii="Calibri" w:eastAsia="Times New Roman" w:hAnsi="Calibri" w:cs="Times New Roman"/>
                <w:color w:val="000000"/>
                <w:sz w:val="24"/>
                <w:szCs w:val="24"/>
                <w:lang w:eastAsia="es-CO"/>
              </w:rPr>
            </w:pPr>
            <w:r w:rsidRPr="00EB230E">
              <w:rPr>
                <w:rFonts w:ascii="Calibri" w:eastAsia="Times New Roman" w:hAnsi="Calibri" w:cs="Times New Roman"/>
                <w:color w:val="000000"/>
                <w:sz w:val="24"/>
                <w:szCs w:val="24"/>
                <w:lang w:eastAsia="es-CO"/>
              </w:rPr>
              <w:t>Febrero a Diciembre 2017</w:t>
            </w:r>
          </w:p>
        </w:tc>
      </w:tr>
    </w:tbl>
    <w:p w14:paraId="0958A2E5" w14:textId="77777777" w:rsidR="00CA55BA" w:rsidRPr="00CA55BA" w:rsidRDefault="00CA55BA" w:rsidP="00CA55BA">
      <w:pPr>
        <w:keepNext/>
        <w:spacing w:before="240" w:after="60" w:line="240" w:lineRule="auto"/>
        <w:jc w:val="both"/>
        <w:outlineLvl w:val="0"/>
        <w:rPr>
          <w:rFonts w:ascii="Cambria" w:eastAsia="Times New Roman" w:hAnsi="Cambria" w:cs="Calibri"/>
          <w:b/>
          <w:bCs/>
          <w:iCs/>
          <w:sz w:val="24"/>
          <w:szCs w:val="24"/>
          <w:lang w:val="es-ES_tradnl" w:eastAsia="es-ES"/>
        </w:rPr>
      </w:pPr>
    </w:p>
    <w:sectPr w:rsidR="00CA55BA" w:rsidRPr="00CA55BA"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9F10" w14:textId="77777777" w:rsidR="00F06C9C" w:rsidRDefault="00F06C9C" w:rsidP="006E6F49">
      <w:pPr>
        <w:spacing w:after="0" w:line="240" w:lineRule="auto"/>
      </w:pPr>
      <w:r>
        <w:separator/>
      </w:r>
    </w:p>
  </w:endnote>
  <w:endnote w:type="continuationSeparator" w:id="0">
    <w:p w14:paraId="38142369" w14:textId="77777777" w:rsidR="00F06C9C" w:rsidRDefault="00F06C9C"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821C" w14:textId="52B47694" w:rsidR="007B7D01" w:rsidRPr="0033099C" w:rsidRDefault="007B7D01">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sidR="004B3B4C">
      <w:rPr>
        <w:b/>
        <w:bCs/>
        <w:noProof/>
        <w:sz w:val="18"/>
        <w:szCs w:val="18"/>
      </w:rPr>
      <w:t>21</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sidR="004B3B4C">
      <w:rPr>
        <w:b/>
        <w:bCs/>
        <w:noProof/>
        <w:sz w:val="18"/>
        <w:szCs w:val="18"/>
      </w:rPr>
      <w:t>31</w:t>
    </w:r>
    <w:r w:rsidRPr="0033099C">
      <w:rPr>
        <w:b/>
        <w:bCs/>
        <w:sz w:val="18"/>
        <w:szCs w:val="18"/>
      </w:rPr>
      <w:fldChar w:fldCharType="end"/>
    </w:r>
  </w:p>
  <w:p w14:paraId="17325E5E" w14:textId="77777777" w:rsidR="007B7D01" w:rsidRPr="00D4138E" w:rsidRDefault="007B7D01"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A363" w14:textId="77777777" w:rsidR="00F06C9C" w:rsidRDefault="00F06C9C" w:rsidP="006E6F49">
      <w:pPr>
        <w:spacing w:after="0" w:line="240" w:lineRule="auto"/>
      </w:pPr>
      <w:r>
        <w:separator/>
      </w:r>
    </w:p>
  </w:footnote>
  <w:footnote w:type="continuationSeparator" w:id="0">
    <w:p w14:paraId="1D697363" w14:textId="77777777" w:rsidR="00F06C9C" w:rsidRDefault="00F06C9C" w:rsidP="006E6F49">
      <w:pPr>
        <w:spacing w:after="0" w:line="240" w:lineRule="auto"/>
      </w:pPr>
      <w:r>
        <w:continuationSeparator/>
      </w:r>
    </w:p>
  </w:footnote>
  <w:footnote w:id="1">
    <w:p w14:paraId="00958EEA" w14:textId="77777777" w:rsidR="001D343C" w:rsidRPr="0014102D" w:rsidRDefault="001D343C" w:rsidP="006E6F49">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14:paraId="049856E4" w14:textId="77777777" w:rsidR="001D343C" w:rsidRDefault="001D343C" w:rsidP="006E6F49">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C369" w14:textId="77777777" w:rsidR="007B7D01" w:rsidRDefault="007B7D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7B7D01" w:rsidRPr="00B116A5" w14:paraId="4722E3C9" w14:textId="77777777" w:rsidTr="00594908">
      <w:trPr>
        <w:trHeight w:val="835"/>
      </w:trPr>
      <w:tc>
        <w:tcPr>
          <w:tcW w:w="1951" w:type="dxa"/>
        </w:tcPr>
        <w:p w14:paraId="57A903EA" w14:textId="77777777" w:rsidR="007B7D01" w:rsidRPr="00D22F1B" w:rsidRDefault="007B7D01" w:rsidP="00594908">
          <w:pPr>
            <w:jc w:val="center"/>
            <w:rPr>
              <w:rFonts w:ascii="Book Antiqua" w:hAnsi="Book Antiqua" w:cs="Arial"/>
              <w:b/>
              <w:color w:val="984806"/>
              <w:sz w:val="20"/>
              <w:szCs w:val="20"/>
            </w:rPr>
          </w:pPr>
          <w:r>
            <w:rPr>
              <w:rFonts w:ascii="Book Antiqua" w:hAnsi="Book Antiqua" w:cs="Arial"/>
              <w:b/>
              <w:noProof/>
              <w:color w:val="984806"/>
              <w:sz w:val="20"/>
              <w:szCs w:val="20"/>
              <w:lang w:eastAsia="es-CO"/>
            </w:rPr>
            <w:drawing>
              <wp:inline distT="0" distB="0" distL="0" distR="0" wp14:anchorId="1935C390" wp14:editId="3E9C2E13">
                <wp:extent cx="962025" cy="781050"/>
                <wp:effectExtent l="0" t="0" r="9525" b="0"/>
                <wp:docPr id="7" name="Imagen 7"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14:paraId="0A080599" w14:textId="77777777" w:rsidR="007B7D01" w:rsidRDefault="007B7D01" w:rsidP="00594908">
          <w:pPr>
            <w:spacing w:before="40"/>
            <w:jc w:val="right"/>
            <w:rPr>
              <w:rFonts w:cs="Calibri"/>
              <w:b/>
              <w:color w:val="404040"/>
              <w:sz w:val="20"/>
              <w:szCs w:val="20"/>
            </w:rPr>
          </w:pPr>
          <w:r w:rsidRPr="00D90218">
            <w:rPr>
              <w:rFonts w:cs="Calibri"/>
              <w:b/>
              <w:noProof/>
              <w:color w:val="404040"/>
              <w:sz w:val="20"/>
              <w:szCs w:val="20"/>
              <w:lang w:eastAsia="es-CO"/>
            </w:rPr>
            <w:drawing>
              <wp:inline distT="0" distB="0" distL="0" distR="0" wp14:anchorId="08A062AD" wp14:editId="0BF63D2D">
                <wp:extent cx="1524000" cy="685800"/>
                <wp:effectExtent l="0" t="0" r="0" b="0"/>
                <wp:docPr id="1" name="Imagen 1"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14:paraId="70CB6D09" w14:textId="77777777" w:rsidR="007B7D01" w:rsidRPr="00E8061C" w:rsidRDefault="007B7D01" w:rsidP="00594908">
          <w:pPr>
            <w:spacing w:before="40"/>
            <w:rPr>
              <w:rFonts w:cs="Calibri"/>
              <w:b/>
              <w:color w:val="E36C0A"/>
              <w:sz w:val="20"/>
              <w:szCs w:val="20"/>
            </w:rPr>
          </w:pPr>
          <w:r>
            <w:rPr>
              <w:rFonts w:cs="Calibri"/>
              <w:b/>
              <w:color w:val="404040"/>
              <w:sz w:val="20"/>
              <w:szCs w:val="20"/>
            </w:rPr>
            <w:t xml:space="preserve">                      Plan Anticorrupción y Atención al Ciudadano 2017</w:t>
          </w:r>
        </w:p>
      </w:tc>
    </w:tr>
  </w:tbl>
  <w:p w14:paraId="2089770E" w14:textId="77777777" w:rsidR="007B7D01" w:rsidRPr="00A31438" w:rsidRDefault="007B7D01" w:rsidP="00594908">
    <w:pPr>
      <w:pStyle w:val="Encabezad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9"/>
    <w:rsid w:val="00013C76"/>
    <w:rsid w:val="0003144B"/>
    <w:rsid w:val="000963DF"/>
    <w:rsid w:val="000A10A3"/>
    <w:rsid w:val="000B54C8"/>
    <w:rsid w:val="00123C85"/>
    <w:rsid w:val="001514F4"/>
    <w:rsid w:val="0015440C"/>
    <w:rsid w:val="0017441C"/>
    <w:rsid w:val="001B3057"/>
    <w:rsid w:val="001C4541"/>
    <w:rsid w:val="001D343C"/>
    <w:rsid w:val="00204B43"/>
    <w:rsid w:val="00211E45"/>
    <w:rsid w:val="00236582"/>
    <w:rsid w:val="00255B72"/>
    <w:rsid w:val="00284828"/>
    <w:rsid w:val="002D52F4"/>
    <w:rsid w:val="002F0753"/>
    <w:rsid w:val="00321154"/>
    <w:rsid w:val="00323F7E"/>
    <w:rsid w:val="00334C57"/>
    <w:rsid w:val="00351AA4"/>
    <w:rsid w:val="00352655"/>
    <w:rsid w:val="00367F63"/>
    <w:rsid w:val="00371F62"/>
    <w:rsid w:val="00383A82"/>
    <w:rsid w:val="00390CAF"/>
    <w:rsid w:val="003D07B0"/>
    <w:rsid w:val="003E1653"/>
    <w:rsid w:val="003F3296"/>
    <w:rsid w:val="003F453E"/>
    <w:rsid w:val="00412DD5"/>
    <w:rsid w:val="00447024"/>
    <w:rsid w:val="004877CA"/>
    <w:rsid w:val="004906FC"/>
    <w:rsid w:val="004B3B4C"/>
    <w:rsid w:val="004B3D05"/>
    <w:rsid w:val="004C56D6"/>
    <w:rsid w:val="004D6FDD"/>
    <w:rsid w:val="00576917"/>
    <w:rsid w:val="00594908"/>
    <w:rsid w:val="005B5FBF"/>
    <w:rsid w:val="005C368D"/>
    <w:rsid w:val="005D0FD9"/>
    <w:rsid w:val="005F4826"/>
    <w:rsid w:val="005F4C93"/>
    <w:rsid w:val="005F4EC8"/>
    <w:rsid w:val="00611873"/>
    <w:rsid w:val="006B6519"/>
    <w:rsid w:val="006D1C04"/>
    <w:rsid w:val="006E6F49"/>
    <w:rsid w:val="006F5EC2"/>
    <w:rsid w:val="00705AD1"/>
    <w:rsid w:val="00720702"/>
    <w:rsid w:val="007316C3"/>
    <w:rsid w:val="00772107"/>
    <w:rsid w:val="00776FA1"/>
    <w:rsid w:val="00780D78"/>
    <w:rsid w:val="007878EA"/>
    <w:rsid w:val="007B7D01"/>
    <w:rsid w:val="007C39C3"/>
    <w:rsid w:val="007C5677"/>
    <w:rsid w:val="007D4EF0"/>
    <w:rsid w:val="007D53F9"/>
    <w:rsid w:val="007E1AB8"/>
    <w:rsid w:val="007F3E0A"/>
    <w:rsid w:val="008118E7"/>
    <w:rsid w:val="0083575E"/>
    <w:rsid w:val="008E2F9B"/>
    <w:rsid w:val="008E39FB"/>
    <w:rsid w:val="0091380D"/>
    <w:rsid w:val="009357B7"/>
    <w:rsid w:val="0094222A"/>
    <w:rsid w:val="00945D16"/>
    <w:rsid w:val="00973C69"/>
    <w:rsid w:val="0097583F"/>
    <w:rsid w:val="009B6FD9"/>
    <w:rsid w:val="009C41E1"/>
    <w:rsid w:val="009F5520"/>
    <w:rsid w:val="00A00E5E"/>
    <w:rsid w:val="00A47874"/>
    <w:rsid w:val="00A53D72"/>
    <w:rsid w:val="00A90887"/>
    <w:rsid w:val="00AA08BE"/>
    <w:rsid w:val="00AA09AD"/>
    <w:rsid w:val="00AB210F"/>
    <w:rsid w:val="00AC2A3E"/>
    <w:rsid w:val="00AC4C0F"/>
    <w:rsid w:val="00AE40A3"/>
    <w:rsid w:val="00B1116D"/>
    <w:rsid w:val="00B1265B"/>
    <w:rsid w:val="00B25A71"/>
    <w:rsid w:val="00B80E8B"/>
    <w:rsid w:val="00B8313C"/>
    <w:rsid w:val="00B9192A"/>
    <w:rsid w:val="00BD1AF9"/>
    <w:rsid w:val="00BF4B96"/>
    <w:rsid w:val="00C1244F"/>
    <w:rsid w:val="00C15157"/>
    <w:rsid w:val="00C22A26"/>
    <w:rsid w:val="00C25CE9"/>
    <w:rsid w:val="00CA1B0F"/>
    <w:rsid w:val="00CA55BA"/>
    <w:rsid w:val="00CA5A47"/>
    <w:rsid w:val="00CD16D0"/>
    <w:rsid w:val="00CD2004"/>
    <w:rsid w:val="00D1033D"/>
    <w:rsid w:val="00D72F99"/>
    <w:rsid w:val="00D80E77"/>
    <w:rsid w:val="00D8171D"/>
    <w:rsid w:val="00D82810"/>
    <w:rsid w:val="00D85F9F"/>
    <w:rsid w:val="00DA1B1E"/>
    <w:rsid w:val="00DB3A1A"/>
    <w:rsid w:val="00DE20C9"/>
    <w:rsid w:val="00DF06C4"/>
    <w:rsid w:val="00DF3B1B"/>
    <w:rsid w:val="00DF46B5"/>
    <w:rsid w:val="00E2184A"/>
    <w:rsid w:val="00E64B4A"/>
    <w:rsid w:val="00E825FA"/>
    <w:rsid w:val="00E84F0C"/>
    <w:rsid w:val="00E87ADC"/>
    <w:rsid w:val="00E95812"/>
    <w:rsid w:val="00EB230E"/>
    <w:rsid w:val="00EE6024"/>
    <w:rsid w:val="00EF4A00"/>
    <w:rsid w:val="00F06122"/>
    <w:rsid w:val="00F06C9C"/>
    <w:rsid w:val="00F21AA7"/>
    <w:rsid w:val="00F260B7"/>
    <w:rsid w:val="00F33A5B"/>
    <w:rsid w:val="00F53E7D"/>
    <w:rsid w:val="00F6069C"/>
    <w:rsid w:val="00F7431D"/>
    <w:rsid w:val="00FA5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E478"/>
  <w15:chartTrackingRefBased/>
  <w15:docId w15:val="{C769AF0D-E830-46FA-962F-AF8FB2E9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6E6F49"/>
    <w:pPr>
      <w:spacing w:after="0" w:line="240" w:lineRule="auto"/>
      <w:outlineLvl w:val="0"/>
    </w:pPr>
    <w:rPr>
      <w:rFonts w:ascii="Calibri" w:eastAsia="Times New Roman" w:hAnsi="Calibri"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ascii="Calibri" w:eastAsia="Times New Roman" w:hAnsi="Calibri"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 w:val="20"/>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ascii="Calibri" w:eastAsia="Times New Roman" w:hAnsi="Calibri"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ascii="Calibri" w:eastAsia="Times New Roman" w:hAnsi="Calibri"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ascii="Calibri" w:eastAsia="Times New Roman" w:hAnsi="Calibri"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ascii="Calibri" w:eastAsia="Times New Roman" w:hAnsi="Calibri"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224C-2017-4ECA-B8C1-8A60E6E1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9230</Words>
  <Characters>50765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Ricardo Aguilera Wilches</cp:lastModifiedBy>
  <cp:revision>2</cp:revision>
  <dcterms:created xsi:type="dcterms:W3CDTF">2017-04-26T20:12:00Z</dcterms:created>
  <dcterms:modified xsi:type="dcterms:W3CDTF">2017-04-26T20:12:00Z</dcterms:modified>
</cp:coreProperties>
</file>